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EB730" w14:textId="52DC1267" w:rsidR="00345BA0" w:rsidRDefault="00345BA0" w:rsidP="00345BA0">
      <w:pPr>
        <w:pStyle w:val="Author"/>
        <w:spacing w:line="240" w:lineRule="auto"/>
        <w:jc w:val="left"/>
        <w:rPr>
          <w:rFonts w:ascii="Arial" w:hAnsi="Arial" w:cs="Arial"/>
          <w:bCs/>
          <w:iCs/>
          <w:kern w:val="28"/>
          <w:sz w:val="36"/>
          <w:u w:val="single"/>
        </w:rPr>
      </w:pPr>
      <w:r w:rsidRPr="00345BA0">
        <w:rPr>
          <w:rFonts w:ascii="Arial" w:hAnsi="Arial" w:cs="Arial"/>
          <w:bCs/>
          <w:iCs/>
          <w:kern w:val="28"/>
          <w:sz w:val="36"/>
          <w:u w:val="single"/>
        </w:rPr>
        <w:t>Original Research Article</w:t>
      </w:r>
    </w:p>
    <w:p w14:paraId="1286B3C7" w14:textId="77777777" w:rsidR="00B05095" w:rsidRPr="00345BA0" w:rsidRDefault="00B05095" w:rsidP="00345BA0">
      <w:pPr>
        <w:pStyle w:val="Author"/>
        <w:spacing w:line="240" w:lineRule="auto"/>
        <w:jc w:val="left"/>
        <w:rPr>
          <w:rFonts w:ascii="Arial" w:hAnsi="Arial" w:cs="Arial"/>
          <w:bCs/>
          <w:iCs/>
          <w:kern w:val="28"/>
          <w:sz w:val="36"/>
          <w:u w:val="single"/>
        </w:rPr>
      </w:pPr>
    </w:p>
    <w:p w14:paraId="7FA64CF1" w14:textId="336024C0" w:rsidR="00A258C3" w:rsidRDefault="00DD4F82" w:rsidP="0097018A">
      <w:pPr>
        <w:pStyle w:val="Author"/>
        <w:spacing w:line="240" w:lineRule="auto"/>
        <w:rPr>
          <w:rFonts w:ascii="Arial" w:hAnsi="Arial" w:cs="Arial"/>
          <w:bCs/>
          <w:iCs/>
          <w:kern w:val="28"/>
          <w:sz w:val="36"/>
        </w:rPr>
      </w:pPr>
      <w:r w:rsidRPr="00DD4F82">
        <w:rPr>
          <w:rFonts w:ascii="Arial" w:hAnsi="Arial" w:cs="Arial"/>
          <w:bCs/>
          <w:iCs/>
          <w:kern w:val="28"/>
          <w:sz w:val="36"/>
        </w:rPr>
        <w:t>Clinical characteristics and associated factors of uterine fibroids based on the FIGO 2018 classification at the National Hospital of Obstetrics and Gynecology, Vietnam</w:t>
      </w:r>
    </w:p>
    <w:p w14:paraId="019C69C4" w14:textId="77777777" w:rsidR="00E00454" w:rsidRPr="00790ADA" w:rsidRDefault="00E00454" w:rsidP="00DD4F82">
      <w:pPr>
        <w:pStyle w:val="Author"/>
        <w:spacing w:line="240" w:lineRule="auto"/>
        <w:jc w:val="center"/>
        <w:rPr>
          <w:rFonts w:ascii="Arial" w:hAnsi="Arial" w:cs="Arial"/>
          <w:sz w:val="36"/>
        </w:rPr>
      </w:pPr>
    </w:p>
    <w:p w14:paraId="27A39732" w14:textId="77777777" w:rsidR="00E00454" w:rsidRDefault="00E00454" w:rsidP="00441B6F">
      <w:pPr>
        <w:pStyle w:val="Affiliation"/>
        <w:spacing w:after="0" w:line="240" w:lineRule="auto"/>
        <w:rPr>
          <w:rFonts w:ascii="Arial" w:hAnsi="Arial" w:cs="Arial"/>
          <w:i/>
          <w:vertAlign w:val="superscript"/>
          <w:lang w:val="vi-VN"/>
        </w:rPr>
      </w:pPr>
    </w:p>
    <w:p w14:paraId="5ECCD09B" w14:textId="77777777" w:rsidR="002C57D2" w:rsidRDefault="002C57D2" w:rsidP="00441B6F">
      <w:pPr>
        <w:pStyle w:val="Affiliation"/>
        <w:spacing w:after="0" w:line="240" w:lineRule="auto"/>
        <w:jc w:val="both"/>
        <w:rPr>
          <w:rFonts w:ascii="Arial" w:hAnsi="Arial" w:cs="Arial"/>
        </w:rPr>
      </w:pPr>
    </w:p>
    <w:p w14:paraId="5F252789" w14:textId="77777777" w:rsidR="00E00454" w:rsidRPr="00FB3A86" w:rsidRDefault="00E00454" w:rsidP="00441B6F">
      <w:pPr>
        <w:pStyle w:val="Affiliation"/>
        <w:spacing w:after="0" w:line="240" w:lineRule="auto"/>
        <w:jc w:val="both"/>
        <w:rPr>
          <w:rFonts w:ascii="Arial" w:hAnsi="Arial" w:cs="Arial"/>
        </w:rPr>
      </w:pPr>
    </w:p>
    <w:p w14:paraId="726BBAA0" w14:textId="77777777" w:rsidR="00B01FCD" w:rsidRPr="00FB3A86" w:rsidRDefault="00513277" w:rsidP="00441B6F">
      <w:pPr>
        <w:pStyle w:val="Copyright"/>
        <w:spacing w:after="0" w:line="240" w:lineRule="auto"/>
        <w:jc w:val="both"/>
        <w:rPr>
          <w:rFonts w:ascii="Arial" w:hAnsi="Arial" w:cs="Arial"/>
        </w:rPr>
        <w:sectPr w:rsidR="00B01FCD" w:rsidRPr="00FB3A86" w:rsidSect="003B006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4E9B4A9">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156693E9" w14:textId="3846D851" w:rsidR="00790ADA" w:rsidRPr="003B0067" w:rsidRDefault="00B01FCD" w:rsidP="00441B6F">
      <w:pPr>
        <w:pStyle w:val="AbstHead"/>
        <w:spacing w:after="0"/>
        <w:jc w:val="both"/>
        <w:rPr>
          <w:rFonts w:ascii="Arial" w:hAnsi="Arial" w:cs="Arial"/>
          <w:lang w:val="vi-VN"/>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3BCCC13" w14:textId="77777777" w:rsidTr="001E44FE">
        <w:tc>
          <w:tcPr>
            <w:tcW w:w="9576" w:type="dxa"/>
            <w:shd w:val="clear" w:color="auto" w:fill="F2F2F2"/>
          </w:tcPr>
          <w:p w14:paraId="6E505BAB" w14:textId="55F6C1B4" w:rsidR="00BA1B01" w:rsidRPr="00BA1B01" w:rsidRDefault="00BA1B01" w:rsidP="00D85FDD">
            <w:pPr>
              <w:pStyle w:val="Body"/>
              <w:spacing w:after="0" w:line="276" w:lineRule="auto"/>
              <w:rPr>
                <w:rFonts w:ascii="Arial" w:eastAsia="Calibri" w:hAnsi="Arial" w:cs="Arial"/>
                <w:szCs w:val="22"/>
              </w:rPr>
            </w:pPr>
            <w:r w:rsidRPr="00BA1B01">
              <w:rPr>
                <w:rFonts w:ascii="Arial" w:eastAsia="Calibri" w:hAnsi="Arial" w:cs="Arial"/>
                <w:b/>
                <w:szCs w:val="22"/>
              </w:rPr>
              <w:t xml:space="preserve">Aims: </w:t>
            </w:r>
            <w:r w:rsidR="00DD4F82" w:rsidRPr="00DD4F82">
              <w:rPr>
                <w:rFonts w:ascii="Arial" w:eastAsia="Calibri" w:hAnsi="Arial" w:cs="Arial"/>
                <w:bCs/>
                <w:szCs w:val="22"/>
              </w:rPr>
              <w:t>to describe the clinical characteristics of uterine fibroids and to identify factors associated with fibroid classification according to the FIGO 2018 system among patients treated at the National Hospital of Obstetrics and Gynecology, Vietnam.</w:t>
            </w:r>
          </w:p>
          <w:p w14:paraId="5EC2C65D" w14:textId="77777777" w:rsidR="00DD4F82" w:rsidRDefault="00BA1B01" w:rsidP="00D85FDD">
            <w:pPr>
              <w:pStyle w:val="Body"/>
              <w:spacing w:after="0" w:line="276" w:lineRule="auto"/>
              <w:rPr>
                <w:rFonts w:ascii="Arial" w:eastAsia="Calibri" w:hAnsi="Arial" w:cs="Arial"/>
                <w:szCs w:val="22"/>
                <w:lang w:val="vi-VN"/>
              </w:rPr>
            </w:pPr>
            <w:r w:rsidRPr="00BA1B01">
              <w:rPr>
                <w:rFonts w:ascii="Arial" w:eastAsia="Calibri" w:hAnsi="Arial" w:cs="Arial"/>
                <w:b/>
                <w:szCs w:val="22"/>
              </w:rPr>
              <w:t>Study design:</w:t>
            </w:r>
            <w:r w:rsidRPr="00BA1B01">
              <w:rPr>
                <w:rFonts w:ascii="Arial" w:eastAsia="Calibri" w:hAnsi="Arial" w:cs="Arial"/>
                <w:szCs w:val="22"/>
              </w:rPr>
              <w:t xml:space="preserve">  </w:t>
            </w:r>
            <w:r w:rsidR="00DD4F82" w:rsidRPr="00DD4F82">
              <w:rPr>
                <w:rFonts w:ascii="Arial" w:eastAsia="Calibri" w:hAnsi="Arial" w:cs="Arial"/>
                <w:szCs w:val="22"/>
              </w:rPr>
              <w:t xml:space="preserve">A retrospective cross-sectional study </w:t>
            </w:r>
          </w:p>
          <w:p w14:paraId="0855FE45" w14:textId="51D272A9" w:rsidR="00BA1B01" w:rsidRPr="00DD4F82" w:rsidRDefault="00BA1B01" w:rsidP="00D85FDD">
            <w:pPr>
              <w:pStyle w:val="Body"/>
              <w:spacing w:after="0" w:line="276" w:lineRule="auto"/>
              <w:rPr>
                <w:rFonts w:ascii="Arial" w:eastAsia="Calibri" w:hAnsi="Arial" w:cs="Arial"/>
                <w:szCs w:val="22"/>
                <w:lang w:val="vi-VN"/>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D4F82">
              <w:rPr>
                <w:rFonts w:ascii="Arial" w:eastAsia="Calibri" w:hAnsi="Arial" w:cs="Arial"/>
                <w:szCs w:val="22"/>
              </w:rPr>
              <w:t>This</w:t>
            </w:r>
            <w:r w:rsidR="00DD4F82">
              <w:rPr>
                <w:rFonts w:ascii="Arial" w:eastAsia="Calibri" w:hAnsi="Arial" w:cs="Arial"/>
                <w:szCs w:val="22"/>
                <w:lang w:val="vi-VN"/>
              </w:rPr>
              <w:t xml:space="preserve"> study </w:t>
            </w:r>
            <w:r w:rsidR="00DD4F82" w:rsidRPr="007534F8">
              <w:rPr>
                <w:color w:val="000000" w:themeColor="text1"/>
              </w:rPr>
              <w:t xml:space="preserve">was conducted at the National Hospital of Obstetrics and Gynecology between </w:t>
            </w:r>
            <w:r w:rsidR="00DD4F82">
              <w:rPr>
                <w:color w:val="000000" w:themeColor="text1"/>
                <w:lang w:val="vi-VN"/>
              </w:rPr>
              <w:t>01/</w:t>
            </w:r>
            <w:r w:rsidR="00DD4F82" w:rsidRPr="007534F8">
              <w:rPr>
                <w:color w:val="000000" w:themeColor="text1"/>
              </w:rPr>
              <w:t xml:space="preserve">2023 and </w:t>
            </w:r>
            <w:r w:rsidR="00DD4F82">
              <w:rPr>
                <w:color w:val="000000" w:themeColor="text1"/>
                <w:lang w:val="vi-VN"/>
              </w:rPr>
              <w:t>12/</w:t>
            </w:r>
            <w:r w:rsidR="00DD4F82" w:rsidRPr="007534F8">
              <w:rPr>
                <w:color w:val="000000" w:themeColor="text1"/>
              </w:rPr>
              <w:t>2024.</w:t>
            </w:r>
          </w:p>
          <w:p w14:paraId="1990A6D7" w14:textId="766EB6BF" w:rsidR="00DD4F82" w:rsidRPr="00DD4F82" w:rsidRDefault="00BA1B01" w:rsidP="00441B6F">
            <w:pPr>
              <w:pStyle w:val="Body"/>
              <w:spacing w:after="0"/>
              <w:rPr>
                <w:color w:val="000000" w:themeColor="text1"/>
                <w:lang w:val="vi-VN"/>
              </w:rPr>
            </w:pPr>
            <w:r w:rsidRPr="00BA1B01">
              <w:rPr>
                <w:rFonts w:ascii="Arial" w:eastAsia="Calibri" w:hAnsi="Arial" w:cs="Arial"/>
                <w:b/>
                <w:bCs/>
                <w:szCs w:val="22"/>
              </w:rPr>
              <w:t>Methodology:</w:t>
            </w:r>
            <w:r w:rsidRPr="00BA1B01">
              <w:rPr>
                <w:rFonts w:ascii="Arial" w:eastAsia="Calibri" w:hAnsi="Arial" w:cs="Arial"/>
                <w:szCs w:val="22"/>
              </w:rPr>
              <w:t xml:space="preserve"> </w:t>
            </w:r>
            <w:r w:rsidR="00DD4F82">
              <w:rPr>
                <w:rFonts w:ascii="Arial" w:eastAsia="Calibri" w:hAnsi="Arial" w:cs="Arial"/>
                <w:szCs w:val="22"/>
              </w:rPr>
              <w:t>We</w:t>
            </w:r>
            <w:r w:rsidR="00DD4F82">
              <w:rPr>
                <w:rFonts w:ascii="Arial" w:eastAsia="Calibri" w:hAnsi="Arial" w:cs="Arial"/>
                <w:szCs w:val="22"/>
                <w:lang w:val="vi-VN"/>
              </w:rPr>
              <w:t xml:space="preserve"> collected data </w:t>
            </w:r>
            <w:r w:rsidR="00DD4F82" w:rsidRPr="007534F8">
              <w:rPr>
                <w:color w:val="000000" w:themeColor="text1"/>
              </w:rPr>
              <w:t>among 292 patients who underwent uterine-preserving surgery for uterine fibroids</w:t>
            </w:r>
            <w:r w:rsidR="00DD4F82">
              <w:rPr>
                <w:color w:val="000000" w:themeColor="text1"/>
                <w:lang w:val="vi-VN"/>
              </w:rPr>
              <w:t xml:space="preserve">. </w:t>
            </w:r>
            <w:r w:rsidR="00DD4F82" w:rsidRPr="007534F8">
              <w:rPr>
                <w:color w:val="000000" w:themeColor="text1"/>
              </w:rPr>
              <w:t>Fibroids were classified according to the FIGO 2018 system and grouped into submucosal (types 0–2) and intramural/other fibroids (types 3–8). Descriptive statistics, Chi-square tests, and multivariable logistic regression analyses were performed to identify factors associated with fibroid type.</w:t>
            </w:r>
          </w:p>
          <w:p w14:paraId="1AE524AD" w14:textId="2E27560C" w:rsidR="00505F06" w:rsidRPr="00DD4F82" w:rsidRDefault="00BA1B01" w:rsidP="00441B6F">
            <w:pPr>
              <w:pStyle w:val="Body"/>
              <w:spacing w:after="0"/>
              <w:rPr>
                <w:rFonts w:ascii="Arial" w:eastAsia="Calibri" w:hAnsi="Arial" w:cs="Arial"/>
                <w:szCs w:val="22"/>
                <w:lang w:val="vi-VN"/>
              </w:rPr>
            </w:pPr>
            <w:r w:rsidRPr="00BA1B01">
              <w:rPr>
                <w:rFonts w:ascii="Arial" w:eastAsia="Calibri" w:hAnsi="Arial" w:cs="Arial"/>
                <w:b/>
                <w:bCs/>
                <w:szCs w:val="22"/>
              </w:rPr>
              <w:t>Results:</w:t>
            </w:r>
            <w:r w:rsidRPr="00BA1B01">
              <w:rPr>
                <w:rFonts w:ascii="Arial" w:eastAsia="Calibri" w:hAnsi="Arial" w:cs="Arial"/>
                <w:szCs w:val="22"/>
              </w:rPr>
              <w:t xml:space="preserve"> </w:t>
            </w:r>
            <w:r w:rsidR="00DD4F82" w:rsidRPr="007534F8">
              <w:t>Among 292 patients, the most common fibroid types according to the FIGO classification were type L5 (28.4%), followed by type L3 (21.9%) and type L4 (20.5%). Submucosal fibroids were more frequently detected within one month and were associated with a higher proportion of severe or very severe anemia compared with intramural or other fibroids. They were also more commonly associated with smaller uterine size and smaller fibroid size. Multivariable analysis showed that menorrhagia (OR = 2.36, 95% CI: 1.29–4.30), severe anemia (OR = 3.08, 95% CI: 1.14–8.33), and very severe anemia (OR = 4.91, 95% CI: 1.11–21.64) were significantly associated with submucosal fibroids, while tumors detected after more than 12 months, larger uterine size, and larger fibroid size were negatively associated with this subtype</w:t>
            </w:r>
            <w:r w:rsidR="00DD4F82">
              <w:rPr>
                <w:lang w:val="vi-VN"/>
              </w:rPr>
              <w:t xml:space="preserve"> (p&lt;0.05)</w:t>
            </w:r>
            <w:r w:rsidR="00DD4F82" w:rsidRPr="007534F8">
              <w:t>.</w:t>
            </w:r>
            <w:r w:rsidR="00DD4F82" w:rsidRPr="007534F8">
              <w:rPr>
                <w:lang w:val="vi-VN"/>
              </w:rPr>
              <w:t xml:space="preserve"> </w:t>
            </w:r>
            <w:r w:rsidRPr="00BA1B01">
              <w:rPr>
                <w:rFonts w:ascii="Arial" w:eastAsia="Calibri" w:hAnsi="Arial" w:cs="Arial"/>
                <w:b/>
                <w:bCs/>
                <w:szCs w:val="22"/>
              </w:rPr>
              <w:t>Conclusion:</w:t>
            </w:r>
            <w:r w:rsidRPr="00BA1B01">
              <w:rPr>
                <w:rFonts w:ascii="Arial" w:eastAsia="Calibri" w:hAnsi="Arial" w:cs="Arial"/>
                <w:szCs w:val="22"/>
              </w:rPr>
              <w:t xml:space="preserve"> </w:t>
            </w:r>
            <w:r w:rsidR="00DD4F82" w:rsidRPr="00DD4F82">
              <w:rPr>
                <w:rFonts w:ascii="Arial" w:eastAsia="Calibri" w:hAnsi="Arial" w:cs="Arial"/>
                <w:szCs w:val="22"/>
              </w:rPr>
              <w:t>Fibroid location according to the FIGO 2018 classification is strongly associated with clinical characteristics of uterine fibroids. Submucosal fibroids are more likely to present with heavy menstrual bleeding and severe anemia and tend to be detected earlier, highlighting the importance of early evaluation and appropriate management in patients with abnormal uterine bleeding.</w:t>
            </w:r>
          </w:p>
        </w:tc>
      </w:tr>
    </w:tbl>
    <w:p w14:paraId="5CEDDCD4" w14:textId="77777777" w:rsidR="00636EB2" w:rsidRDefault="00636EB2" w:rsidP="00441B6F">
      <w:pPr>
        <w:pStyle w:val="Body"/>
        <w:spacing w:after="0"/>
        <w:rPr>
          <w:rFonts w:ascii="Arial" w:hAnsi="Arial" w:cs="Arial"/>
          <w:i/>
        </w:rPr>
      </w:pPr>
    </w:p>
    <w:p w14:paraId="2C3D8862" w14:textId="09918D5E" w:rsidR="00A24E7E" w:rsidRDefault="00A24E7E" w:rsidP="00441B6F">
      <w:pPr>
        <w:pStyle w:val="Body"/>
        <w:spacing w:after="0"/>
        <w:rPr>
          <w:rFonts w:ascii="Arial" w:hAnsi="Arial" w:cs="Arial"/>
          <w:i/>
        </w:rPr>
      </w:pPr>
      <w:r>
        <w:rPr>
          <w:rFonts w:ascii="Arial" w:hAnsi="Arial" w:cs="Arial"/>
          <w:i/>
        </w:rPr>
        <w:t>Keywords</w:t>
      </w:r>
      <w:r w:rsidR="00D7121B">
        <w:rPr>
          <w:rFonts w:ascii="Arial" w:hAnsi="Arial" w:cs="Arial"/>
          <w:i/>
          <w:lang w:val="vi-VN"/>
        </w:rPr>
        <w:t>”</w:t>
      </w:r>
      <w:r w:rsidR="00D7121B" w:rsidRPr="00D7121B">
        <w:t xml:space="preserve"> </w:t>
      </w:r>
      <w:r w:rsidR="00D7121B" w:rsidRPr="00D7121B">
        <w:rPr>
          <w:rFonts w:ascii="Arial" w:hAnsi="Arial" w:cs="Arial"/>
          <w:i/>
        </w:rPr>
        <w:t>Uterine fibroids; Leiomyoma; FIGO classification; Abnormal uterine bleeding; Menorrhagia; Anemia</w:t>
      </w:r>
    </w:p>
    <w:p w14:paraId="2AF9B5D7" w14:textId="77777777" w:rsidR="0024282C" w:rsidRPr="00D7121B" w:rsidRDefault="0024282C" w:rsidP="00441B6F">
      <w:pPr>
        <w:pStyle w:val="Body"/>
        <w:spacing w:after="0"/>
        <w:rPr>
          <w:rFonts w:ascii="Arial" w:hAnsi="Arial" w:cs="Arial"/>
          <w:i/>
          <w:sz w:val="18"/>
          <w:lang w:val="vi-VN"/>
        </w:rPr>
      </w:pPr>
    </w:p>
    <w:p w14:paraId="48C1C29C" w14:textId="77777777" w:rsidR="00505F06" w:rsidRPr="00A24E7E" w:rsidRDefault="00505F06" w:rsidP="00441B6F">
      <w:pPr>
        <w:pStyle w:val="Body"/>
        <w:spacing w:after="0"/>
        <w:rPr>
          <w:rFonts w:ascii="Arial" w:hAnsi="Arial" w:cs="Arial"/>
          <w:i/>
        </w:rPr>
      </w:pPr>
    </w:p>
    <w:p w14:paraId="4C53BBC7" w14:textId="5ADE186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357AAB8" w14:textId="77777777" w:rsidR="00790ADA" w:rsidRPr="00FB3A86" w:rsidRDefault="00790ADA" w:rsidP="00441B6F">
      <w:pPr>
        <w:pStyle w:val="AbstHead"/>
        <w:spacing w:after="0"/>
        <w:jc w:val="both"/>
        <w:rPr>
          <w:rFonts w:ascii="Arial" w:hAnsi="Arial" w:cs="Arial"/>
        </w:rPr>
      </w:pPr>
    </w:p>
    <w:p w14:paraId="2BA8D3B9" w14:textId="77777777" w:rsidR="00D7121B" w:rsidRPr="007534F8" w:rsidRDefault="00D7121B" w:rsidP="00D7121B">
      <w:pPr>
        <w:spacing w:line="360" w:lineRule="auto"/>
        <w:ind w:firstLine="567"/>
        <w:jc w:val="both"/>
        <w:rPr>
          <w:color w:val="000000" w:themeColor="text1"/>
          <w:lang w:val="vi-VN"/>
        </w:rPr>
      </w:pPr>
      <w:r w:rsidRPr="007534F8">
        <w:rPr>
          <w:color w:val="000000" w:themeColor="text1"/>
          <w:lang w:val="vi-VN"/>
        </w:rPr>
        <w:t>Uterine fibroids, also known as leiomyomas, are the most common benign tumors of the female reproductive system, arising from the smooth muscle cells of the myometrium. These tumors are highly prevalent among women of reproductive age and represent a major gynecological health problem worldwide (Stewart et al., 2017).</w:t>
      </w:r>
    </w:p>
    <w:p w14:paraId="06CF2DB0" w14:textId="77777777" w:rsidR="00D7121B" w:rsidRPr="007534F8" w:rsidRDefault="00D7121B" w:rsidP="00D7121B">
      <w:pPr>
        <w:spacing w:line="360" w:lineRule="auto"/>
        <w:ind w:firstLine="567"/>
        <w:jc w:val="both"/>
        <w:rPr>
          <w:color w:val="000000" w:themeColor="text1"/>
          <w:lang w:val="vi-VN"/>
        </w:rPr>
      </w:pPr>
      <w:r w:rsidRPr="007534F8">
        <w:rPr>
          <w:color w:val="000000" w:themeColor="text1"/>
          <w:lang w:val="vi-VN"/>
        </w:rPr>
        <w:lastRenderedPageBreak/>
        <w:t>Epidemiological studies have estimated that approximately 20-40% of women of reproductive age are clinically diagnosed with uterine fibroids, while the cumulative incidence may reach up to 70-80% by the age of 50 years (Baird et al., 2003; Stewart et al., 2017). Although many fibroids remain asymptomatic, about one-quarter to one-half of affected women develop symptoms that significantly affect their health and quality of life (Bulun, 2013).</w:t>
      </w:r>
    </w:p>
    <w:p w14:paraId="5518655E" w14:textId="77777777" w:rsidR="00D7121B" w:rsidRPr="007534F8" w:rsidRDefault="00D7121B" w:rsidP="00D7121B">
      <w:pPr>
        <w:spacing w:line="360" w:lineRule="auto"/>
        <w:ind w:firstLine="567"/>
        <w:jc w:val="both"/>
        <w:rPr>
          <w:color w:val="000000" w:themeColor="text1"/>
          <w:lang w:val="vi-VN"/>
        </w:rPr>
      </w:pPr>
      <w:r w:rsidRPr="007534F8">
        <w:rPr>
          <w:color w:val="000000" w:themeColor="text1"/>
          <w:lang w:val="vi-VN"/>
        </w:rPr>
        <w:t>Common clinical manifestations include abnormal uterine bleeding, particularly menorrhagia, pelvic pressure, dysmenorrhea, urinary symptoms, infertility, and pregnancy complications (Stewart et al., 2017). Among these symptoms, heavy menstrual bleeding is the most frequently reported and may lead to iron-deficiency anemia and an increased need for medical or surgical intervention (Munro et al., 2011). The clinical presentation of uterine fibroids is highly heterogeneous and largely depends on the number, size, and anatomical location of the tumors within the uterus.</w:t>
      </w:r>
    </w:p>
    <w:p w14:paraId="23F5BC57" w14:textId="77777777" w:rsidR="00D7121B" w:rsidRPr="007534F8" w:rsidRDefault="00D7121B" w:rsidP="00D7121B">
      <w:pPr>
        <w:spacing w:line="360" w:lineRule="auto"/>
        <w:ind w:firstLine="567"/>
        <w:jc w:val="both"/>
        <w:rPr>
          <w:color w:val="000000" w:themeColor="text1"/>
          <w:lang w:val="vi-VN"/>
        </w:rPr>
      </w:pPr>
      <w:r w:rsidRPr="007534F8">
        <w:rPr>
          <w:color w:val="000000" w:themeColor="text1"/>
          <w:lang w:val="vi-VN"/>
        </w:rPr>
        <w:t>To standardize the description of fibroid location and improve communication among clinicians and researchers, the International Federation of Gynecology and Obstetrics (FIGO) developed a classification system for uterine fibroids based on their relationship with the endometrium, myometrium, and uterine serosa (Munro et al., 2011). This system categorizes fibroids into several types, ranging from submucosal to intramural and subserosal lesions.</w:t>
      </w:r>
    </w:p>
    <w:p w14:paraId="25470C61" w14:textId="77777777" w:rsidR="00D7121B" w:rsidRPr="007534F8" w:rsidRDefault="00D7121B" w:rsidP="00D7121B">
      <w:pPr>
        <w:spacing w:line="360" w:lineRule="auto"/>
        <w:ind w:firstLine="567"/>
        <w:jc w:val="both"/>
        <w:rPr>
          <w:color w:val="000000" w:themeColor="text1"/>
          <w:lang w:val="vi-VN"/>
        </w:rPr>
      </w:pPr>
      <w:r w:rsidRPr="007534F8">
        <w:rPr>
          <w:color w:val="000000" w:themeColor="text1"/>
          <w:lang w:val="vi-VN"/>
        </w:rPr>
        <w:t>In 2018, FIGO updated this classification system to further improve its clinical applicability and facilitate consistent reporting in both clinical practice and research (Munro et al., 2011a). The FIGO classification is particularly useful in guiding treatment decisions, as different fibroid locations are associated with distinct clinical manifestations and may require different therapeutic approaches, including hysteroscopic resection, laparoscopic surgery, or other uterus-preserving interventions.</w:t>
      </w:r>
    </w:p>
    <w:p w14:paraId="31B2B69D" w14:textId="77777777" w:rsidR="00D7121B" w:rsidRPr="007534F8" w:rsidRDefault="00D7121B" w:rsidP="00D7121B">
      <w:pPr>
        <w:spacing w:line="360" w:lineRule="auto"/>
        <w:ind w:firstLine="567"/>
        <w:jc w:val="both"/>
        <w:rPr>
          <w:color w:val="000000" w:themeColor="text1"/>
          <w:lang w:val="vi-VN"/>
        </w:rPr>
      </w:pPr>
      <w:r w:rsidRPr="007534F8">
        <w:rPr>
          <w:color w:val="000000" w:themeColor="text1"/>
          <w:lang w:val="vi-VN"/>
        </w:rPr>
        <w:t>Previous studies have demonstrated that fibroid location according to the FIGO classification may be associated with specific clinical characteristics such as abnormal uterine bleeding, anemia severity, uterine size, and tumor size (Stewart et al., 2017; Pavone et al., 2018). In particular, submucosal fibroids are more frequently associated with heavy menstrual bleeding and anemia, whereas intramural or subserosal fibroids may present with pelvic pressure or be detected incidentally during imaging examinations.</w:t>
      </w:r>
    </w:p>
    <w:p w14:paraId="3014628D" w14:textId="77777777" w:rsidR="00D7121B" w:rsidRPr="007534F8" w:rsidRDefault="00D7121B" w:rsidP="00D7121B">
      <w:pPr>
        <w:spacing w:line="360" w:lineRule="auto"/>
        <w:ind w:firstLine="567"/>
        <w:jc w:val="both"/>
        <w:rPr>
          <w:color w:val="000000" w:themeColor="text1"/>
          <w:lang w:val="vi-VN"/>
        </w:rPr>
      </w:pPr>
      <w:r w:rsidRPr="007534F8">
        <w:rPr>
          <w:color w:val="000000" w:themeColor="text1"/>
          <w:lang w:val="vi-VN"/>
        </w:rPr>
        <w:t>However, the distribution of fibroid types and their associated clinical characteristics may vary across populations due to differences in demographic factors, reproductive history, and healthcare access. Evidence regarding these associations in Southeast Asian populations, particularly in Vietnam, remains limited.</w:t>
      </w:r>
    </w:p>
    <w:p w14:paraId="191599EF" w14:textId="77777777" w:rsidR="00D7121B" w:rsidRPr="007534F8" w:rsidRDefault="00D7121B" w:rsidP="00D7121B">
      <w:pPr>
        <w:spacing w:line="360" w:lineRule="auto"/>
        <w:ind w:firstLine="567"/>
        <w:jc w:val="both"/>
        <w:rPr>
          <w:color w:val="000000" w:themeColor="text1"/>
          <w:lang w:val="vi-VN"/>
        </w:rPr>
      </w:pPr>
      <w:r w:rsidRPr="007534F8">
        <w:rPr>
          <w:color w:val="000000" w:themeColor="text1"/>
          <w:lang w:val="vi-VN"/>
        </w:rPr>
        <w:t>In Vietnam, uterine fibroids are commonly encountered in gynecological practice and represent a frequent indication for surgical treatment. Nevertheless, studies describing the clinical characteristics of fibroids according to the FIGO 2018 classification and identifying factors associated with specific fibroid types are still scarce. Therefore, this study aimed to describe the clinical characteristics of uterine fibroids and to identify factors associated with fibroid classification according to the FIGO 2018 system among patients treated at the National Hospital of Obstetrics and Gynecology, Vietnam.</w:t>
      </w:r>
    </w:p>
    <w:p w14:paraId="7195E805" w14:textId="04563FA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EF2EEB2" w14:textId="77777777" w:rsidR="00790ADA" w:rsidRPr="00FB3A86" w:rsidRDefault="00790ADA" w:rsidP="00441B6F">
      <w:pPr>
        <w:pStyle w:val="AbstHead"/>
        <w:spacing w:after="0"/>
        <w:jc w:val="both"/>
        <w:rPr>
          <w:rFonts w:ascii="Arial" w:hAnsi="Arial" w:cs="Arial"/>
        </w:rPr>
      </w:pPr>
    </w:p>
    <w:p w14:paraId="0C06ACBF" w14:textId="77777777" w:rsidR="00D7121B" w:rsidRPr="00D7121B" w:rsidRDefault="00D7121B" w:rsidP="00D7121B">
      <w:pPr>
        <w:spacing w:line="360" w:lineRule="auto"/>
        <w:jc w:val="both"/>
        <w:rPr>
          <w:rFonts w:ascii="Arial" w:hAnsi="Arial" w:cs="Arial"/>
          <w:b/>
          <w:bCs/>
          <w:color w:val="000000" w:themeColor="text1"/>
        </w:rPr>
      </w:pPr>
      <w:r w:rsidRPr="00D7121B">
        <w:rPr>
          <w:rFonts w:ascii="Arial" w:hAnsi="Arial" w:cs="Arial"/>
          <w:b/>
          <w:bCs/>
          <w:color w:val="000000" w:themeColor="text1"/>
        </w:rPr>
        <w:t xml:space="preserve">2.1. Study design </w:t>
      </w:r>
    </w:p>
    <w:p w14:paraId="771DD228" w14:textId="77777777" w:rsidR="00D7121B" w:rsidRPr="00D7121B" w:rsidRDefault="00D7121B" w:rsidP="00D7121B">
      <w:pPr>
        <w:pStyle w:val="NormalWeb"/>
        <w:tabs>
          <w:tab w:val="left" w:pos="567"/>
        </w:tabs>
        <w:spacing w:before="0" w:beforeAutospacing="0" w:after="0" w:afterAutospacing="0" w:line="360" w:lineRule="auto"/>
        <w:jc w:val="both"/>
        <w:rPr>
          <w:rFonts w:ascii="Arial" w:hAnsi="Arial" w:cs="Arial"/>
          <w:sz w:val="20"/>
          <w:szCs w:val="20"/>
          <w:lang w:val="vi-VN"/>
        </w:rPr>
      </w:pPr>
      <w:r w:rsidRPr="00D7121B">
        <w:rPr>
          <w:rFonts w:ascii="Arial" w:hAnsi="Arial" w:cs="Arial"/>
          <w:color w:val="000000" w:themeColor="text1"/>
          <w:sz w:val="20"/>
          <w:szCs w:val="20"/>
        </w:rPr>
        <w:tab/>
      </w:r>
      <w:r w:rsidRPr="00D7121B">
        <w:rPr>
          <w:rFonts w:ascii="Arial" w:hAnsi="Arial" w:cs="Arial"/>
          <w:sz w:val="20"/>
          <w:szCs w:val="20"/>
        </w:rPr>
        <w:t>A retrospective cross-sectional design was used to analyze data from 292 patients with uterine fibroids who underwent surgery at the National Hospital of Obstetrics and Gynecology during the period from January 2023 to December 2024.</w:t>
      </w:r>
    </w:p>
    <w:p w14:paraId="4E144044" w14:textId="77777777" w:rsidR="00D7121B" w:rsidRPr="00D7121B" w:rsidRDefault="00D7121B" w:rsidP="00D7121B">
      <w:pPr>
        <w:pStyle w:val="NormalWeb"/>
        <w:tabs>
          <w:tab w:val="left" w:pos="567"/>
        </w:tabs>
        <w:spacing w:before="0" w:beforeAutospacing="0" w:after="0" w:afterAutospacing="0" w:line="360" w:lineRule="auto"/>
        <w:jc w:val="both"/>
        <w:rPr>
          <w:rFonts w:ascii="Arial" w:hAnsi="Arial" w:cs="Arial"/>
          <w:b/>
          <w:bCs/>
          <w:color w:val="000000" w:themeColor="text1"/>
          <w:sz w:val="20"/>
          <w:szCs w:val="20"/>
        </w:rPr>
      </w:pPr>
      <w:r w:rsidRPr="00D7121B">
        <w:rPr>
          <w:rFonts w:ascii="Arial" w:hAnsi="Arial" w:cs="Arial"/>
          <w:b/>
          <w:bCs/>
          <w:color w:val="000000" w:themeColor="text1"/>
          <w:sz w:val="20"/>
          <w:szCs w:val="20"/>
        </w:rPr>
        <w:t>2.2. Study participants</w:t>
      </w:r>
    </w:p>
    <w:p w14:paraId="79F25494" w14:textId="77777777" w:rsidR="00D7121B" w:rsidRPr="00D7121B" w:rsidRDefault="00D7121B" w:rsidP="00D7121B">
      <w:pPr>
        <w:pStyle w:val="NormalWeb"/>
        <w:tabs>
          <w:tab w:val="left" w:pos="567"/>
        </w:tabs>
        <w:spacing w:before="0" w:beforeAutospacing="0" w:after="0" w:afterAutospacing="0" w:line="360" w:lineRule="auto"/>
        <w:ind w:firstLine="567"/>
        <w:jc w:val="both"/>
        <w:rPr>
          <w:rFonts w:ascii="Arial" w:hAnsi="Arial" w:cs="Arial"/>
          <w:color w:val="000000" w:themeColor="text1"/>
          <w:sz w:val="20"/>
          <w:szCs w:val="20"/>
          <w:lang w:val="vi-VN"/>
        </w:rPr>
      </w:pPr>
      <w:r w:rsidRPr="00D7121B">
        <w:rPr>
          <w:rFonts w:ascii="Arial" w:hAnsi="Arial" w:cs="Arial"/>
          <w:color w:val="000000" w:themeColor="text1"/>
          <w:sz w:val="20"/>
          <w:szCs w:val="20"/>
        </w:rPr>
        <w:lastRenderedPageBreak/>
        <w:t>The study population comprised patients who underwent uterine-preserving surgery for uterine fibroids at the National Hospital of Obstetrics and Gynecology during the study period. Surgical approaches included open surgery, laparoscopic surgery, and hysteroscopic surgery.</w:t>
      </w:r>
    </w:p>
    <w:p w14:paraId="60A3B6D6" w14:textId="77777777" w:rsidR="00D7121B" w:rsidRPr="00D7121B" w:rsidRDefault="00D7121B" w:rsidP="00D7121B">
      <w:pPr>
        <w:pStyle w:val="NormalWeb"/>
        <w:tabs>
          <w:tab w:val="left" w:pos="567"/>
        </w:tabs>
        <w:spacing w:before="0" w:beforeAutospacing="0" w:after="0" w:afterAutospacing="0" w:line="360" w:lineRule="auto"/>
        <w:ind w:firstLine="567"/>
        <w:jc w:val="both"/>
        <w:rPr>
          <w:rFonts w:ascii="Arial" w:hAnsi="Arial" w:cs="Arial"/>
          <w:color w:val="000000" w:themeColor="text1"/>
          <w:sz w:val="20"/>
          <w:szCs w:val="20"/>
        </w:rPr>
      </w:pPr>
      <w:r w:rsidRPr="00D7121B">
        <w:rPr>
          <w:rFonts w:ascii="Arial" w:hAnsi="Arial" w:cs="Arial"/>
          <w:b/>
          <w:bCs/>
          <w:color w:val="000000" w:themeColor="text1"/>
          <w:sz w:val="20"/>
          <w:szCs w:val="20"/>
        </w:rPr>
        <w:t>Inclusion criteria:</w:t>
      </w:r>
      <w:r w:rsidRPr="00D7121B">
        <w:rPr>
          <w:rFonts w:ascii="Arial" w:hAnsi="Arial" w:cs="Arial"/>
          <w:color w:val="000000" w:themeColor="text1"/>
          <w:sz w:val="20"/>
          <w:szCs w:val="20"/>
        </w:rPr>
        <w:t xml:space="preserve"> Patients were eligible for inclusion if they met the following criteria:</w:t>
      </w:r>
    </w:p>
    <w:p w14:paraId="03AA205D" w14:textId="77777777" w:rsidR="00D7121B" w:rsidRPr="00D7121B" w:rsidRDefault="00D7121B" w:rsidP="00D7121B">
      <w:pPr>
        <w:pStyle w:val="NormalWeb"/>
        <w:tabs>
          <w:tab w:val="left" w:pos="567"/>
        </w:tabs>
        <w:spacing w:before="0" w:beforeAutospacing="0" w:after="0" w:afterAutospacing="0" w:line="360" w:lineRule="auto"/>
        <w:ind w:firstLine="567"/>
        <w:jc w:val="both"/>
        <w:rPr>
          <w:rFonts w:ascii="Arial" w:hAnsi="Arial" w:cs="Arial"/>
          <w:color w:val="000000" w:themeColor="text1"/>
          <w:sz w:val="20"/>
          <w:szCs w:val="20"/>
        </w:rPr>
      </w:pPr>
      <w:r w:rsidRPr="00D7121B">
        <w:rPr>
          <w:rFonts w:ascii="Arial" w:hAnsi="Arial" w:cs="Arial"/>
          <w:color w:val="000000" w:themeColor="text1"/>
          <w:sz w:val="20"/>
          <w:szCs w:val="20"/>
        </w:rPr>
        <w:t>(1) complete medical records with adequate demographic, clinical, and paraclinical information;</w:t>
      </w:r>
    </w:p>
    <w:p w14:paraId="30A8437D" w14:textId="77777777" w:rsidR="00D7121B" w:rsidRPr="00D7121B" w:rsidRDefault="00D7121B" w:rsidP="00D7121B">
      <w:pPr>
        <w:pStyle w:val="NormalWeb"/>
        <w:tabs>
          <w:tab w:val="left" w:pos="567"/>
        </w:tabs>
        <w:spacing w:before="0" w:beforeAutospacing="0" w:after="0" w:afterAutospacing="0" w:line="360" w:lineRule="auto"/>
        <w:ind w:firstLine="567"/>
        <w:jc w:val="both"/>
        <w:rPr>
          <w:rFonts w:ascii="Arial" w:hAnsi="Arial" w:cs="Arial"/>
          <w:color w:val="000000" w:themeColor="text1"/>
          <w:sz w:val="20"/>
          <w:szCs w:val="20"/>
        </w:rPr>
      </w:pPr>
      <w:r w:rsidRPr="00D7121B">
        <w:rPr>
          <w:rFonts w:ascii="Arial" w:hAnsi="Arial" w:cs="Arial"/>
          <w:color w:val="000000" w:themeColor="text1"/>
          <w:sz w:val="20"/>
          <w:szCs w:val="20"/>
        </w:rPr>
        <w:t>(2) histopathological confirmation of uterine fibroids;</w:t>
      </w:r>
    </w:p>
    <w:p w14:paraId="4231D2A0" w14:textId="77777777" w:rsidR="00D7121B" w:rsidRPr="00D7121B" w:rsidRDefault="00D7121B" w:rsidP="00D7121B">
      <w:pPr>
        <w:pStyle w:val="NormalWeb"/>
        <w:tabs>
          <w:tab w:val="left" w:pos="567"/>
        </w:tabs>
        <w:spacing w:before="0" w:beforeAutospacing="0" w:after="0" w:afterAutospacing="0" w:line="360" w:lineRule="auto"/>
        <w:ind w:firstLine="567"/>
        <w:jc w:val="both"/>
        <w:rPr>
          <w:rFonts w:ascii="Arial" w:hAnsi="Arial" w:cs="Arial"/>
          <w:color w:val="000000" w:themeColor="text1"/>
          <w:sz w:val="20"/>
          <w:szCs w:val="20"/>
        </w:rPr>
      </w:pPr>
      <w:r w:rsidRPr="00D7121B">
        <w:rPr>
          <w:rFonts w:ascii="Arial" w:hAnsi="Arial" w:cs="Arial"/>
          <w:color w:val="000000" w:themeColor="text1"/>
          <w:sz w:val="20"/>
          <w:szCs w:val="20"/>
        </w:rPr>
        <w:t>(3) underwent uterine fibroid removal with uterine preservation via open surgery, laparoscopy, or hysteroscopy; and</w:t>
      </w:r>
    </w:p>
    <w:p w14:paraId="0C6A1128" w14:textId="77777777" w:rsidR="00D7121B" w:rsidRPr="00D7121B" w:rsidRDefault="00D7121B" w:rsidP="00D7121B">
      <w:pPr>
        <w:pStyle w:val="NormalWeb"/>
        <w:tabs>
          <w:tab w:val="left" w:pos="567"/>
        </w:tabs>
        <w:spacing w:before="0" w:beforeAutospacing="0" w:after="0" w:afterAutospacing="0" w:line="360" w:lineRule="auto"/>
        <w:ind w:firstLine="567"/>
        <w:jc w:val="both"/>
        <w:rPr>
          <w:rFonts w:ascii="Arial" w:hAnsi="Arial" w:cs="Arial"/>
          <w:color w:val="000000" w:themeColor="text1"/>
          <w:sz w:val="20"/>
          <w:szCs w:val="20"/>
          <w:lang w:val="vi-VN"/>
        </w:rPr>
      </w:pPr>
      <w:r w:rsidRPr="00D7121B">
        <w:rPr>
          <w:rFonts w:ascii="Arial" w:hAnsi="Arial" w:cs="Arial"/>
          <w:color w:val="000000" w:themeColor="text1"/>
          <w:sz w:val="20"/>
          <w:szCs w:val="20"/>
        </w:rPr>
        <w:t>(4) had available postoperative follow-up information and were discharged or transferred according to the treating physician’s clinical decision.</w:t>
      </w:r>
    </w:p>
    <w:p w14:paraId="5C20D484" w14:textId="77777777" w:rsidR="00D7121B" w:rsidRPr="00D7121B" w:rsidRDefault="00D7121B" w:rsidP="00D7121B">
      <w:pPr>
        <w:pStyle w:val="NormalWeb"/>
        <w:tabs>
          <w:tab w:val="left" w:pos="567"/>
        </w:tabs>
        <w:spacing w:before="0" w:beforeAutospacing="0" w:after="0" w:afterAutospacing="0" w:line="360" w:lineRule="auto"/>
        <w:jc w:val="both"/>
        <w:rPr>
          <w:rFonts w:ascii="Arial" w:hAnsi="Arial" w:cs="Arial"/>
          <w:color w:val="000000" w:themeColor="text1"/>
          <w:sz w:val="20"/>
          <w:szCs w:val="20"/>
        </w:rPr>
      </w:pPr>
      <w:r w:rsidRPr="00D7121B">
        <w:rPr>
          <w:rFonts w:ascii="Arial" w:hAnsi="Arial" w:cs="Arial"/>
          <w:color w:val="000000" w:themeColor="text1"/>
          <w:sz w:val="20"/>
          <w:szCs w:val="20"/>
          <w:lang w:val="vi-VN"/>
        </w:rPr>
        <w:tab/>
      </w:r>
      <w:r w:rsidRPr="00D7121B">
        <w:rPr>
          <w:rFonts w:ascii="Arial" w:hAnsi="Arial" w:cs="Arial"/>
          <w:b/>
          <w:bCs/>
          <w:color w:val="000000" w:themeColor="text1"/>
          <w:sz w:val="20"/>
          <w:szCs w:val="20"/>
        </w:rPr>
        <w:t>Exclusion criteria</w:t>
      </w:r>
      <w:r w:rsidRPr="00D7121B">
        <w:rPr>
          <w:rFonts w:ascii="Arial" w:hAnsi="Arial" w:cs="Arial"/>
          <w:color w:val="000000" w:themeColor="text1"/>
          <w:sz w:val="20"/>
          <w:szCs w:val="20"/>
        </w:rPr>
        <w:t>: Patients were excluded if they met any of the following conditions:</w:t>
      </w:r>
    </w:p>
    <w:p w14:paraId="7285B380" w14:textId="77777777" w:rsidR="00D7121B" w:rsidRPr="00D7121B" w:rsidRDefault="00D7121B" w:rsidP="00D7121B">
      <w:pPr>
        <w:pStyle w:val="NormalWeb"/>
        <w:tabs>
          <w:tab w:val="left" w:pos="567"/>
        </w:tabs>
        <w:spacing w:before="0" w:beforeAutospacing="0" w:after="0" w:afterAutospacing="0" w:line="360" w:lineRule="auto"/>
        <w:ind w:firstLine="567"/>
        <w:jc w:val="both"/>
        <w:rPr>
          <w:rFonts w:ascii="Arial" w:hAnsi="Arial" w:cs="Arial"/>
          <w:color w:val="000000" w:themeColor="text1"/>
          <w:sz w:val="20"/>
          <w:szCs w:val="20"/>
        </w:rPr>
      </w:pPr>
      <w:r w:rsidRPr="00D7121B">
        <w:rPr>
          <w:rFonts w:ascii="Arial" w:hAnsi="Arial" w:cs="Arial"/>
          <w:color w:val="000000" w:themeColor="text1"/>
          <w:sz w:val="20"/>
          <w:szCs w:val="20"/>
        </w:rPr>
        <w:t>(1) incomplete medical records;</w:t>
      </w:r>
    </w:p>
    <w:p w14:paraId="0E4436C1" w14:textId="77777777" w:rsidR="00D7121B" w:rsidRPr="00D7121B" w:rsidRDefault="00D7121B" w:rsidP="00D7121B">
      <w:pPr>
        <w:pStyle w:val="NormalWeb"/>
        <w:tabs>
          <w:tab w:val="left" w:pos="567"/>
        </w:tabs>
        <w:spacing w:before="0" w:beforeAutospacing="0" w:after="0" w:afterAutospacing="0" w:line="360" w:lineRule="auto"/>
        <w:ind w:firstLine="567"/>
        <w:jc w:val="both"/>
        <w:rPr>
          <w:rFonts w:ascii="Arial" w:hAnsi="Arial" w:cs="Arial"/>
          <w:color w:val="000000" w:themeColor="text1"/>
          <w:sz w:val="20"/>
          <w:szCs w:val="20"/>
        </w:rPr>
      </w:pPr>
      <w:r w:rsidRPr="00D7121B">
        <w:rPr>
          <w:rFonts w:ascii="Arial" w:hAnsi="Arial" w:cs="Arial"/>
          <w:color w:val="000000" w:themeColor="text1"/>
          <w:sz w:val="20"/>
          <w:szCs w:val="20"/>
        </w:rPr>
        <w:t>(2) patients initially planned for uterine fibroid removal but who required subtotal or total hysterectomy intraoperatively due to inability to preserve the uterus;</w:t>
      </w:r>
    </w:p>
    <w:p w14:paraId="69F54A53" w14:textId="77777777" w:rsidR="00D7121B" w:rsidRPr="00D7121B" w:rsidRDefault="00D7121B" w:rsidP="00D7121B">
      <w:pPr>
        <w:pStyle w:val="NormalWeb"/>
        <w:tabs>
          <w:tab w:val="left" w:pos="567"/>
        </w:tabs>
        <w:spacing w:before="0" w:beforeAutospacing="0" w:after="0" w:afterAutospacing="0" w:line="360" w:lineRule="auto"/>
        <w:ind w:firstLine="567"/>
        <w:jc w:val="both"/>
        <w:rPr>
          <w:rFonts w:ascii="Arial" w:hAnsi="Arial" w:cs="Arial"/>
          <w:color w:val="000000" w:themeColor="text1"/>
          <w:sz w:val="20"/>
          <w:szCs w:val="20"/>
        </w:rPr>
      </w:pPr>
      <w:r w:rsidRPr="00D7121B">
        <w:rPr>
          <w:rFonts w:ascii="Arial" w:hAnsi="Arial" w:cs="Arial"/>
          <w:color w:val="000000" w:themeColor="text1"/>
          <w:sz w:val="20"/>
          <w:szCs w:val="20"/>
        </w:rPr>
        <w:t>(3) cases in which postoperative histopathological examination indicated a diagnosis other than uterine fibroids;</w:t>
      </w:r>
    </w:p>
    <w:p w14:paraId="0231458C" w14:textId="77777777" w:rsidR="00D7121B" w:rsidRPr="00D7121B" w:rsidRDefault="00D7121B" w:rsidP="00D7121B">
      <w:pPr>
        <w:pStyle w:val="NormalWeb"/>
        <w:tabs>
          <w:tab w:val="left" w:pos="567"/>
        </w:tabs>
        <w:spacing w:before="0" w:beforeAutospacing="0" w:after="0" w:afterAutospacing="0" w:line="360" w:lineRule="auto"/>
        <w:ind w:firstLine="567"/>
        <w:jc w:val="both"/>
        <w:rPr>
          <w:rFonts w:ascii="Arial" w:hAnsi="Arial" w:cs="Arial"/>
          <w:color w:val="000000" w:themeColor="text1"/>
          <w:sz w:val="20"/>
          <w:szCs w:val="20"/>
        </w:rPr>
      </w:pPr>
      <w:r w:rsidRPr="00D7121B">
        <w:rPr>
          <w:rFonts w:ascii="Arial" w:hAnsi="Arial" w:cs="Arial"/>
          <w:color w:val="000000" w:themeColor="text1"/>
          <w:sz w:val="20"/>
          <w:szCs w:val="20"/>
        </w:rPr>
        <w:t>(4) patients who underwent surgery at another healthcare facility prior to transfer; or</w:t>
      </w:r>
    </w:p>
    <w:p w14:paraId="3745B4D9" w14:textId="77777777" w:rsidR="00D7121B" w:rsidRPr="00D7121B" w:rsidRDefault="00D7121B" w:rsidP="00D7121B">
      <w:pPr>
        <w:pStyle w:val="NormalWeb"/>
        <w:tabs>
          <w:tab w:val="left" w:pos="567"/>
        </w:tabs>
        <w:spacing w:before="0" w:beforeAutospacing="0" w:after="0" w:afterAutospacing="0" w:line="360" w:lineRule="auto"/>
        <w:ind w:firstLine="567"/>
        <w:jc w:val="both"/>
        <w:rPr>
          <w:rFonts w:ascii="Arial" w:hAnsi="Arial" w:cs="Arial"/>
          <w:color w:val="000000" w:themeColor="text1"/>
          <w:sz w:val="20"/>
          <w:szCs w:val="20"/>
          <w:lang w:val="vi-VN"/>
        </w:rPr>
      </w:pPr>
      <w:r w:rsidRPr="00D7121B">
        <w:rPr>
          <w:rFonts w:ascii="Arial" w:hAnsi="Arial" w:cs="Arial"/>
          <w:color w:val="000000" w:themeColor="text1"/>
          <w:sz w:val="20"/>
          <w:szCs w:val="20"/>
        </w:rPr>
        <w:t>(5) patients transferred to another hospital after surgery without sufficient postoperative information for outcome assessment.</w:t>
      </w:r>
    </w:p>
    <w:p w14:paraId="0837AA07" w14:textId="77777777" w:rsidR="00D7121B" w:rsidRPr="00D7121B" w:rsidRDefault="00D7121B" w:rsidP="00D7121B">
      <w:pPr>
        <w:pStyle w:val="NormalWeb"/>
        <w:tabs>
          <w:tab w:val="left" w:pos="567"/>
        </w:tabs>
        <w:spacing w:before="0" w:beforeAutospacing="0" w:after="0" w:afterAutospacing="0" w:line="360" w:lineRule="auto"/>
        <w:jc w:val="both"/>
        <w:rPr>
          <w:rFonts w:ascii="Arial" w:hAnsi="Arial" w:cs="Arial"/>
          <w:b/>
          <w:bCs/>
          <w:color w:val="000000" w:themeColor="text1"/>
          <w:sz w:val="20"/>
          <w:szCs w:val="20"/>
        </w:rPr>
      </w:pPr>
      <w:r w:rsidRPr="00D7121B">
        <w:rPr>
          <w:rFonts w:ascii="Arial" w:hAnsi="Arial" w:cs="Arial"/>
          <w:b/>
          <w:bCs/>
          <w:color w:val="000000" w:themeColor="text1"/>
          <w:sz w:val="20"/>
          <w:szCs w:val="20"/>
        </w:rPr>
        <w:t xml:space="preserve">2.3. Sample size </w:t>
      </w:r>
    </w:p>
    <w:p w14:paraId="5A8273B5" w14:textId="77777777" w:rsidR="00D7121B" w:rsidRPr="00D7121B" w:rsidRDefault="00D7121B" w:rsidP="00D7121B">
      <w:pPr>
        <w:tabs>
          <w:tab w:val="left" w:pos="567"/>
        </w:tabs>
        <w:spacing w:line="360" w:lineRule="auto"/>
        <w:jc w:val="both"/>
        <w:rPr>
          <w:rFonts w:ascii="Arial" w:hAnsi="Arial" w:cs="Arial"/>
          <w:color w:val="000000" w:themeColor="text1"/>
          <w:lang w:val="vi-VN"/>
        </w:rPr>
      </w:pPr>
      <w:r w:rsidRPr="00D7121B">
        <w:rPr>
          <w:rFonts w:ascii="Arial" w:hAnsi="Arial" w:cs="Arial"/>
          <w:color w:val="000000" w:themeColor="text1"/>
        </w:rPr>
        <w:tab/>
        <w:t>The sample size was determined using a consecutive sampling approach. All patients who met the eligibility criteria and underwent uterine fibroid removal at the National Hospital of Obstetrics and Gynecology between January 2023 and December 2024 were included in the study. During the study period, a total of 292 patients fulfilled the inclusion criteria and were included in the final analysis.</w:t>
      </w:r>
    </w:p>
    <w:p w14:paraId="599DC430" w14:textId="77777777" w:rsidR="00D7121B" w:rsidRPr="00D7121B" w:rsidRDefault="00D7121B" w:rsidP="00D7121B">
      <w:pPr>
        <w:tabs>
          <w:tab w:val="left" w:pos="567"/>
        </w:tabs>
        <w:spacing w:line="360" w:lineRule="auto"/>
        <w:jc w:val="both"/>
        <w:rPr>
          <w:rFonts w:ascii="Arial" w:hAnsi="Arial" w:cs="Arial"/>
          <w:b/>
          <w:bCs/>
          <w:color w:val="000000" w:themeColor="text1"/>
        </w:rPr>
      </w:pPr>
      <w:r w:rsidRPr="00D7121B">
        <w:rPr>
          <w:rFonts w:ascii="Arial" w:hAnsi="Arial" w:cs="Arial"/>
          <w:b/>
          <w:bCs/>
          <w:color w:val="000000" w:themeColor="text1"/>
        </w:rPr>
        <w:t>2.4. Data collection</w:t>
      </w:r>
    </w:p>
    <w:p w14:paraId="147C52B0" w14:textId="77777777" w:rsidR="00D7121B" w:rsidRPr="00D7121B" w:rsidRDefault="00D7121B" w:rsidP="00D7121B">
      <w:pPr>
        <w:tabs>
          <w:tab w:val="left" w:pos="567"/>
        </w:tabs>
        <w:spacing w:line="360" w:lineRule="auto"/>
        <w:jc w:val="both"/>
        <w:rPr>
          <w:rFonts w:ascii="Arial" w:hAnsi="Arial" w:cs="Arial"/>
          <w:color w:val="000000" w:themeColor="text1"/>
        </w:rPr>
      </w:pPr>
      <w:r w:rsidRPr="00D7121B">
        <w:rPr>
          <w:rFonts w:ascii="Arial" w:hAnsi="Arial" w:cs="Arial"/>
          <w:color w:val="000000" w:themeColor="text1"/>
        </w:rPr>
        <w:tab/>
        <w:t>A retrospective record-based sampling method was employed to identify eligible participants. Patients who underwent uterine fibroid removal at the National Hospital of Obstetrics and Gynecology were identified through the hospital information system (VNPT–HIS) by searching for relevant diagnostic and procedural codes.</w:t>
      </w:r>
      <w:r w:rsidRPr="00D7121B">
        <w:rPr>
          <w:rFonts w:ascii="Arial" w:hAnsi="Arial" w:cs="Arial"/>
          <w:color w:val="000000" w:themeColor="text1"/>
          <w:lang w:val="vi-VN"/>
        </w:rPr>
        <w:t xml:space="preserve"> </w:t>
      </w:r>
      <w:r w:rsidRPr="00D7121B">
        <w:rPr>
          <w:rFonts w:ascii="Arial" w:hAnsi="Arial" w:cs="Arial"/>
          <w:color w:val="000000" w:themeColor="text1"/>
        </w:rPr>
        <w:t>After generating a list of potential cases, the corresponding medical records were retrieved from the hospital archive. Each record was subsequently reviewed to confirm eligibility according to the predefined inclusion and exclusion criteria before being included in the final dataset for analysis.</w:t>
      </w:r>
    </w:p>
    <w:p w14:paraId="007CD6F9" w14:textId="77777777" w:rsidR="00D7121B" w:rsidRPr="00D7121B" w:rsidRDefault="00D7121B" w:rsidP="00D7121B">
      <w:pPr>
        <w:tabs>
          <w:tab w:val="left" w:pos="567"/>
        </w:tabs>
        <w:spacing w:line="360" w:lineRule="auto"/>
        <w:jc w:val="both"/>
        <w:rPr>
          <w:rFonts w:ascii="Arial" w:hAnsi="Arial" w:cs="Arial"/>
          <w:b/>
          <w:bCs/>
          <w:color w:val="000000" w:themeColor="text1"/>
        </w:rPr>
      </w:pPr>
      <w:r w:rsidRPr="00D7121B">
        <w:rPr>
          <w:rFonts w:ascii="Arial" w:hAnsi="Arial" w:cs="Arial"/>
          <w:b/>
          <w:bCs/>
          <w:color w:val="000000" w:themeColor="text1"/>
        </w:rPr>
        <w:t xml:space="preserve">2.5. Data </w:t>
      </w:r>
      <w:proofErr w:type="spellStart"/>
      <w:r w:rsidRPr="00D7121B">
        <w:rPr>
          <w:rFonts w:ascii="Arial" w:hAnsi="Arial" w:cs="Arial"/>
          <w:b/>
          <w:bCs/>
          <w:color w:val="000000" w:themeColor="text1"/>
        </w:rPr>
        <w:t>mesurement</w:t>
      </w:r>
      <w:proofErr w:type="spellEnd"/>
    </w:p>
    <w:p w14:paraId="504FC84D" w14:textId="77777777" w:rsidR="00D7121B" w:rsidRPr="00D7121B" w:rsidRDefault="00D7121B" w:rsidP="00D7121B">
      <w:pPr>
        <w:tabs>
          <w:tab w:val="left" w:pos="567"/>
        </w:tabs>
        <w:spacing w:line="360" w:lineRule="auto"/>
        <w:ind w:firstLine="567"/>
        <w:jc w:val="both"/>
        <w:rPr>
          <w:rFonts w:ascii="Arial" w:hAnsi="Arial" w:cs="Arial"/>
          <w:color w:val="000000" w:themeColor="text1"/>
        </w:rPr>
      </w:pPr>
      <w:r w:rsidRPr="00D7121B">
        <w:rPr>
          <w:rFonts w:ascii="Arial" w:hAnsi="Arial" w:cs="Arial"/>
          <w:color w:val="000000" w:themeColor="text1"/>
        </w:rPr>
        <w:t>Data were extracted from patients’ medical records using a standardized data collection form. The collected variables included demographic, clinical, and surgical characteristics.</w:t>
      </w:r>
    </w:p>
    <w:p w14:paraId="1FC41482" w14:textId="77777777" w:rsidR="00D7121B" w:rsidRPr="00D7121B" w:rsidRDefault="00D7121B" w:rsidP="00D7121B">
      <w:pPr>
        <w:tabs>
          <w:tab w:val="left" w:pos="567"/>
        </w:tabs>
        <w:spacing w:line="360" w:lineRule="auto"/>
        <w:ind w:firstLine="567"/>
        <w:jc w:val="both"/>
        <w:rPr>
          <w:rFonts w:ascii="Arial" w:hAnsi="Arial" w:cs="Arial"/>
          <w:lang w:val="vi-VN"/>
        </w:rPr>
      </w:pPr>
      <w:r w:rsidRPr="00D7121B">
        <w:rPr>
          <w:rFonts w:ascii="Arial" w:hAnsi="Arial" w:cs="Arial"/>
        </w:rPr>
        <w:t>Additional clinical variables relevant to fibroid characteristics were also extracted from the medical records.</w:t>
      </w:r>
      <w:r w:rsidRPr="00D7121B">
        <w:rPr>
          <w:rFonts w:ascii="Arial" w:hAnsi="Arial" w:cs="Arial"/>
          <w:lang w:val="vi-VN"/>
        </w:rPr>
        <w:t xml:space="preserve"> Specifically, fibroid size was determined based on preoperative imaging findings or intraoperative measurements and was categorized into four groups: ≤40 mm, 41-60 mm, 61-80 mm, and ≥81 mm. Anemia status was classified according to the criteria of the World Health Organization (WHO) based on preoperative hemoglobin levels. Patients were categorized into five groups: no anemia, mild anemia, moderate anemia, severe anemia, and very severe anemia (</w:t>
      </w:r>
      <w:r w:rsidRPr="00D7121B">
        <w:rPr>
          <w:rFonts w:ascii="Arial" w:hAnsi="Arial" w:cs="Arial"/>
          <w:color w:val="000000" w:themeColor="text1"/>
          <w:lang w:val="vi-VN"/>
        </w:rPr>
        <w:t>Aldakhil et al., 2025)</w:t>
      </w:r>
      <w:r w:rsidRPr="00D7121B">
        <w:rPr>
          <w:rFonts w:ascii="Arial" w:hAnsi="Arial" w:cs="Arial"/>
          <w:lang w:val="vi-VN"/>
        </w:rPr>
        <w:t xml:space="preserve">. The primary outcome variable of the study was the type of uterine fibroid according to the FIGO 2018 classification system. Based on the anatomical relationship between the fibroid and the uterine layers, fibroids were categorized into </w:t>
      </w:r>
      <w:r w:rsidRPr="00D7121B">
        <w:rPr>
          <w:rFonts w:ascii="Arial" w:hAnsi="Arial" w:cs="Arial"/>
          <w:lang w:val="vi-VN"/>
        </w:rPr>
        <w:lastRenderedPageBreak/>
        <w:t>two groups for analysis: submucosal fibroids (FIGO types 0–2) and intramural or other fibroids (FIGO types 3-8) (Liu et al., 2025).</w:t>
      </w:r>
    </w:p>
    <w:p w14:paraId="405378B2" w14:textId="77777777" w:rsidR="00D7121B" w:rsidRPr="00D7121B" w:rsidRDefault="00D7121B" w:rsidP="00D7121B">
      <w:pPr>
        <w:spacing w:line="360" w:lineRule="auto"/>
        <w:jc w:val="both"/>
        <w:rPr>
          <w:rFonts w:ascii="Arial" w:hAnsi="Arial" w:cs="Arial"/>
          <w:b/>
          <w:bCs/>
          <w:color w:val="000000" w:themeColor="text1"/>
        </w:rPr>
      </w:pPr>
      <w:r w:rsidRPr="00D7121B">
        <w:rPr>
          <w:rFonts w:ascii="Arial" w:hAnsi="Arial" w:cs="Arial"/>
          <w:b/>
          <w:bCs/>
          <w:color w:val="000000" w:themeColor="text1"/>
        </w:rPr>
        <w:t>2.6. Data analysis</w:t>
      </w:r>
    </w:p>
    <w:p w14:paraId="5D4A2AB7" w14:textId="77777777" w:rsidR="00D7121B" w:rsidRPr="00D7121B" w:rsidRDefault="00D7121B" w:rsidP="00D7121B">
      <w:pPr>
        <w:spacing w:line="360" w:lineRule="auto"/>
        <w:ind w:firstLine="567"/>
        <w:jc w:val="both"/>
        <w:rPr>
          <w:rFonts w:ascii="Arial" w:hAnsi="Arial" w:cs="Arial"/>
          <w:color w:val="000000" w:themeColor="text1"/>
          <w:lang w:val="vi-VN"/>
        </w:rPr>
      </w:pPr>
      <w:r w:rsidRPr="00D7121B">
        <w:rPr>
          <w:rFonts w:ascii="Arial" w:hAnsi="Arial" w:cs="Arial"/>
          <w:color w:val="000000" w:themeColor="text1"/>
        </w:rPr>
        <w:t>Statistical analyses were performed using SPSS software (version 22.0; IBM Corp., Armonk, NY, USA). Descriptive statistics were used to summarize participants’ characteristics, with categorical variables presented as frequencies and percentages.</w:t>
      </w:r>
      <w:r w:rsidRPr="00D7121B">
        <w:rPr>
          <w:rFonts w:ascii="Arial" w:hAnsi="Arial" w:cs="Arial"/>
          <w:color w:val="000000" w:themeColor="text1"/>
          <w:lang w:val="vi-VN"/>
        </w:rPr>
        <w:t xml:space="preserve"> </w:t>
      </w:r>
      <w:r w:rsidRPr="00D7121B">
        <w:rPr>
          <w:rFonts w:ascii="Arial" w:hAnsi="Arial" w:cs="Arial"/>
          <w:color w:val="000000" w:themeColor="text1"/>
        </w:rPr>
        <w:t>Associations between fibroid type (submucosal vs. intramural/other) and related factors were assessed using the Chi-square test or Fisher’s exact test, as appropriate. Variables associated with fibroid type were further included in a multivariable logistic regression model to identify independent factors. Results were reported as odds ratios (ORs) with 95% confidence intervals (CIs). A p-value &lt; 0.05 was considered statistically significant.</w:t>
      </w:r>
    </w:p>
    <w:p w14:paraId="6A5F592D" w14:textId="47E4F66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5E407ED7" w14:textId="77777777" w:rsidR="00D7121B" w:rsidRPr="00D7121B" w:rsidRDefault="00D7121B" w:rsidP="00D7121B">
      <w:pPr>
        <w:spacing w:line="360" w:lineRule="auto"/>
        <w:jc w:val="both"/>
        <w:rPr>
          <w:rFonts w:ascii="Arial" w:hAnsi="Arial" w:cs="Arial"/>
          <w:b/>
          <w:bCs/>
          <w:color w:val="000000" w:themeColor="text1"/>
        </w:rPr>
      </w:pPr>
      <w:r w:rsidRPr="00D7121B">
        <w:rPr>
          <w:rFonts w:ascii="Arial" w:hAnsi="Arial" w:cs="Arial"/>
          <w:b/>
          <w:bCs/>
          <w:color w:val="000000" w:themeColor="text1"/>
        </w:rPr>
        <w:t>3.1. Participant’s characteristic</w:t>
      </w:r>
    </w:p>
    <w:p w14:paraId="6B4EE475" w14:textId="77777777" w:rsidR="00D7121B" w:rsidRPr="00D7121B" w:rsidRDefault="00D7121B" w:rsidP="00D7121B">
      <w:pPr>
        <w:spacing w:line="360" w:lineRule="auto"/>
        <w:ind w:firstLine="567"/>
        <w:jc w:val="both"/>
        <w:rPr>
          <w:rFonts w:ascii="Arial" w:hAnsi="Arial" w:cs="Arial"/>
          <w:b/>
          <w:bCs/>
          <w:color w:val="000000" w:themeColor="text1"/>
        </w:rPr>
      </w:pPr>
      <w:r w:rsidRPr="00D7121B">
        <w:rPr>
          <w:rFonts w:ascii="Arial" w:hAnsi="Arial" w:cs="Arial"/>
        </w:rPr>
        <w:t>Among the 292 participants, most were aged 30-39 years (47.9%). Women with two children accounted for the largest proportion (46.9%). Menorrhagia was the most common menstrual symptom (48.3%), and most participants had no history of abdominal surgery (75.0%). Tumors were most frequently detected after more than 12 months (39.0%). Mild anemia was the most common type of anemia (27.1%), and most patients did not require preoperative blood transfusion (83.6%). The majority had a uterine size equivalent to 8-12 weeks (58.9%), and fibroid size of 61-80 mm was most common (31.5%) (see Table 1).</w:t>
      </w:r>
    </w:p>
    <w:p w14:paraId="4C9F3AFD" w14:textId="77777777" w:rsidR="00D7121B" w:rsidRPr="00D7121B" w:rsidRDefault="00D7121B" w:rsidP="00D7121B">
      <w:pPr>
        <w:spacing w:line="360" w:lineRule="auto"/>
        <w:jc w:val="center"/>
        <w:rPr>
          <w:rFonts w:ascii="Arial" w:hAnsi="Arial" w:cs="Arial"/>
          <w:b/>
          <w:bCs/>
          <w:color w:val="000000" w:themeColor="text1"/>
        </w:rPr>
      </w:pPr>
      <w:r w:rsidRPr="00D7121B">
        <w:rPr>
          <w:rFonts w:ascii="Arial" w:hAnsi="Arial" w:cs="Arial"/>
          <w:b/>
          <w:bCs/>
          <w:color w:val="000000" w:themeColor="text1"/>
        </w:rPr>
        <w:t>Table 1. Participant’s characteristic (n=292)</w:t>
      </w:r>
    </w:p>
    <w:tbl>
      <w:tblPr>
        <w:tblStyle w:val="TableGrid"/>
        <w:tblW w:w="0" w:type="auto"/>
        <w:jc w:val="center"/>
        <w:tblLook w:val="04A0" w:firstRow="1" w:lastRow="0" w:firstColumn="1" w:lastColumn="0" w:noHBand="0" w:noVBand="1"/>
      </w:tblPr>
      <w:tblGrid>
        <w:gridCol w:w="3030"/>
        <w:gridCol w:w="1776"/>
        <w:gridCol w:w="1283"/>
        <w:gridCol w:w="1661"/>
      </w:tblGrid>
      <w:tr w:rsidR="00D7121B" w:rsidRPr="00D7121B" w14:paraId="126D8DA1" w14:textId="77777777" w:rsidTr="008B0C0F">
        <w:trPr>
          <w:jc w:val="center"/>
        </w:trPr>
        <w:tc>
          <w:tcPr>
            <w:tcW w:w="4806" w:type="dxa"/>
            <w:gridSpan w:val="2"/>
            <w:hideMark/>
          </w:tcPr>
          <w:p w14:paraId="13A6D7B3" w14:textId="77777777" w:rsidR="00D7121B" w:rsidRPr="00D7121B" w:rsidRDefault="00D7121B" w:rsidP="008B0C0F">
            <w:pPr>
              <w:jc w:val="center"/>
              <w:rPr>
                <w:rFonts w:ascii="Arial" w:hAnsi="Arial" w:cs="Arial"/>
                <w:b/>
                <w:bCs/>
                <w:sz w:val="20"/>
                <w:szCs w:val="20"/>
              </w:rPr>
            </w:pPr>
            <w:bookmarkStart w:id="0" w:name="_Toc209684303"/>
            <w:r w:rsidRPr="00D7121B">
              <w:rPr>
                <w:rFonts w:ascii="Arial" w:hAnsi="Arial" w:cs="Arial"/>
                <w:b/>
                <w:bCs/>
                <w:sz w:val="20"/>
                <w:szCs w:val="20"/>
              </w:rPr>
              <w:t>Characteristic</w:t>
            </w:r>
          </w:p>
        </w:tc>
        <w:tc>
          <w:tcPr>
            <w:tcW w:w="0" w:type="auto"/>
            <w:hideMark/>
          </w:tcPr>
          <w:p w14:paraId="02ADB510" w14:textId="77777777" w:rsidR="00D7121B" w:rsidRPr="00D7121B" w:rsidRDefault="00D7121B" w:rsidP="008B0C0F">
            <w:pPr>
              <w:jc w:val="center"/>
              <w:rPr>
                <w:rFonts w:ascii="Arial" w:hAnsi="Arial" w:cs="Arial"/>
                <w:b/>
                <w:bCs/>
                <w:sz w:val="20"/>
                <w:szCs w:val="20"/>
              </w:rPr>
            </w:pPr>
            <w:r w:rsidRPr="00D7121B">
              <w:rPr>
                <w:rFonts w:ascii="Arial" w:hAnsi="Arial" w:cs="Arial"/>
                <w:b/>
                <w:bCs/>
                <w:sz w:val="20"/>
                <w:szCs w:val="20"/>
              </w:rPr>
              <w:t>Number (n)</w:t>
            </w:r>
          </w:p>
        </w:tc>
        <w:tc>
          <w:tcPr>
            <w:tcW w:w="0" w:type="auto"/>
            <w:hideMark/>
          </w:tcPr>
          <w:p w14:paraId="5D07E1C8" w14:textId="77777777" w:rsidR="00D7121B" w:rsidRPr="00D7121B" w:rsidRDefault="00D7121B" w:rsidP="008B0C0F">
            <w:pPr>
              <w:jc w:val="center"/>
              <w:rPr>
                <w:rFonts w:ascii="Arial" w:hAnsi="Arial" w:cs="Arial"/>
                <w:b/>
                <w:bCs/>
                <w:sz w:val="20"/>
                <w:szCs w:val="20"/>
              </w:rPr>
            </w:pPr>
            <w:r w:rsidRPr="00D7121B">
              <w:rPr>
                <w:rFonts w:ascii="Arial" w:hAnsi="Arial" w:cs="Arial"/>
                <w:b/>
                <w:bCs/>
                <w:sz w:val="20"/>
                <w:szCs w:val="20"/>
              </w:rPr>
              <w:t>Percentage (%)</w:t>
            </w:r>
          </w:p>
        </w:tc>
      </w:tr>
      <w:tr w:rsidR="00D7121B" w:rsidRPr="00D7121B" w14:paraId="0A62CF47" w14:textId="77777777" w:rsidTr="008B0C0F">
        <w:trPr>
          <w:jc w:val="center"/>
        </w:trPr>
        <w:tc>
          <w:tcPr>
            <w:tcW w:w="3030" w:type="dxa"/>
            <w:vMerge w:val="restart"/>
            <w:hideMark/>
          </w:tcPr>
          <w:p w14:paraId="0FDF070C"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Age</w:t>
            </w:r>
          </w:p>
        </w:tc>
        <w:tc>
          <w:tcPr>
            <w:tcW w:w="0" w:type="auto"/>
            <w:hideMark/>
          </w:tcPr>
          <w:p w14:paraId="7A1E1B9E" w14:textId="77777777" w:rsidR="00D7121B" w:rsidRPr="00D7121B" w:rsidRDefault="00D7121B" w:rsidP="008B0C0F">
            <w:pPr>
              <w:rPr>
                <w:rFonts w:ascii="Arial" w:hAnsi="Arial" w:cs="Arial"/>
                <w:sz w:val="20"/>
                <w:szCs w:val="20"/>
              </w:rPr>
            </w:pPr>
            <w:r w:rsidRPr="00D7121B">
              <w:rPr>
                <w:rFonts w:ascii="Arial" w:hAnsi="Arial" w:cs="Arial"/>
                <w:sz w:val="20"/>
                <w:szCs w:val="20"/>
              </w:rPr>
              <w:t>&lt;30</w:t>
            </w:r>
          </w:p>
        </w:tc>
        <w:tc>
          <w:tcPr>
            <w:tcW w:w="0" w:type="auto"/>
            <w:vAlign w:val="center"/>
            <w:hideMark/>
          </w:tcPr>
          <w:p w14:paraId="70166871"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34</w:t>
            </w:r>
          </w:p>
        </w:tc>
        <w:tc>
          <w:tcPr>
            <w:tcW w:w="0" w:type="auto"/>
            <w:vAlign w:val="center"/>
            <w:hideMark/>
          </w:tcPr>
          <w:p w14:paraId="26B1B468"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11.6</w:t>
            </w:r>
          </w:p>
        </w:tc>
      </w:tr>
      <w:tr w:rsidR="00D7121B" w:rsidRPr="00D7121B" w14:paraId="5C297AA1" w14:textId="77777777" w:rsidTr="008B0C0F">
        <w:trPr>
          <w:jc w:val="center"/>
        </w:trPr>
        <w:tc>
          <w:tcPr>
            <w:tcW w:w="3030" w:type="dxa"/>
            <w:vMerge/>
            <w:hideMark/>
          </w:tcPr>
          <w:p w14:paraId="0BB693F0" w14:textId="77777777" w:rsidR="00D7121B" w:rsidRPr="00D7121B" w:rsidRDefault="00D7121B" w:rsidP="008B0C0F">
            <w:pPr>
              <w:rPr>
                <w:rFonts w:ascii="Arial" w:hAnsi="Arial" w:cs="Arial"/>
                <w:sz w:val="20"/>
                <w:szCs w:val="20"/>
              </w:rPr>
            </w:pPr>
          </w:p>
        </w:tc>
        <w:tc>
          <w:tcPr>
            <w:tcW w:w="0" w:type="auto"/>
            <w:hideMark/>
          </w:tcPr>
          <w:p w14:paraId="76561A0D" w14:textId="77777777" w:rsidR="00D7121B" w:rsidRPr="00D7121B" w:rsidRDefault="00D7121B" w:rsidP="008B0C0F">
            <w:pPr>
              <w:rPr>
                <w:rFonts w:ascii="Arial" w:hAnsi="Arial" w:cs="Arial"/>
                <w:sz w:val="20"/>
                <w:szCs w:val="20"/>
              </w:rPr>
            </w:pPr>
            <w:r w:rsidRPr="00D7121B">
              <w:rPr>
                <w:rFonts w:ascii="Arial" w:hAnsi="Arial" w:cs="Arial"/>
                <w:sz w:val="20"/>
                <w:szCs w:val="20"/>
              </w:rPr>
              <w:t>30</w:t>
            </w:r>
            <w:r w:rsidRPr="00D7121B">
              <w:rPr>
                <w:rFonts w:ascii="Arial" w:hAnsi="Arial" w:cs="Arial"/>
                <w:sz w:val="20"/>
                <w:szCs w:val="20"/>
                <w:lang w:val="vi-VN"/>
              </w:rPr>
              <w:t>-</w:t>
            </w:r>
            <w:r w:rsidRPr="00D7121B">
              <w:rPr>
                <w:rFonts w:ascii="Arial" w:hAnsi="Arial" w:cs="Arial"/>
                <w:sz w:val="20"/>
                <w:szCs w:val="20"/>
              </w:rPr>
              <w:t>39</w:t>
            </w:r>
          </w:p>
        </w:tc>
        <w:tc>
          <w:tcPr>
            <w:tcW w:w="0" w:type="auto"/>
            <w:vAlign w:val="center"/>
            <w:hideMark/>
          </w:tcPr>
          <w:p w14:paraId="603269F2"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140</w:t>
            </w:r>
          </w:p>
        </w:tc>
        <w:tc>
          <w:tcPr>
            <w:tcW w:w="0" w:type="auto"/>
            <w:vAlign w:val="center"/>
            <w:hideMark/>
          </w:tcPr>
          <w:p w14:paraId="0917411C"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47.9</w:t>
            </w:r>
          </w:p>
        </w:tc>
      </w:tr>
      <w:tr w:rsidR="00D7121B" w:rsidRPr="00D7121B" w14:paraId="5BD4B991" w14:textId="77777777" w:rsidTr="008B0C0F">
        <w:trPr>
          <w:jc w:val="center"/>
        </w:trPr>
        <w:tc>
          <w:tcPr>
            <w:tcW w:w="3030" w:type="dxa"/>
            <w:vMerge/>
            <w:hideMark/>
          </w:tcPr>
          <w:p w14:paraId="3E5259D1" w14:textId="77777777" w:rsidR="00D7121B" w:rsidRPr="00D7121B" w:rsidRDefault="00D7121B" w:rsidP="008B0C0F">
            <w:pPr>
              <w:rPr>
                <w:rFonts w:ascii="Arial" w:hAnsi="Arial" w:cs="Arial"/>
                <w:sz w:val="20"/>
                <w:szCs w:val="20"/>
              </w:rPr>
            </w:pPr>
          </w:p>
        </w:tc>
        <w:tc>
          <w:tcPr>
            <w:tcW w:w="0" w:type="auto"/>
            <w:hideMark/>
          </w:tcPr>
          <w:p w14:paraId="784C6CE8" w14:textId="77777777" w:rsidR="00D7121B" w:rsidRPr="00D7121B" w:rsidRDefault="00D7121B" w:rsidP="008B0C0F">
            <w:pPr>
              <w:rPr>
                <w:rFonts w:ascii="Arial" w:hAnsi="Arial" w:cs="Arial"/>
                <w:sz w:val="20"/>
                <w:szCs w:val="20"/>
              </w:rPr>
            </w:pPr>
            <w:r w:rsidRPr="00D7121B">
              <w:rPr>
                <w:rFonts w:ascii="Arial" w:hAnsi="Arial" w:cs="Arial"/>
                <w:sz w:val="20"/>
                <w:szCs w:val="20"/>
              </w:rPr>
              <w:t>40</w:t>
            </w:r>
            <w:r w:rsidRPr="00D7121B">
              <w:rPr>
                <w:rFonts w:ascii="Arial" w:hAnsi="Arial" w:cs="Arial"/>
                <w:sz w:val="20"/>
                <w:szCs w:val="20"/>
                <w:lang w:val="vi-VN"/>
              </w:rPr>
              <w:t>-</w:t>
            </w:r>
            <w:r w:rsidRPr="00D7121B">
              <w:rPr>
                <w:rFonts w:ascii="Arial" w:hAnsi="Arial" w:cs="Arial"/>
                <w:sz w:val="20"/>
                <w:szCs w:val="20"/>
              </w:rPr>
              <w:t>49</w:t>
            </w:r>
          </w:p>
        </w:tc>
        <w:tc>
          <w:tcPr>
            <w:tcW w:w="0" w:type="auto"/>
            <w:vAlign w:val="center"/>
            <w:hideMark/>
          </w:tcPr>
          <w:p w14:paraId="26FAF326"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115</w:t>
            </w:r>
          </w:p>
        </w:tc>
        <w:tc>
          <w:tcPr>
            <w:tcW w:w="0" w:type="auto"/>
            <w:vAlign w:val="center"/>
            <w:hideMark/>
          </w:tcPr>
          <w:p w14:paraId="044EBDD1"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39.4</w:t>
            </w:r>
          </w:p>
        </w:tc>
      </w:tr>
      <w:tr w:rsidR="00D7121B" w:rsidRPr="00D7121B" w14:paraId="65DBFF6B" w14:textId="77777777" w:rsidTr="008B0C0F">
        <w:trPr>
          <w:jc w:val="center"/>
        </w:trPr>
        <w:tc>
          <w:tcPr>
            <w:tcW w:w="3030" w:type="dxa"/>
            <w:vMerge/>
            <w:hideMark/>
          </w:tcPr>
          <w:p w14:paraId="0ADFC3D3" w14:textId="77777777" w:rsidR="00D7121B" w:rsidRPr="00D7121B" w:rsidRDefault="00D7121B" w:rsidP="008B0C0F">
            <w:pPr>
              <w:rPr>
                <w:rFonts w:ascii="Arial" w:hAnsi="Arial" w:cs="Arial"/>
                <w:sz w:val="20"/>
                <w:szCs w:val="20"/>
              </w:rPr>
            </w:pPr>
          </w:p>
        </w:tc>
        <w:tc>
          <w:tcPr>
            <w:tcW w:w="0" w:type="auto"/>
            <w:hideMark/>
          </w:tcPr>
          <w:p w14:paraId="45682874" w14:textId="77777777" w:rsidR="00D7121B" w:rsidRPr="00D7121B" w:rsidRDefault="00D7121B" w:rsidP="008B0C0F">
            <w:pPr>
              <w:rPr>
                <w:rFonts w:ascii="Arial" w:hAnsi="Arial" w:cs="Arial"/>
                <w:sz w:val="20"/>
                <w:szCs w:val="20"/>
              </w:rPr>
            </w:pPr>
            <w:r w:rsidRPr="00D7121B">
              <w:rPr>
                <w:rFonts w:ascii="Arial" w:hAnsi="Arial" w:cs="Arial"/>
                <w:sz w:val="20"/>
                <w:szCs w:val="20"/>
              </w:rPr>
              <w:t>≥50</w:t>
            </w:r>
          </w:p>
        </w:tc>
        <w:tc>
          <w:tcPr>
            <w:tcW w:w="0" w:type="auto"/>
            <w:vAlign w:val="center"/>
            <w:hideMark/>
          </w:tcPr>
          <w:p w14:paraId="47E4C9D3"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3</w:t>
            </w:r>
          </w:p>
        </w:tc>
        <w:tc>
          <w:tcPr>
            <w:tcW w:w="0" w:type="auto"/>
            <w:vAlign w:val="center"/>
            <w:hideMark/>
          </w:tcPr>
          <w:p w14:paraId="2F1F7BC5"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1.0</w:t>
            </w:r>
          </w:p>
        </w:tc>
      </w:tr>
      <w:tr w:rsidR="00D7121B" w:rsidRPr="00D7121B" w14:paraId="67756612" w14:textId="77777777" w:rsidTr="008B0C0F">
        <w:trPr>
          <w:jc w:val="center"/>
        </w:trPr>
        <w:tc>
          <w:tcPr>
            <w:tcW w:w="3030" w:type="dxa"/>
            <w:vMerge w:val="restart"/>
            <w:hideMark/>
          </w:tcPr>
          <w:p w14:paraId="43E29751"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Obstetric history</w:t>
            </w:r>
          </w:p>
        </w:tc>
        <w:tc>
          <w:tcPr>
            <w:tcW w:w="0" w:type="auto"/>
            <w:hideMark/>
          </w:tcPr>
          <w:p w14:paraId="66D3EA65" w14:textId="77777777" w:rsidR="00D7121B" w:rsidRPr="00D7121B" w:rsidRDefault="00D7121B" w:rsidP="008B0C0F">
            <w:pPr>
              <w:rPr>
                <w:rFonts w:ascii="Arial" w:hAnsi="Arial" w:cs="Arial"/>
                <w:sz w:val="20"/>
                <w:szCs w:val="20"/>
              </w:rPr>
            </w:pPr>
            <w:r w:rsidRPr="00D7121B">
              <w:rPr>
                <w:rFonts w:ascii="Arial" w:hAnsi="Arial" w:cs="Arial"/>
                <w:sz w:val="20"/>
                <w:szCs w:val="20"/>
              </w:rPr>
              <w:t>Nulliparous</w:t>
            </w:r>
          </w:p>
        </w:tc>
        <w:tc>
          <w:tcPr>
            <w:tcW w:w="0" w:type="auto"/>
            <w:vAlign w:val="center"/>
            <w:hideMark/>
          </w:tcPr>
          <w:p w14:paraId="6AD41B13"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65</w:t>
            </w:r>
          </w:p>
        </w:tc>
        <w:tc>
          <w:tcPr>
            <w:tcW w:w="0" w:type="auto"/>
            <w:vAlign w:val="center"/>
            <w:hideMark/>
          </w:tcPr>
          <w:p w14:paraId="661FA7CE"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22.3</w:t>
            </w:r>
          </w:p>
        </w:tc>
      </w:tr>
      <w:tr w:rsidR="00D7121B" w:rsidRPr="00D7121B" w14:paraId="139AA52D" w14:textId="77777777" w:rsidTr="008B0C0F">
        <w:trPr>
          <w:jc w:val="center"/>
        </w:trPr>
        <w:tc>
          <w:tcPr>
            <w:tcW w:w="3030" w:type="dxa"/>
            <w:vMerge/>
            <w:hideMark/>
          </w:tcPr>
          <w:p w14:paraId="1DD9B162" w14:textId="77777777" w:rsidR="00D7121B" w:rsidRPr="00D7121B" w:rsidRDefault="00D7121B" w:rsidP="008B0C0F">
            <w:pPr>
              <w:rPr>
                <w:rFonts w:ascii="Arial" w:hAnsi="Arial" w:cs="Arial"/>
                <w:sz w:val="20"/>
                <w:szCs w:val="20"/>
              </w:rPr>
            </w:pPr>
          </w:p>
        </w:tc>
        <w:tc>
          <w:tcPr>
            <w:tcW w:w="0" w:type="auto"/>
            <w:hideMark/>
          </w:tcPr>
          <w:p w14:paraId="4376C535" w14:textId="77777777" w:rsidR="00D7121B" w:rsidRPr="00D7121B" w:rsidRDefault="00D7121B" w:rsidP="008B0C0F">
            <w:pPr>
              <w:rPr>
                <w:rFonts w:ascii="Arial" w:hAnsi="Arial" w:cs="Arial"/>
                <w:sz w:val="20"/>
                <w:szCs w:val="20"/>
              </w:rPr>
            </w:pPr>
            <w:r w:rsidRPr="00D7121B">
              <w:rPr>
                <w:rFonts w:ascii="Arial" w:hAnsi="Arial" w:cs="Arial"/>
                <w:sz w:val="20"/>
                <w:szCs w:val="20"/>
              </w:rPr>
              <w:t>1 child</w:t>
            </w:r>
          </w:p>
        </w:tc>
        <w:tc>
          <w:tcPr>
            <w:tcW w:w="0" w:type="auto"/>
            <w:vAlign w:val="center"/>
            <w:hideMark/>
          </w:tcPr>
          <w:p w14:paraId="3E785C78"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58</w:t>
            </w:r>
          </w:p>
        </w:tc>
        <w:tc>
          <w:tcPr>
            <w:tcW w:w="0" w:type="auto"/>
            <w:vAlign w:val="center"/>
            <w:hideMark/>
          </w:tcPr>
          <w:p w14:paraId="2A8035BF"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19.9</w:t>
            </w:r>
          </w:p>
        </w:tc>
      </w:tr>
      <w:tr w:rsidR="00D7121B" w:rsidRPr="00D7121B" w14:paraId="798C63DC" w14:textId="77777777" w:rsidTr="008B0C0F">
        <w:trPr>
          <w:jc w:val="center"/>
        </w:trPr>
        <w:tc>
          <w:tcPr>
            <w:tcW w:w="3030" w:type="dxa"/>
            <w:vMerge/>
            <w:hideMark/>
          </w:tcPr>
          <w:p w14:paraId="2EBF5916" w14:textId="77777777" w:rsidR="00D7121B" w:rsidRPr="00D7121B" w:rsidRDefault="00D7121B" w:rsidP="008B0C0F">
            <w:pPr>
              <w:rPr>
                <w:rFonts w:ascii="Arial" w:hAnsi="Arial" w:cs="Arial"/>
                <w:sz w:val="20"/>
                <w:szCs w:val="20"/>
              </w:rPr>
            </w:pPr>
          </w:p>
        </w:tc>
        <w:tc>
          <w:tcPr>
            <w:tcW w:w="0" w:type="auto"/>
            <w:hideMark/>
          </w:tcPr>
          <w:p w14:paraId="7DC95B22" w14:textId="77777777" w:rsidR="00D7121B" w:rsidRPr="00D7121B" w:rsidRDefault="00D7121B" w:rsidP="008B0C0F">
            <w:pPr>
              <w:rPr>
                <w:rFonts w:ascii="Arial" w:hAnsi="Arial" w:cs="Arial"/>
                <w:sz w:val="20"/>
                <w:szCs w:val="20"/>
              </w:rPr>
            </w:pPr>
            <w:r w:rsidRPr="00D7121B">
              <w:rPr>
                <w:rFonts w:ascii="Arial" w:hAnsi="Arial" w:cs="Arial"/>
                <w:sz w:val="20"/>
                <w:szCs w:val="20"/>
              </w:rPr>
              <w:t>2 children</w:t>
            </w:r>
          </w:p>
        </w:tc>
        <w:tc>
          <w:tcPr>
            <w:tcW w:w="0" w:type="auto"/>
            <w:vAlign w:val="center"/>
            <w:hideMark/>
          </w:tcPr>
          <w:p w14:paraId="30BA25C2"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137</w:t>
            </w:r>
          </w:p>
        </w:tc>
        <w:tc>
          <w:tcPr>
            <w:tcW w:w="0" w:type="auto"/>
            <w:vAlign w:val="center"/>
            <w:hideMark/>
          </w:tcPr>
          <w:p w14:paraId="7047476F"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46.9</w:t>
            </w:r>
          </w:p>
        </w:tc>
      </w:tr>
      <w:tr w:rsidR="00D7121B" w:rsidRPr="00D7121B" w14:paraId="45531842" w14:textId="77777777" w:rsidTr="008B0C0F">
        <w:trPr>
          <w:jc w:val="center"/>
        </w:trPr>
        <w:tc>
          <w:tcPr>
            <w:tcW w:w="3030" w:type="dxa"/>
            <w:vMerge/>
            <w:hideMark/>
          </w:tcPr>
          <w:p w14:paraId="19DFD667" w14:textId="77777777" w:rsidR="00D7121B" w:rsidRPr="00D7121B" w:rsidRDefault="00D7121B" w:rsidP="008B0C0F">
            <w:pPr>
              <w:rPr>
                <w:rFonts w:ascii="Arial" w:hAnsi="Arial" w:cs="Arial"/>
                <w:sz w:val="20"/>
                <w:szCs w:val="20"/>
              </w:rPr>
            </w:pPr>
          </w:p>
        </w:tc>
        <w:tc>
          <w:tcPr>
            <w:tcW w:w="0" w:type="auto"/>
            <w:hideMark/>
          </w:tcPr>
          <w:p w14:paraId="3B30DB0D" w14:textId="77777777" w:rsidR="00D7121B" w:rsidRPr="00D7121B" w:rsidRDefault="00D7121B" w:rsidP="008B0C0F">
            <w:pPr>
              <w:rPr>
                <w:rFonts w:ascii="Arial" w:hAnsi="Arial" w:cs="Arial"/>
                <w:sz w:val="20"/>
                <w:szCs w:val="20"/>
              </w:rPr>
            </w:pPr>
            <w:r w:rsidRPr="00D7121B">
              <w:rPr>
                <w:rFonts w:ascii="Arial" w:hAnsi="Arial" w:cs="Arial"/>
                <w:sz w:val="20"/>
                <w:szCs w:val="20"/>
              </w:rPr>
              <w:t>≥3 children</w:t>
            </w:r>
          </w:p>
        </w:tc>
        <w:tc>
          <w:tcPr>
            <w:tcW w:w="0" w:type="auto"/>
            <w:vAlign w:val="center"/>
            <w:hideMark/>
          </w:tcPr>
          <w:p w14:paraId="5C504CF3"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32</w:t>
            </w:r>
          </w:p>
        </w:tc>
        <w:tc>
          <w:tcPr>
            <w:tcW w:w="0" w:type="auto"/>
            <w:vAlign w:val="center"/>
            <w:hideMark/>
          </w:tcPr>
          <w:p w14:paraId="0FA4EE35"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10.9</w:t>
            </w:r>
          </w:p>
        </w:tc>
      </w:tr>
      <w:tr w:rsidR="00D7121B" w:rsidRPr="00D7121B" w14:paraId="63D87699" w14:textId="77777777" w:rsidTr="008B0C0F">
        <w:trPr>
          <w:jc w:val="center"/>
        </w:trPr>
        <w:tc>
          <w:tcPr>
            <w:tcW w:w="3030" w:type="dxa"/>
            <w:vMerge w:val="restart"/>
            <w:hideMark/>
          </w:tcPr>
          <w:p w14:paraId="1FD66DE0"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Menstrual history</w:t>
            </w:r>
          </w:p>
        </w:tc>
        <w:tc>
          <w:tcPr>
            <w:tcW w:w="0" w:type="auto"/>
            <w:hideMark/>
          </w:tcPr>
          <w:p w14:paraId="0041F24F" w14:textId="77777777" w:rsidR="00D7121B" w:rsidRPr="00D7121B" w:rsidRDefault="00D7121B" w:rsidP="008B0C0F">
            <w:pPr>
              <w:rPr>
                <w:rFonts w:ascii="Arial" w:hAnsi="Arial" w:cs="Arial"/>
                <w:sz w:val="20"/>
                <w:szCs w:val="20"/>
              </w:rPr>
            </w:pPr>
            <w:r w:rsidRPr="00D7121B">
              <w:rPr>
                <w:rFonts w:ascii="Arial" w:hAnsi="Arial" w:cs="Arial"/>
                <w:sz w:val="20"/>
                <w:szCs w:val="20"/>
              </w:rPr>
              <w:t>Normal</w:t>
            </w:r>
          </w:p>
        </w:tc>
        <w:tc>
          <w:tcPr>
            <w:tcW w:w="0" w:type="auto"/>
            <w:vAlign w:val="center"/>
            <w:hideMark/>
          </w:tcPr>
          <w:p w14:paraId="7CF9828F"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140</w:t>
            </w:r>
          </w:p>
        </w:tc>
        <w:tc>
          <w:tcPr>
            <w:tcW w:w="0" w:type="auto"/>
            <w:vAlign w:val="center"/>
            <w:hideMark/>
          </w:tcPr>
          <w:p w14:paraId="0B129B32"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47.9</w:t>
            </w:r>
          </w:p>
        </w:tc>
      </w:tr>
      <w:tr w:rsidR="00D7121B" w:rsidRPr="00D7121B" w14:paraId="7CA693A7" w14:textId="77777777" w:rsidTr="008B0C0F">
        <w:trPr>
          <w:jc w:val="center"/>
        </w:trPr>
        <w:tc>
          <w:tcPr>
            <w:tcW w:w="3030" w:type="dxa"/>
            <w:vMerge/>
            <w:hideMark/>
          </w:tcPr>
          <w:p w14:paraId="024AB695" w14:textId="77777777" w:rsidR="00D7121B" w:rsidRPr="00D7121B" w:rsidRDefault="00D7121B" w:rsidP="008B0C0F">
            <w:pPr>
              <w:rPr>
                <w:rFonts w:ascii="Arial" w:hAnsi="Arial" w:cs="Arial"/>
                <w:sz w:val="20"/>
                <w:szCs w:val="20"/>
              </w:rPr>
            </w:pPr>
          </w:p>
        </w:tc>
        <w:tc>
          <w:tcPr>
            <w:tcW w:w="0" w:type="auto"/>
            <w:hideMark/>
          </w:tcPr>
          <w:p w14:paraId="074B344B" w14:textId="77777777" w:rsidR="00D7121B" w:rsidRPr="00D7121B" w:rsidRDefault="00D7121B" w:rsidP="008B0C0F">
            <w:pPr>
              <w:rPr>
                <w:rFonts w:ascii="Arial" w:hAnsi="Arial" w:cs="Arial"/>
                <w:sz w:val="20"/>
                <w:szCs w:val="20"/>
              </w:rPr>
            </w:pPr>
            <w:r w:rsidRPr="00D7121B">
              <w:rPr>
                <w:rFonts w:ascii="Arial" w:hAnsi="Arial" w:cs="Arial"/>
                <w:sz w:val="20"/>
                <w:szCs w:val="20"/>
              </w:rPr>
              <w:t>Menorrhagia</w:t>
            </w:r>
          </w:p>
        </w:tc>
        <w:tc>
          <w:tcPr>
            <w:tcW w:w="0" w:type="auto"/>
            <w:vAlign w:val="center"/>
            <w:hideMark/>
          </w:tcPr>
          <w:p w14:paraId="6B21E3A2"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141</w:t>
            </w:r>
          </w:p>
        </w:tc>
        <w:tc>
          <w:tcPr>
            <w:tcW w:w="0" w:type="auto"/>
            <w:vAlign w:val="center"/>
            <w:hideMark/>
          </w:tcPr>
          <w:p w14:paraId="0E26AC24"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48.3</w:t>
            </w:r>
          </w:p>
        </w:tc>
      </w:tr>
      <w:tr w:rsidR="00D7121B" w:rsidRPr="00D7121B" w14:paraId="3A64A197" w14:textId="77777777" w:rsidTr="008B0C0F">
        <w:trPr>
          <w:jc w:val="center"/>
        </w:trPr>
        <w:tc>
          <w:tcPr>
            <w:tcW w:w="3030" w:type="dxa"/>
            <w:vMerge/>
            <w:hideMark/>
          </w:tcPr>
          <w:p w14:paraId="1D7B5ED0" w14:textId="77777777" w:rsidR="00D7121B" w:rsidRPr="00D7121B" w:rsidRDefault="00D7121B" w:rsidP="008B0C0F">
            <w:pPr>
              <w:rPr>
                <w:rFonts w:ascii="Arial" w:hAnsi="Arial" w:cs="Arial"/>
                <w:sz w:val="20"/>
                <w:szCs w:val="20"/>
              </w:rPr>
            </w:pPr>
          </w:p>
        </w:tc>
        <w:tc>
          <w:tcPr>
            <w:tcW w:w="0" w:type="auto"/>
            <w:hideMark/>
          </w:tcPr>
          <w:p w14:paraId="20F10FAE" w14:textId="77777777" w:rsidR="00D7121B" w:rsidRPr="00D7121B" w:rsidRDefault="00D7121B" w:rsidP="008B0C0F">
            <w:pPr>
              <w:rPr>
                <w:rFonts w:ascii="Arial" w:hAnsi="Arial" w:cs="Arial"/>
                <w:sz w:val="20"/>
                <w:szCs w:val="20"/>
              </w:rPr>
            </w:pPr>
            <w:r w:rsidRPr="00D7121B">
              <w:rPr>
                <w:rFonts w:ascii="Arial" w:hAnsi="Arial" w:cs="Arial"/>
                <w:sz w:val="20"/>
                <w:szCs w:val="20"/>
              </w:rPr>
              <w:t>Metrorrhagia</w:t>
            </w:r>
          </w:p>
        </w:tc>
        <w:tc>
          <w:tcPr>
            <w:tcW w:w="0" w:type="auto"/>
            <w:vAlign w:val="center"/>
            <w:hideMark/>
          </w:tcPr>
          <w:p w14:paraId="5AF34FF0"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10</w:t>
            </w:r>
          </w:p>
        </w:tc>
        <w:tc>
          <w:tcPr>
            <w:tcW w:w="0" w:type="auto"/>
            <w:vAlign w:val="center"/>
            <w:hideMark/>
          </w:tcPr>
          <w:p w14:paraId="434EA033"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3.4</w:t>
            </w:r>
          </w:p>
        </w:tc>
      </w:tr>
      <w:tr w:rsidR="00D7121B" w:rsidRPr="00D7121B" w14:paraId="7BE3B6DF" w14:textId="77777777" w:rsidTr="008B0C0F">
        <w:trPr>
          <w:jc w:val="center"/>
        </w:trPr>
        <w:tc>
          <w:tcPr>
            <w:tcW w:w="3030" w:type="dxa"/>
            <w:vMerge/>
            <w:hideMark/>
          </w:tcPr>
          <w:p w14:paraId="4197E842" w14:textId="77777777" w:rsidR="00D7121B" w:rsidRPr="00D7121B" w:rsidRDefault="00D7121B" w:rsidP="008B0C0F">
            <w:pPr>
              <w:rPr>
                <w:rFonts w:ascii="Arial" w:hAnsi="Arial" w:cs="Arial"/>
                <w:sz w:val="20"/>
                <w:szCs w:val="20"/>
              </w:rPr>
            </w:pPr>
          </w:p>
        </w:tc>
        <w:tc>
          <w:tcPr>
            <w:tcW w:w="0" w:type="auto"/>
            <w:hideMark/>
          </w:tcPr>
          <w:p w14:paraId="7BB613F9" w14:textId="77777777" w:rsidR="00D7121B" w:rsidRPr="00D7121B" w:rsidRDefault="00D7121B" w:rsidP="008B0C0F">
            <w:pPr>
              <w:rPr>
                <w:rFonts w:ascii="Arial" w:hAnsi="Arial" w:cs="Arial"/>
                <w:sz w:val="20"/>
                <w:szCs w:val="20"/>
              </w:rPr>
            </w:pPr>
            <w:r w:rsidRPr="00D7121B">
              <w:rPr>
                <w:rFonts w:ascii="Arial" w:hAnsi="Arial" w:cs="Arial"/>
                <w:sz w:val="20"/>
                <w:szCs w:val="20"/>
              </w:rPr>
              <w:t>Postmenopausal</w:t>
            </w:r>
          </w:p>
        </w:tc>
        <w:tc>
          <w:tcPr>
            <w:tcW w:w="0" w:type="auto"/>
            <w:vAlign w:val="center"/>
            <w:hideMark/>
          </w:tcPr>
          <w:p w14:paraId="13293C28"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w:t>
            </w:r>
          </w:p>
        </w:tc>
        <w:tc>
          <w:tcPr>
            <w:tcW w:w="0" w:type="auto"/>
            <w:vAlign w:val="center"/>
            <w:hideMark/>
          </w:tcPr>
          <w:p w14:paraId="2FF59862"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0.4</w:t>
            </w:r>
          </w:p>
        </w:tc>
      </w:tr>
      <w:tr w:rsidR="00D7121B" w:rsidRPr="00D7121B" w14:paraId="200C7D04" w14:textId="77777777" w:rsidTr="008B0C0F">
        <w:trPr>
          <w:jc w:val="center"/>
        </w:trPr>
        <w:tc>
          <w:tcPr>
            <w:tcW w:w="3030" w:type="dxa"/>
            <w:vMerge w:val="restart"/>
            <w:hideMark/>
          </w:tcPr>
          <w:p w14:paraId="69EB8FF5"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History of abdominal surgery</w:t>
            </w:r>
          </w:p>
        </w:tc>
        <w:tc>
          <w:tcPr>
            <w:tcW w:w="0" w:type="auto"/>
            <w:hideMark/>
          </w:tcPr>
          <w:p w14:paraId="0CFE8917" w14:textId="77777777" w:rsidR="00D7121B" w:rsidRPr="00D7121B" w:rsidRDefault="00D7121B" w:rsidP="008B0C0F">
            <w:pPr>
              <w:rPr>
                <w:rFonts w:ascii="Arial" w:hAnsi="Arial" w:cs="Arial"/>
                <w:sz w:val="20"/>
                <w:szCs w:val="20"/>
              </w:rPr>
            </w:pPr>
            <w:r w:rsidRPr="00D7121B">
              <w:rPr>
                <w:rFonts w:ascii="Arial" w:hAnsi="Arial" w:cs="Arial"/>
                <w:sz w:val="20"/>
                <w:szCs w:val="20"/>
              </w:rPr>
              <w:t>None</w:t>
            </w:r>
          </w:p>
        </w:tc>
        <w:tc>
          <w:tcPr>
            <w:tcW w:w="0" w:type="auto"/>
            <w:vAlign w:val="center"/>
            <w:hideMark/>
          </w:tcPr>
          <w:p w14:paraId="1BDDFE17"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219</w:t>
            </w:r>
          </w:p>
        </w:tc>
        <w:tc>
          <w:tcPr>
            <w:tcW w:w="0" w:type="auto"/>
            <w:vAlign w:val="center"/>
            <w:hideMark/>
          </w:tcPr>
          <w:p w14:paraId="2E697DD1"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75.0</w:t>
            </w:r>
          </w:p>
        </w:tc>
      </w:tr>
      <w:tr w:rsidR="00D7121B" w:rsidRPr="00D7121B" w14:paraId="00D8C51F" w14:textId="77777777" w:rsidTr="008B0C0F">
        <w:trPr>
          <w:jc w:val="center"/>
        </w:trPr>
        <w:tc>
          <w:tcPr>
            <w:tcW w:w="3030" w:type="dxa"/>
            <w:vMerge/>
            <w:hideMark/>
          </w:tcPr>
          <w:p w14:paraId="1A24BDE0" w14:textId="77777777" w:rsidR="00D7121B" w:rsidRPr="00D7121B" w:rsidRDefault="00D7121B" w:rsidP="008B0C0F">
            <w:pPr>
              <w:rPr>
                <w:rFonts w:ascii="Arial" w:hAnsi="Arial" w:cs="Arial"/>
                <w:sz w:val="20"/>
                <w:szCs w:val="20"/>
              </w:rPr>
            </w:pPr>
          </w:p>
        </w:tc>
        <w:tc>
          <w:tcPr>
            <w:tcW w:w="0" w:type="auto"/>
            <w:hideMark/>
          </w:tcPr>
          <w:p w14:paraId="0E94EF6D" w14:textId="77777777" w:rsidR="00D7121B" w:rsidRPr="00D7121B" w:rsidRDefault="00D7121B" w:rsidP="008B0C0F">
            <w:pPr>
              <w:rPr>
                <w:rFonts w:ascii="Arial" w:hAnsi="Arial" w:cs="Arial"/>
                <w:sz w:val="20"/>
                <w:szCs w:val="20"/>
              </w:rPr>
            </w:pPr>
            <w:r w:rsidRPr="00D7121B">
              <w:rPr>
                <w:rFonts w:ascii="Arial" w:hAnsi="Arial" w:cs="Arial"/>
                <w:sz w:val="20"/>
                <w:szCs w:val="20"/>
              </w:rPr>
              <w:t>1 time</w:t>
            </w:r>
          </w:p>
        </w:tc>
        <w:tc>
          <w:tcPr>
            <w:tcW w:w="0" w:type="auto"/>
            <w:vAlign w:val="center"/>
            <w:hideMark/>
          </w:tcPr>
          <w:p w14:paraId="02B1F328"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38</w:t>
            </w:r>
          </w:p>
        </w:tc>
        <w:tc>
          <w:tcPr>
            <w:tcW w:w="0" w:type="auto"/>
            <w:vAlign w:val="center"/>
            <w:hideMark/>
          </w:tcPr>
          <w:p w14:paraId="7FC9EEBD"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13.0</w:t>
            </w:r>
          </w:p>
        </w:tc>
      </w:tr>
      <w:tr w:rsidR="00D7121B" w:rsidRPr="00D7121B" w14:paraId="6AE7E8D0" w14:textId="77777777" w:rsidTr="008B0C0F">
        <w:trPr>
          <w:jc w:val="center"/>
        </w:trPr>
        <w:tc>
          <w:tcPr>
            <w:tcW w:w="3030" w:type="dxa"/>
            <w:vMerge/>
            <w:hideMark/>
          </w:tcPr>
          <w:p w14:paraId="170EF56E" w14:textId="77777777" w:rsidR="00D7121B" w:rsidRPr="00D7121B" w:rsidRDefault="00D7121B" w:rsidP="008B0C0F">
            <w:pPr>
              <w:rPr>
                <w:rFonts w:ascii="Arial" w:hAnsi="Arial" w:cs="Arial"/>
                <w:sz w:val="20"/>
                <w:szCs w:val="20"/>
              </w:rPr>
            </w:pPr>
          </w:p>
        </w:tc>
        <w:tc>
          <w:tcPr>
            <w:tcW w:w="0" w:type="auto"/>
            <w:hideMark/>
          </w:tcPr>
          <w:p w14:paraId="33EA3529" w14:textId="77777777" w:rsidR="00D7121B" w:rsidRPr="00D7121B" w:rsidRDefault="00D7121B" w:rsidP="008B0C0F">
            <w:pPr>
              <w:rPr>
                <w:rFonts w:ascii="Arial" w:hAnsi="Arial" w:cs="Arial"/>
                <w:sz w:val="20"/>
                <w:szCs w:val="20"/>
              </w:rPr>
            </w:pPr>
            <w:r w:rsidRPr="00D7121B">
              <w:rPr>
                <w:rFonts w:ascii="Arial" w:hAnsi="Arial" w:cs="Arial"/>
                <w:sz w:val="20"/>
                <w:szCs w:val="20"/>
              </w:rPr>
              <w:t>≥2 times</w:t>
            </w:r>
          </w:p>
        </w:tc>
        <w:tc>
          <w:tcPr>
            <w:tcW w:w="0" w:type="auto"/>
            <w:vAlign w:val="center"/>
            <w:hideMark/>
          </w:tcPr>
          <w:p w14:paraId="3B062DB7"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35</w:t>
            </w:r>
          </w:p>
        </w:tc>
        <w:tc>
          <w:tcPr>
            <w:tcW w:w="0" w:type="auto"/>
            <w:vAlign w:val="center"/>
            <w:hideMark/>
          </w:tcPr>
          <w:p w14:paraId="77149012"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12.0</w:t>
            </w:r>
          </w:p>
        </w:tc>
      </w:tr>
      <w:tr w:rsidR="00D7121B" w:rsidRPr="00D7121B" w14:paraId="0304C0DA" w14:textId="77777777" w:rsidTr="008B0C0F">
        <w:trPr>
          <w:jc w:val="center"/>
        </w:trPr>
        <w:tc>
          <w:tcPr>
            <w:tcW w:w="3030" w:type="dxa"/>
            <w:vMerge w:val="restart"/>
            <w:hideMark/>
          </w:tcPr>
          <w:p w14:paraId="5DDB7184"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Time of tumor detection</w:t>
            </w:r>
          </w:p>
        </w:tc>
        <w:tc>
          <w:tcPr>
            <w:tcW w:w="0" w:type="auto"/>
            <w:hideMark/>
          </w:tcPr>
          <w:p w14:paraId="469EBBD4" w14:textId="77777777" w:rsidR="00D7121B" w:rsidRPr="00D7121B" w:rsidRDefault="00D7121B" w:rsidP="008B0C0F">
            <w:pPr>
              <w:rPr>
                <w:rFonts w:ascii="Arial" w:hAnsi="Arial" w:cs="Arial"/>
                <w:sz w:val="20"/>
                <w:szCs w:val="20"/>
              </w:rPr>
            </w:pPr>
            <w:r w:rsidRPr="00D7121B">
              <w:rPr>
                <w:rFonts w:ascii="Arial" w:hAnsi="Arial" w:cs="Arial"/>
                <w:sz w:val="20"/>
                <w:szCs w:val="20"/>
              </w:rPr>
              <w:t>&lt;1 month</w:t>
            </w:r>
          </w:p>
        </w:tc>
        <w:tc>
          <w:tcPr>
            <w:tcW w:w="0" w:type="auto"/>
            <w:vAlign w:val="center"/>
            <w:hideMark/>
          </w:tcPr>
          <w:p w14:paraId="52989CEA"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99</w:t>
            </w:r>
          </w:p>
        </w:tc>
        <w:tc>
          <w:tcPr>
            <w:tcW w:w="0" w:type="auto"/>
            <w:vAlign w:val="center"/>
            <w:hideMark/>
          </w:tcPr>
          <w:p w14:paraId="43C8A23C"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33.9</w:t>
            </w:r>
          </w:p>
        </w:tc>
      </w:tr>
      <w:tr w:rsidR="00D7121B" w:rsidRPr="00D7121B" w14:paraId="627A2759" w14:textId="77777777" w:rsidTr="008B0C0F">
        <w:trPr>
          <w:jc w:val="center"/>
        </w:trPr>
        <w:tc>
          <w:tcPr>
            <w:tcW w:w="3030" w:type="dxa"/>
            <w:vMerge/>
            <w:hideMark/>
          </w:tcPr>
          <w:p w14:paraId="686711A2" w14:textId="77777777" w:rsidR="00D7121B" w:rsidRPr="00D7121B" w:rsidRDefault="00D7121B" w:rsidP="008B0C0F">
            <w:pPr>
              <w:rPr>
                <w:rFonts w:ascii="Arial" w:hAnsi="Arial" w:cs="Arial"/>
                <w:sz w:val="20"/>
                <w:szCs w:val="20"/>
              </w:rPr>
            </w:pPr>
          </w:p>
        </w:tc>
        <w:tc>
          <w:tcPr>
            <w:tcW w:w="0" w:type="auto"/>
            <w:hideMark/>
          </w:tcPr>
          <w:p w14:paraId="551C54A9" w14:textId="77777777" w:rsidR="00D7121B" w:rsidRPr="00D7121B" w:rsidRDefault="00D7121B" w:rsidP="008B0C0F">
            <w:pPr>
              <w:rPr>
                <w:rFonts w:ascii="Arial" w:hAnsi="Arial" w:cs="Arial"/>
                <w:sz w:val="20"/>
                <w:szCs w:val="20"/>
              </w:rPr>
            </w:pPr>
            <w:r w:rsidRPr="00D7121B">
              <w:rPr>
                <w:rFonts w:ascii="Arial" w:hAnsi="Arial" w:cs="Arial"/>
                <w:sz w:val="20"/>
                <w:szCs w:val="20"/>
              </w:rPr>
              <w:t>1</w:t>
            </w:r>
            <w:r w:rsidRPr="00D7121B">
              <w:rPr>
                <w:rFonts w:ascii="Arial" w:hAnsi="Arial" w:cs="Arial"/>
                <w:sz w:val="20"/>
                <w:szCs w:val="20"/>
                <w:lang w:val="vi-VN"/>
              </w:rPr>
              <w:t>-</w:t>
            </w:r>
            <w:r w:rsidRPr="00D7121B">
              <w:rPr>
                <w:rFonts w:ascii="Arial" w:hAnsi="Arial" w:cs="Arial"/>
                <w:sz w:val="20"/>
                <w:szCs w:val="20"/>
              </w:rPr>
              <w:t>12 months</w:t>
            </w:r>
          </w:p>
        </w:tc>
        <w:tc>
          <w:tcPr>
            <w:tcW w:w="0" w:type="auto"/>
            <w:vAlign w:val="center"/>
            <w:hideMark/>
          </w:tcPr>
          <w:p w14:paraId="3AE8BBF3"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79</w:t>
            </w:r>
          </w:p>
        </w:tc>
        <w:tc>
          <w:tcPr>
            <w:tcW w:w="0" w:type="auto"/>
            <w:vAlign w:val="center"/>
            <w:hideMark/>
          </w:tcPr>
          <w:p w14:paraId="0D7F29FB"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27.1</w:t>
            </w:r>
          </w:p>
        </w:tc>
      </w:tr>
      <w:tr w:rsidR="00D7121B" w:rsidRPr="00D7121B" w14:paraId="28EC4BB5" w14:textId="77777777" w:rsidTr="008B0C0F">
        <w:trPr>
          <w:jc w:val="center"/>
        </w:trPr>
        <w:tc>
          <w:tcPr>
            <w:tcW w:w="3030" w:type="dxa"/>
            <w:vMerge/>
            <w:hideMark/>
          </w:tcPr>
          <w:p w14:paraId="03445EC6" w14:textId="77777777" w:rsidR="00D7121B" w:rsidRPr="00D7121B" w:rsidRDefault="00D7121B" w:rsidP="008B0C0F">
            <w:pPr>
              <w:rPr>
                <w:rFonts w:ascii="Arial" w:hAnsi="Arial" w:cs="Arial"/>
                <w:sz w:val="20"/>
                <w:szCs w:val="20"/>
              </w:rPr>
            </w:pPr>
          </w:p>
        </w:tc>
        <w:tc>
          <w:tcPr>
            <w:tcW w:w="0" w:type="auto"/>
            <w:hideMark/>
          </w:tcPr>
          <w:p w14:paraId="70F47272" w14:textId="77777777" w:rsidR="00D7121B" w:rsidRPr="00D7121B" w:rsidRDefault="00D7121B" w:rsidP="008B0C0F">
            <w:pPr>
              <w:rPr>
                <w:rFonts w:ascii="Arial" w:hAnsi="Arial" w:cs="Arial"/>
                <w:sz w:val="20"/>
                <w:szCs w:val="20"/>
              </w:rPr>
            </w:pPr>
            <w:r w:rsidRPr="00D7121B">
              <w:rPr>
                <w:rFonts w:ascii="Arial" w:hAnsi="Arial" w:cs="Arial"/>
                <w:sz w:val="20"/>
                <w:szCs w:val="20"/>
              </w:rPr>
              <w:t>&gt;12 months</w:t>
            </w:r>
          </w:p>
        </w:tc>
        <w:tc>
          <w:tcPr>
            <w:tcW w:w="0" w:type="auto"/>
            <w:vAlign w:val="center"/>
            <w:hideMark/>
          </w:tcPr>
          <w:p w14:paraId="6CD7792C"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114</w:t>
            </w:r>
          </w:p>
        </w:tc>
        <w:tc>
          <w:tcPr>
            <w:tcW w:w="0" w:type="auto"/>
            <w:vAlign w:val="center"/>
            <w:hideMark/>
          </w:tcPr>
          <w:p w14:paraId="21508433"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39.0</w:t>
            </w:r>
          </w:p>
        </w:tc>
      </w:tr>
      <w:tr w:rsidR="00D7121B" w:rsidRPr="00D7121B" w14:paraId="1004024F" w14:textId="77777777" w:rsidTr="008B0C0F">
        <w:trPr>
          <w:jc w:val="center"/>
        </w:trPr>
        <w:tc>
          <w:tcPr>
            <w:tcW w:w="3030" w:type="dxa"/>
            <w:vMerge w:val="restart"/>
            <w:hideMark/>
          </w:tcPr>
          <w:p w14:paraId="0C21148E"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Anemia</w:t>
            </w:r>
          </w:p>
        </w:tc>
        <w:tc>
          <w:tcPr>
            <w:tcW w:w="0" w:type="auto"/>
            <w:hideMark/>
          </w:tcPr>
          <w:p w14:paraId="6C1E4F18" w14:textId="77777777" w:rsidR="00D7121B" w:rsidRPr="00D7121B" w:rsidRDefault="00D7121B" w:rsidP="008B0C0F">
            <w:pPr>
              <w:rPr>
                <w:rFonts w:ascii="Arial" w:hAnsi="Arial" w:cs="Arial"/>
                <w:sz w:val="20"/>
                <w:szCs w:val="20"/>
              </w:rPr>
            </w:pPr>
            <w:r w:rsidRPr="00D7121B">
              <w:rPr>
                <w:rFonts w:ascii="Arial" w:hAnsi="Arial" w:cs="Arial"/>
                <w:sz w:val="20"/>
                <w:szCs w:val="20"/>
              </w:rPr>
              <w:t>No anemia</w:t>
            </w:r>
          </w:p>
        </w:tc>
        <w:tc>
          <w:tcPr>
            <w:tcW w:w="0" w:type="auto"/>
            <w:vAlign w:val="center"/>
            <w:hideMark/>
          </w:tcPr>
          <w:p w14:paraId="61CD3ECF"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130</w:t>
            </w:r>
          </w:p>
        </w:tc>
        <w:tc>
          <w:tcPr>
            <w:tcW w:w="0" w:type="auto"/>
            <w:vAlign w:val="center"/>
            <w:hideMark/>
          </w:tcPr>
          <w:p w14:paraId="19EF650A"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44.5</w:t>
            </w:r>
          </w:p>
        </w:tc>
      </w:tr>
      <w:tr w:rsidR="00D7121B" w:rsidRPr="00D7121B" w14:paraId="2C7E0639" w14:textId="77777777" w:rsidTr="008B0C0F">
        <w:trPr>
          <w:jc w:val="center"/>
        </w:trPr>
        <w:tc>
          <w:tcPr>
            <w:tcW w:w="3030" w:type="dxa"/>
            <w:vMerge/>
            <w:hideMark/>
          </w:tcPr>
          <w:p w14:paraId="04D943BB" w14:textId="77777777" w:rsidR="00D7121B" w:rsidRPr="00D7121B" w:rsidRDefault="00D7121B" w:rsidP="008B0C0F">
            <w:pPr>
              <w:rPr>
                <w:rFonts w:ascii="Arial" w:hAnsi="Arial" w:cs="Arial"/>
                <w:sz w:val="20"/>
                <w:szCs w:val="20"/>
              </w:rPr>
            </w:pPr>
          </w:p>
        </w:tc>
        <w:tc>
          <w:tcPr>
            <w:tcW w:w="0" w:type="auto"/>
            <w:hideMark/>
          </w:tcPr>
          <w:p w14:paraId="1E0804CC" w14:textId="77777777" w:rsidR="00D7121B" w:rsidRPr="00D7121B" w:rsidRDefault="00D7121B" w:rsidP="008B0C0F">
            <w:pPr>
              <w:rPr>
                <w:rFonts w:ascii="Arial" w:hAnsi="Arial" w:cs="Arial"/>
                <w:sz w:val="20"/>
                <w:szCs w:val="20"/>
              </w:rPr>
            </w:pPr>
            <w:r w:rsidRPr="00D7121B">
              <w:rPr>
                <w:rFonts w:ascii="Arial" w:hAnsi="Arial" w:cs="Arial"/>
                <w:sz w:val="20"/>
                <w:szCs w:val="20"/>
              </w:rPr>
              <w:t>Mild</w:t>
            </w:r>
          </w:p>
        </w:tc>
        <w:tc>
          <w:tcPr>
            <w:tcW w:w="0" w:type="auto"/>
            <w:vAlign w:val="center"/>
            <w:hideMark/>
          </w:tcPr>
          <w:p w14:paraId="34ACD1DD"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79</w:t>
            </w:r>
          </w:p>
        </w:tc>
        <w:tc>
          <w:tcPr>
            <w:tcW w:w="0" w:type="auto"/>
            <w:vAlign w:val="center"/>
            <w:hideMark/>
          </w:tcPr>
          <w:p w14:paraId="64FBD743"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27.1</w:t>
            </w:r>
          </w:p>
        </w:tc>
      </w:tr>
      <w:tr w:rsidR="00D7121B" w:rsidRPr="00D7121B" w14:paraId="387DF5B0" w14:textId="77777777" w:rsidTr="008B0C0F">
        <w:trPr>
          <w:jc w:val="center"/>
        </w:trPr>
        <w:tc>
          <w:tcPr>
            <w:tcW w:w="3030" w:type="dxa"/>
            <w:vMerge/>
            <w:hideMark/>
          </w:tcPr>
          <w:p w14:paraId="79C18D39" w14:textId="77777777" w:rsidR="00D7121B" w:rsidRPr="00D7121B" w:rsidRDefault="00D7121B" w:rsidP="008B0C0F">
            <w:pPr>
              <w:rPr>
                <w:rFonts w:ascii="Arial" w:hAnsi="Arial" w:cs="Arial"/>
                <w:sz w:val="20"/>
                <w:szCs w:val="20"/>
              </w:rPr>
            </w:pPr>
          </w:p>
        </w:tc>
        <w:tc>
          <w:tcPr>
            <w:tcW w:w="0" w:type="auto"/>
            <w:hideMark/>
          </w:tcPr>
          <w:p w14:paraId="1153BFB7" w14:textId="77777777" w:rsidR="00D7121B" w:rsidRPr="00D7121B" w:rsidRDefault="00D7121B" w:rsidP="008B0C0F">
            <w:pPr>
              <w:rPr>
                <w:rFonts w:ascii="Arial" w:hAnsi="Arial" w:cs="Arial"/>
                <w:sz w:val="20"/>
                <w:szCs w:val="20"/>
              </w:rPr>
            </w:pPr>
            <w:r w:rsidRPr="00D7121B">
              <w:rPr>
                <w:rFonts w:ascii="Arial" w:hAnsi="Arial" w:cs="Arial"/>
                <w:sz w:val="20"/>
                <w:szCs w:val="20"/>
              </w:rPr>
              <w:t>Moderate</w:t>
            </w:r>
          </w:p>
        </w:tc>
        <w:tc>
          <w:tcPr>
            <w:tcW w:w="0" w:type="auto"/>
            <w:vAlign w:val="center"/>
            <w:hideMark/>
          </w:tcPr>
          <w:p w14:paraId="54EE9AA2"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50</w:t>
            </w:r>
          </w:p>
        </w:tc>
        <w:tc>
          <w:tcPr>
            <w:tcW w:w="0" w:type="auto"/>
            <w:vAlign w:val="center"/>
            <w:hideMark/>
          </w:tcPr>
          <w:p w14:paraId="60AF19CF"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17.1</w:t>
            </w:r>
          </w:p>
        </w:tc>
      </w:tr>
      <w:tr w:rsidR="00D7121B" w:rsidRPr="00D7121B" w14:paraId="4AC3FA34" w14:textId="77777777" w:rsidTr="008B0C0F">
        <w:trPr>
          <w:jc w:val="center"/>
        </w:trPr>
        <w:tc>
          <w:tcPr>
            <w:tcW w:w="3030" w:type="dxa"/>
            <w:vMerge/>
            <w:hideMark/>
          </w:tcPr>
          <w:p w14:paraId="53473275" w14:textId="77777777" w:rsidR="00D7121B" w:rsidRPr="00D7121B" w:rsidRDefault="00D7121B" w:rsidP="008B0C0F">
            <w:pPr>
              <w:rPr>
                <w:rFonts w:ascii="Arial" w:hAnsi="Arial" w:cs="Arial"/>
                <w:sz w:val="20"/>
                <w:szCs w:val="20"/>
              </w:rPr>
            </w:pPr>
          </w:p>
        </w:tc>
        <w:tc>
          <w:tcPr>
            <w:tcW w:w="0" w:type="auto"/>
            <w:hideMark/>
          </w:tcPr>
          <w:p w14:paraId="6D67A451" w14:textId="77777777" w:rsidR="00D7121B" w:rsidRPr="00D7121B" w:rsidRDefault="00D7121B" w:rsidP="008B0C0F">
            <w:pPr>
              <w:rPr>
                <w:rFonts w:ascii="Arial" w:hAnsi="Arial" w:cs="Arial"/>
                <w:sz w:val="20"/>
                <w:szCs w:val="20"/>
              </w:rPr>
            </w:pPr>
            <w:r w:rsidRPr="00D7121B">
              <w:rPr>
                <w:rFonts w:ascii="Arial" w:hAnsi="Arial" w:cs="Arial"/>
                <w:sz w:val="20"/>
                <w:szCs w:val="20"/>
              </w:rPr>
              <w:t>Severe</w:t>
            </w:r>
          </w:p>
        </w:tc>
        <w:tc>
          <w:tcPr>
            <w:tcW w:w="0" w:type="auto"/>
            <w:vAlign w:val="center"/>
            <w:hideMark/>
          </w:tcPr>
          <w:p w14:paraId="3C17B442"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23</w:t>
            </w:r>
          </w:p>
        </w:tc>
        <w:tc>
          <w:tcPr>
            <w:tcW w:w="0" w:type="auto"/>
            <w:vAlign w:val="center"/>
            <w:hideMark/>
          </w:tcPr>
          <w:p w14:paraId="746B12FA"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7.9</w:t>
            </w:r>
          </w:p>
        </w:tc>
      </w:tr>
      <w:tr w:rsidR="00D7121B" w:rsidRPr="00D7121B" w14:paraId="014E66F3" w14:textId="77777777" w:rsidTr="008B0C0F">
        <w:trPr>
          <w:jc w:val="center"/>
        </w:trPr>
        <w:tc>
          <w:tcPr>
            <w:tcW w:w="3030" w:type="dxa"/>
            <w:vMerge/>
            <w:hideMark/>
          </w:tcPr>
          <w:p w14:paraId="5B62809E" w14:textId="77777777" w:rsidR="00D7121B" w:rsidRPr="00D7121B" w:rsidRDefault="00D7121B" w:rsidP="008B0C0F">
            <w:pPr>
              <w:rPr>
                <w:rFonts w:ascii="Arial" w:hAnsi="Arial" w:cs="Arial"/>
                <w:sz w:val="20"/>
                <w:szCs w:val="20"/>
              </w:rPr>
            </w:pPr>
          </w:p>
        </w:tc>
        <w:tc>
          <w:tcPr>
            <w:tcW w:w="0" w:type="auto"/>
            <w:hideMark/>
          </w:tcPr>
          <w:p w14:paraId="6CED2488" w14:textId="77777777" w:rsidR="00D7121B" w:rsidRPr="00D7121B" w:rsidRDefault="00D7121B" w:rsidP="008B0C0F">
            <w:pPr>
              <w:rPr>
                <w:rFonts w:ascii="Arial" w:hAnsi="Arial" w:cs="Arial"/>
                <w:sz w:val="20"/>
                <w:szCs w:val="20"/>
              </w:rPr>
            </w:pPr>
            <w:r w:rsidRPr="00D7121B">
              <w:rPr>
                <w:rFonts w:ascii="Arial" w:hAnsi="Arial" w:cs="Arial"/>
                <w:sz w:val="20"/>
                <w:szCs w:val="20"/>
              </w:rPr>
              <w:t>Very severe</w:t>
            </w:r>
          </w:p>
        </w:tc>
        <w:tc>
          <w:tcPr>
            <w:tcW w:w="0" w:type="auto"/>
            <w:vAlign w:val="center"/>
            <w:hideMark/>
          </w:tcPr>
          <w:p w14:paraId="609F6E44"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10</w:t>
            </w:r>
          </w:p>
        </w:tc>
        <w:tc>
          <w:tcPr>
            <w:tcW w:w="0" w:type="auto"/>
            <w:vAlign w:val="center"/>
            <w:hideMark/>
          </w:tcPr>
          <w:p w14:paraId="5F560017"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3.4</w:t>
            </w:r>
          </w:p>
        </w:tc>
      </w:tr>
      <w:tr w:rsidR="00D7121B" w:rsidRPr="00D7121B" w14:paraId="6D79CE29" w14:textId="77777777" w:rsidTr="008B0C0F">
        <w:trPr>
          <w:jc w:val="center"/>
        </w:trPr>
        <w:tc>
          <w:tcPr>
            <w:tcW w:w="3030" w:type="dxa"/>
            <w:vMerge w:val="restart"/>
            <w:hideMark/>
          </w:tcPr>
          <w:p w14:paraId="37D01DAB"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Preoperative blood transfusion</w:t>
            </w:r>
          </w:p>
        </w:tc>
        <w:tc>
          <w:tcPr>
            <w:tcW w:w="0" w:type="auto"/>
            <w:hideMark/>
          </w:tcPr>
          <w:p w14:paraId="460EF519" w14:textId="77777777" w:rsidR="00D7121B" w:rsidRPr="00D7121B" w:rsidRDefault="00D7121B" w:rsidP="008B0C0F">
            <w:pPr>
              <w:rPr>
                <w:rFonts w:ascii="Arial" w:hAnsi="Arial" w:cs="Arial"/>
                <w:sz w:val="20"/>
                <w:szCs w:val="20"/>
              </w:rPr>
            </w:pPr>
            <w:r w:rsidRPr="00D7121B">
              <w:rPr>
                <w:rFonts w:ascii="Arial" w:hAnsi="Arial" w:cs="Arial"/>
                <w:sz w:val="20"/>
                <w:szCs w:val="20"/>
              </w:rPr>
              <w:t>None</w:t>
            </w:r>
          </w:p>
        </w:tc>
        <w:tc>
          <w:tcPr>
            <w:tcW w:w="0" w:type="auto"/>
            <w:vAlign w:val="center"/>
            <w:hideMark/>
          </w:tcPr>
          <w:p w14:paraId="46DDAC6E"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244</w:t>
            </w:r>
          </w:p>
        </w:tc>
        <w:tc>
          <w:tcPr>
            <w:tcW w:w="0" w:type="auto"/>
            <w:vAlign w:val="center"/>
            <w:hideMark/>
          </w:tcPr>
          <w:p w14:paraId="412CC477"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83.6</w:t>
            </w:r>
          </w:p>
        </w:tc>
      </w:tr>
      <w:tr w:rsidR="00D7121B" w:rsidRPr="00D7121B" w14:paraId="2C5033DE" w14:textId="77777777" w:rsidTr="008B0C0F">
        <w:trPr>
          <w:jc w:val="center"/>
        </w:trPr>
        <w:tc>
          <w:tcPr>
            <w:tcW w:w="3030" w:type="dxa"/>
            <w:vMerge/>
            <w:hideMark/>
          </w:tcPr>
          <w:p w14:paraId="74E6FF4A" w14:textId="77777777" w:rsidR="00D7121B" w:rsidRPr="00D7121B" w:rsidRDefault="00D7121B" w:rsidP="008B0C0F">
            <w:pPr>
              <w:rPr>
                <w:rFonts w:ascii="Arial" w:hAnsi="Arial" w:cs="Arial"/>
                <w:sz w:val="20"/>
                <w:szCs w:val="20"/>
              </w:rPr>
            </w:pPr>
          </w:p>
        </w:tc>
        <w:tc>
          <w:tcPr>
            <w:tcW w:w="0" w:type="auto"/>
            <w:hideMark/>
          </w:tcPr>
          <w:p w14:paraId="5CDCB896" w14:textId="77777777" w:rsidR="00D7121B" w:rsidRPr="00D7121B" w:rsidRDefault="00D7121B" w:rsidP="008B0C0F">
            <w:pPr>
              <w:rPr>
                <w:rFonts w:ascii="Arial" w:hAnsi="Arial" w:cs="Arial"/>
                <w:sz w:val="20"/>
                <w:szCs w:val="20"/>
              </w:rPr>
            </w:pPr>
            <w:r w:rsidRPr="00D7121B">
              <w:rPr>
                <w:rFonts w:ascii="Arial" w:hAnsi="Arial" w:cs="Arial"/>
                <w:sz w:val="20"/>
                <w:szCs w:val="20"/>
              </w:rPr>
              <w:t>1 unit</w:t>
            </w:r>
          </w:p>
        </w:tc>
        <w:tc>
          <w:tcPr>
            <w:tcW w:w="0" w:type="auto"/>
            <w:vAlign w:val="center"/>
            <w:hideMark/>
          </w:tcPr>
          <w:p w14:paraId="1AA23254"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15</w:t>
            </w:r>
          </w:p>
        </w:tc>
        <w:tc>
          <w:tcPr>
            <w:tcW w:w="0" w:type="auto"/>
            <w:vAlign w:val="center"/>
            <w:hideMark/>
          </w:tcPr>
          <w:p w14:paraId="5B718034"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5.1</w:t>
            </w:r>
          </w:p>
        </w:tc>
      </w:tr>
      <w:tr w:rsidR="00D7121B" w:rsidRPr="00D7121B" w14:paraId="5152154D" w14:textId="77777777" w:rsidTr="008B0C0F">
        <w:trPr>
          <w:jc w:val="center"/>
        </w:trPr>
        <w:tc>
          <w:tcPr>
            <w:tcW w:w="3030" w:type="dxa"/>
            <w:vMerge/>
            <w:hideMark/>
          </w:tcPr>
          <w:p w14:paraId="1BE2917C" w14:textId="77777777" w:rsidR="00D7121B" w:rsidRPr="00D7121B" w:rsidRDefault="00D7121B" w:rsidP="008B0C0F">
            <w:pPr>
              <w:rPr>
                <w:rFonts w:ascii="Arial" w:hAnsi="Arial" w:cs="Arial"/>
                <w:sz w:val="20"/>
                <w:szCs w:val="20"/>
              </w:rPr>
            </w:pPr>
          </w:p>
        </w:tc>
        <w:tc>
          <w:tcPr>
            <w:tcW w:w="0" w:type="auto"/>
            <w:hideMark/>
          </w:tcPr>
          <w:p w14:paraId="5DF4009C" w14:textId="77777777" w:rsidR="00D7121B" w:rsidRPr="00D7121B" w:rsidRDefault="00D7121B" w:rsidP="008B0C0F">
            <w:pPr>
              <w:rPr>
                <w:rFonts w:ascii="Arial" w:hAnsi="Arial" w:cs="Arial"/>
                <w:sz w:val="20"/>
                <w:szCs w:val="20"/>
              </w:rPr>
            </w:pPr>
            <w:r w:rsidRPr="00D7121B">
              <w:rPr>
                <w:rFonts w:ascii="Arial" w:hAnsi="Arial" w:cs="Arial"/>
                <w:sz w:val="20"/>
                <w:szCs w:val="20"/>
              </w:rPr>
              <w:t>2 units</w:t>
            </w:r>
          </w:p>
        </w:tc>
        <w:tc>
          <w:tcPr>
            <w:tcW w:w="0" w:type="auto"/>
            <w:vAlign w:val="center"/>
            <w:hideMark/>
          </w:tcPr>
          <w:p w14:paraId="74C85435"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26</w:t>
            </w:r>
          </w:p>
        </w:tc>
        <w:tc>
          <w:tcPr>
            <w:tcW w:w="0" w:type="auto"/>
            <w:vAlign w:val="center"/>
            <w:hideMark/>
          </w:tcPr>
          <w:p w14:paraId="445378E7"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8.9</w:t>
            </w:r>
          </w:p>
        </w:tc>
      </w:tr>
      <w:tr w:rsidR="00D7121B" w:rsidRPr="00D7121B" w14:paraId="4F525AAF" w14:textId="77777777" w:rsidTr="008B0C0F">
        <w:trPr>
          <w:jc w:val="center"/>
        </w:trPr>
        <w:tc>
          <w:tcPr>
            <w:tcW w:w="3030" w:type="dxa"/>
            <w:vMerge/>
            <w:hideMark/>
          </w:tcPr>
          <w:p w14:paraId="55080D94" w14:textId="77777777" w:rsidR="00D7121B" w:rsidRPr="00D7121B" w:rsidRDefault="00D7121B" w:rsidP="008B0C0F">
            <w:pPr>
              <w:rPr>
                <w:rFonts w:ascii="Arial" w:hAnsi="Arial" w:cs="Arial"/>
                <w:sz w:val="20"/>
                <w:szCs w:val="20"/>
              </w:rPr>
            </w:pPr>
          </w:p>
        </w:tc>
        <w:tc>
          <w:tcPr>
            <w:tcW w:w="0" w:type="auto"/>
            <w:hideMark/>
          </w:tcPr>
          <w:p w14:paraId="30FDC21B" w14:textId="77777777" w:rsidR="00D7121B" w:rsidRPr="00D7121B" w:rsidRDefault="00D7121B" w:rsidP="008B0C0F">
            <w:pPr>
              <w:rPr>
                <w:rFonts w:ascii="Arial" w:hAnsi="Arial" w:cs="Arial"/>
                <w:sz w:val="20"/>
                <w:szCs w:val="20"/>
              </w:rPr>
            </w:pPr>
            <w:r w:rsidRPr="00D7121B">
              <w:rPr>
                <w:rFonts w:ascii="Arial" w:hAnsi="Arial" w:cs="Arial"/>
                <w:sz w:val="20"/>
                <w:szCs w:val="20"/>
              </w:rPr>
              <w:t>≥3 units</w:t>
            </w:r>
          </w:p>
        </w:tc>
        <w:tc>
          <w:tcPr>
            <w:tcW w:w="0" w:type="auto"/>
            <w:vAlign w:val="center"/>
            <w:hideMark/>
          </w:tcPr>
          <w:p w14:paraId="120C4966"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7</w:t>
            </w:r>
          </w:p>
        </w:tc>
        <w:tc>
          <w:tcPr>
            <w:tcW w:w="0" w:type="auto"/>
            <w:vAlign w:val="center"/>
            <w:hideMark/>
          </w:tcPr>
          <w:p w14:paraId="7C687B62"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2.4</w:t>
            </w:r>
          </w:p>
        </w:tc>
      </w:tr>
      <w:tr w:rsidR="00D7121B" w:rsidRPr="00D7121B" w14:paraId="7A4B81BB" w14:textId="77777777" w:rsidTr="008B0C0F">
        <w:trPr>
          <w:jc w:val="center"/>
        </w:trPr>
        <w:tc>
          <w:tcPr>
            <w:tcW w:w="3030" w:type="dxa"/>
            <w:vMerge w:val="restart"/>
            <w:hideMark/>
          </w:tcPr>
          <w:p w14:paraId="256DBD9F"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Uterine size (gestational equivalent)</w:t>
            </w:r>
          </w:p>
        </w:tc>
        <w:tc>
          <w:tcPr>
            <w:tcW w:w="0" w:type="auto"/>
            <w:hideMark/>
          </w:tcPr>
          <w:p w14:paraId="7E1052A0" w14:textId="77777777" w:rsidR="00D7121B" w:rsidRPr="00D7121B" w:rsidRDefault="00D7121B" w:rsidP="008B0C0F">
            <w:pPr>
              <w:rPr>
                <w:rFonts w:ascii="Arial" w:hAnsi="Arial" w:cs="Arial"/>
                <w:sz w:val="20"/>
                <w:szCs w:val="20"/>
              </w:rPr>
            </w:pPr>
            <w:r w:rsidRPr="00D7121B">
              <w:rPr>
                <w:rFonts w:ascii="Arial" w:hAnsi="Arial" w:cs="Arial"/>
                <w:sz w:val="20"/>
                <w:szCs w:val="20"/>
              </w:rPr>
              <w:t>&lt;8 weeks</w:t>
            </w:r>
          </w:p>
        </w:tc>
        <w:tc>
          <w:tcPr>
            <w:tcW w:w="0" w:type="auto"/>
            <w:vAlign w:val="center"/>
            <w:hideMark/>
          </w:tcPr>
          <w:p w14:paraId="533ECA78"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51</w:t>
            </w:r>
          </w:p>
        </w:tc>
        <w:tc>
          <w:tcPr>
            <w:tcW w:w="0" w:type="auto"/>
            <w:vAlign w:val="center"/>
            <w:hideMark/>
          </w:tcPr>
          <w:p w14:paraId="2AEA51A9"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17.5</w:t>
            </w:r>
          </w:p>
        </w:tc>
      </w:tr>
      <w:tr w:rsidR="00D7121B" w:rsidRPr="00D7121B" w14:paraId="3412A85A" w14:textId="77777777" w:rsidTr="008B0C0F">
        <w:trPr>
          <w:jc w:val="center"/>
        </w:trPr>
        <w:tc>
          <w:tcPr>
            <w:tcW w:w="3030" w:type="dxa"/>
            <w:vMerge/>
            <w:hideMark/>
          </w:tcPr>
          <w:p w14:paraId="3DBCCBC2" w14:textId="77777777" w:rsidR="00D7121B" w:rsidRPr="00D7121B" w:rsidRDefault="00D7121B" w:rsidP="008B0C0F">
            <w:pPr>
              <w:rPr>
                <w:rFonts w:ascii="Arial" w:hAnsi="Arial" w:cs="Arial"/>
                <w:sz w:val="20"/>
                <w:szCs w:val="20"/>
              </w:rPr>
            </w:pPr>
          </w:p>
        </w:tc>
        <w:tc>
          <w:tcPr>
            <w:tcW w:w="0" w:type="auto"/>
            <w:hideMark/>
          </w:tcPr>
          <w:p w14:paraId="0EE1AFD1" w14:textId="77777777" w:rsidR="00D7121B" w:rsidRPr="00D7121B" w:rsidRDefault="00D7121B" w:rsidP="008B0C0F">
            <w:pPr>
              <w:rPr>
                <w:rFonts w:ascii="Arial" w:hAnsi="Arial" w:cs="Arial"/>
                <w:sz w:val="20"/>
                <w:szCs w:val="20"/>
              </w:rPr>
            </w:pPr>
            <w:r w:rsidRPr="00D7121B">
              <w:rPr>
                <w:rFonts w:ascii="Arial" w:hAnsi="Arial" w:cs="Arial"/>
                <w:sz w:val="20"/>
                <w:szCs w:val="20"/>
              </w:rPr>
              <w:t>8</w:t>
            </w:r>
            <w:r w:rsidRPr="00D7121B">
              <w:rPr>
                <w:rFonts w:ascii="Arial" w:hAnsi="Arial" w:cs="Arial"/>
                <w:sz w:val="20"/>
                <w:szCs w:val="20"/>
                <w:lang w:val="vi-VN"/>
              </w:rPr>
              <w:t>-</w:t>
            </w:r>
            <w:r w:rsidRPr="00D7121B">
              <w:rPr>
                <w:rFonts w:ascii="Arial" w:hAnsi="Arial" w:cs="Arial"/>
                <w:sz w:val="20"/>
                <w:szCs w:val="20"/>
              </w:rPr>
              <w:t>12 weeks</w:t>
            </w:r>
          </w:p>
        </w:tc>
        <w:tc>
          <w:tcPr>
            <w:tcW w:w="0" w:type="auto"/>
            <w:vAlign w:val="center"/>
            <w:hideMark/>
          </w:tcPr>
          <w:p w14:paraId="03228C58"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172</w:t>
            </w:r>
          </w:p>
        </w:tc>
        <w:tc>
          <w:tcPr>
            <w:tcW w:w="0" w:type="auto"/>
            <w:vAlign w:val="center"/>
            <w:hideMark/>
          </w:tcPr>
          <w:p w14:paraId="5F6EADE9"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58.9</w:t>
            </w:r>
          </w:p>
        </w:tc>
      </w:tr>
      <w:tr w:rsidR="00D7121B" w:rsidRPr="00D7121B" w14:paraId="3954FC85" w14:textId="77777777" w:rsidTr="008B0C0F">
        <w:trPr>
          <w:jc w:val="center"/>
        </w:trPr>
        <w:tc>
          <w:tcPr>
            <w:tcW w:w="3030" w:type="dxa"/>
            <w:vMerge/>
            <w:hideMark/>
          </w:tcPr>
          <w:p w14:paraId="4AD153F8" w14:textId="77777777" w:rsidR="00D7121B" w:rsidRPr="00D7121B" w:rsidRDefault="00D7121B" w:rsidP="008B0C0F">
            <w:pPr>
              <w:rPr>
                <w:rFonts w:ascii="Arial" w:hAnsi="Arial" w:cs="Arial"/>
                <w:sz w:val="20"/>
                <w:szCs w:val="20"/>
              </w:rPr>
            </w:pPr>
          </w:p>
        </w:tc>
        <w:tc>
          <w:tcPr>
            <w:tcW w:w="0" w:type="auto"/>
            <w:hideMark/>
          </w:tcPr>
          <w:p w14:paraId="5B8F31AD" w14:textId="77777777" w:rsidR="00D7121B" w:rsidRPr="00D7121B" w:rsidRDefault="00D7121B" w:rsidP="008B0C0F">
            <w:pPr>
              <w:rPr>
                <w:rFonts w:ascii="Arial" w:hAnsi="Arial" w:cs="Arial"/>
                <w:sz w:val="20"/>
                <w:szCs w:val="20"/>
              </w:rPr>
            </w:pPr>
            <w:r w:rsidRPr="00D7121B">
              <w:rPr>
                <w:rFonts w:ascii="Arial" w:hAnsi="Arial" w:cs="Arial"/>
                <w:sz w:val="20"/>
                <w:szCs w:val="20"/>
              </w:rPr>
              <w:t>&gt;12 weeks</w:t>
            </w:r>
          </w:p>
        </w:tc>
        <w:tc>
          <w:tcPr>
            <w:tcW w:w="0" w:type="auto"/>
            <w:vAlign w:val="center"/>
            <w:hideMark/>
          </w:tcPr>
          <w:p w14:paraId="1F7198DC"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69</w:t>
            </w:r>
          </w:p>
        </w:tc>
        <w:tc>
          <w:tcPr>
            <w:tcW w:w="0" w:type="auto"/>
            <w:vAlign w:val="center"/>
            <w:hideMark/>
          </w:tcPr>
          <w:p w14:paraId="6401EFAF"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23.6</w:t>
            </w:r>
          </w:p>
        </w:tc>
      </w:tr>
      <w:tr w:rsidR="00D7121B" w:rsidRPr="00D7121B" w14:paraId="3E0E368A" w14:textId="77777777" w:rsidTr="008B0C0F">
        <w:trPr>
          <w:jc w:val="center"/>
        </w:trPr>
        <w:tc>
          <w:tcPr>
            <w:tcW w:w="3030" w:type="dxa"/>
            <w:vMerge w:val="restart"/>
            <w:hideMark/>
          </w:tcPr>
          <w:p w14:paraId="0C683C08"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Fibroid size (mm)</w:t>
            </w:r>
          </w:p>
        </w:tc>
        <w:tc>
          <w:tcPr>
            <w:tcW w:w="0" w:type="auto"/>
            <w:hideMark/>
          </w:tcPr>
          <w:p w14:paraId="15D3BDD9" w14:textId="77777777" w:rsidR="00D7121B" w:rsidRPr="00D7121B" w:rsidRDefault="00D7121B" w:rsidP="008B0C0F">
            <w:pPr>
              <w:rPr>
                <w:rFonts w:ascii="Arial" w:hAnsi="Arial" w:cs="Arial"/>
                <w:sz w:val="20"/>
                <w:szCs w:val="20"/>
              </w:rPr>
            </w:pPr>
            <w:r w:rsidRPr="00D7121B">
              <w:rPr>
                <w:rFonts w:ascii="Arial" w:hAnsi="Arial" w:cs="Arial"/>
                <w:sz w:val="20"/>
                <w:szCs w:val="20"/>
              </w:rPr>
              <w:t>≤40</w:t>
            </w:r>
          </w:p>
        </w:tc>
        <w:tc>
          <w:tcPr>
            <w:tcW w:w="0" w:type="auto"/>
            <w:vAlign w:val="center"/>
            <w:hideMark/>
          </w:tcPr>
          <w:p w14:paraId="7726F77C"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53</w:t>
            </w:r>
          </w:p>
        </w:tc>
        <w:tc>
          <w:tcPr>
            <w:tcW w:w="0" w:type="auto"/>
            <w:vAlign w:val="center"/>
            <w:hideMark/>
          </w:tcPr>
          <w:p w14:paraId="2CF13F18"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18.2</w:t>
            </w:r>
          </w:p>
        </w:tc>
      </w:tr>
      <w:tr w:rsidR="00D7121B" w:rsidRPr="00D7121B" w14:paraId="3847FB20" w14:textId="77777777" w:rsidTr="008B0C0F">
        <w:trPr>
          <w:jc w:val="center"/>
        </w:trPr>
        <w:tc>
          <w:tcPr>
            <w:tcW w:w="3030" w:type="dxa"/>
            <w:vMerge/>
            <w:hideMark/>
          </w:tcPr>
          <w:p w14:paraId="424F162A" w14:textId="77777777" w:rsidR="00D7121B" w:rsidRPr="00D7121B" w:rsidRDefault="00D7121B" w:rsidP="008B0C0F">
            <w:pPr>
              <w:rPr>
                <w:rFonts w:ascii="Arial" w:hAnsi="Arial" w:cs="Arial"/>
                <w:sz w:val="20"/>
                <w:szCs w:val="20"/>
              </w:rPr>
            </w:pPr>
          </w:p>
        </w:tc>
        <w:tc>
          <w:tcPr>
            <w:tcW w:w="0" w:type="auto"/>
            <w:hideMark/>
          </w:tcPr>
          <w:p w14:paraId="6F120E6A" w14:textId="77777777" w:rsidR="00D7121B" w:rsidRPr="00D7121B" w:rsidRDefault="00D7121B" w:rsidP="008B0C0F">
            <w:pPr>
              <w:rPr>
                <w:rFonts w:ascii="Arial" w:hAnsi="Arial" w:cs="Arial"/>
                <w:sz w:val="20"/>
                <w:szCs w:val="20"/>
              </w:rPr>
            </w:pPr>
            <w:r w:rsidRPr="00D7121B">
              <w:rPr>
                <w:rFonts w:ascii="Arial" w:hAnsi="Arial" w:cs="Arial"/>
                <w:sz w:val="20"/>
                <w:szCs w:val="20"/>
              </w:rPr>
              <w:t>41</w:t>
            </w:r>
            <w:r w:rsidRPr="00D7121B">
              <w:rPr>
                <w:rFonts w:ascii="Arial" w:hAnsi="Arial" w:cs="Arial"/>
                <w:sz w:val="20"/>
                <w:szCs w:val="20"/>
                <w:lang w:val="vi-VN"/>
              </w:rPr>
              <w:t>-</w:t>
            </w:r>
            <w:r w:rsidRPr="00D7121B">
              <w:rPr>
                <w:rFonts w:ascii="Arial" w:hAnsi="Arial" w:cs="Arial"/>
                <w:sz w:val="20"/>
                <w:szCs w:val="20"/>
              </w:rPr>
              <w:t>60</w:t>
            </w:r>
          </w:p>
        </w:tc>
        <w:tc>
          <w:tcPr>
            <w:tcW w:w="0" w:type="auto"/>
            <w:vAlign w:val="center"/>
            <w:hideMark/>
          </w:tcPr>
          <w:p w14:paraId="22BFEB73"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70</w:t>
            </w:r>
          </w:p>
        </w:tc>
        <w:tc>
          <w:tcPr>
            <w:tcW w:w="0" w:type="auto"/>
            <w:vAlign w:val="center"/>
            <w:hideMark/>
          </w:tcPr>
          <w:p w14:paraId="37B866AE"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24.0</w:t>
            </w:r>
          </w:p>
        </w:tc>
      </w:tr>
      <w:tr w:rsidR="00D7121B" w:rsidRPr="00D7121B" w14:paraId="0C992EF3" w14:textId="77777777" w:rsidTr="008B0C0F">
        <w:trPr>
          <w:jc w:val="center"/>
        </w:trPr>
        <w:tc>
          <w:tcPr>
            <w:tcW w:w="3030" w:type="dxa"/>
            <w:vMerge/>
            <w:hideMark/>
          </w:tcPr>
          <w:p w14:paraId="3C79D344" w14:textId="77777777" w:rsidR="00D7121B" w:rsidRPr="00D7121B" w:rsidRDefault="00D7121B" w:rsidP="008B0C0F">
            <w:pPr>
              <w:rPr>
                <w:rFonts w:ascii="Arial" w:hAnsi="Arial" w:cs="Arial"/>
                <w:sz w:val="20"/>
                <w:szCs w:val="20"/>
              </w:rPr>
            </w:pPr>
          </w:p>
        </w:tc>
        <w:tc>
          <w:tcPr>
            <w:tcW w:w="0" w:type="auto"/>
            <w:hideMark/>
          </w:tcPr>
          <w:p w14:paraId="28AAACF9" w14:textId="77777777" w:rsidR="00D7121B" w:rsidRPr="00D7121B" w:rsidRDefault="00D7121B" w:rsidP="008B0C0F">
            <w:pPr>
              <w:rPr>
                <w:rFonts w:ascii="Arial" w:hAnsi="Arial" w:cs="Arial"/>
                <w:sz w:val="20"/>
                <w:szCs w:val="20"/>
              </w:rPr>
            </w:pPr>
            <w:r w:rsidRPr="00D7121B">
              <w:rPr>
                <w:rFonts w:ascii="Arial" w:hAnsi="Arial" w:cs="Arial"/>
                <w:sz w:val="20"/>
                <w:szCs w:val="20"/>
              </w:rPr>
              <w:t>61</w:t>
            </w:r>
            <w:r w:rsidRPr="00D7121B">
              <w:rPr>
                <w:rFonts w:ascii="Arial" w:hAnsi="Arial" w:cs="Arial"/>
                <w:sz w:val="20"/>
                <w:szCs w:val="20"/>
                <w:lang w:val="vi-VN"/>
              </w:rPr>
              <w:t>-</w:t>
            </w:r>
            <w:r w:rsidRPr="00D7121B">
              <w:rPr>
                <w:rFonts w:ascii="Arial" w:hAnsi="Arial" w:cs="Arial"/>
                <w:sz w:val="20"/>
                <w:szCs w:val="20"/>
              </w:rPr>
              <w:t>80</w:t>
            </w:r>
          </w:p>
        </w:tc>
        <w:tc>
          <w:tcPr>
            <w:tcW w:w="0" w:type="auto"/>
            <w:vAlign w:val="center"/>
            <w:hideMark/>
          </w:tcPr>
          <w:p w14:paraId="36BA9B0F"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92</w:t>
            </w:r>
          </w:p>
        </w:tc>
        <w:tc>
          <w:tcPr>
            <w:tcW w:w="0" w:type="auto"/>
            <w:vAlign w:val="center"/>
            <w:hideMark/>
          </w:tcPr>
          <w:p w14:paraId="2FDB56AE"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31.5</w:t>
            </w:r>
          </w:p>
        </w:tc>
      </w:tr>
      <w:tr w:rsidR="00D7121B" w:rsidRPr="00D7121B" w14:paraId="35A85D12" w14:textId="77777777" w:rsidTr="008B0C0F">
        <w:trPr>
          <w:jc w:val="center"/>
        </w:trPr>
        <w:tc>
          <w:tcPr>
            <w:tcW w:w="3030" w:type="dxa"/>
            <w:vMerge/>
            <w:hideMark/>
          </w:tcPr>
          <w:p w14:paraId="6BAADCAB" w14:textId="77777777" w:rsidR="00D7121B" w:rsidRPr="00D7121B" w:rsidRDefault="00D7121B" w:rsidP="008B0C0F">
            <w:pPr>
              <w:rPr>
                <w:rFonts w:ascii="Arial" w:hAnsi="Arial" w:cs="Arial"/>
                <w:sz w:val="20"/>
                <w:szCs w:val="20"/>
              </w:rPr>
            </w:pPr>
          </w:p>
        </w:tc>
        <w:tc>
          <w:tcPr>
            <w:tcW w:w="0" w:type="auto"/>
            <w:hideMark/>
          </w:tcPr>
          <w:p w14:paraId="14E07566" w14:textId="77777777" w:rsidR="00D7121B" w:rsidRPr="00D7121B" w:rsidRDefault="00D7121B" w:rsidP="008B0C0F">
            <w:pPr>
              <w:rPr>
                <w:rFonts w:ascii="Arial" w:hAnsi="Arial" w:cs="Arial"/>
                <w:sz w:val="20"/>
                <w:szCs w:val="20"/>
              </w:rPr>
            </w:pPr>
            <w:r w:rsidRPr="00D7121B">
              <w:rPr>
                <w:rFonts w:ascii="Arial" w:hAnsi="Arial" w:cs="Arial"/>
                <w:sz w:val="20"/>
                <w:szCs w:val="20"/>
              </w:rPr>
              <w:t>≥81</w:t>
            </w:r>
          </w:p>
        </w:tc>
        <w:tc>
          <w:tcPr>
            <w:tcW w:w="0" w:type="auto"/>
            <w:vAlign w:val="center"/>
            <w:hideMark/>
          </w:tcPr>
          <w:p w14:paraId="0204857A"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77</w:t>
            </w:r>
          </w:p>
        </w:tc>
        <w:tc>
          <w:tcPr>
            <w:tcW w:w="0" w:type="auto"/>
            <w:vAlign w:val="center"/>
            <w:hideMark/>
          </w:tcPr>
          <w:p w14:paraId="02814E60"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26.4</w:t>
            </w:r>
          </w:p>
        </w:tc>
      </w:tr>
    </w:tbl>
    <w:p w14:paraId="17073BC0" w14:textId="77777777" w:rsidR="00D7121B" w:rsidRPr="004E352F" w:rsidRDefault="00D7121B" w:rsidP="004E352F">
      <w:pPr>
        <w:pStyle w:val="Heading3"/>
        <w:spacing w:line="360" w:lineRule="auto"/>
        <w:rPr>
          <w:rFonts w:ascii="Arial" w:hAnsi="Arial" w:cs="Arial"/>
          <w:b/>
          <w:bCs/>
          <w:i/>
          <w:iCs/>
          <w:color w:val="000000" w:themeColor="text1"/>
          <w:sz w:val="20"/>
          <w:szCs w:val="20"/>
          <w:lang w:val="vi-VN"/>
        </w:rPr>
      </w:pPr>
      <w:r w:rsidRPr="00D7121B">
        <w:rPr>
          <w:rFonts w:ascii="Arial" w:hAnsi="Arial" w:cs="Arial"/>
          <w:b/>
          <w:bCs/>
          <w:i/>
          <w:iCs/>
          <w:color w:val="000000" w:themeColor="text1"/>
          <w:sz w:val="20"/>
          <w:szCs w:val="20"/>
        </w:rPr>
        <w:t xml:space="preserve">3.2. </w:t>
      </w:r>
      <w:bookmarkEnd w:id="0"/>
      <w:r w:rsidRPr="00D7121B">
        <w:rPr>
          <w:rFonts w:ascii="Arial" w:hAnsi="Arial" w:cs="Arial"/>
          <w:b/>
          <w:bCs/>
          <w:i/>
          <w:iCs/>
          <w:color w:val="000000" w:themeColor="text1"/>
          <w:sz w:val="20"/>
          <w:szCs w:val="20"/>
        </w:rPr>
        <w:t>Characteristics of uterine fibroids according to the FIGO 2018 classification</w:t>
      </w:r>
    </w:p>
    <w:p w14:paraId="0B8BFA23" w14:textId="77777777" w:rsidR="00D7121B" w:rsidRPr="00D7121B" w:rsidRDefault="00D7121B" w:rsidP="004E352F">
      <w:pPr>
        <w:spacing w:line="360" w:lineRule="auto"/>
        <w:ind w:firstLine="567"/>
        <w:jc w:val="both"/>
        <w:rPr>
          <w:rFonts w:ascii="Arial" w:hAnsi="Arial" w:cs="Arial"/>
        </w:rPr>
      </w:pPr>
      <w:r w:rsidRPr="00D7121B">
        <w:rPr>
          <w:rFonts w:ascii="Arial" w:hAnsi="Arial" w:cs="Arial"/>
        </w:rPr>
        <w:t>Uterine fibroids classified according to the FIGO 2018 system showed that type L5 accounted for the largest proportion, with 83 out of 292 patients (28.4%). This was followed by type L3, with 64 patients (21.9%), and type L4, with 60 patients (20.5%).</w:t>
      </w:r>
    </w:p>
    <w:p w14:paraId="1407CBD6" w14:textId="77777777" w:rsidR="00D7121B" w:rsidRPr="00D7121B" w:rsidRDefault="00D7121B" w:rsidP="00D7121B">
      <w:pPr>
        <w:pStyle w:val="Heading3"/>
        <w:jc w:val="center"/>
        <w:rPr>
          <w:rFonts w:ascii="Arial" w:hAnsi="Arial" w:cs="Arial"/>
          <w:color w:val="000000" w:themeColor="text1"/>
          <w:sz w:val="20"/>
          <w:szCs w:val="20"/>
        </w:rPr>
      </w:pPr>
      <w:r w:rsidRPr="00D7121B">
        <w:rPr>
          <w:rFonts w:ascii="Arial" w:hAnsi="Arial" w:cs="Arial"/>
          <w:noProof/>
          <w:color w:val="000000" w:themeColor="text1"/>
          <w:sz w:val="20"/>
          <w:szCs w:val="20"/>
        </w:rPr>
        <w:drawing>
          <wp:inline distT="0" distB="0" distL="0" distR="0" wp14:anchorId="294C3B73" wp14:editId="055AFB8E">
            <wp:extent cx="5068956" cy="2305878"/>
            <wp:effectExtent l="0" t="0" r="0" b="0"/>
            <wp:docPr id="17819127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239049" w14:textId="77777777" w:rsidR="00D7121B" w:rsidRPr="00D7121B" w:rsidRDefault="00D7121B" w:rsidP="00D7121B">
      <w:pPr>
        <w:pStyle w:val="D1"/>
        <w:rPr>
          <w:rFonts w:ascii="Arial" w:hAnsi="Arial" w:cs="Arial"/>
          <w:i w:val="0"/>
          <w:iCs/>
          <w:color w:val="000000" w:themeColor="text1"/>
          <w:sz w:val="20"/>
          <w:szCs w:val="20"/>
          <w:lang w:val="vi-VN"/>
        </w:rPr>
      </w:pPr>
      <w:r w:rsidRPr="00D7121B">
        <w:rPr>
          <w:rFonts w:ascii="Arial" w:hAnsi="Arial" w:cs="Arial"/>
          <w:i w:val="0"/>
          <w:iCs/>
          <w:color w:val="000000" w:themeColor="text1"/>
          <w:sz w:val="20"/>
          <w:szCs w:val="20"/>
        </w:rPr>
        <w:t>Figure 1. Classification of uterine fibroids according to the FIGO 2018 system</w:t>
      </w:r>
    </w:p>
    <w:p w14:paraId="1162F533" w14:textId="77777777" w:rsidR="00D7121B" w:rsidRPr="00D7121B" w:rsidRDefault="00D7121B" w:rsidP="00D7121B">
      <w:pPr>
        <w:pStyle w:val="Heading1"/>
        <w:spacing w:before="120"/>
        <w:rPr>
          <w:rFonts w:cs="Arial"/>
          <w:b w:val="0"/>
          <w:bCs/>
          <w:i/>
          <w:iCs/>
          <w:color w:val="000000" w:themeColor="text1"/>
          <w:sz w:val="20"/>
        </w:rPr>
      </w:pPr>
      <w:r w:rsidRPr="00D7121B">
        <w:rPr>
          <w:rFonts w:cs="Arial"/>
          <w:bCs/>
          <w:i/>
          <w:iCs/>
          <w:color w:val="000000" w:themeColor="text1"/>
          <w:sz w:val="20"/>
        </w:rPr>
        <w:t>3.3.  Associated factors of uterine fibroid classification according to the FIGO 2018 system</w:t>
      </w:r>
    </w:p>
    <w:p w14:paraId="1C654D3E" w14:textId="53C62789" w:rsidR="00D7121B" w:rsidRPr="00D7121B" w:rsidRDefault="00D7121B" w:rsidP="00D7121B">
      <w:pPr>
        <w:spacing w:line="360" w:lineRule="auto"/>
        <w:ind w:firstLine="567"/>
        <w:jc w:val="both"/>
        <w:rPr>
          <w:rFonts w:ascii="Arial" w:hAnsi="Arial" w:cs="Arial"/>
        </w:rPr>
      </w:pPr>
      <w:r w:rsidRPr="00D7121B">
        <w:rPr>
          <w:rFonts w:ascii="Arial" w:hAnsi="Arial" w:cs="Arial"/>
        </w:rPr>
        <w:t>Significant differences between fibroid types were observed for age, menstrual history, time of tumor detection, anemia status, preoperative blood transfusion, uterine size, and fibroid size (</w:t>
      </w:r>
      <w:r w:rsidR="004E352F">
        <w:rPr>
          <w:rFonts w:ascii="Arial" w:hAnsi="Arial" w:cs="Arial"/>
        </w:rPr>
        <w:t>P</w:t>
      </w:r>
      <w:r w:rsidRPr="00D7121B">
        <w:rPr>
          <w:rFonts w:ascii="Arial" w:hAnsi="Arial" w:cs="Arial"/>
        </w:rPr>
        <w:t>&lt;.05). Submucosal fibroids were more frequently detected within 1 month (45.5%) compared with intramural/other fibroids (29.8%). Patients with submucosal fibroids also had a higher proportion of severe and very severe anemia (20.8% vs. 7.9%). In addition, submucosal fibroids were more commonly associated with smaller uterine size (&lt;8 weeks: 53.2% vs. 5.1%) and smaller fibroid size (≤40 mm: 54.5% vs. 5.1%) (</w:t>
      </w:r>
      <w:r w:rsidR="004E352F">
        <w:rPr>
          <w:rFonts w:ascii="Arial" w:hAnsi="Arial" w:cs="Arial"/>
        </w:rPr>
        <w:t>P</w:t>
      </w:r>
      <w:r w:rsidRPr="00D7121B">
        <w:rPr>
          <w:rFonts w:ascii="Arial" w:hAnsi="Arial" w:cs="Arial"/>
        </w:rPr>
        <w:t>&lt;.001).</w:t>
      </w:r>
    </w:p>
    <w:p w14:paraId="75510156" w14:textId="77777777" w:rsidR="00D7121B" w:rsidRPr="00D7121B" w:rsidRDefault="00D7121B" w:rsidP="00D7121B">
      <w:pPr>
        <w:jc w:val="center"/>
        <w:rPr>
          <w:rFonts w:ascii="Arial" w:hAnsi="Arial" w:cs="Arial"/>
          <w:b/>
          <w:bCs/>
        </w:rPr>
      </w:pPr>
      <w:r w:rsidRPr="00D7121B">
        <w:rPr>
          <w:rFonts w:ascii="Arial" w:hAnsi="Arial" w:cs="Arial"/>
          <w:b/>
          <w:bCs/>
        </w:rPr>
        <w:t>Table 2. Factors related to uterine fibroid classification according to the FIGO 2018 system</w:t>
      </w:r>
    </w:p>
    <w:tbl>
      <w:tblPr>
        <w:tblStyle w:val="TableGrid"/>
        <w:tblpPr w:leftFromText="180" w:rightFromText="180" w:vertAnchor="text" w:tblpXSpec="center" w:tblpY="1"/>
        <w:tblOverlap w:val="never"/>
        <w:tblW w:w="8108" w:type="dxa"/>
        <w:tblLook w:val="04A0" w:firstRow="1" w:lastRow="0" w:firstColumn="1" w:lastColumn="0" w:noHBand="0" w:noVBand="1"/>
      </w:tblPr>
      <w:tblGrid>
        <w:gridCol w:w="1350"/>
        <w:gridCol w:w="1712"/>
        <w:gridCol w:w="956"/>
        <w:gridCol w:w="1126"/>
        <w:gridCol w:w="1006"/>
        <w:gridCol w:w="966"/>
        <w:gridCol w:w="992"/>
      </w:tblGrid>
      <w:tr w:rsidR="00D7121B" w:rsidRPr="00D7121B" w14:paraId="6D830E9E" w14:textId="77777777" w:rsidTr="004E352F">
        <w:tc>
          <w:tcPr>
            <w:tcW w:w="2283" w:type="dxa"/>
            <w:gridSpan w:val="2"/>
            <w:vMerge w:val="restart"/>
            <w:vAlign w:val="center"/>
          </w:tcPr>
          <w:p w14:paraId="3FAD3AD3" w14:textId="77777777" w:rsidR="00D7121B" w:rsidRPr="00D7121B" w:rsidRDefault="00D7121B" w:rsidP="008B0C0F">
            <w:pPr>
              <w:jc w:val="center"/>
              <w:rPr>
                <w:rFonts w:ascii="Arial" w:hAnsi="Arial" w:cs="Arial"/>
                <w:b/>
                <w:bCs/>
                <w:color w:val="000000" w:themeColor="text1"/>
                <w:sz w:val="20"/>
                <w:szCs w:val="20"/>
              </w:rPr>
            </w:pPr>
            <w:r w:rsidRPr="00D7121B">
              <w:rPr>
                <w:rFonts w:ascii="Arial" w:hAnsi="Arial" w:cs="Arial"/>
                <w:b/>
                <w:bCs/>
                <w:color w:val="000000" w:themeColor="text1"/>
                <w:sz w:val="20"/>
                <w:szCs w:val="20"/>
              </w:rPr>
              <w:t>Characteristic</w:t>
            </w:r>
          </w:p>
        </w:tc>
        <w:tc>
          <w:tcPr>
            <w:tcW w:w="4692" w:type="dxa"/>
            <w:gridSpan w:val="4"/>
            <w:vAlign w:val="center"/>
          </w:tcPr>
          <w:p w14:paraId="73B690C8" w14:textId="77777777" w:rsidR="00D7121B" w:rsidRPr="00D7121B" w:rsidRDefault="00D7121B" w:rsidP="008B0C0F">
            <w:pPr>
              <w:jc w:val="center"/>
              <w:rPr>
                <w:rFonts w:ascii="Arial" w:hAnsi="Arial" w:cs="Arial"/>
                <w:b/>
                <w:bCs/>
                <w:color w:val="000000" w:themeColor="text1"/>
                <w:sz w:val="20"/>
                <w:szCs w:val="20"/>
              </w:rPr>
            </w:pPr>
            <w:r w:rsidRPr="00D7121B">
              <w:rPr>
                <w:rFonts w:ascii="Arial" w:hAnsi="Arial" w:cs="Arial"/>
                <w:b/>
                <w:bCs/>
                <w:color w:val="000000" w:themeColor="text1"/>
                <w:sz w:val="20"/>
                <w:szCs w:val="20"/>
              </w:rPr>
              <w:t>Fibroid type</w:t>
            </w:r>
          </w:p>
        </w:tc>
        <w:tc>
          <w:tcPr>
            <w:tcW w:w="1133" w:type="dxa"/>
            <w:vMerge w:val="restart"/>
            <w:vAlign w:val="center"/>
          </w:tcPr>
          <w:p w14:paraId="3DDD4A95" w14:textId="730A8773" w:rsidR="00D7121B" w:rsidRPr="00D7121B" w:rsidRDefault="004E352F" w:rsidP="008B0C0F">
            <w:pPr>
              <w:jc w:val="center"/>
              <w:rPr>
                <w:rFonts w:ascii="Arial" w:hAnsi="Arial" w:cs="Arial"/>
                <w:b/>
                <w:bCs/>
                <w:color w:val="000000" w:themeColor="text1"/>
                <w:sz w:val="20"/>
                <w:szCs w:val="20"/>
              </w:rPr>
            </w:pPr>
            <w:r>
              <w:rPr>
                <w:rFonts w:ascii="Arial" w:hAnsi="Arial" w:cs="Arial"/>
                <w:b/>
                <w:bCs/>
                <w:color w:val="000000" w:themeColor="text1"/>
                <w:sz w:val="20"/>
                <w:szCs w:val="20"/>
              </w:rPr>
              <w:t>P</w:t>
            </w:r>
            <w:r w:rsidR="00D7121B" w:rsidRPr="00D7121B">
              <w:rPr>
                <w:rFonts w:ascii="Arial" w:hAnsi="Arial" w:cs="Arial"/>
                <w:b/>
                <w:bCs/>
                <w:color w:val="000000" w:themeColor="text1"/>
                <w:sz w:val="20"/>
                <w:szCs w:val="20"/>
              </w:rPr>
              <w:t>-value</w:t>
            </w:r>
          </w:p>
        </w:tc>
      </w:tr>
      <w:tr w:rsidR="00D7121B" w:rsidRPr="00D7121B" w14:paraId="22CA4607" w14:textId="77777777" w:rsidTr="004E352F">
        <w:tc>
          <w:tcPr>
            <w:tcW w:w="2283" w:type="dxa"/>
            <w:gridSpan w:val="2"/>
            <w:vMerge/>
            <w:vAlign w:val="center"/>
          </w:tcPr>
          <w:p w14:paraId="57D4B118" w14:textId="77777777" w:rsidR="00D7121B" w:rsidRPr="00D7121B" w:rsidRDefault="00D7121B" w:rsidP="008B0C0F">
            <w:pPr>
              <w:jc w:val="center"/>
              <w:rPr>
                <w:rFonts w:ascii="Arial" w:hAnsi="Arial" w:cs="Arial"/>
                <w:b/>
                <w:bCs/>
                <w:color w:val="000000" w:themeColor="text1"/>
                <w:sz w:val="20"/>
                <w:szCs w:val="20"/>
              </w:rPr>
            </w:pPr>
          </w:p>
        </w:tc>
        <w:tc>
          <w:tcPr>
            <w:tcW w:w="2562" w:type="dxa"/>
            <w:gridSpan w:val="2"/>
            <w:vAlign w:val="center"/>
          </w:tcPr>
          <w:p w14:paraId="159ABC90" w14:textId="77777777" w:rsidR="00D7121B" w:rsidRPr="00D7121B" w:rsidRDefault="00D7121B" w:rsidP="008B0C0F">
            <w:pPr>
              <w:jc w:val="center"/>
              <w:rPr>
                <w:rFonts w:ascii="Arial" w:hAnsi="Arial" w:cs="Arial"/>
                <w:b/>
                <w:bCs/>
                <w:sz w:val="20"/>
                <w:szCs w:val="20"/>
              </w:rPr>
            </w:pPr>
            <w:r w:rsidRPr="00D7121B">
              <w:rPr>
                <w:rFonts w:ascii="Arial" w:hAnsi="Arial" w:cs="Arial"/>
                <w:b/>
                <w:bCs/>
                <w:sz w:val="20"/>
                <w:szCs w:val="20"/>
              </w:rPr>
              <w:t>Submucosal</w:t>
            </w:r>
          </w:p>
          <w:p w14:paraId="6C40A7CB" w14:textId="77777777" w:rsidR="00D7121B" w:rsidRPr="00D7121B" w:rsidRDefault="00D7121B" w:rsidP="008B0C0F">
            <w:pPr>
              <w:jc w:val="center"/>
              <w:rPr>
                <w:rFonts w:ascii="Arial" w:hAnsi="Arial" w:cs="Arial"/>
                <w:b/>
                <w:bCs/>
                <w:color w:val="000000" w:themeColor="text1"/>
                <w:sz w:val="20"/>
                <w:szCs w:val="20"/>
              </w:rPr>
            </w:pPr>
            <w:r w:rsidRPr="00D7121B">
              <w:rPr>
                <w:rFonts w:ascii="Arial" w:hAnsi="Arial" w:cs="Arial"/>
                <w:b/>
                <w:bCs/>
                <w:color w:val="000000" w:themeColor="text1"/>
                <w:sz w:val="20"/>
                <w:szCs w:val="20"/>
              </w:rPr>
              <w:t>(n=77)</w:t>
            </w:r>
          </w:p>
        </w:tc>
        <w:tc>
          <w:tcPr>
            <w:tcW w:w="2130" w:type="dxa"/>
            <w:gridSpan w:val="2"/>
            <w:vAlign w:val="center"/>
          </w:tcPr>
          <w:p w14:paraId="0771FB87" w14:textId="77777777" w:rsidR="00D7121B" w:rsidRPr="00D7121B" w:rsidRDefault="00D7121B" w:rsidP="008B0C0F">
            <w:pPr>
              <w:jc w:val="center"/>
              <w:rPr>
                <w:rFonts w:ascii="Arial" w:hAnsi="Arial" w:cs="Arial"/>
                <w:b/>
                <w:bCs/>
                <w:color w:val="000000" w:themeColor="text1"/>
                <w:sz w:val="20"/>
                <w:szCs w:val="20"/>
              </w:rPr>
            </w:pPr>
            <w:r w:rsidRPr="00D7121B">
              <w:rPr>
                <w:rFonts w:ascii="Arial" w:hAnsi="Arial" w:cs="Arial"/>
                <w:b/>
                <w:bCs/>
                <w:color w:val="000000" w:themeColor="text1"/>
                <w:sz w:val="20"/>
                <w:szCs w:val="20"/>
              </w:rPr>
              <w:t>Intramural/other</w:t>
            </w:r>
          </w:p>
          <w:p w14:paraId="3ACB295C" w14:textId="77777777" w:rsidR="00D7121B" w:rsidRPr="00D7121B" w:rsidRDefault="00D7121B" w:rsidP="008B0C0F">
            <w:pPr>
              <w:jc w:val="center"/>
              <w:rPr>
                <w:rFonts w:ascii="Arial" w:hAnsi="Arial" w:cs="Arial"/>
                <w:b/>
                <w:bCs/>
                <w:color w:val="000000" w:themeColor="text1"/>
                <w:sz w:val="20"/>
                <w:szCs w:val="20"/>
              </w:rPr>
            </w:pPr>
            <w:r w:rsidRPr="00D7121B">
              <w:rPr>
                <w:rFonts w:ascii="Arial" w:hAnsi="Arial" w:cs="Arial"/>
                <w:b/>
                <w:bCs/>
                <w:color w:val="000000" w:themeColor="text1"/>
                <w:sz w:val="20"/>
                <w:szCs w:val="20"/>
              </w:rPr>
              <w:t>(n=215)</w:t>
            </w:r>
          </w:p>
        </w:tc>
        <w:tc>
          <w:tcPr>
            <w:tcW w:w="1133" w:type="dxa"/>
            <w:vMerge/>
            <w:vAlign w:val="center"/>
          </w:tcPr>
          <w:p w14:paraId="1EFE748F" w14:textId="77777777" w:rsidR="00D7121B" w:rsidRPr="00D7121B" w:rsidRDefault="00D7121B" w:rsidP="008B0C0F">
            <w:pPr>
              <w:jc w:val="center"/>
              <w:rPr>
                <w:rFonts w:ascii="Arial" w:hAnsi="Arial" w:cs="Arial"/>
                <w:b/>
                <w:bCs/>
                <w:color w:val="000000" w:themeColor="text1"/>
                <w:sz w:val="20"/>
                <w:szCs w:val="20"/>
              </w:rPr>
            </w:pPr>
          </w:p>
        </w:tc>
      </w:tr>
      <w:tr w:rsidR="00D7121B" w:rsidRPr="00D7121B" w14:paraId="123853A0" w14:textId="77777777" w:rsidTr="004E352F">
        <w:tc>
          <w:tcPr>
            <w:tcW w:w="2283" w:type="dxa"/>
            <w:gridSpan w:val="2"/>
            <w:vMerge/>
            <w:vAlign w:val="center"/>
          </w:tcPr>
          <w:p w14:paraId="44ED373C" w14:textId="77777777" w:rsidR="00D7121B" w:rsidRPr="00D7121B" w:rsidRDefault="00D7121B" w:rsidP="008B0C0F">
            <w:pPr>
              <w:jc w:val="center"/>
              <w:rPr>
                <w:rFonts w:ascii="Arial" w:hAnsi="Arial" w:cs="Arial"/>
                <w:b/>
                <w:bCs/>
                <w:color w:val="000000" w:themeColor="text1"/>
                <w:sz w:val="20"/>
                <w:szCs w:val="20"/>
              </w:rPr>
            </w:pPr>
          </w:p>
        </w:tc>
        <w:tc>
          <w:tcPr>
            <w:tcW w:w="1177" w:type="dxa"/>
            <w:vAlign w:val="center"/>
          </w:tcPr>
          <w:p w14:paraId="5B6CD794" w14:textId="77777777" w:rsidR="00D7121B" w:rsidRPr="00D7121B" w:rsidRDefault="00D7121B" w:rsidP="008B0C0F">
            <w:pPr>
              <w:jc w:val="center"/>
              <w:rPr>
                <w:rFonts w:ascii="Arial" w:hAnsi="Arial" w:cs="Arial"/>
                <w:b/>
                <w:bCs/>
                <w:color w:val="000000" w:themeColor="text1"/>
                <w:sz w:val="20"/>
                <w:szCs w:val="20"/>
              </w:rPr>
            </w:pPr>
            <w:r w:rsidRPr="00D7121B">
              <w:rPr>
                <w:rFonts w:ascii="Arial" w:hAnsi="Arial" w:cs="Arial"/>
                <w:b/>
                <w:bCs/>
                <w:color w:val="000000" w:themeColor="text1"/>
                <w:sz w:val="20"/>
                <w:szCs w:val="20"/>
              </w:rPr>
              <w:t>n</w:t>
            </w:r>
          </w:p>
        </w:tc>
        <w:tc>
          <w:tcPr>
            <w:tcW w:w="1385" w:type="dxa"/>
            <w:vAlign w:val="center"/>
          </w:tcPr>
          <w:p w14:paraId="79974059" w14:textId="77777777" w:rsidR="00D7121B" w:rsidRPr="00D7121B" w:rsidRDefault="00D7121B" w:rsidP="008B0C0F">
            <w:pPr>
              <w:jc w:val="center"/>
              <w:rPr>
                <w:rFonts w:ascii="Arial" w:hAnsi="Arial" w:cs="Arial"/>
                <w:b/>
                <w:bCs/>
                <w:color w:val="000000" w:themeColor="text1"/>
                <w:sz w:val="20"/>
                <w:szCs w:val="20"/>
              </w:rPr>
            </w:pPr>
            <w:r w:rsidRPr="00D7121B">
              <w:rPr>
                <w:rFonts w:ascii="Arial" w:hAnsi="Arial" w:cs="Arial"/>
                <w:b/>
                <w:bCs/>
                <w:color w:val="000000" w:themeColor="text1"/>
                <w:sz w:val="20"/>
                <w:szCs w:val="20"/>
              </w:rPr>
              <w:t>%</w:t>
            </w:r>
          </w:p>
        </w:tc>
        <w:tc>
          <w:tcPr>
            <w:tcW w:w="1070" w:type="dxa"/>
            <w:vAlign w:val="center"/>
          </w:tcPr>
          <w:p w14:paraId="3A8C92A4" w14:textId="77777777" w:rsidR="00D7121B" w:rsidRPr="00D7121B" w:rsidRDefault="00D7121B" w:rsidP="008B0C0F">
            <w:pPr>
              <w:jc w:val="center"/>
              <w:rPr>
                <w:rFonts w:ascii="Arial" w:hAnsi="Arial" w:cs="Arial"/>
                <w:b/>
                <w:bCs/>
                <w:color w:val="000000" w:themeColor="text1"/>
                <w:sz w:val="20"/>
                <w:szCs w:val="20"/>
              </w:rPr>
            </w:pPr>
            <w:r w:rsidRPr="00D7121B">
              <w:rPr>
                <w:rFonts w:ascii="Arial" w:hAnsi="Arial" w:cs="Arial"/>
                <w:b/>
                <w:bCs/>
                <w:color w:val="000000" w:themeColor="text1"/>
                <w:sz w:val="20"/>
                <w:szCs w:val="20"/>
              </w:rPr>
              <w:t>n</w:t>
            </w:r>
          </w:p>
        </w:tc>
        <w:tc>
          <w:tcPr>
            <w:tcW w:w="1060" w:type="dxa"/>
            <w:vAlign w:val="center"/>
          </w:tcPr>
          <w:p w14:paraId="3DE25E3E" w14:textId="77777777" w:rsidR="00D7121B" w:rsidRPr="00D7121B" w:rsidRDefault="00D7121B" w:rsidP="008B0C0F">
            <w:pPr>
              <w:jc w:val="center"/>
              <w:rPr>
                <w:rFonts w:ascii="Arial" w:hAnsi="Arial" w:cs="Arial"/>
                <w:b/>
                <w:bCs/>
                <w:color w:val="000000" w:themeColor="text1"/>
                <w:sz w:val="20"/>
                <w:szCs w:val="20"/>
              </w:rPr>
            </w:pPr>
            <w:r w:rsidRPr="00D7121B">
              <w:rPr>
                <w:rFonts w:ascii="Arial" w:hAnsi="Arial" w:cs="Arial"/>
                <w:b/>
                <w:bCs/>
                <w:color w:val="000000" w:themeColor="text1"/>
                <w:sz w:val="20"/>
                <w:szCs w:val="20"/>
              </w:rPr>
              <w:t>%</w:t>
            </w:r>
          </w:p>
        </w:tc>
        <w:tc>
          <w:tcPr>
            <w:tcW w:w="1133" w:type="dxa"/>
            <w:vMerge/>
          </w:tcPr>
          <w:p w14:paraId="304640FF" w14:textId="77777777" w:rsidR="00D7121B" w:rsidRPr="00D7121B" w:rsidRDefault="00D7121B" w:rsidP="008B0C0F">
            <w:pPr>
              <w:jc w:val="center"/>
              <w:rPr>
                <w:rFonts w:ascii="Arial" w:hAnsi="Arial" w:cs="Arial"/>
                <w:b/>
                <w:bCs/>
                <w:color w:val="000000" w:themeColor="text1"/>
                <w:sz w:val="20"/>
                <w:szCs w:val="20"/>
              </w:rPr>
            </w:pPr>
          </w:p>
        </w:tc>
      </w:tr>
      <w:tr w:rsidR="003B0067" w:rsidRPr="00D7121B" w14:paraId="270404A9" w14:textId="77777777" w:rsidTr="004E352F">
        <w:tc>
          <w:tcPr>
            <w:tcW w:w="567" w:type="dxa"/>
            <w:vMerge w:val="restart"/>
          </w:tcPr>
          <w:p w14:paraId="15ECE490" w14:textId="77777777" w:rsidR="00D7121B" w:rsidRPr="00D7121B" w:rsidRDefault="00D7121B" w:rsidP="008B0C0F">
            <w:pPr>
              <w:jc w:val="both"/>
              <w:rPr>
                <w:rFonts w:ascii="Arial" w:hAnsi="Arial" w:cs="Arial"/>
                <w:color w:val="000000" w:themeColor="text1"/>
                <w:sz w:val="20"/>
                <w:szCs w:val="20"/>
              </w:rPr>
            </w:pPr>
            <w:r w:rsidRPr="00D7121B">
              <w:rPr>
                <w:rFonts w:ascii="Arial" w:hAnsi="Arial" w:cs="Arial"/>
                <w:color w:val="000000" w:themeColor="text1"/>
                <w:sz w:val="20"/>
                <w:szCs w:val="20"/>
              </w:rPr>
              <w:t>Age</w:t>
            </w:r>
          </w:p>
        </w:tc>
        <w:tc>
          <w:tcPr>
            <w:tcW w:w="1716" w:type="dxa"/>
            <w:vAlign w:val="center"/>
          </w:tcPr>
          <w:p w14:paraId="3C092E12"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&gt; 30</w:t>
            </w:r>
          </w:p>
        </w:tc>
        <w:tc>
          <w:tcPr>
            <w:tcW w:w="1177" w:type="dxa"/>
          </w:tcPr>
          <w:p w14:paraId="47394680"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9</w:t>
            </w:r>
          </w:p>
        </w:tc>
        <w:tc>
          <w:tcPr>
            <w:tcW w:w="1385" w:type="dxa"/>
          </w:tcPr>
          <w:p w14:paraId="7B526DCB"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11.7</w:t>
            </w:r>
          </w:p>
        </w:tc>
        <w:tc>
          <w:tcPr>
            <w:tcW w:w="1070" w:type="dxa"/>
          </w:tcPr>
          <w:p w14:paraId="244B080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25</w:t>
            </w:r>
          </w:p>
        </w:tc>
        <w:tc>
          <w:tcPr>
            <w:tcW w:w="1060" w:type="dxa"/>
          </w:tcPr>
          <w:p w14:paraId="6D7F8AA5"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11.6</w:t>
            </w:r>
          </w:p>
        </w:tc>
        <w:tc>
          <w:tcPr>
            <w:tcW w:w="1133" w:type="dxa"/>
            <w:vMerge w:val="restart"/>
          </w:tcPr>
          <w:p w14:paraId="50F6CC2F" w14:textId="230792E0" w:rsidR="00D7121B" w:rsidRPr="00D7121B" w:rsidRDefault="00D7121B" w:rsidP="008B0C0F">
            <w:pPr>
              <w:jc w:val="center"/>
              <w:rPr>
                <w:rFonts w:ascii="Arial" w:hAnsi="Arial" w:cs="Arial"/>
                <w:color w:val="000000" w:themeColor="text1"/>
                <w:sz w:val="20"/>
                <w:szCs w:val="20"/>
                <w:vertAlign w:val="superscript"/>
              </w:rPr>
            </w:pPr>
            <w:r w:rsidRPr="00D7121B">
              <w:rPr>
                <w:rFonts w:ascii="Arial" w:hAnsi="Arial" w:cs="Arial"/>
                <w:color w:val="000000" w:themeColor="text1"/>
                <w:sz w:val="20"/>
                <w:szCs w:val="20"/>
              </w:rPr>
              <w:t>.02</w:t>
            </w:r>
            <w:r w:rsidRPr="00D7121B">
              <w:rPr>
                <w:rFonts w:ascii="Arial" w:hAnsi="Arial" w:cs="Arial"/>
                <w:color w:val="000000" w:themeColor="text1"/>
                <w:sz w:val="20"/>
                <w:szCs w:val="20"/>
                <w:vertAlign w:val="superscript"/>
              </w:rPr>
              <w:t>a</w:t>
            </w:r>
          </w:p>
        </w:tc>
      </w:tr>
      <w:tr w:rsidR="003B0067" w:rsidRPr="00D7121B" w14:paraId="41D3A97B" w14:textId="77777777" w:rsidTr="004E352F">
        <w:tc>
          <w:tcPr>
            <w:tcW w:w="567" w:type="dxa"/>
            <w:vMerge/>
          </w:tcPr>
          <w:p w14:paraId="60339C36" w14:textId="77777777" w:rsidR="00D7121B" w:rsidRPr="00D7121B" w:rsidRDefault="00D7121B" w:rsidP="008B0C0F">
            <w:pPr>
              <w:jc w:val="both"/>
              <w:rPr>
                <w:rFonts w:ascii="Arial" w:hAnsi="Arial" w:cs="Arial"/>
                <w:color w:val="000000" w:themeColor="text1"/>
                <w:sz w:val="20"/>
                <w:szCs w:val="20"/>
              </w:rPr>
            </w:pPr>
          </w:p>
        </w:tc>
        <w:tc>
          <w:tcPr>
            <w:tcW w:w="1716" w:type="dxa"/>
            <w:vAlign w:val="center"/>
          </w:tcPr>
          <w:p w14:paraId="36FCB522"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30 - 39</w:t>
            </w:r>
          </w:p>
        </w:tc>
        <w:tc>
          <w:tcPr>
            <w:tcW w:w="1177" w:type="dxa"/>
          </w:tcPr>
          <w:p w14:paraId="17BDBA50"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37</w:t>
            </w:r>
          </w:p>
        </w:tc>
        <w:tc>
          <w:tcPr>
            <w:tcW w:w="1385" w:type="dxa"/>
          </w:tcPr>
          <w:p w14:paraId="64A1442F"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48.1</w:t>
            </w:r>
          </w:p>
        </w:tc>
        <w:tc>
          <w:tcPr>
            <w:tcW w:w="1070" w:type="dxa"/>
          </w:tcPr>
          <w:p w14:paraId="19C1B6F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103</w:t>
            </w:r>
          </w:p>
        </w:tc>
        <w:tc>
          <w:tcPr>
            <w:tcW w:w="1060" w:type="dxa"/>
          </w:tcPr>
          <w:p w14:paraId="3794C6D2"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47.9</w:t>
            </w:r>
          </w:p>
        </w:tc>
        <w:tc>
          <w:tcPr>
            <w:tcW w:w="1133" w:type="dxa"/>
            <w:vMerge/>
          </w:tcPr>
          <w:p w14:paraId="619C3CC1" w14:textId="77777777" w:rsidR="00D7121B" w:rsidRPr="00D7121B" w:rsidRDefault="00D7121B" w:rsidP="008B0C0F">
            <w:pPr>
              <w:jc w:val="center"/>
              <w:rPr>
                <w:rFonts w:ascii="Arial" w:hAnsi="Arial" w:cs="Arial"/>
                <w:color w:val="000000" w:themeColor="text1"/>
                <w:sz w:val="20"/>
                <w:szCs w:val="20"/>
              </w:rPr>
            </w:pPr>
          </w:p>
        </w:tc>
      </w:tr>
      <w:tr w:rsidR="003B0067" w:rsidRPr="00D7121B" w14:paraId="4B6B8E4D" w14:textId="77777777" w:rsidTr="004E352F">
        <w:tc>
          <w:tcPr>
            <w:tcW w:w="567" w:type="dxa"/>
            <w:vMerge/>
          </w:tcPr>
          <w:p w14:paraId="7019A6B4" w14:textId="77777777" w:rsidR="00D7121B" w:rsidRPr="00D7121B" w:rsidRDefault="00D7121B" w:rsidP="008B0C0F">
            <w:pPr>
              <w:jc w:val="both"/>
              <w:rPr>
                <w:rFonts w:ascii="Arial" w:hAnsi="Arial" w:cs="Arial"/>
                <w:color w:val="000000" w:themeColor="text1"/>
                <w:sz w:val="20"/>
                <w:szCs w:val="20"/>
              </w:rPr>
            </w:pPr>
          </w:p>
        </w:tc>
        <w:tc>
          <w:tcPr>
            <w:tcW w:w="1716" w:type="dxa"/>
            <w:vAlign w:val="center"/>
          </w:tcPr>
          <w:p w14:paraId="231D2B1F"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40 - 49</w:t>
            </w:r>
          </w:p>
        </w:tc>
        <w:tc>
          <w:tcPr>
            <w:tcW w:w="1177" w:type="dxa"/>
          </w:tcPr>
          <w:p w14:paraId="310C151C"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30</w:t>
            </w:r>
          </w:p>
        </w:tc>
        <w:tc>
          <w:tcPr>
            <w:tcW w:w="1385" w:type="dxa"/>
          </w:tcPr>
          <w:p w14:paraId="3792ACA3"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39.0</w:t>
            </w:r>
          </w:p>
        </w:tc>
        <w:tc>
          <w:tcPr>
            <w:tcW w:w="1070" w:type="dxa"/>
          </w:tcPr>
          <w:p w14:paraId="10F5BE69"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85</w:t>
            </w:r>
          </w:p>
        </w:tc>
        <w:tc>
          <w:tcPr>
            <w:tcW w:w="1060" w:type="dxa"/>
          </w:tcPr>
          <w:p w14:paraId="3E9689C7"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39.5</w:t>
            </w:r>
          </w:p>
        </w:tc>
        <w:tc>
          <w:tcPr>
            <w:tcW w:w="1133" w:type="dxa"/>
            <w:vMerge/>
          </w:tcPr>
          <w:p w14:paraId="303063A5" w14:textId="77777777" w:rsidR="00D7121B" w:rsidRPr="00D7121B" w:rsidRDefault="00D7121B" w:rsidP="008B0C0F">
            <w:pPr>
              <w:jc w:val="center"/>
              <w:rPr>
                <w:rFonts w:ascii="Arial" w:hAnsi="Arial" w:cs="Arial"/>
                <w:color w:val="000000" w:themeColor="text1"/>
                <w:sz w:val="20"/>
                <w:szCs w:val="20"/>
              </w:rPr>
            </w:pPr>
          </w:p>
        </w:tc>
      </w:tr>
      <w:tr w:rsidR="003B0067" w:rsidRPr="00D7121B" w14:paraId="0A5BFCC8" w14:textId="77777777" w:rsidTr="004E352F">
        <w:tc>
          <w:tcPr>
            <w:tcW w:w="567" w:type="dxa"/>
            <w:vMerge/>
          </w:tcPr>
          <w:p w14:paraId="783F063F" w14:textId="77777777" w:rsidR="00D7121B" w:rsidRPr="00D7121B" w:rsidRDefault="00D7121B" w:rsidP="008B0C0F">
            <w:pPr>
              <w:jc w:val="both"/>
              <w:rPr>
                <w:rFonts w:ascii="Arial" w:hAnsi="Arial" w:cs="Arial"/>
                <w:color w:val="000000" w:themeColor="text1"/>
                <w:sz w:val="20"/>
                <w:szCs w:val="20"/>
              </w:rPr>
            </w:pPr>
          </w:p>
        </w:tc>
        <w:tc>
          <w:tcPr>
            <w:tcW w:w="1716" w:type="dxa"/>
            <w:vAlign w:val="center"/>
          </w:tcPr>
          <w:p w14:paraId="24DF9CC5"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 50</w:t>
            </w:r>
          </w:p>
        </w:tc>
        <w:tc>
          <w:tcPr>
            <w:tcW w:w="1177" w:type="dxa"/>
          </w:tcPr>
          <w:p w14:paraId="318DEB0A"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w:t>
            </w:r>
          </w:p>
        </w:tc>
        <w:tc>
          <w:tcPr>
            <w:tcW w:w="1385" w:type="dxa"/>
          </w:tcPr>
          <w:p w14:paraId="2C7E9E53"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1.3</w:t>
            </w:r>
          </w:p>
        </w:tc>
        <w:tc>
          <w:tcPr>
            <w:tcW w:w="1070" w:type="dxa"/>
          </w:tcPr>
          <w:p w14:paraId="108C98C4"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w:t>
            </w:r>
          </w:p>
        </w:tc>
        <w:tc>
          <w:tcPr>
            <w:tcW w:w="1060" w:type="dxa"/>
          </w:tcPr>
          <w:p w14:paraId="7CCD5D08"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0.9</w:t>
            </w:r>
          </w:p>
        </w:tc>
        <w:tc>
          <w:tcPr>
            <w:tcW w:w="1133" w:type="dxa"/>
            <w:vMerge/>
          </w:tcPr>
          <w:p w14:paraId="6D770732" w14:textId="77777777" w:rsidR="00D7121B" w:rsidRPr="00D7121B" w:rsidRDefault="00D7121B" w:rsidP="008B0C0F">
            <w:pPr>
              <w:jc w:val="center"/>
              <w:rPr>
                <w:rFonts w:ascii="Arial" w:hAnsi="Arial" w:cs="Arial"/>
                <w:color w:val="000000" w:themeColor="text1"/>
                <w:sz w:val="20"/>
                <w:szCs w:val="20"/>
              </w:rPr>
            </w:pPr>
          </w:p>
        </w:tc>
      </w:tr>
      <w:tr w:rsidR="003B0067" w:rsidRPr="00D7121B" w14:paraId="79E14151" w14:textId="77777777" w:rsidTr="004E352F">
        <w:tc>
          <w:tcPr>
            <w:tcW w:w="567" w:type="dxa"/>
            <w:vMerge w:val="restart"/>
          </w:tcPr>
          <w:p w14:paraId="05FD42A0" w14:textId="77777777" w:rsidR="00D7121B" w:rsidRPr="00D7121B" w:rsidRDefault="00D7121B" w:rsidP="008B0C0F">
            <w:pPr>
              <w:jc w:val="both"/>
              <w:rPr>
                <w:rFonts w:ascii="Arial" w:hAnsi="Arial" w:cs="Arial"/>
                <w:color w:val="000000" w:themeColor="text1"/>
                <w:sz w:val="20"/>
                <w:szCs w:val="20"/>
              </w:rPr>
            </w:pPr>
            <w:r w:rsidRPr="00D7121B">
              <w:rPr>
                <w:rFonts w:ascii="Arial" w:hAnsi="Arial" w:cs="Arial"/>
                <w:color w:val="000000" w:themeColor="text1"/>
                <w:sz w:val="20"/>
                <w:szCs w:val="20"/>
              </w:rPr>
              <w:t>Obstetric history</w:t>
            </w:r>
          </w:p>
        </w:tc>
        <w:tc>
          <w:tcPr>
            <w:tcW w:w="1716" w:type="dxa"/>
          </w:tcPr>
          <w:p w14:paraId="5FF1AFEB"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Nulliparous</w:t>
            </w:r>
          </w:p>
        </w:tc>
        <w:tc>
          <w:tcPr>
            <w:tcW w:w="1177" w:type="dxa"/>
          </w:tcPr>
          <w:p w14:paraId="55F6A243"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18</w:t>
            </w:r>
          </w:p>
        </w:tc>
        <w:tc>
          <w:tcPr>
            <w:tcW w:w="1385" w:type="dxa"/>
          </w:tcPr>
          <w:p w14:paraId="71BBC0A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23.4</w:t>
            </w:r>
          </w:p>
        </w:tc>
        <w:tc>
          <w:tcPr>
            <w:tcW w:w="1070" w:type="dxa"/>
          </w:tcPr>
          <w:p w14:paraId="4ADA981D"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47</w:t>
            </w:r>
          </w:p>
        </w:tc>
        <w:tc>
          <w:tcPr>
            <w:tcW w:w="1060" w:type="dxa"/>
          </w:tcPr>
          <w:p w14:paraId="3F0A7B75"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21.9</w:t>
            </w:r>
          </w:p>
        </w:tc>
        <w:tc>
          <w:tcPr>
            <w:tcW w:w="1133" w:type="dxa"/>
            <w:vMerge w:val="restart"/>
          </w:tcPr>
          <w:p w14:paraId="102F1910" w14:textId="0F71CC6E"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.87</w:t>
            </w:r>
            <w:r w:rsidRPr="00D7121B">
              <w:rPr>
                <w:rFonts w:ascii="Arial" w:hAnsi="Arial" w:cs="Arial"/>
                <w:color w:val="000000" w:themeColor="text1"/>
                <w:sz w:val="20"/>
                <w:szCs w:val="20"/>
                <w:vertAlign w:val="superscript"/>
              </w:rPr>
              <w:t>a</w:t>
            </w:r>
          </w:p>
        </w:tc>
      </w:tr>
      <w:tr w:rsidR="003B0067" w:rsidRPr="00D7121B" w14:paraId="4D9D519D" w14:textId="77777777" w:rsidTr="004E352F">
        <w:tc>
          <w:tcPr>
            <w:tcW w:w="567" w:type="dxa"/>
            <w:vMerge/>
          </w:tcPr>
          <w:p w14:paraId="5193BDB5" w14:textId="77777777" w:rsidR="00D7121B" w:rsidRPr="00D7121B" w:rsidRDefault="00D7121B" w:rsidP="008B0C0F">
            <w:pPr>
              <w:jc w:val="both"/>
              <w:rPr>
                <w:rFonts w:ascii="Arial" w:hAnsi="Arial" w:cs="Arial"/>
                <w:color w:val="000000" w:themeColor="text1"/>
                <w:sz w:val="20"/>
                <w:szCs w:val="20"/>
              </w:rPr>
            </w:pPr>
          </w:p>
        </w:tc>
        <w:tc>
          <w:tcPr>
            <w:tcW w:w="1716" w:type="dxa"/>
          </w:tcPr>
          <w:p w14:paraId="2BE19735"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1 child</w:t>
            </w:r>
          </w:p>
        </w:tc>
        <w:tc>
          <w:tcPr>
            <w:tcW w:w="1177" w:type="dxa"/>
          </w:tcPr>
          <w:p w14:paraId="0872868D"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16</w:t>
            </w:r>
          </w:p>
        </w:tc>
        <w:tc>
          <w:tcPr>
            <w:tcW w:w="1385" w:type="dxa"/>
          </w:tcPr>
          <w:p w14:paraId="2CA08ED7"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20.8</w:t>
            </w:r>
          </w:p>
        </w:tc>
        <w:tc>
          <w:tcPr>
            <w:tcW w:w="1070" w:type="dxa"/>
          </w:tcPr>
          <w:p w14:paraId="269489C0"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42</w:t>
            </w:r>
          </w:p>
        </w:tc>
        <w:tc>
          <w:tcPr>
            <w:tcW w:w="1060" w:type="dxa"/>
          </w:tcPr>
          <w:p w14:paraId="2B7554B5"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19.5</w:t>
            </w:r>
          </w:p>
        </w:tc>
        <w:tc>
          <w:tcPr>
            <w:tcW w:w="1133" w:type="dxa"/>
            <w:vMerge/>
          </w:tcPr>
          <w:p w14:paraId="4F3F61F2" w14:textId="77777777" w:rsidR="00D7121B" w:rsidRPr="00D7121B" w:rsidRDefault="00D7121B" w:rsidP="008B0C0F">
            <w:pPr>
              <w:jc w:val="center"/>
              <w:rPr>
                <w:rFonts w:ascii="Arial" w:hAnsi="Arial" w:cs="Arial"/>
                <w:color w:val="000000" w:themeColor="text1"/>
                <w:sz w:val="20"/>
                <w:szCs w:val="20"/>
              </w:rPr>
            </w:pPr>
          </w:p>
        </w:tc>
      </w:tr>
      <w:tr w:rsidR="003B0067" w:rsidRPr="00D7121B" w14:paraId="526A0C57" w14:textId="77777777" w:rsidTr="004E352F">
        <w:tc>
          <w:tcPr>
            <w:tcW w:w="567" w:type="dxa"/>
            <w:vMerge/>
          </w:tcPr>
          <w:p w14:paraId="2750BF91" w14:textId="77777777" w:rsidR="00D7121B" w:rsidRPr="00D7121B" w:rsidRDefault="00D7121B" w:rsidP="008B0C0F">
            <w:pPr>
              <w:jc w:val="both"/>
              <w:rPr>
                <w:rFonts w:ascii="Arial" w:hAnsi="Arial" w:cs="Arial"/>
                <w:color w:val="000000" w:themeColor="text1"/>
                <w:sz w:val="20"/>
                <w:szCs w:val="20"/>
              </w:rPr>
            </w:pPr>
          </w:p>
        </w:tc>
        <w:tc>
          <w:tcPr>
            <w:tcW w:w="1716" w:type="dxa"/>
          </w:tcPr>
          <w:p w14:paraId="5FD1D4BF"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2 children</w:t>
            </w:r>
          </w:p>
        </w:tc>
        <w:tc>
          <w:tcPr>
            <w:tcW w:w="1177" w:type="dxa"/>
          </w:tcPr>
          <w:p w14:paraId="0FDB90A3"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36</w:t>
            </w:r>
          </w:p>
        </w:tc>
        <w:tc>
          <w:tcPr>
            <w:tcW w:w="1385" w:type="dxa"/>
          </w:tcPr>
          <w:p w14:paraId="75486A3E"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46.8</w:t>
            </w:r>
          </w:p>
        </w:tc>
        <w:tc>
          <w:tcPr>
            <w:tcW w:w="1070" w:type="dxa"/>
          </w:tcPr>
          <w:p w14:paraId="7620D317"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101</w:t>
            </w:r>
          </w:p>
        </w:tc>
        <w:tc>
          <w:tcPr>
            <w:tcW w:w="1060" w:type="dxa"/>
          </w:tcPr>
          <w:p w14:paraId="644F223F"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47.0</w:t>
            </w:r>
          </w:p>
        </w:tc>
        <w:tc>
          <w:tcPr>
            <w:tcW w:w="1133" w:type="dxa"/>
            <w:vMerge/>
          </w:tcPr>
          <w:p w14:paraId="4AE1C5B2" w14:textId="77777777" w:rsidR="00D7121B" w:rsidRPr="00D7121B" w:rsidRDefault="00D7121B" w:rsidP="008B0C0F">
            <w:pPr>
              <w:jc w:val="center"/>
              <w:rPr>
                <w:rFonts w:ascii="Arial" w:hAnsi="Arial" w:cs="Arial"/>
                <w:color w:val="000000" w:themeColor="text1"/>
                <w:sz w:val="20"/>
                <w:szCs w:val="20"/>
              </w:rPr>
            </w:pPr>
          </w:p>
        </w:tc>
      </w:tr>
      <w:tr w:rsidR="003B0067" w:rsidRPr="00D7121B" w14:paraId="635FA4AD" w14:textId="77777777" w:rsidTr="004E352F">
        <w:tc>
          <w:tcPr>
            <w:tcW w:w="567" w:type="dxa"/>
            <w:vMerge/>
          </w:tcPr>
          <w:p w14:paraId="496834CE" w14:textId="77777777" w:rsidR="00D7121B" w:rsidRPr="00D7121B" w:rsidRDefault="00D7121B" w:rsidP="008B0C0F">
            <w:pPr>
              <w:jc w:val="both"/>
              <w:rPr>
                <w:rFonts w:ascii="Arial" w:hAnsi="Arial" w:cs="Arial"/>
                <w:color w:val="000000" w:themeColor="text1"/>
                <w:sz w:val="20"/>
                <w:szCs w:val="20"/>
              </w:rPr>
            </w:pPr>
          </w:p>
        </w:tc>
        <w:tc>
          <w:tcPr>
            <w:tcW w:w="1716" w:type="dxa"/>
          </w:tcPr>
          <w:p w14:paraId="3DBE9C73"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≥3 children</w:t>
            </w:r>
          </w:p>
        </w:tc>
        <w:tc>
          <w:tcPr>
            <w:tcW w:w="1177" w:type="dxa"/>
          </w:tcPr>
          <w:p w14:paraId="5484CAE8"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7</w:t>
            </w:r>
          </w:p>
        </w:tc>
        <w:tc>
          <w:tcPr>
            <w:tcW w:w="1385" w:type="dxa"/>
          </w:tcPr>
          <w:p w14:paraId="05690C0A"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9.1</w:t>
            </w:r>
          </w:p>
        </w:tc>
        <w:tc>
          <w:tcPr>
            <w:tcW w:w="1070" w:type="dxa"/>
          </w:tcPr>
          <w:p w14:paraId="29FF825F"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25</w:t>
            </w:r>
          </w:p>
        </w:tc>
        <w:tc>
          <w:tcPr>
            <w:tcW w:w="1060" w:type="dxa"/>
          </w:tcPr>
          <w:p w14:paraId="4A394CD4"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11.6</w:t>
            </w:r>
          </w:p>
        </w:tc>
        <w:tc>
          <w:tcPr>
            <w:tcW w:w="1133" w:type="dxa"/>
            <w:vMerge/>
          </w:tcPr>
          <w:p w14:paraId="13454473" w14:textId="77777777" w:rsidR="00D7121B" w:rsidRPr="00D7121B" w:rsidRDefault="00D7121B" w:rsidP="008B0C0F">
            <w:pPr>
              <w:jc w:val="center"/>
              <w:rPr>
                <w:rFonts w:ascii="Arial" w:hAnsi="Arial" w:cs="Arial"/>
                <w:color w:val="000000" w:themeColor="text1"/>
                <w:sz w:val="20"/>
                <w:szCs w:val="20"/>
              </w:rPr>
            </w:pPr>
          </w:p>
        </w:tc>
      </w:tr>
      <w:tr w:rsidR="003B0067" w:rsidRPr="00D7121B" w14:paraId="0E6D5677" w14:textId="77777777" w:rsidTr="004E352F">
        <w:tc>
          <w:tcPr>
            <w:tcW w:w="567" w:type="dxa"/>
            <w:vMerge w:val="restart"/>
          </w:tcPr>
          <w:p w14:paraId="673D63D3"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Menstrual history</w:t>
            </w:r>
          </w:p>
        </w:tc>
        <w:tc>
          <w:tcPr>
            <w:tcW w:w="1716" w:type="dxa"/>
          </w:tcPr>
          <w:p w14:paraId="392B93D5"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Normal</w:t>
            </w:r>
          </w:p>
        </w:tc>
        <w:tc>
          <w:tcPr>
            <w:tcW w:w="1177" w:type="dxa"/>
          </w:tcPr>
          <w:p w14:paraId="57D327B9"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36</w:t>
            </w:r>
          </w:p>
        </w:tc>
        <w:tc>
          <w:tcPr>
            <w:tcW w:w="1385" w:type="dxa"/>
          </w:tcPr>
          <w:p w14:paraId="5AA7B9C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46.8</w:t>
            </w:r>
          </w:p>
        </w:tc>
        <w:tc>
          <w:tcPr>
            <w:tcW w:w="1070" w:type="dxa"/>
          </w:tcPr>
          <w:p w14:paraId="6F8ECB6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104</w:t>
            </w:r>
          </w:p>
        </w:tc>
        <w:tc>
          <w:tcPr>
            <w:tcW w:w="1060" w:type="dxa"/>
          </w:tcPr>
          <w:p w14:paraId="541E0C87"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48.4</w:t>
            </w:r>
          </w:p>
        </w:tc>
        <w:tc>
          <w:tcPr>
            <w:tcW w:w="1133" w:type="dxa"/>
            <w:vMerge w:val="restart"/>
          </w:tcPr>
          <w:p w14:paraId="1FD37647" w14:textId="236D04EE"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.02</w:t>
            </w:r>
            <w:r w:rsidRPr="00D7121B">
              <w:rPr>
                <w:rFonts w:ascii="Arial" w:hAnsi="Arial" w:cs="Arial"/>
                <w:color w:val="000000" w:themeColor="text1"/>
                <w:sz w:val="20"/>
                <w:szCs w:val="20"/>
                <w:vertAlign w:val="superscript"/>
              </w:rPr>
              <w:t>b</w:t>
            </w:r>
          </w:p>
        </w:tc>
      </w:tr>
      <w:tr w:rsidR="003B0067" w:rsidRPr="00D7121B" w14:paraId="2E6A2555" w14:textId="77777777" w:rsidTr="004E352F">
        <w:tc>
          <w:tcPr>
            <w:tcW w:w="567" w:type="dxa"/>
            <w:vMerge/>
          </w:tcPr>
          <w:p w14:paraId="139AD073" w14:textId="77777777" w:rsidR="00D7121B" w:rsidRPr="00D7121B" w:rsidRDefault="00D7121B" w:rsidP="008B0C0F">
            <w:pPr>
              <w:rPr>
                <w:rFonts w:ascii="Arial" w:hAnsi="Arial" w:cs="Arial"/>
                <w:color w:val="000000" w:themeColor="text1"/>
                <w:sz w:val="20"/>
                <w:szCs w:val="20"/>
              </w:rPr>
            </w:pPr>
          </w:p>
        </w:tc>
        <w:tc>
          <w:tcPr>
            <w:tcW w:w="1716" w:type="dxa"/>
          </w:tcPr>
          <w:p w14:paraId="353B8E9D"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Menorrhagia</w:t>
            </w:r>
          </w:p>
        </w:tc>
        <w:tc>
          <w:tcPr>
            <w:tcW w:w="1177" w:type="dxa"/>
          </w:tcPr>
          <w:p w14:paraId="48DAF7C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38</w:t>
            </w:r>
          </w:p>
        </w:tc>
        <w:tc>
          <w:tcPr>
            <w:tcW w:w="1385" w:type="dxa"/>
          </w:tcPr>
          <w:p w14:paraId="13603F7F"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49.4</w:t>
            </w:r>
          </w:p>
        </w:tc>
        <w:tc>
          <w:tcPr>
            <w:tcW w:w="1070" w:type="dxa"/>
          </w:tcPr>
          <w:p w14:paraId="6E70B96F"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103</w:t>
            </w:r>
          </w:p>
        </w:tc>
        <w:tc>
          <w:tcPr>
            <w:tcW w:w="1060" w:type="dxa"/>
          </w:tcPr>
          <w:p w14:paraId="7586D068"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47.9</w:t>
            </w:r>
          </w:p>
        </w:tc>
        <w:tc>
          <w:tcPr>
            <w:tcW w:w="1133" w:type="dxa"/>
            <w:vMerge/>
          </w:tcPr>
          <w:p w14:paraId="4FF61400" w14:textId="77777777" w:rsidR="00D7121B" w:rsidRPr="00D7121B" w:rsidRDefault="00D7121B" w:rsidP="008B0C0F">
            <w:pPr>
              <w:jc w:val="center"/>
              <w:rPr>
                <w:rFonts w:ascii="Arial" w:hAnsi="Arial" w:cs="Arial"/>
                <w:color w:val="000000" w:themeColor="text1"/>
                <w:sz w:val="20"/>
                <w:szCs w:val="20"/>
              </w:rPr>
            </w:pPr>
          </w:p>
        </w:tc>
      </w:tr>
      <w:tr w:rsidR="003B0067" w:rsidRPr="00D7121B" w14:paraId="14FDB46D" w14:textId="77777777" w:rsidTr="004E352F">
        <w:tc>
          <w:tcPr>
            <w:tcW w:w="567" w:type="dxa"/>
            <w:vMerge/>
          </w:tcPr>
          <w:p w14:paraId="392705D8" w14:textId="77777777" w:rsidR="00D7121B" w:rsidRPr="00D7121B" w:rsidRDefault="00D7121B" w:rsidP="008B0C0F">
            <w:pPr>
              <w:rPr>
                <w:rFonts w:ascii="Arial" w:hAnsi="Arial" w:cs="Arial"/>
                <w:color w:val="000000" w:themeColor="text1"/>
                <w:sz w:val="20"/>
                <w:szCs w:val="20"/>
              </w:rPr>
            </w:pPr>
          </w:p>
        </w:tc>
        <w:tc>
          <w:tcPr>
            <w:tcW w:w="1716" w:type="dxa"/>
          </w:tcPr>
          <w:p w14:paraId="291812C0"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Metrorrhagia</w:t>
            </w:r>
          </w:p>
        </w:tc>
        <w:tc>
          <w:tcPr>
            <w:tcW w:w="1177" w:type="dxa"/>
          </w:tcPr>
          <w:p w14:paraId="1B941D14"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w:t>
            </w:r>
          </w:p>
        </w:tc>
        <w:tc>
          <w:tcPr>
            <w:tcW w:w="1385" w:type="dxa"/>
          </w:tcPr>
          <w:p w14:paraId="1C2C4D21"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2.6</w:t>
            </w:r>
          </w:p>
        </w:tc>
        <w:tc>
          <w:tcPr>
            <w:tcW w:w="1070" w:type="dxa"/>
          </w:tcPr>
          <w:p w14:paraId="6A979BB0"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8</w:t>
            </w:r>
          </w:p>
        </w:tc>
        <w:tc>
          <w:tcPr>
            <w:tcW w:w="1060" w:type="dxa"/>
          </w:tcPr>
          <w:p w14:paraId="553CB1B0"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3.7</w:t>
            </w:r>
          </w:p>
        </w:tc>
        <w:tc>
          <w:tcPr>
            <w:tcW w:w="1133" w:type="dxa"/>
            <w:vMerge/>
          </w:tcPr>
          <w:p w14:paraId="1479855B" w14:textId="77777777" w:rsidR="00D7121B" w:rsidRPr="00D7121B" w:rsidRDefault="00D7121B" w:rsidP="008B0C0F">
            <w:pPr>
              <w:jc w:val="center"/>
              <w:rPr>
                <w:rFonts w:ascii="Arial" w:hAnsi="Arial" w:cs="Arial"/>
                <w:color w:val="000000" w:themeColor="text1"/>
                <w:sz w:val="20"/>
                <w:szCs w:val="20"/>
              </w:rPr>
            </w:pPr>
          </w:p>
        </w:tc>
      </w:tr>
      <w:tr w:rsidR="003B0067" w:rsidRPr="00D7121B" w14:paraId="5AF81ECF" w14:textId="77777777" w:rsidTr="004E352F">
        <w:tc>
          <w:tcPr>
            <w:tcW w:w="567" w:type="dxa"/>
            <w:vMerge/>
          </w:tcPr>
          <w:p w14:paraId="63FF6E32" w14:textId="77777777" w:rsidR="00D7121B" w:rsidRPr="00D7121B" w:rsidRDefault="00D7121B" w:rsidP="008B0C0F">
            <w:pPr>
              <w:rPr>
                <w:rFonts w:ascii="Arial" w:hAnsi="Arial" w:cs="Arial"/>
                <w:color w:val="000000" w:themeColor="text1"/>
                <w:sz w:val="20"/>
                <w:szCs w:val="20"/>
              </w:rPr>
            </w:pPr>
          </w:p>
        </w:tc>
        <w:tc>
          <w:tcPr>
            <w:tcW w:w="1716" w:type="dxa"/>
          </w:tcPr>
          <w:p w14:paraId="593361A2"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Postmenopausal</w:t>
            </w:r>
          </w:p>
        </w:tc>
        <w:tc>
          <w:tcPr>
            <w:tcW w:w="1177" w:type="dxa"/>
          </w:tcPr>
          <w:p w14:paraId="23356C27"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w:t>
            </w:r>
          </w:p>
        </w:tc>
        <w:tc>
          <w:tcPr>
            <w:tcW w:w="1385" w:type="dxa"/>
          </w:tcPr>
          <w:p w14:paraId="5382E803"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1.3</w:t>
            </w:r>
          </w:p>
        </w:tc>
        <w:tc>
          <w:tcPr>
            <w:tcW w:w="1070" w:type="dxa"/>
          </w:tcPr>
          <w:p w14:paraId="600B9EBE"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0</w:t>
            </w:r>
          </w:p>
        </w:tc>
        <w:tc>
          <w:tcPr>
            <w:tcW w:w="1060" w:type="dxa"/>
          </w:tcPr>
          <w:p w14:paraId="38D5CF31"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0.0</w:t>
            </w:r>
          </w:p>
        </w:tc>
        <w:tc>
          <w:tcPr>
            <w:tcW w:w="1133" w:type="dxa"/>
            <w:vMerge/>
          </w:tcPr>
          <w:p w14:paraId="7D7A616A" w14:textId="77777777" w:rsidR="00D7121B" w:rsidRPr="00D7121B" w:rsidRDefault="00D7121B" w:rsidP="008B0C0F">
            <w:pPr>
              <w:jc w:val="center"/>
              <w:rPr>
                <w:rFonts w:ascii="Arial" w:hAnsi="Arial" w:cs="Arial"/>
                <w:color w:val="000000" w:themeColor="text1"/>
                <w:sz w:val="20"/>
                <w:szCs w:val="20"/>
              </w:rPr>
            </w:pPr>
          </w:p>
        </w:tc>
      </w:tr>
      <w:tr w:rsidR="003B0067" w:rsidRPr="00D7121B" w14:paraId="3C74049B" w14:textId="77777777" w:rsidTr="004E352F">
        <w:tc>
          <w:tcPr>
            <w:tcW w:w="567" w:type="dxa"/>
            <w:vMerge w:val="restart"/>
          </w:tcPr>
          <w:p w14:paraId="7BC2DC6A"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History of abdominal surgery</w:t>
            </w:r>
          </w:p>
        </w:tc>
        <w:tc>
          <w:tcPr>
            <w:tcW w:w="1716" w:type="dxa"/>
          </w:tcPr>
          <w:p w14:paraId="7D8EB9F4"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None</w:t>
            </w:r>
          </w:p>
        </w:tc>
        <w:tc>
          <w:tcPr>
            <w:tcW w:w="1177" w:type="dxa"/>
          </w:tcPr>
          <w:p w14:paraId="6780B19C"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58</w:t>
            </w:r>
          </w:p>
        </w:tc>
        <w:tc>
          <w:tcPr>
            <w:tcW w:w="1385" w:type="dxa"/>
          </w:tcPr>
          <w:p w14:paraId="4F2AA422"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75.3</w:t>
            </w:r>
          </w:p>
        </w:tc>
        <w:tc>
          <w:tcPr>
            <w:tcW w:w="1070" w:type="dxa"/>
          </w:tcPr>
          <w:p w14:paraId="31E78CDC"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161</w:t>
            </w:r>
          </w:p>
        </w:tc>
        <w:tc>
          <w:tcPr>
            <w:tcW w:w="1060" w:type="dxa"/>
          </w:tcPr>
          <w:p w14:paraId="1B13ABF7"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74.9</w:t>
            </w:r>
          </w:p>
        </w:tc>
        <w:tc>
          <w:tcPr>
            <w:tcW w:w="1133" w:type="dxa"/>
            <w:vMerge w:val="restart"/>
          </w:tcPr>
          <w:p w14:paraId="5CB8E69D" w14:textId="2862D28A" w:rsidR="00D7121B" w:rsidRPr="00D7121B" w:rsidRDefault="00D7121B" w:rsidP="008B0C0F">
            <w:pPr>
              <w:jc w:val="center"/>
              <w:rPr>
                <w:rFonts w:ascii="Arial" w:hAnsi="Arial" w:cs="Arial"/>
                <w:color w:val="000000" w:themeColor="text1"/>
                <w:sz w:val="20"/>
                <w:szCs w:val="20"/>
                <w:lang w:val="vi-VN"/>
              </w:rPr>
            </w:pPr>
            <w:r w:rsidRPr="00D7121B">
              <w:rPr>
                <w:rFonts w:ascii="Arial" w:hAnsi="Arial" w:cs="Arial"/>
                <w:color w:val="000000" w:themeColor="text1"/>
                <w:sz w:val="20"/>
                <w:szCs w:val="20"/>
              </w:rPr>
              <w:t>.91</w:t>
            </w:r>
            <w:r w:rsidRPr="00D7121B">
              <w:rPr>
                <w:rFonts w:ascii="Arial" w:hAnsi="Arial" w:cs="Arial"/>
                <w:color w:val="000000" w:themeColor="text1"/>
                <w:sz w:val="20"/>
                <w:szCs w:val="20"/>
                <w:vertAlign w:val="superscript"/>
              </w:rPr>
              <w:t>a</w:t>
            </w:r>
          </w:p>
        </w:tc>
      </w:tr>
      <w:tr w:rsidR="003B0067" w:rsidRPr="00D7121B" w14:paraId="099D50AC" w14:textId="77777777" w:rsidTr="004E352F">
        <w:tc>
          <w:tcPr>
            <w:tcW w:w="567" w:type="dxa"/>
            <w:vMerge/>
          </w:tcPr>
          <w:p w14:paraId="49E1738B" w14:textId="77777777" w:rsidR="00D7121B" w:rsidRPr="00D7121B" w:rsidRDefault="00D7121B" w:rsidP="008B0C0F">
            <w:pPr>
              <w:rPr>
                <w:rFonts w:ascii="Arial" w:hAnsi="Arial" w:cs="Arial"/>
                <w:color w:val="000000" w:themeColor="text1"/>
                <w:sz w:val="20"/>
                <w:szCs w:val="20"/>
              </w:rPr>
            </w:pPr>
          </w:p>
        </w:tc>
        <w:tc>
          <w:tcPr>
            <w:tcW w:w="1716" w:type="dxa"/>
          </w:tcPr>
          <w:p w14:paraId="691A6F0A"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1 time</w:t>
            </w:r>
          </w:p>
        </w:tc>
        <w:tc>
          <w:tcPr>
            <w:tcW w:w="1177" w:type="dxa"/>
          </w:tcPr>
          <w:p w14:paraId="3622C0C7"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9</w:t>
            </w:r>
          </w:p>
        </w:tc>
        <w:tc>
          <w:tcPr>
            <w:tcW w:w="1385" w:type="dxa"/>
          </w:tcPr>
          <w:p w14:paraId="6E4A6C94"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11.7</w:t>
            </w:r>
          </w:p>
        </w:tc>
        <w:tc>
          <w:tcPr>
            <w:tcW w:w="1070" w:type="dxa"/>
          </w:tcPr>
          <w:p w14:paraId="38346540"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29</w:t>
            </w:r>
          </w:p>
        </w:tc>
        <w:tc>
          <w:tcPr>
            <w:tcW w:w="1060" w:type="dxa"/>
          </w:tcPr>
          <w:p w14:paraId="4D1D08EA"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13.5</w:t>
            </w:r>
          </w:p>
        </w:tc>
        <w:tc>
          <w:tcPr>
            <w:tcW w:w="1133" w:type="dxa"/>
            <w:vMerge/>
          </w:tcPr>
          <w:p w14:paraId="6DEBC97A" w14:textId="77777777" w:rsidR="00D7121B" w:rsidRPr="00D7121B" w:rsidRDefault="00D7121B" w:rsidP="008B0C0F">
            <w:pPr>
              <w:jc w:val="center"/>
              <w:rPr>
                <w:rFonts w:ascii="Arial" w:hAnsi="Arial" w:cs="Arial"/>
                <w:color w:val="000000" w:themeColor="text1"/>
                <w:sz w:val="20"/>
                <w:szCs w:val="20"/>
              </w:rPr>
            </w:pPr>
          </w:p>
        </w:tc>
      </w:tr>
      <w:tr w:rsidR="003B0067" w:rsidRPr="00D7121B" w14:paraId="2B44F635" w14:textId="77777777" w:rsidTr="004E352F">
        <w:tc>
          <w:tcPr>
            <w:tcW w:w="567" w:type="dxa"/>
            <w:vMerge/>
          </w:tcPr>
          <w:p w14:paraId="732C99FE" w14:textId="77777777" w:rsidR="00D7121B" w:rsidRPr="00D7121B" w:rsidRDefault="00D7121B" w:rsidP="008B0C0F">
            <w:pPr>
              <w:rPr>
                <w:rFonts w:ascii="Arial" w:hAnsi="Arial" w:cs="Arial"/>
                <w:color w:val="000000" w:themeColor="text1"/>
                <w:sz w:val="20"/>
                <w:szCs w:val="20"/>
              </w:rPr>
            </w:pPr>
          </w:p>
        </w:tc>
        <w:tc>
          <w:tcPr>
            <w:tcW w:w="1716" w:type="dxa"/>
          </w:tcPr>
          <w:p w14:paraId="111C985E"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≥2 times</w:t>
            </w:r>
          </w:p>
        </w:tc>
        <w:tc>
          <w:tcPr>
            <w:tcW w:w="1177" w:type="dxa"/>
          </w:tcPr>
          <w:p w14:paraId="110E01A1"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10</w:t>
            </w:r>
          </w:p>
        </w:tc>
        <w:tc>
          <w:tcPr>
            <w:tcW w:w="1385" w:type="dxa"/>
          </w:tcPr>
          <w:p w14:paraId="616128CC"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13.0</w:t>
            </w:r>
          </w:p>
        </w:tc>
        <w:tc>
          <w:tcPr>
            <w:tcW w:w="1070" w:type="dxa"/>
          </w:tcPr>
          <w:p w14:paraId="6766F37F"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25</w:t>
            </w:r>
          </w:p>
        </w:tc>
        <w:tc>
          <w:tcPr>
            <w:tcW w:w="1060" w:type="dxa"/>
          </w:tcPr>
          <w:p w14:paraId="739843B9"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11.6</w:t>
            </w:r>
          </w:p>
        </w:tc>
        <w:tc>
          <w:tcPr>
            <w:tcW w:w="1133" w:type="dxa"/>
            <w:vMerge/>
          </w:tcPr>
          <w:p w14:paraId="336B0253" w14:textId="77777777" w:rsidR="00D7121B" w:rsidRPr="00D7121B" w:rsidRDefault="00D7121B" w:rsidP="008B0C0F">
            <w:pPr>
              <w:jc w:val="center"/>
              <w:rPr>
                <w:rFonts w:ascii="Arial" w:hAnsi="Arial" w:cs="Arial"/>
                <w:color w:val="000000" w:themeColor="text1"/>
                <w:sz w:val="20"/>
                <w:szCs w:val="20"/>
              </w:rPr>
            </w:pPr>
          </w:p>
        </w:tc>
      </w:tr>
      <w:tr w:rsidR="003B0067" w:rsidRPr="00D7121B" w14:paraId="05A5BCA6" w14:textId="77777777" w:rsidTr="004E352F">
        <w:tc>
          <w:tcPr>
            <w:tcW w:w="567" w:type="dxa"/>
            <w:vMerge w:val="restart"/>
          </w:tcPr>
          <w:p w14:paraId="0FA610BF"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 xml:space="preserve">Time of tumor </w:t>
            </w:r>
            <w:r w:rsidRPr="00D7121B">
              <w:rPr>
                <w:rFonts w:ascii="Arial" w:hAnsi="Arial" w:cs="Arial"/>
                <w:color w:val="000000" w:themeColor="text1"/>
                <w:sz w:val="20"/>
                <w:szCs w:val="20"/>
              </w:rPr>
              <w:lastRenderedPageBreak/>
              <w:t>detection</w:t>
            </w:r>
          </w:p>
        </w:tc>
        <w:tc>
          <w:tcPr>
            <w:tcW w:w="1716" w:type="dxa"/>
          </w:tcPr>
          <w:p w14:paraId="70DD196B"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lastRenderedPageBreak/>
              <w:t>&lt;1 month</w:t>
            </w:r>
          </w:p>
        </w:tc>
        <w:tc>
          <w:tcPr>
            <w:tcW w:w="1177" w:type="dxa"/>
          </w:tcPr>
          <w:p w14:paraId="6D251A40"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35</w:t>
            </w:r>
          </w:p>
        </w:tc>
        <w:tc>
          <w:tcPr>
            <w:tcW w:w="1385" w:type="dxa"/>
          </w:tcPr>
          <w:p w14:paraId="436CF72C"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45.5</w:t>
            </w:r>
          </w:p>
        </w:tc>
        <w:tc>
          <w:tcPr>
            <w:tcW w:w="1070" w:type="dxa"/>
          </w:tcPr>
          <w:p w14:paraId="46531871"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64</w:t>
            </w:r>
          </w:p>
        </w:tc>
        <w:tc>
          <w:tcPr>
            <w:tcW w:w="1060" w:type="dxa"/>
          </w:tcPr>
          <w:p w14:paraId="7CDD8F7F"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 xml:space="preserve">29.8 </w:t>
            </w:r>
          </w:p>
        </w:tc>
        <w:tc>
          <w:tcPr>
            <w:tcW w:w="1133" w:type="dxa"/>
            <w:vMerge w:val="restart"/>
          </w:tcPr>
          <w:p w14:paraId="5AD70348"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&lt;.001</w:t>
            </w:r>
            <w:r w:rsidRPr="00D7121B">
              <w:rPr>
                <w:rFonts w:ascii="Arial" w:hAnsi="Arial" w:cs="Arial"/>
                <w:color w:val="000000" w:themeColor="text1"/>
                <w:sz w:val="20"/>
                <w:szCs w:val="20"/>
                <w:vertAlign w:val="superscript"/>
              </w:rPr>
              <w:t>a</w:t>
            </w:r>
          </w:p>
        </w:tc>
      </w:tr>
      <w:tr w:rsidR="003B0067" w:rsidRPr="00D7121B" w14:paraId="4CAF4659" w14:textId="77777777" w:rsidTr="004E352F">
        <w:tc>
          <w:tcPr>
            <w:tcW w:w="567" w:type="dxa"/>
            <w:vMerge/>
          </w:tcPr>
          <w:p w14:paraId="4242D777" w14:textId="77777777" w:rsidR="00D7121B" w:rsidRPr="00D7121B" w:rsidRDefault="00D7121B" w:rsidP="008B0C0F">
            <w:pPr>
              <w:rPr>
                <w:rFonts w:ascii="Arial" w:hAnsi="Arial" w:cs="Arial"/>
                <w:color w:val="000000" w:themeColor="text1"/>
                <w:sz w:val="20"/>
                <w:szCs w:val="20"/>
              </w:rPr>
            </w:pPr>
          </w:p>
        </w:tc>
        <w:tc>
          <w:tcPr>
            <w:tcW w:w="1716" w:type="dxa"/>
          </w:tcPr>
          <w:p w14:paraId="1950BBB0"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1 – 12 months</w:t>
            </w:r>
          </w:p>
        </w:tc>
        <w:tc>
          <w:tcPr>
            <w:tcW w:w="1177" w:type="dxa"/>
          </w:tcPr>
          <w:p w14:paraId="493CFF0B"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27</w:t>
            </w:r>
          </w:p>
        </w:tc>
        <w:tc>
          <w:tcPr>
            <w:tcW w:w="1385" w:type="dxa"/>
          </w:tcPr>
          <w:p w14:paraId="44111400"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35.0</w:t>
            </w:r>
          </w:p>
        </w:tc>
        <w:tc>
          <w:tcPr>
            <w:tcW w:w="1070" w:type="dxa"/>
          </w:tcPr>
          <w:p w14:paraId="5E391705"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52</w:t>
            </w:r>
          </w:p>
        </w:tc>
        <w:tc>
          <w:tcPr>
            <w:tcW w:w="1060" w:type="dxa"/>
          </w:tcPr>
          <w:p w14:paraId="4F34FE8C"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24.2</w:t>
            </w:r>
          </w:p>
        </w:tc>
        <w:tc>
          <w:tcPr>
            <w:tcW w:w="1133" w:type="dxa"/>
            <w:vMerge/>
          </w:tcPr>
          <w:p w14:paraId="3F1611A2" w14:textId="77777777" w:rsidR="00D7121B" w:rsidRPr="00D7121B" w:rsidRDefault="00D7121B" w:rsidP="008B0C0F">
            <w:pPr>
              <w:jc w:val="center"/>
              <w:rPr>
                <w:rFonts w:ascii="Arial" w:hAnsi="Arial" w:cs="Arial"/>
                <w:color w:val="000000" w:themeColor="text1"/>
                <w:sz w:val="20"/>
                <w:szCs w:val="20"/>
              </w:rPr>
            </w:pPr>
          </w:p>
        </w:tc>
      </w:tr>
      <w:tr w:rsidR="003B0067" w:rsidRPr="00D7121B" w14:paraId="78374375" w14:textId="77777777" w:rsidTr="004E352F">
        <w:tc>
          <w:tcPr>
            <w:tcW w:w="567" w:type="dxa"/>
            <w:vMerge/>
          </w:tcPr>
          <w:p w14:paraId="7B2A9DA5" w14:textId="77777777" w:rsidR="00D7121B" w:rsidRPr="00D7121B" w:rsidRDefault="00D7121B" w:rsidP="008B0C0F">
            <w:pPr>
              <w:rPr>
                <w:rFonts w:ascii="Arial" w:hAnsi="Arial" w:cs="Arial"/>
                <w:color w:val="000000" w:themeColor="text1"/>
                <w:sz w:val="20"/>
                <w:szCs w:val="20"/>
              </w:rPr>
            </w:pPr>
          </w:p>
        </w:tc>
        <w:tc>
          <w:tcPr>
            <w:tcW w:w="1716" w:type="dxa"/>
          </w:tcPr>
          <w:p w14:paraId="2CEEB090"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&gt;12 months</w:t>
            </w:r>
          </w:p>
        </w:tc>
        <w:tc>
          <w:tcPr>
            <w:tcW w:w="1177" w:type="dxa"/>
          </w:tcPr>
          <w:p w14:paraId="5BF85442"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15</w:t>
            </w:r>
          </w:p>
        </w:tc>
        <w:tc>
          <w:tcPr>
            <w:tcW w:w="1385" w:type="dxa"/>
          </w:tcPr>
          <w:p w14:paraId="60C560E9"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19.5</w:t>
            </w:r>
          </w:p>
        </w:tc>
        <w:tc>
          <w:tcPr>
            <w:tcW w:w="1070" w:type="dxa"/>
          </w:tcPr>
          <w:p w14:paraId="0F23AAEE"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99</w:t>
            </w:r>
          </w:p>
        </w:tc>
        <w:tc>
          <w:tcPr>
            <w:tcW w:w="1060" w:type="dxa"/>
          </w:tcPr>
          <w:p w14:paraId="66612F98"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46.0</w:t>
            </w:r>
          </w:p>
        </w:tc>
        <w:tc>
          <w:tcPr>
            <w:tcW w:w="1133" w:type="dxa"/>
            <w:vMerge/>
          </w:tcPr>
          <w:p w14:paraId="396BD0D5" w14:textId="77777777" w:rsidR="00D7121B" w:rsidRPr="00D7121B" w:rsidRDefault="00D7121B" w:rsidP="008B0C0F">
            <w:pPr>
              <w:jc w:val="center"/>
              <w:rPr>
                <w:rFonts w:ascii="Arial" w:hAnsi="Arial" w:cs="Arial"/>
                <w:color w:val="000000" w:themeColor="text1"/>
                <w:sz w:val="20"/>
                <w:szCs w:val="20"/>
              </w:rPr>
            </w:pPr>
          </w:p>
        </w:tc>
      </w:tr>
      <w:tr w:rsidR="003B0067" w:rsidRPr="00D7121B" w14:paraId="56B0E19E" w14:textId="77777777" w:rsidTr="004E352F">
        <w:tc>
          <w:tcPr>
            <w:tcW w:w="567" w:type="dxa"/>
            <w:vMerge w:val="restart"/>
          </w:tcPr>
          <w:p w14:paraId="7B23D5AA"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Anemia</w:t>
            </w:r>
          </w:p>
        </w:tc>
        <w:tc>
          <w:tcPr>
            <w:tcW w:w="1716" w:type="dxa"/>
          </w:tcPr>
          <w:p w14:paraId="28C8C5D5" w14:textId="77777777" w:rsidR="00D7121B" w:rsidRPr="00D7121B" w:rsidRDefault="00D7121B" w:rsidP="008B0C0F">
            <w:pPr>
              <w:rPr>
                <w:rFonts w:ascii="Arial" w:hAnsi="Arial" w:cs="Arial"/>
                <w:color w:val="000000" w:themeColor="text1"/>
                <w:sz w:val="20"/>
                <w:szCs w:val="20"/>
              </w:rPr>
            </w:pPr>
            <w:proofErr w:type="spellStart"/>
            <w:r w:rsidRPr="00D7121B">
              <w:rPr>
                <w:rFonts w:ascii="Arial" w:hAnsi="Arial" w:cs="Arial"/>
                <w:color w:val="000000" w:themeColor="text1"/>
                <w:sz w:val="20"/>
                <w:szCs w:val="20"/>
              </w:rPr>
              <w:t>Unanemia</w:t>
            </w:r>
            <w:proofErr w:type="spellEnd"/>
          </w:p>
        </w:tc>
        <w:tc>
          <w:tcPr>
            <w:tcW w:w="1177" w:type="dxa"/>
          </w:tcPr>
          <w:p w14:paraId="395A459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24</w:t>
            </w:r>
          </w:p>
        </w:tc>
        <w:tc>
          <w:tcPr>
            <w:tcW w:w="1385" w:type="dxa"/>
          </w:tcPr>
          <w:p w14:paraId="572C50BA"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31.2</w:t>
            </w:r>
          </w:p>
        </w:tc>
        <w:tc>
          <w:tcPr>
            <w:tcW w:w="1070" w:type="dxa"/>
          </w:tcPr>
          <w:p w14:paraId="5A21C31D"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106</w:t>
            </w:r>
          </w:p>
        </w:tc>
        <w:tc>
          <w:tcPr>
            <w:tcW w:w="1060" w:type="dxa"/>
          </w:tcPr>
          <w:p w14:paraId="5C471DAE"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49.3</w:t>
            </w:r>
          </w:p>
        </w:tc>
        <w:tc>
          <w:tcPr>
            <w:tcW w:w="1133" w:type="dxa"/>
            <w:vMerge w:val="restart"/>
          </w:tcPr>
          <w:p w14:paraId="2F4A7680"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&lt;.001</w:t>
            </w:r>
            <w:r w:rsidRPr="00D7121B">
              <w:rPr>
                <w:rFonts w:ascii="Arial" w:hAnsi="Arial" w:cs="Arial"/>
                <w:color w:val="000000" w:themeColor="text1"/>
                <w:sz w:val="20"/>
                <w:szCs w:val="20"/>
                <w:vertAlign w:val="superscript"/>
              </w:rPr>
              <w:t>b</w:t>
            </w:r>
          </w:p>
        </w:tc>
      </w:tr>
      <w:tr w:rsidR="003B0067" w:rsidRPr="00D7121B" w14:paraId="5AA8533F" w14:textId="77777777" w:rsidTr="004E352F">
        <w:tc>
          <w:tcPr>
            <w:tcW w:w="567" w:type="dxa"/>
            <w:vMerge/>
          </w:tcPr>
          <w:p w14:paraId="5ACC516C" w14:textId="77777777" w:rsidR="00D7121B" w:rsidRPr="00D7121B" w:rsidRDefault="00D7121B" w:rsidP="008B0C0F">
            <w:pPr>
              <w:rPr>
                <w:rFonts w:ascii="Arial" w:hAnsi="Arial" w:cs="Arial"/>
                <w:color w:val="000000" w:themeColor="text1"/>
                <w:sz w:val="20"/>
                <w:szCs w:val="20"/>
              </w:rPr>
            </w:pPr>
          </w:p>
        </w:tc>
        <w:tc>
          <w:tcPr>
            <w:tcW w:w="1716" w:type="dxa"/>
          </w:tcPr>
          <w:p w14:paraId="6B5C9311"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Mild</w:t>
            </w:r>
          </w:p>
        </w:tc>
        <w:tc>
          <w:tcPr>
            <w:tcW w:w="1177" w:type="dxa"/>
          </w:tcPr>
          <w:p w14:paraId="5982F68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19</w:t>
            </w:r>
          </w:p>
        </w:tc>
        <w:tc>
          <w:tcPr>
            <w:tcW w:w="1385" w:type="dxa"/>
          </w:tcPr>
          <w:p w14:paraId="10385C8E"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24.7</w:t>
            </w:r>
          </w:p>
        </w:tc>
        <w:tc>
          <w:tcPr>
            <w:tcW w:w="1070" w:type="dxa"/>
          </w:tcPr>
          <w:p w14:paraId="5D438050"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60</w:t>
            </w:r>
          </w:p>
        </w:tc>
        <w:tc>
          <w:tcPr>
            <w:tcW w:w="1060" w:type="dxa"/>
          </w:tcPr>
          <w:p w14:paraId="019E56E8"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27.9</w:t>
            </w:r>
          </w:p>
        </w:tc>
        <w:tc>
          <w:tcPr>
            <w:tcW w:w="1133" w:type="dxa"/>
            <w:vMerge/>
          </w:tcPr>
          <w:p w14:paraId="3278AD97" w14:textId="77777777" w:rsidR="00D7121B" w:rsidRPr="00D7121B" w:rsidRDefault="00D7121B" w:rsidP="008B0C0F">
            <w:pPr>
              <w:jc w:val="center"/>
              <w:rPr>
                <w:rFonts w:ascii="Arial" w:hAnsi="Arial" w:cs="Arial"/>
                <w:color w:val="000000" w:themeColor="text1"/>
                <w:sz w:val="20"/>
                <w:szCs w:val="20"/>
              </w:rPr>
            </w:pPr>
          </w:p>
        </w:tc>
      </w:tr>
      <w:tr w:rsidR="003B0067" w:rsidRPr="00D7121B" w14:paraId="0FF71490" w14:textId="77777777" w:rsidTr="004E352F">
        <w:tc>
          <w:tcPr>
            <w:tcW w:w="567" w:type="dxa"/>
            <w:vMerge/>
          </w:tcPr>
          <w:p w14:paraId="068E719E" w14:textId="77777777" w:rsidR="00D7121B" w:rsidRPr="00D7121B" w:rsidRDefault="00D7121B" w:rsidP="008B0C0F">
            <w:pPr>
              <w:rPr>
                <w:rFonts w:ascii="Arial" w:hAnsi="Arial" w:cs="Arial"/>
                <w:color w:val="000000" w:themeColor="text1"/>
                <w:sz w:val="20"/>
                <w:szCs w:val="20"/>
              </w:rPr>
            </w:pPr>
          </w:p>
        </w:tc>
        <w:tc>
          <w:tcPr>
            <w:tcW w:w="1716" w:type="dxa"/>
          </w:tcPr>
          <w:p w14:paraId="21A96E7A"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Moderate</w:t>
            </w:r>
          </w:p>
        </w:tc>
        <w:tc>
          <w:tcPr>
            <w:tcW w:w="1177" w:type="dxa"/>
          </w:tcPr>
          <w:p w14:paraId="7BFFFB02"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18</w:t>
            </w:r>
          </w:p>
        </w:tc>
        <w:tc>
          <w:tcPr>
            <w:tcW w:w="1385" w:type="dxa"/>
          </w:tcPr>
          <w:p w14:paraId="264D80E0"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23.3</w:t>
            </w:r>
          </w:p>
        </w:tc>
        <w:tc>
          <w:tcPr>
            <w:tcW w:w="1070" w:type="dxa"/>
          </w:tcPr>
          <w:p w14:paraId="0655E2AD"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32</w:t>
            </w:r>
          </w:p>
        </w:tc>
        <w:tc>
          <w:tcPr>
            <w:tcW w:w="1060" w:type="dxa"/>
          </w:tcPr>
          <w:p w14:paraId="27E5BD6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14.9</w:t>
            </w:r>
          </w:p>
        </w:tc>
        <w:tc>
          <w:tcPr>
            <w:tcW w:w="1133" w:type="dxa"/>
            <w:vMerge/>
          </w:tcPr>
          <w:p w14:paraId="339FAE86" w14:textId="77777777" w:rsidR="00D7121B" w:rsidRPr="00D7121B" w:rsidRDefault="00D7121B" w:rsidP="008B0C0F">
            <w:pPr>
              <w:jc w:val="center"/>
              <w:rPr>
                <w:rFonts w:ascii="Arial" w:hAnsi="Arial" w:cs="Arial"/>
                <w:color w:val="000000" w:themeColor="text1"/>
                <w:sz w:val="20"/>
                <w:szCs w:val="20"/>
              </w:rPr>
            </w:pPr>
          </w:p>
        </w:tc>
      </w:tr>
      <w:tr w:rsidR="003B0067" w:rsidRPr="00D7121B" w14:paraId="0DDE7860" w14:textId="77777777" w:rsidTr="004E352F">
        <w:tc>
          <w:tcPr>
            <w:tcW w:w="567" w:type="dxa"/>
            <w:vMerge/>
          </w:tcPr>
          <w:p w14:paraId="14DC8F8A" w14:textId="77777777" w:rsidR="00D7121B" w:rsidRPr="00D7121B" w:rsidRDefault="00D7121B" w:rsidP="008B0C0F">
            <w:pPr>
              <w:rPr>
                <w:rFonts w:ascii="Arial" w:hAnsi="Arial" w:cs="Arial"/>
                <w:color w:val="000000" w:themeColor="text1"/>
                <w:sz w:val="20"/>
                <w:szCs w:val="20"/>
              </w:rPr>
            </w:pPr>
          </w:p>
        </w:tc>
        <w:tc>
          <w:tcPr>
            <w:tcW w:w="1716" w:type="dxa"/>
          </w:tcPr>
          <w:p w14:paraId="6C7B4F96"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Severe</w:t>
            </w:r>
          </w:p>
        </w:tc>
        <w:tc>
          <w:tcPr>
            <w:tcW w:w="1177" w:type="dxa"/>
          </w:tcPr>
          <w:p w14:paraId="51A91F02"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9</w:t>
            </w:r>
          </w:p>
        </w:tc>
        <w:tc>
          <w:tcPr>
            <w:tcW w:w="1385" w:type="dxa"/>
          </w:tcPr>
          <w:p w14:paraId="601770C2"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11.7</w:t>
            </w:r>
          </w:p>
        </w:tc>
        <w:tc>
          <w:tcPr>
            <w:tcW w:w="1070" w:type="dxa"/>
          </w:tcPr>
          <w:p w14:paraId="7E4DA4EE"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14</w:t>
            </w:r>
          </w:p>
        </w:tc>
        <w:tc>
          <w:tcPr>
            <w:tcW w:w="1060" w:type="dxa"/>
          </w:tcPr>
          <w:p w14:paraId="03BD323B"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6.5</w:t>
            </w:r>
          </w:p>
        </w:tc>
        <w:tc>
          <w:tcPr>
            <w:tcW w:w="1133" w:type="dxa"/>
            <w:vMerge/>
          </w:tcPr>
          <w:p w14:paraId="0C3CA6FA" w14:textId="77777777" w:rsidR="00D7121B" w:rsidRPr="00D7121B" w:rsidRDefault="00D7121B" w:rsidP="008B0C0F">
            <w:pPr>
              <w:jc w:val="center"/>
              <w:rPr>
                <w:rFonts w:ascii="Arial" w:hAnsi="Arial" w:cs="Arial"/>
                <w:color w:val="000000" w:themeColor="text1"/>
                <w:sz w:val="20"/>
                <w:szCs w:val="20"/>
              </w:rPr>
            </w:pPr>
          </w:p>
        </w:tc>
      </w:tr>
      <w:tr w:rsidR="003B0067" w:rsidRPr="00D7121B" w14:paraId="7B3D7204" w14:textId="77777777" w:rsidTr="004E352F">
        <w:tc>
          <w:tcPr>
            <w:tcW w:w="567" w:type="dxa"/>
            <w:vMerge/>
          </w:tcPr>
          <w:p w14:paraId="2ABCAD27" w14:textId="77777777" w:rsidR="00D7121B" w:rsidRPr="00D7121B" w:rsidRDefault="00D7121B" w:rsidP="008B0C0F">
            <w:pPr>
              <w:rPr>
                <w:rFonts w:ascii="Arial" w:hAnsi="Arial" w:cs="Arial"/>
                <w:color w:val="000000" w:themeColor="text1"/>
                <w:sz w:val="20"/>
                <w:szCs w:val="20"/>
              </w:rPr>
            </w:pPr>
          </w:p>
        </w:tc>
        <w:tc>
          <w:tcPr>
            <w:tcW w:w="1716" w:type="dxa"/>
          </w:tcPr>
          <w:p w14:paraId="234B8670"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Very severe</w:t>
            </w:r>
          </w:p>
        </w:tc>
        <w:tc>
          <w:tcPr>
            <w:tcW w:w="1177" w:type="dxa"/>
          </w:tcPr>
          <w:p w14:paraId="2371454A"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7</w:t>
            </w:r>
          </w:p>
        </w:tc>
        <w:tc>
          <w:tcPr>
            <w:tcW w:w="1385" w:type="dxa"/>
          </w:tcPr>
          <w:p w14:paraId="4B7BF01D"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9.1</w:t>
            </w:r>
          </w:p>
        </w:tc>
        <w:tc>
          <w:tcPr>
            <w:tcW w:w="1070" w:type="dxa"/>
          </w:tcPr>
          <w:p w14:paraId="6CB76645"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w:t>
            </w:r>
          </w:p>
        </w:tc>
        <w:tc>
          <w:tcPr>
            <w:tcW w:w="1060" w:type="dxa"/>
          </w:tcPr>
          <w:p w14:paraId="52DB47D2"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1.4</w:t>
            </w:r>
          </w:p>
        </w:tc>
        <w:tc>
          <w:tcPr>
            <w:tcW w:w="1133" w:type="dxa"/>
            <w:vMerge/>
          </w:tcPr>
          <w:p w14:paraId="415F2C90" w14:textId="77777777" w:rsidR="00D7121B" w:rsidRPr="00D7121B" w:rsidRDefault="00D7121B" w:rsidP="008B0C0F">
            <w:pPr>
              <w:jc w:val="center"/>
              <w:rPr>
                <w:rFonts w:ascii="Arial" w:hAnsi="Arial" w:cs="Arial"/>
                <w:color w:val="000000" w:themeColor="text1"/>
                <w:sz w:val="20"/>
                <w:szCs w:val="20"/>
              </w:rPr>
            </w:pPr>
          </w:p>
        </w:tc>
      </w:tr>
      <w:tr w:rsidR="003B0067" w:rsidRPr="00D7121B" w14:paraId="235FB2C9" w14:textId="77777777" w:rsidTr="004E352F">
        <w:tc>
          <w:tcPr>
            <w:tcW w:w="567" w:type="dxa"/>
            <w:vMerge w:val="restart"/>
          </w:tcPr>
          <w:p w14:paraId="7F4BFE42"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Preoperative blood transfusion</w:t>
            </w:r>
          </w:p>
        </w:tc>
        <w:tc>
          <w:tcPr>
            <w:tcW w:w="1716" w:type="dxa"/>
          </w:tcPr>
          <w:p w14:paraId="21661F17"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None</w:t>
            </w:r>
          </w:p>
        </w:tc>
        <w:tc>
          <w:tcPr>
            <w:tcW w:w="1177" w:type="dxa"/>
          </w:tcPr>
          <w:p w14:paraId="65C38B99"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57</w:t>
            </w:r>
          </w:p>
        </w:tc>
        <w:tc>
          <w:tcPr>
            <w:tcW w:w="1385" w:type="dxa"/>
          </w:tcPr>
          <w:p w14:paraId="19CF490C"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74.0</w:t>
            </w:r>
          </w:p>
        </w:tc>
        <w:tc>
          <w:tcPr>
            <w:tcW w:w="1070" w:type="dxa"/>
          </w:tcPr>
          <w:p w14:paraId="40320A61"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188</w:t>
            </w:r>
          </w:p>
        </w:tc>
        <w:tc>
          <w:tcPr>
            <w:tcW w:w="1060" w:type="dxa"/>
          </w:tcPr>
          <w:p w14:paraId="5AC50DD8"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87.4</w:t>
            </w:r>
          </w:p>
        </w:tc>
        <w:tc>
          <w:tcPr>
            <w:tcW w:w="1133" w:type="dxa"/>
            <w:vMerge w:val="restart"/>
          </w:tcPr>
          <w:p w14:paraId="54B0F2CE" w14:textId="7233B4D2"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.04</w:t>
            </w:r>
            <w:r w:rsidRPr="00D7121B">
              <w:rPr>
                <w:rFonts w:ascii="Arial" w:hAnsi="Arial" w:cs="Arial"/>
                <w:color w:val="000000" w:themeColor="text1"/>
                <w:sz w:val="20"/>
                <w:szCs w:val="20"/>
                <w:vertAlign w:val="superscript"/>
              </w:rPr>
              <w:t>b</w:t>
            </w:r>
          </w:p>
        </w:tc>
      </w:tr>
      <w:tr w:rsidR="003B0067" w:rsidRPr="00D7121B" w14:paraId="43E273A6" w14:textId="77777777" w:rsidTr="004E352F">
        <w:tc>
          <w:tcPr>
            <w:tcW w:w="567" w:type="dxa"/>
            <w:vMerge/>
          </w:tcPr>
          <w:p w14:paraId="295A9CB7" w14:textId="77777777" w:rsidR="00D7121B" w:rsidRPr="00D7121B" w:rsidRDefault="00D7121B" w:rsidP="008B0C0F">
            <w:pPr>
              <w:rPr>
                <w:rFonts w:ascii="Arial" w:hAnsi="Arial" w:cs="Arial"/>
                <w:color w:val="000000" w:themeColor="text1"/>
                <w:sz w:val="20"/>
                <w:szCs w:val="20"/>
              </w:rPr>
            </w:pPr>
          </w:p>
        </w:tc>
        <w:tc>
          <w:tcPr>
            <w:tcW w:w="1716" w:type="dxa"/>
          </w:tcPr>
          <w:p w14:paraId="143AEE34"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1 unit</w:t>
            </w:r>
          </w:p>
        </w:tc>
        <w:tc>
          <w:tcPr>
            <w:tcW w:w="1177" w:type="dxa"/>
          </w:tcPr>
          <w:p w14:paraId="33D0EC93"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w:t>
            </w:r>
          </w:p>
        </w:tc>
        <w:tc>
          <w:tcPr>
            <w:tcW w:w="1385" w:type="dxa"/>
          </w:tcPr>
          <w:p w14:paraId="71109944"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5.2</w:t>
            </w:r>
          </w:p>
        </w:tc>
        <w:tc>
          <w:tcPr>
            <w:tcW w:w="1070" w:type="dxa"/>
          </w:tcPr>
          <w:p w14:paraId="24D4CC0D"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10</w:t>
            </w:r>
          </w:p>
        </w:tc>
        <w:tc>
          <w:tcPr>
            <w:tcW w:w="1060" w:type="dxa"/>
          </w:tcPr>
          <w:p w14:paraId="12A4DC6D"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4.7</w:t>
            </w:r>
          </w:p>
        </w:tc>
        <w:tc>
          <w:tcPr>
            <w:tcW w:w="1133" w:type="dxa"/>
            <w:vMerge/>
          </w:tcPr>
          <w:p w14:paraId="59A902EF" w14:textId="77777777" w:rsidR="00D7121B" w:rsidRPr="00D7121B" w:rsidRDefault="00D7121B" w:rsidP="008B0C0F">
            <w:pPr>
              <w:jc w:val="center"/>
              <w:rPr>
                <w:rFonts w:ascii="Arial" w:hAnsi="Arial" w:cs="Arial"/>
                <w:color w:val="000000" w:themeColor="text1"/>
                <w:sz w:val="20"/>
                <w:szCs w:val="20"/>
              </w:rPr>
            </w:pPr>
          </w:p>
        </w:tc>
      </w:tr>
      <w:tr w:rsidR="003B0067" w:rsidRPr="00D7121B" w14:paraId="42090AE7" w14:textId="77777777" w:rsidTr="004E352F">
        <w:tc>
          <w:tcPr>
            <w:tcW w:w="567" w:type="dxa"/>
            <w:vMerge/>
          </w:tcPr>
          <w:p w14:paraId="617B8590" w14:textId="77777777" w:rsidR="00D7121B" w:rsidRPr="00D7121B" w:rsidRDefault="00D7121B" w:rsidP="008B0C0F">
            <w:pPr>
              <w:rPr>
                <w:rFonts w:ascii="Arial" w:hAnsi="Arial" w:cs="Arial"/>
                <w:color w:val="000000" w:themeColor="text1"/>
                <w:sz w:val="20"/>
                <w:szCs w:val="20"/>
              </w:rPr>
            </w:pPr>
          </w:p>
        </w:tc>
        <w:tc>
          <w:tcPr>
            <w:tcW w:w="1716" w:type="dxa"/>
          </w:tcPr>
          <w:p w14:paraId="5ABFD27B"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2 units</w:t>
            </w:r>
          </w:p>
        </w:tc>
        <w:tc>
          <w:tcPr>
            <w:tcW w:w="1177" w:type="dxa"/>
          </w:tcPr>
          <w:p w14:paraId="0BFAAB7A"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12</w:t>
            </w:r>
          </w:p>
        </w:tc>
        <w:tc>
          <w:tcPr>
            <w:tcW w:w="1385" w:type="dxa"/>
          </w:tcPr>
          <w:p w14:paraId="2A91254A"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15.6</w:t>
            </w:r>
          </w:p>
        </w:tc>
        <w:tc>
          <w:tcPr>
            <w:tcW w:w="1070" w:type="dxa"/>
          </w:tcPr>
          <w:p w14:paraId="1D5043AE"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14</w:t>
            </w:r>
          </w:p>
        </w:tc>
        <w:tc>
          <w:tcPr>
            <w:tcW w:w="1060" w:type="dxa"/>
          </w:tcPr>
          <w:p w14:paraId="2B411BBD"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6.5</w:t>
            </w:r>
          </w:p>
        </w:tc>
        <w:tc>
          <w:tcPr>
            <w:tcW w:w="1133" w:type="dxa"/>
            <w:vMerge/>
          </w:tcPr>
          <w:p w14:paraId="7BD1FDF8" w14:textId="77777777" w:rsidR="00D7121B" w:rsidRPr="00D7121B" w:rsidRDefault="00D7121B" w:rsidP="008B0C0F">
            <w:pPr>
              <w:jc w:val="center"/>
              <w:rPr>
                <w:rFonts w:ascii="Arial" w:hAnsi="Arial" w:cs="Arial"/>
                <w:color w:val="000000" w:themeColor="text1"/>
                <w:sz w:val="20"/>
                <w:szCs w:val="20"/>
              </w:rPr>
            </w:pPr>
          </w:p>
        </w:tc>
      </w:tr>
      <w:tr w:rsidR="003B0067" w:rsidRPr="00D7121B" w14:paraId="1828748D" w14:textId="77777777" w:rsidTr="004E352F">
        <w:tc>
          <w:tcPr>
            <w:tcW w:w="567" w:type="dxa"/>
            <w:vMerge/>
          </w:tcPr>
          <w:p w14:paraId="6FF42AD7" w14:textId="77777777" w:rsidR="00D7121B" w:rsidRPr="00D7121B" w:rsidRDefault="00D7121B" w:rsidP="008B0C0F">
            <w:pPr>
              <w:rPr>
                <w:rFonts w:ascii="Arial" w:hAnsi="Arial" w:cs="Arial"/>
                <w:color w:val="000000" w:themeColor="text1"/>
                <w:sz w:val="20"/>
                <w:szCs w:val="20"/>
              </w:rPr>
            </w:pPr>
          </w:p>
        </w:tc>
        <w:tc>
          <w:tcPr>
            <w:tcW w:w="1716" w:type="dxa"/>
          </w:tcPr>
          <w:p w14:paraId="051C5BAB"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≥3 units</w:t>
            </w:r>
          </w:p>
        </w:tc>
        <w:tc>
          <w:tcPr>
            <w:tcW w:w="1177" w:type="dxa"/>
          </w:tcPr>
          <w:p w14:paraId="2BF54F44"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w:t>
            </w:r>
          </w:p>
        </w:tc>
        <w:tc>
          <w:tcPr>
            <w:tcW w:w="1385" w:type="dxa"/>
          </w:tcPr>
          <w:p w14:paraId="7CEEBA9E"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5.2</w:t>
            </w:r>
          </w:p>
        </w:tc>
        <w:tc>
          <w:tcPr>
            <w:tcW w:w="1070" w:type="dxa"/>
          </w:tcPr>
          <w:p w14:paraId="6D7A343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w:t>
            </w:r>
          </w:p>
        </w:tc>
        <w:tc>
          <w:tcPr>
            <w:tcW w:w="1060" w:type="dxa"/>
          </w:tcPr>
          <w:p w14:paraId="0431DC5B"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1.4</w:t>
            </w:r>
          </w:p>
        </w:tc>
        <w:tc>
          <w:tcPr>
            <w:tcW w:w="1133" w:type="dxa"/>
            <w:vMerge/>
          </w:tcPr>
          <w:p w14:paraId="07DF2F5B" w14:textId="77777777" w:rsidR="00D7121B" w:rsidRPr="00D7121B" w:rsidRDefault="00D7121B" w:rsidP="008B0C0F">
            <w:pPr>
              <w:jc w:val="center"/>
              <w:rPr>
                <w:rFonts w:ascii="Arial" w:hAnsi="Arial" w:cs="Arial"/>
                <w:color w:val="000000" w:themeColor="text1"/>
                <w:sz w:val="20"/>
                <w:szCs w:val="20"/>
              </w:rPr>
            </w:pPr>
          </w:p>
        </w:tc>
      </w:tr>
      <w:tr w:rsidR="003B0067" w:rsidRPr="00D7121B" w14:paraId="7D79AFDD" w14:textId="77777777" w:rsidTr="004E352F">
        <w:tc>
          <w:tcPr>
            <w:tcW w:w="567" w:type="dxa"/>
            <w:vMerge w:val="restart"/>
          </w:tcPr>
          <w:p w14:paraId="630C0B6E"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Uterine size (gestational equivalent)</w:t>
            </w:r>
          </w:p>
        </w:tc>
        <w:tc>
          <w:tcPr>
            <w:tcW w:w="1716" w:type="dxa"/>
          </w:tcPr>
          <w:p w14:paraId="601F5C5E"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&lt;8 weeks</w:t>
            </w:r>
          </w:p>
        </w:tc>
        <w:tc>
          <w:tcPr>
            <w:tcW w:w="1177" w:type="dxa"/>
          </w:tcPr>
          <w:p w14:paraId="2E27611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41</w:t>
            </w:r>
          </w:p>
        </w:tc>
        <w:tc>
          <w:tcPr>
            <w:tcW w:w="1385" w:type="dxa"/>
          </w:tcPr>
          <w:p w14:paraId="37C441CA"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53.2</w:t>
            </w:r>
          </w:p>
        </w:tc>
        <w:tc>
          <w:tcPr>
            <w:tcW w:w="1070" w:type="dxa"/>
          </w:tcPr>
          <w:p w14:paraId="7F1CB014"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11</w:t>
            </w:r>
          </w:p>
        </w:tc>
        <w:tc>
          <w:tcPr>
            <w:tcW w:w="1060" w:type="dxa"/>
          </w:tcPr>
          <w:p w14:paraId="0A9BFD55"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5.1</w:t>
            </w:r>
          </w:p>
        </w:tc>
        <w:tc>
          <w:tcPr>
            <w:tcW w:w="1133" w:type="dxa"/>
            <w:vMerge w:val="restart"/>
          </w:tcPr>
          <w:p w14:paraId="1D526858"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&lt;.001</w:t>
            </w:r>
            <w:r w:rsidRPr="00D7121B">
              <w:rPr>
                <w:rFonts w:ascii="Arial" w:hAnsi="Arial" w:cs="Arial"/>
                <w:color w:val="000000" w:themeColor="text1"/>
                <w:sz w:val="20"/>
                <w:szCs w:val="20"/>
                <w:vertAlign w:val="superscript"/>
              </w:rPr>
              <w:t>a</w:t>
            </w:r>
          </w:p>
        </w:tc>
      </w:tr>
      <w:tr w:rsidR="003B0067" w:rsidRPr="00D7121B" w14:paraId="01577D5A" w14:textId="77777777" w:rsidTr="004E352F">
        <w:tc>
          <w:tcPr>
            <w:tcW w:w="567" w:type="dxa"/>
            <w:vMerge/>
          </w:tcPr>
          <w:p w14:paraId="405C9E75" w14:textId="77777777" w:rsidR="00D7121B" w:rsidRPr="00D7121B" w:rsidRDefault="00D7121B" w:rsidP="008B0C0F">
            <w:pPr>
              <w:rPr>
                <w:rFonts w:ascii="Arial" w:hAnsi="Arial" w:cs="Arial"/>
                <w:color w:val="000000" w:themeColor="text1"/>
                <w:sz w:val="20"/>
                <w:szCs w:val="20"/>
              </w:rPr>
            </w:pPr>
          </w:p>
        </w:tc>
        <w:tc>
          <w:tcPr>
            <w:tcW w:w="1716" w:type="dxa"/>
          </w:tcPr>
          <w:p w14:paraId="3C37BB02"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8–12 weeks</w:t>
            </w:r>
          </w:p>
        </w:tc>
        <w:tc>
          <w:tcPr>
            <w:tcW w:w="1177" w:type="dxa"/>
          </w:tcPr>
          <w:p w14:paraId="410E00A9"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29</w:t>
            </w:r>
          </w:p>
        </w:tc>
        <w:tc>
          <w:tcPr>
            <w:tcW w:w="1385" w:type="dxa"/>
          </w:tcPr>
          <w:p w14:paraId="513C316E"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37.7</w:t>
            </w:r>
          </w:p>
        </w:tc>
        <w:tc>
          <w:tcPr>
            <w:tcW w:w="1070" w:type="dxa"/>
          </w:tcPr>
          <w:p w14:paraId="0D41213B"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142</w:t>
            </w:r>
          </w:p>
        </w:tc>
        <w:tc>
          <w:tcPr>
            <w:tcW w:w="1060" w:type="dxa"/>
          </w:tcPr>
          <w:p w14:paraId="16A486DD"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66.0</w:t>
            </w:r>
          </w:p>
        </w:tc>
        <w:tc>
          <w:tcPr>
            <w:tcW w:w="1133" w:type="dxa"/>
            <w:vMerge/>
          </w:tcPr>
          <w:p w14:paraId="40D68921" w14:textId="77777777" w:rsidR="00D7121B" w:rsidRPr="00D7121B" w:rsidRDefault="00D7121B" w:rsidP="008B0C0F">
            <w:pPr>
              <w:jc w:val="center"/>
              <w:rPr>
                <w:rFonts w:ascii="Arial" w:hAnsi="Arial" w:cs="Arial"/>
                <w:color w:val="000000" w:themeColor="text1"/>
                <w:sz w:val="20"/>
                <w:szCs w:val="20"/>
              </w:rPr>
            </w:pPr>
          </w:p>
        </w:tc>
      </w:tr>
      <w:tr w:rsidR="003B0067" w:rsidRPr="00D7121B" w14:paraId="5C4BE024" w14:textId="77777777" w:rsidTr="004E352F">
        <w:tc>
          <w:tcPr>
            <w:tcW w:w="567" w:type="dxa"/>
            <w:vMerge/>
          </w:tcPr>
          <w:p w14:paraId="14708851" w14:textId="77777777" w:rsidR="00D7121B" w:rsidRPr="00D7121B" w:rsidRDefault="00D7121B" w:rsidP="008B0C0F">
            <w:pPr>
              <w:rPr>
                <w:rFonts w:ascii="Arial" w:hAnsi="Arial" w:cs="Arial"/>
                <w:color w:val="000000" w:themeColor="text1"/>
                <w:sz w:val="20"/>
                <w:szCs w:val="20"/>
              </w:rPr>
            </w:pPr>
          </w:p>
        </w:tc>
        <w:tc>
          <w:tcPr>
            <w:tcW w:w="1716" w:type="dxa"/>
          </w:tcPr>
          <w:p w14:paraId="3C2A3BC2"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&gt;12 weeks</w:t>
            </w:r>
          </w:p>
        </w:tc>
        <w:tc>
          <w:tcPr>
            <w:tcW w:w="1177" w:type="dxa"/>
          </w:tcPr>
          <w:p w14:paraId="3B43468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7</w:t>
            </w:r>
          </w:p>
        </w:tc>
        <w:tc>
          <w:tcPr>
            <w:tcW w:w="1385" w:type="dxa"/>
          </w:tcPr>
          <w:p w14:paraId="1EF5580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9.1</w:t>
            </w:r>
          </w:p>
        </w:tc>
        <w:tc>
          <w:tcPr>
            <w:tcW w:w="1070" w:type="dxa"/>
          </w:tcPr>
          <w:p w14:paraId="453EB3BF"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62</w:t>
            </w:r>
          </w:p>
        </w:tc>
        <w:tc>
          <w:tcPr>
            <w:tcW w:w="1060" w:type="dxa"/>
          </w:tcPr>
          <w:p w14:paraId="118290DD"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28.9</w:t>
            </w:r>
          </w:p>
        </w:tc>
        <w:tc>
          <w:tcPr>
            <w:tcW w:w="1133" w:type="dxa"/>
            <w:vMerge/>
          </w:tcPr>
          <w:p w14:paraId="58FC2608" w14:textId="77777777" w:rsidR="00D7121B" w:rsidRPr="00D7121B" w:rsidRDefault="00D7121B" w:rsidP="008B0C0F">
            <w:pPr>
              <w:jc w:val="center"/>
              <w:rPr>
                <w:rFonts w:ascii="Arial" w:hAnsi="Arial" w:cs="Arial"/>
                <w:color w:val="000000" w:themeColor="text1"/>
                <w:sz w:val="20"/>
                <w:szCs w:val="20"/>
              </w:rPr>
            </w:pPr>
          </w:p>
        </w:tc>
      </w:tr>
      <w:tr w:rsidR="003B0067" w:rsidRPr="00D7121B" w14:paraId="01D81FFE" w14:textId="77777777" w:rsidTr="004E352F">
        <w:tc>
          <w:tcPr>
            <w:tcW w:w="567" w:type="dxa"/>
            <w:vMerge w:val="restart"/>
          </w:tcPr>
          <w:p w14:paraId="65E299BF" w14:textId="77777777" w:rsidR="00D7121B" w:rsidRPr="00D7121B" w:rsidRDefault="00D7121B" w:rsidP="008B0C0F">
            <w:pPr>
              <w:rPr>
                <w:rFonts w:ascii="Arial" w:hAnsi="Arial" w:cs="Arial"/>
                <w:color w:val="000000" w:themeColor="text1"/>
                <w:sz w:val="20"/>
                <w:szCs w:val="20"/>
              </w:rPr>
            </w:pPr>
            <w:r w:rsidRPr="00D7121B">
              <w:rPr>
                <w:rFonts w:ascii="Arial" w:hAnsi="Arial" w:cs="Arial"/>
                <w:sz w:val="20"/>
                <w:szCs w:val="20"/>
              </w:rPr>
              <w:t>Fibroid size (mm)</w:t>
            </w:r>
          </w:p>
        </w:tc>
        <w:tc>
          <w:tcPr>
            <w:tcW w:w="1716" w:type="dxa"/>
            <w:vAlign w:val="center"/>
          </w:tcPr>
          <w:p w14:paraId="413117F7" w14:textId="77777777" w:rsidR="00D7121B" w:rsidRPr="00D7121B" w:rsidRDefault="00D7121B" w:rsidP="008B0C0F">
            <w:pPr>
              <w:rPr>
                <w:rFonts w:ascii="Arial" w:hAnsi="Arial" w:cs="Arial"/>
                <w:color w:val="000000" w:themeColor="text1"/>
                <w:sz w:val="20"/>
                <w:szCs w:val="20"/>
              </w:rPr>
            </w:pPr>
            <w:r w:rsidRPr="00D7121B">
              <w:rPr>
                <w:rFonts w:ascii="Arial" w:hAnsi="Arial" w:cs="Arial"/>
                <w:sz w:val="20"/>
                <w:szCs w:val="20"/>
              </w:rPr>
              <w:t>≤ 40</w:t>
            </w:r>
          </w:p>
        </w:tc>
        <w:tc>
          <w:tcPr>
            <w:tcW w:w="1177" w:type="dxa"/>
          </w:tcPr>
          <w:p w14:paraId="137147EF"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42</w:t>
            </w:r>
          </w:p>
        </w:tc>
        <w:tc>
          <w:tcPr>
            <w:tcW w:w="1385" w:type="dxa"/>
          </w:tcPr>
          <w:p w14:paraId="7BE15032"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54.5</w:t>
            </w:r>
          </w:p>
        </w:tc>
        <w:tc>
          <w:tcPr>
            <w:tcW w:w="1070" w:type="dxa"/>
          </w:tcPr>
          <w:p w14:paraId="0DCE8D19"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11</w:t>
            </w:r>
          </w:p>
        </w:tc>
        <w:tc>
          <w:tcPr>
            <w:tcW w:w="1060" w:type="dxa"/>
          </w:tcPr>
          <w:p w14:paraId="4807A005"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5.1</w:t>
            </w:r>
          </w:p>
        </w:tc>
        <w:tc>
          <w:tcPr>
            <w:tcW w:w="1133" w:type="dxa"/>
            <w:vMerge w:val="restart"/>
          </w:tcPr>
          <w:p w14:paraId="6792B289" w14:textId="77777777" w:rsidR="00D7121B" w:rsidRPr="00D7121B" w:rsidRDefault="00D7121B" w:rsidP="008B0C0F">
            <w:pPr>
              <w:jc w:val="center"/>
              <w:rPr>
                <w:rFonts w:ascii="Arial" w:hAnsi="Arial" w:cs="Arial"/>
                <w:color w:val="000000" w:themeColor="text1"/>
                <w:sz w:val="20"/>
                <w:szCs w:val="20"/>
                <w:lang w:val="vi-VN"/>
              </w:rPr>
            </w:pPr>
            <w:r w:rsidRPr="00D7121B">
              <w:rPr>
                <w:rFonts w:ascii="Arial" w:hAnsi="Arial" w:cs="Arial"/>
                <w:color w:val="000000" w:themeColor="text1"/>
                <w:sz w:val="20"/>
                <w:szCs w:val="20"/>
              </w:rPr>
              <w:t>&lt;.001</w:t>
            </w:r>
            <w:r w:rsidRPr="00D7121B">
              <w:rPr>
                <w:rFonts w:ascii="Arial" w:hAnsi="Arial" w:cs="Arial"/>
                <w:color w:val="000000" w:themeColor="text1"/>
                <w:sz w:val="20"/>
                <w:szCs w:val="20"/>
                <w:vertAlign w:val="superscript"/>
              </w:rPr>
              <w:t>a</w:t>
            </w:r>
          </w:p>
        </w:tc>
      </w:tr>
      <w:tr w:rsidR="003B0067" w:rsidRPr="00D7121B" w14:paraId="718E80B5" w14:textId="77777777" w:rsidTr="004E352F">
        <w:tc>
          <w:tcPr>
            <w:tcW w:w="567" w:type="dxa"/>
            <w:vMerge/>
          </w:tcPr>
          <w:p w14:paraId="5B500E2A" w14:textId="77777777" w:rsidR="00D7121B" w:rsidRPr="00D7121B" w:rsidRDefault="00D7121B" w:rsidP="008B0C0F">
            <w:pPr>
              <w:rPr>
                <w:rFonts w:ascii="Arial" w:hAnsi="Arial" w:cs="Arial"/>
                <w:color w:val="000000" w:themeColor="text1"/>
                <w:sz w:val="20"/>
                <w:szCs w:val="20"/>
              </w:rPr>
            </w:pPr>
          </w:p>
        </w:tc>
        <w:tc>
          <w:tcPr>
            <w:tcW w:w="1716" w:type="dxa"/>
            <w:vAlign w:val="center"/>
          </w:tcPr>
          <w:p w14:paraId="293C589F" w14:textId="77777777" w:rsidR="00D7121B" w:rsidRPr="00D7121B" w:rsidRDefault="00D7121B" w:rsidP="008B0C0F">
            <w:pPr>
              <w:rPr>
                <w:rFonts w:ascii="Arial" w:hAnsi="Arial" w:cs="Arial"/>
                <w:color w:val="000000" w:themeColor="text1"/>
                <w:sz w:val="20"/>
                <w:szCs w:val="20"/>
              </w:rPr>
            </w:pPr>
            <w:r w:rsidRPr="00D7121B">
              <w:rPr>
                <w:rFonts w:ascii="Arial" w:hAnsi="Arial" w:cs="Arial"/>
                <w:sz w:val="20"/>
                <w:szCs w:val="20"/>
              </w:rPr>
              <w:t>41 - 60</w:t>
            </w:r>
          </w:p>
        </w:tc>
        <w:tc>
          <w:tcPr>
            <w:tcW w:w="1177" w:type="dxa"/>
          </w:tcPr>
          <w:p w14:paraId="0B20A3CE"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16</w:t>
            </w:r>
          </w:p>
        </w:tc>
        <w:tc>
          <w:tcPr>
            <w:tcW w:w="1385" w:type="dxa"/>
          </w:tcPr>
          <w:p w14:paraId="7E38D9B8"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20.8</w:t>
            </w:r>
          </w:p>
        </w:tc>
        <w:tc>
          <w:tcPr>
            <w:tcW w:w="1070" w:type="dxa"/>
          </w:tcPr>
          <w:p w14:paraId="66055769"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54</w:t>
            </w:r>
          </w:p>
        </w:tc>
        <w:tc>
          <w:tcPr>
            <w:tcW w:w="1060" w:type="dxa"/>
          </w:tcPr>
          <w:p w14:paraId="75F742D0"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25.1</w:t>
            </w:r>
          </w:p>
        </w:tc>
        <w:tc>
          <w:tcPr>
            <w:tcW w:w="1133" w:type="dxa"/>
            <w:vMerge/>
          </w:tcPr>
          <w:p w14:paraId="29CB2671" w14:textId="77777777" w:rsidR="00D7121B" w:rsidRPr="00D7121B" w:rsidRDefault="00D7121B" w:rsidP="008B0C0F">
            <w:pPr>
              <w:jc w:val="center"/>
              <w:rPr>
                <w:rFonts w:ascii="Arial" w:hAnsi="Arial" w:cs="Arial"/>
                <w:color w:val="000000" w:themeColor="text1"/>
                <w:sz w:val="20"/>
                <w:szCs w:val="20"/>
              </w:rPr>
            </w:pPr>
          </w:p>
        </w:tc>
      </w:tr>
      <w:tr w:rsidR="003B0067" w:rsidRPr="00D7121B" w14:paraId="00C49BF2" w14:textId="77777777" w:rsidTr="004E352F">
        <w:tc>
          <w:tcPr>
            <w:tcW w:w="567" w:type="dxa"/>
            <w:vMerge/>
          </w:tcPr>
          <w:p w14:paraId="02ECA0C9" w14:textId="77777777" w:rsidR="00D7121B" w:rsidRPr="00D7121B" w:rsidRDefault="00D7121B" w:rsidP="008B0C0F">
            <w:pPr>
              <w:rPr>
                <w:rFonts w:ascii="Arial" w:hAnsi="Arial" w:cs="Arial"/>
                <w:color w:val="000000" w:themeColor="text1"/>
                <w:sz w:val="20"/>
                <w:szCs w:val="20"/>
              </w:rPr>
            </w:pPr>
          </w:p>
        </w:tc>
        <w:tc>
          <w:tcPr>
            <w:tcW w:w="1716" w:type="dxa"/>
            <w:vAlign w:val="center"/>
          </w:tcPr>
          <w:p w14:paraId="4AE0EA41" w14:textId="77777777" w:rsidR="00D7121B" w:rsidRPr="00D7121B" w:rsidRDefault="00D7121B" w:rsidP="008B0C0F">
            <w:pPr>
              <w:rPr>
                <w:rFonts w:ascii="Arial" w:hAnsi="Arial" w:cs="Arial"/>
                <w:color w:val="000000" w:themeColor="text1"/>
                <w:sz w:val="20"/>
                <w:szCs w:val="20"/>
              </w:rPr>
            </w:pPr>
            <w:r w:rsidRPr="00D7121B">
              <w:rPr>
                <w:rFonts w:ascii="Arial" w:hAnsi="Arial" w:cs="Arial"/>
                <w:sz w:val="20"/>
                <w:szCs w:val="20"/>
              </w:rPr>
              <w:t>61 - 80</w:t>
            </w:r>
          </w:p>
        </w:tc>
        <w:tc>
          <w:tcPr>
            <w:tcW w:w="1177" w:type="dxa"/>
          </w:tcPr>
          <w:p w14:paraId="3187920A"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8</w:t>
            </w:r>
          </w:p>
        </w:tc>
        <w:tc>
          <w:tcPr>
            <w:tcW w:w="1385" w:type="dxa"/>
          </w:tcPr>
          <w:p w14:paraId="38FA4C9F"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10.4</w:t>
            </w:r>
          </w:p>
        </w:tc>
        <w:tc>
          <w:tcPr>
            <w:tcW w:w="1070" w:type="dxa"/>
          </w:tcPr>
          <w:p w14:paraId="755A3212"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84</w:t>
            </w:r>
          </w:p>
        </w:tc>
        <w:tc>
          <w:tcPr>
            <w:tcW w:w="1060" w:type="dxa"/>
          </w:tcPr>
          <w:p w14:paraId="203FD33A"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39.1</w:t>
            </w:r>
          </w:p>
        </w:tc>
        <w:tc>
          <w:tcPr>
            <w:tcW w:w="1133" w:type="dxa"/>
            <w:vMerge/>
          </w:tcPr>
          <w:p w14:paraId="4B97271F" w14:textId="77777777" w:rsidR="00D7121B" w:rsidRPr="00D7121B" w:rsidRDefault="00D7121B" w:rsidP="008B0C0F">
            <w:pPr>
              <w:jc w:val="center"/>
              <w:rPr>
                <w:rFonts w:ascii="Arial" w:hAnsi="Arial" w:cs="Arial"/>
                <w:color w:val="000000" w:themeColor="text1"/>
                <w:sz w:val="20"/>
                <w:szCs w:val="20"/>
              </w:rPr>
            </w:pPr>
          </w:p>
        </w:tc>
      </w:tr>
      <w:tr w:rsidR="003B0067" w:rsidRPr="00D7121B" w14:paraId="50AB4D4D" w14:textId="77777777" w:rsidTr="004E352F">
        <w:tc>
          <w:tcPr>
            <w:tcW w:w="567" w:type="dxa"/>
            <w:vMerge/>
          </w:tcPr>
          <w:p w14:paraId="119F3190" w14:textId="77777777" w:rsidR="00D7121B" w:rsidRPr="00D7121B" w:rsidRDefault="00D7121B" w:rsidP="008B0C0F">
            <w:pPr>
              <w:rPr>
                <w:rFonts w:ascii="Arial" w:hAnsi="Arial" w:cs="Arial"/>
                <w:color w:val="000000" w:themeColor="text1"/>
                <w:sz w:val="20"/>
                <w:szCs w:val="20"/>
              </w:rPr>
            </w:pPr>
          </w:p>
        </w:tc>
        <w:tc>
          <w:tcPr>
            <w:tcW w:w="1716" w:type="dxa"/>
            <w:vAlign w:val="center"/>
          </w:tcPr>
          <w:p w14:paraId="233D1FF5" w14:textId="77777777" w:rsidR="00D7121B" w:rsidRPr="00D7121B" w:rsidRDefault="00D7121B" w:rsidP="008B0C0F">
            <w:pPr>
              <w:rPr>
                <w:rFonts w:ascii="Arial" w:hAnsi="Arial" w:cs="Arial"/>
                <w:color w:val="000000" w:themeColor="text1"/>
                <w:sz w:val="20"/>
                <w:szCs w:val="20"/>
              </w:rPr>
            </w:pPr>
            <w:r w:rsidRPr="00D7121B">
              <w:rPr>
                <w:rFonts w:ascii="Arial" w:hAnsi="Arial" w:cs="Arial"/>
                <w:sz w:val="20"/>
                <w:szCs w:val="20"/>
              </w:rPr>
              <w:t>≥ 81</w:t>
            </w:r>
          </w:p>
        </w:tc>
        <w:tc>
          <w:tcPr>
            <w:tcW w:w="1177" w:type="dxa"/>
          </w:tcPr>
          <w:p w14:paraId="7AFFB349"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11</w:t>
            </w:r>
          </w:p>
        </w:tc>
        <w:tc>
          <w:tcPr>
            <w:tcW w:w="1385" w:type="dxa"/>
          </w:tcPr>
          <w:p w14:paraId="3E8DDF55"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14.3</w:t>
            </w:r>
          </w:p>
        </w:tc>
        <w:tc>
          <w:tcPr>
            <w:tcW w:w="1070" w:type="dxa"/>
          </w:tcPr>
          <w:p w14:paraId="63BDA003"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66</w:t>
            </w:r>
          </w:p>
        </w:tc>
        <w:tc>
          <w:tcPr>
            <w:tcW w:w="1060" w:type="dxa"/>
          </w:tcPr>
          <w:p w14:paraId="7CB06EA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30.7</w:t>
            </w:r>
          </w:p>
        </w:tc>
        <w:tc>
          <w:tcPr>
            <w:tcW w:w="1133" w:type="dxa"/>
            <w:vMerge/>
          </w:tcPr>
          <w:p w14:paraId="1791D529" w14:textId="77777777" w:rsidR="00D7121B" w:rsidRPr="00D7121B" w:rsidRDefault="00D7121B" w:rsidP="008B0C0F">
            <w:pPr>
              <w:jc w:val="center"/>
              <w:rPr>
                <w:rFonts w:ascii="Arial" w:hAnsi="Arial" w:cs="Arial"/>
                <w:color w:val="000000" w:themeColor="text1"/>
                <w:sz w:val="20"/>
                <w:szCs w:val="20"/>
              </w:rPr>
            </w:pPr>
          </w:p>
        </w:tc>
      </w:tr>
    </w:tbl>
    <w:p w14:paraId="2B2DA975"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26BF4126"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4D60ADFF"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7D15F370"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14D865E8"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02708D51"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582EC591"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582846BE"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4D107D43"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48C57767"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5A1340ED"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5ACAFC64"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4045D2F2"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796FCEA8"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3A2A5367"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0044F3AD"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1EBE8914"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4B71B566"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5DF67BDC"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4C8C461D"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6385BE4D"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37F3405A"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1FCDE1CA"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34B5240E"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21350553"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56C160C8" w14:textId="24350607" w:rsidR="00D7121B" w:rsidRPr="00D7121B" w:rsidRDefault="00D7121B" w:rsidP="00D7121B">
      <w:pPr>
        <w:pStyle w:val="B"/>
        <w:spacing w:line="288" w:lineRule="auto"/>
        <w:rPr>
          <w:rFonts w:ascii="Arial" w:hAnsi="Arial" w:cs="Arial"/>
          <w:b w:val="0"/>
          <w:bCs/>
          <w:color w:val="000000" w:themeColor="text1"/>
          <w:sz w:val="20"/>
          <w:szCs w:val="20"/>
          <w:lang w:val="vi-VN"/>
        </w:rPr>
      </w:pPr>
      <w:proofErr w:type="spellStart"/>
      <w:r w:rsidRPr="00D7121B">
        <w:rPr>
          <w:rFonts w:ascii="Arial" w:hAnsi="Arial" w:cs="Arial"/>
          <w:b w:val="0"/>
          <w:bCs/>
          <w:color w:val="000000" w:themeColor="text1"/>
          <w:sz w:val="20"/>
          <w:szCs w:val="20"/>
          <w:vertAlign w:val="superscript"/>
        </w:rPr>
        <w:t>a</w:t>
      </w:r>
      <w:r w:rsidRPr="00D7121B">
        <w:rPr>
          <w:rFonts w:ascii="Arial" w:hAnsi="Arial" w:cs="Arial"/>
          <w:b w:val="0"/>
          <w:bCs/>
          <w:color w:val="000000" w:themeColor="text1"/>
          <w:sz w:val="20"/>
          <w:szCs w:val="20"/>
        </w:rPr>
        <w:t>Chi</w:t>
      </w:r>
      <w:proofErr w:type="spellEnd"/>
      <w:r w:rsidRPr="00D7121B">
        <w:rPr>
          <w:rFonts w:ascii="Arial" w:hAnsi="Arial" w:cs="Arial"/>
          <w:b w:val="0"/>
          <w:bCs/>
          <w:color w:val="000000" w:themeColor="text1"/>
          <w:sz w:val="20"/>
          <w:szCs w:val="20"/>
          <w:lang w:val="vi-VN"/>
        </w:rPr>
        <w:t xml:space="preserve">-square test; </w:t>
      </w:r>
      <w:r w:rsidRPr="00D7121B">
        <w:rPr>
          <w:rFonts w:ascii="Arial" w:hAnsi="Arial" w:cs="Arial"/>
          <w:b w:val="0"/>
          <w:bCs/>
          <w:color w:val="000000" w:themeColor="text1"/>
          <w:sz w:val="20"/>
          <w:szCs w:val="20"/>
          <w:vertAlign w:val="superscript"/>
          <w:lang w:val="vi-VN"/>
        </w:rPr>
        <w:t>b</w:t>
      </w:r>
      <w:r w:rsidRPr="00D7121B">
        <w:rPr>
          <w:rFonts w:ascii="Arial" w:hAnsi="Arial" w:cs="Arial"/>
          <w:b w:val="0"/>
          <w:bCs/>
          <w:color w:val="000000" w:themeColor="text1"/>
          <w:sz w:val="20"/>
          <w:szCs w:val="20"/>
          <w:lang w:val="vi-VN"/>
        </w:rPr>
        <w:t>Fisher exact test</w:t>
      </w:r>
    </w:p>
    <w:p w14:paraId="53AAC261" w14:textId="461C6B17" w:rsidR="00D7121B" w:rsidRPr="00D7121B" w:rsidRDefault="00D7121B" w:rsidP="00D7121B">
      <w:pPr>
        <w:pStyle w:val="B"/>
        <w:spacing w:line="288" w:lineRule="auto"/>
        <w:ind w:firstLine="567"/>
        <w:jc w:val="both"/>
        <w:rPr>
          <w:rFonts w:ascii="Arial" w:hAnsi="Arial" w:cs="Arial"/>
          <w:b w:val="0"/>
          <w:bCs/>
          <w:color w:val="000000" w:themeColor="text1"/>
          <w:sz w:val="20"/>
          <w:szCs w:val="20"/>
        </w:rPr>
      </w:pPr>
      <w:r w:rsidRPr="00D7121B">
        <w:rPr>
          <w:rFonts w:ascii="Arial" w:hAnsi="Arial" w:cs="Arial"/>
          <w:b w:val="0"/>
          <w:bCs/>
          <w:color w:val="000000" w:themeColor="text1"/>
          <w:sz w:val="20"/>
          <w:szCs w:val="20"/>
        </w:rPr>
        <w:t xml:space="preserve">Multivariable logistic regression analysis in Table 3 showed that menorrhagia was significantly associated with submucosal fibroids (OR=2.36, 95% CI: 1.29–4.30, </w:t>
      </w:r>
      <w:r>
        <w:rPr>
          <w:rFonts w:ascii="Arial" w:hAnsi="Arial" w:cs="Arial"/>
          <w:b w:val="0"/>
          <w:bCs/>
          <w:color w:val="000000" w:themeColor="text1"/>
          <w:sz w:val="20"/>
          <w:szCs w:val="20"/>
        </w:rPr>
        <w:t>P</w:t>
      </w:r>
      <w:r w:rsidRPr="00D7121B">
        <w:rPr>
          <w:rFonts w:ascii="Arial" w:hAnsi="Arial" w:cs="Arial"/>
          <w:b w:val="0"/>
          <w:bCs/>
          <w:color w:val="000000" w:themeColor="text1"/>
          <w:sz w:val="20"/>
          <w:szCs w:val="20"/>
        </w:rPr>
        <w:t>=.01). Patients with severe and very severe anemia also had higher odds of submucosal fibroids (OR=3.08, 95% CI:</w:t>
      </w:r>
      <w:r w:rsidR="004E352F">
        <w:rPr>
          <w:rFonts w:ascii="Arial" w:hAnsi="Arial" w:cs="Arial"/>
          <w:b w:val="0"/>
          <w:bCs/>
          <w:color w:val="000000" w:themeColor="text1"/>
          <w:sz w:val="20"/>
          <w:szCs w:val="20"/>
          <w:lang w:val="vi-VN"/>
        </w:rPr>
        <w:t xml:space="preserve"> </w:t>
      </w:r>
      <w:r w:rsidRPr="00D7121B">
        <w:rPr>
          <w:rFonts w:ascii="Arial" w:hAnsi="Arial" w:cs="Arial"/>
          <w:b w:val="0"/>
          <w:bCs/>
          <w:color w:val="000000" w:themeColor="text1"/>
          <w:sz w:val="20"/>
          <w:szCs w:val="20"/>
        </w:rPr>
        <w:t xml:space="preserve">1.14–8.33, p=.03; and OR=4.91, 95% CI: 1.11–21.64, </w:t>
      </w:r>
      <w:r>
        <w:rPr>
          <w:rFonts w:ascii="Arial" w:hAnsi="Arial" w:cs="Arial"/>
          <w:b w:val="0"/>
          <w:bCs/>
          <w:color w:val="000000" w:themeColor="text1"/>
          <w:sz w:val="20"/>
          <w:szCs w:val="20"/>
        </w:rPr>
        <w:t>P</w:t>
      </w:r>
      <w:r w:rsidRPr="00D7121B">
        <w:rPr>
          <w:rFonts w:ascii="Arial" w:hAnsi="Arial" w:cs="Arial"/>
          <w:b w:val="0"/>
          <w:bCs/>
          <w:color w:val="000000" w:themeColor="text1"/>
          <w:sz w:val="20"/>
          <w:szCs w:val="20"/>
        </w:rPr>
        <w:t xml:space="preserve">=.04, respectively). In contrast, tumors detected after more than 12 months were less likely to be submucosal (OR=0.34, 95% CI: 0.17–0.66, </w:t>
      </w:r>
      <w:r>
        <w:rPr>
          <w:rFonts w:ascii="Arial" w:hAnsi="Arial" w:cs="Arial"/>
          <w:b w:val="0"/>
          <w:bCs/>
          <w:color w:val="000000" w:themeColor="text1"/>
          <w:sz w:val="20"/>
          <w:szCs w:val="20"/>
        </w:rPr>
        <w:t>P</w:t>
      </w:r>
      <w:r w:rsidRPr="00D7121B">
        <w:rPr>
          <w:rFonts w:ascii="Arial" w:hAnsi="Arial" w:cs="Arial"/>
          <w:b w:val="0"/>
          <w:bCs/>
          <w:color w:val="000000" w:themeColor="text1"/>
          <w:sz w:val="20"/>
          <w:szCs w:val="20"/>
        </w:rPr>
        <w:t xml:space="preserve">=.002). Larger uterine size and larger fibroid size were also negatively associated with submucosal fibroids. Specifically, uterine size &gt;12 weeks (OR=0.18, </w:t>
      </w:r>
      <w:r w:rsidR="004E352F">
        <w:rPr>
          <w:rFonts w:ascii="Arial" w:hAnsi="Arial" w:cs="Arial"/>
          <w:b w:val="0"/>
          <w:bCs/>
          <w:color w:val="000000" w:themeColor="text1"/>
          <w:sz w:val="20"/>
          <w:szCs w:val="20"/>
        </w:rPr>
        <w:t>P</w:t>
      </w:r>
      <w:r w:rsidRPr="00D7121B">
        <w:rPr>
          <w:rFonts w:ascii="Arial" w:hAnsi="Arial" w:cs="Arial"/>
          <w:b w:val="0"/>
          <w:bCs/>
          <w:color w:val="000000" w:themeColor="text1"/>
          <w:sz w:val="20"/>
          <w:szCs w:val="20"/>
        </w:rPr>
        <w:t>&lt;.001) and fibroid size &gt;40 mm (</w:t>
      </w:r>
      <w:r>
        <w:rPr>
          <w:rFonts w:ascii="Arial" w:hAnsi="Arial" w:cs="Arial"/>
          <w:b w:val="0"/>
          <w:bCs/>
          <w:color w:val="000000" w:themeColor="text1"/>
          <w:sz w:val="20"/>
          <w:szCs w:val="20"/>
        </w:rPr>
        <w:t>P</w:t>
      </w:r>
      <w:r w:rsidRPr="00D7121B">
        <w:rPr>
          <w:rFonts w:ascii="Arial" w:hAnsi="Arial" w:cs="Arial"/>
          <w:b w:val="0"/>
          <w:bCs/>
          <w:color w:val="000000" w:themeColor="text1"/>
          <w:sz w:val="20"/>
          <w:szCs w:val="20"/>
        </w:rPr>
        <w:t>≤.01) significantly reduced the likelihood of submucosal fibroids.</w:t>
      </w:r>
    </w:p>
    <w:p w14:paraId="58EFE864" w14:textId="77777777" w:rsidR="00D7121B" w:rsidRPr="00D7121B" w:rsidRDefault="00D7121B" w:rsidP="00D7121B">
      <w:pPr>
        <w:pStyle w:val="B"/>
        <w:spacing w:line="288" w:lineRule="auto"/>
        <w:rPr>
          <w:rFonts w:ascii="Arial" w:hAnsi="Arial" w:cs="Arial"/>
          <w:color w:val="000000" w:themeColor="text1"/>
          <w:sz w:val="20"/>
          <w:szCs w:val="20"/>
        </w:rPr>
      </w:pPr>
      <w:r w:rsidRPr="00D7121B">
        <w:rPr>
          <w:rFonts w:ascii="Arial" w:hAnsi="Arial" w:cs="Arial"/>
          <w:color w:val="000000" w:themeColor="text1"/>
          <w:sz w:val="20"/>
          <w:szCs w:val="20"/>
        </w:rPr>
        <w:t>Table 3. Multivariable logistic regression analysis for factors associated with submucosal fibroids</w:t>
      </w:r>
    </w:p>
    <w:tbl>
      <w:tblPr>
        <w:tblStyle w:val="TableGrid"/>
        <w:tblW w:w="8080" w:type="dxa"/>
        <w:jc w:val="center"/>
        <w:tblLook w:val="04A0" w:firstRow="1" w:lastRow="0" w:firstColumn="1" w:lastColumn="0" w:noHBand="0" w:noVBand="1"/>
      </w:tblPr>
      <w:tblGrid>
        <w:gridCol w:w="3402"/>
        <w:gridCol w:w="1701"/>
        <w:gridCol w:w="1843"/>
        <w:gridCol w:w="1134"/>
      </w:tblGrid>
      <w:tr w:rsidR="00D7121B" w:rsidRPr="00D7121B" w14:paraId="65AFC764" w14:textId="77777777" w:rsidTr="008B0C0F">
        <w:trPr>
          <w:jc w:val="center"/>
        </w:trPr>
        <w:tc>
          <w:tcPr>
            <w:tcW w:w="3402" w:type="dxa"/>
            <w:hideMark/>
          </w:tcPr>
          <w:p w14:paraId="06B3266A" w14:textId="77777777" w:rsidR="00D7121B" w:rsidRPr="00D7121B" w:rsidRDefault="00D7121B" w:rsidP="008B0C0F">
            <w:pPr>
              <w:jc w:val="center"/>
              <w:rPr>
                <w:rFonts w:ascii="Arial" w:hAnsi="Arial" w:cs="Arial"/>
                <w:b/>
                <w:bCs/>
                <w:sz w:val="20"/>
                <w:szCs w:val="20"/>
              </w:rPr>
            </w:pPr>
            <w:r w:rsidRPr="00D7121B">
              <w:rPr>
                <w:rFonts w:ascii="Arial" w:hAnsi="Arial" w:cs="Arial"/>
                <w:b/>
                <w:bCs/>
                <w:sz w:val="20"/>
                <w:szCs w:val="20"/>
              </w:rPr>
              <w:t>Variables</w:t>
            </w:r>
          </w:p>
        </w:tc>
        <w:tc>
          <w:tcPr>
            <w:tcW w:w="1701" w:type="dxa"/>
            <w:hideMark/>
          </w:tcPr>
          <w:p w14:paraId="21D55B12" w14:textId="77777777" w:rsidR="00D7121B" w:rsidRPr="00D7121B" w:rsidRDefault="00D7121B" w:rsidP="008B0C0F">
            <w:pPr>
              <w:jc w:val="center"/>
              <w:rPr>
                <w:rFonts w:ascii="Arial" w:hAnsi="Arial" w:cs="Arial"/>
                <w:b/>
                <w:bCs/>
                <w:sz w:val="20"/>
                <w:szCs w:val="20"/>
              </w:rPr>
            </w:pPr>
            <w:r w:rsidRPr="00D7121B">
              <w:rPr>
                <w:rFonts w:ascii="Arial" w:hAnsi="Arial" w:cs="Arial"/>
                <w:b/>
                <w:bCs/>
                <w:sz w:val="20"/>
                <w:szCs w:val="20"/>
              </w:rPr>
              <w:t>Adjusted OR</w:t>
            </w:r>
          </w:p>
        </w:tc>
        <w:tc>
          <w:tcPr>
            <w:tcW w:w="1843" w:type="dxa"/>
            <w:hideMark/>
          </w:tcPr>
          <w:p w14:paraId="11137B9D" w14:textId="77777777" w:rsidR="00D7121B" w:rsidRPr="00D7121B" w:rsidRDefault="00D7121B" w:rsidP="008B0C0F">
            <w:pPr>
              <w:jc w:val="center"/>
              <w:rPr>
                <w:rFonts w:ascii="Arial" w:hAnsi="Arial" w:cs="Arial"/>
                <w:b/>
                <w:bCs/>
                <w:sz w:val="20"/>
                <w:szCs w:val="20"/>
              </w:rPr>
            </w:pPr>
            <w:r w:rsidRPr="00D7121B">
              <w:rPr>
                <w:rFonts w:ascii="Arial" w:hAnsi="Arial" w:cs="Arial"/>
                <w:b/>
                <w:bCs/>
                <w:sz w:val="20"/>
                <w:szCs w:val="20"/>
              </w:rPr>
              <w:t>95% CI</w:t>
            </w:r>
          </w:p>
        </w:tc>
        <w:tc>
          <w:tcPr>
            <w:tcW w:w="1134" w:type="dxa"/>
            <w:hideMark/>
          </w:tcPr>
          <w:p w14:paraId="3379E0BF" w14:textId="610EF5B7" w:rsidR="00D7121B" w:rsidRPr="00D7121B" w:rsidRDefault="004E352F" w:rsidP="008B0C0F">
            <w:pPr>
              <w:jc w:val="center"/>
              <w:rPr>
                <w:rFonts w:ascii="Arial" w:hAnsi="Arial" w:cs="Arial"/>
                <w:b/>
                <w:bCs/>
                <w:sz w:val="20"/>
                <w:szCs w:val="20"/>
              </w:rPr>
            </w:pPr>
            <w:r>
              <w:rPr>
                <w:rFonts w:ascii="Arial" w:hAnsi="Arial" w:cs="Arial"/>
                <w:b/>
                <w:bCs/>
                <w:sz w:val="20"/>
                <w:szCs w:val="20"/>
              </w:rPr>
              <w:t>P</w:t>
            </w:r>
            <w:r w:rsidR="00D7121B" w:rsidRPr="00D7121B">
              <w:rPr>
                <w:rFonts w:ascii="Arial" w:hAnsi="Arial" w:cs="Arial"/>
                <w:b/>
                <w:bCs/>
                <w:sz w:val="20"/>
                <w:szCs w:val="20"/>
              </w:rPr>
              <w:t>-value</w:t>
            </w:r>
          </w:p>
        </w:tc>
      </w:tr>
      <w:tr w:rsidR="00D7121B" w:rsidRPr="00D7121B" w14:paraId="2F157B70" w14:textId="77777777" w:rsidTr="008B0C0F">
        <w:trPr>
          <w:jc w:val="center"/>
        </w:trPr>
        <w:tc>
          <w:tcPr>
            <w:tcW w:w="8080" w:type="dxa"/>
            <w:gridSpan w:val="4"/>
            <w:hideMark/>
          </w:tcPr>
          <w:p w14:paraId="23813686"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Age (</w:t>
            </w:r>
            <w:r w:rsidRPr="00D7121B">
              <w:rPr>
                <w:rFonts w:ascii="Arial" w:hAnsi="Arial" w:cs="Arial"/>
                <w:sz w:val="20"/>
                <w:szCs w:val="20"/>
              </w:rPr>
              <w:t xml:space="preserve">&lt;40 </w:t>
            </w:r>
            <w:r w:rsidRPr="00D7121B">
              <w:rPr>
                <w:rStyle w:val="Strong"/>
                <w:rFonts w:ascii="Arial" w:hAnsi="Arial" w:cs="Arial"/>
                <w:sz w:val="20"/>
                <w:szCs w:val="20"/>
              </w:rPr>
              <w:t>years - ref)</w:t>
            </w:r>
          </w:p>
        </w:tc>
      </w:tr>
      <w:tr w:rsidR="00D7121B" w:rsidRPr="00D7121B" w14:paraId="13D32178" w14:textId="77777777" w:rsidTr="008B0C0F">
        <w:trPr>
          <w:jc w:val="center"/>
        </w:trPr>
        <w:tc>
          <w:tcPr>
            <w:tcW w:w="3402" w:type="dxa"/>
            <w:hideMark/>
          </w:tcPr>
          <w:p w14:paraId="662D3979" w14:textId="77777777" w:rsidR="00D7121B" w:rsidRPr="00D7121B" w:rsidRDefault="00D7121B" w:rsidP="008B0C0F">
            <w:pPr>
              <w:ind w:firstLine="315"/>
              <w:rPr>
                <w:rFonts w:ascii="Arial" w:hAnsi="Arial" w:cs="Arial"/>
                <w:sz w:val="20"/>
                <w:szCs w:val="20"/>
              </w:rPr>
            </w:pPr>
            <w:r w:rsidRPr="00D7121B">
              <w:rPr>
                <w:rFonts w:ascii="Arial" w:hAnsi="Arial" w:cs="Arial"/>
                <w:sz w:val="20"/>
                <w:szCs w:val="20"/>
              </w:rPr>
              <w:t>≥40</w:t>
            </w:r>
          </w:p>
        </w:tc>
        <w:tc>
          <w:tcPr>
            <w:tcW w:w="1701" w:type="dxa"/>
            <w:hideMark/>
          </w:tcPr>
          <w:p w14:paraId="7002C33A"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1.35</w:t>
            </w:r>
          </w:p>
        </w:tc>
        <w:tc>
          <w:tcPr>
            <w:tcW w:w="1843" w:type="dxa"/>
            <w:hideMark/>
          </w:tcPr>
          <w:p w14:paraId="350873F8"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0.72 – 2.54</w:t>
            </w:r>
          </w:p>
        </w:tc>
        <w:tc>
          <w:tcPr>
            <w:tcW w:w="1134" w:type="dxa"/>
            <w:hideMark/>
          </w:tcPr>
          <w:p w14:paraId="2055BA27" w14:textId="28C517F0" w:rsidR="00D7121B" w:rsidRPr="00D7121B" w:rsidRDefault="00D7121B" w:rsidP="008B0C0F">
            <w:pPr>
              <w:jc w:val="center"/>
              <w:rPr>
                <w:rFonts w:ascii="Arial" w:hAnsi="Arial" w:cs="Arial"/>
                <w:sz w:val="20"/>
                <w:szCs w:val="20"/>
              </w:rPr>
            </w:pPr>
            <w:r w:rsidRPr="00D7121B">
              <w:rPr>
                <w:rFonts w:ascii="Arial" w:hAnsi="Arial" w:cs="Arial"/>
                <w:sz w:val="20"/>
                <w:szCs w:val="20"/>
              </w:rPr>
              <w:t>.34</w:t>
            </w:r>
          </w:p>
        </w:tc>
      </w:tr>
      <w:tr w:rsidR="00D7121B" w:rsidRPr="00D7121B" w14:paraId="129BBCDA" w14:textId="77777777" w:rsidTr="008B0C0F">
        <w:trPr>
          <w:jc w:val="center"/>
        </w:trPr>
        <w:tc>
          <w:tcPr>
            <w:tcW w:w="8080" w:type="dxa"/>
            <w:gridSpan w:val="4"/>
            <w:hideMark/>
          </w:tcPr>
          <w:p w14:paraId="25B7AE05"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Menstrual history (</w:t>
            </w:r>
            <w:r w:rsidRPr="00D7121B">
              <w:rPr>
                <w:rFonts w:ascii="Arial" w:hAnsi="Arial" w:cs="Arial"/>
                <w:sz w:val="20"/>
                <w:szCs w:val="20"/>
              </w:rPr>
              <w:t>Normal</w:t>
            </w:r>
            <w:r w:rsidRPr="00D7121B">
              <w:rPr>
                <w:rStyle w:val="Strong"/>
                <w:rFonts w:ascii="Arial" w:hAnsi="Arial" w:cs="Arial"/>
                <w:sz w:val="20"/>
                <w:szCs w:val="20"/>
              </w:rPr>
              <w:t xml:space="preserve"> - ref)</w:t>
            </w:r>
          </w:p>
        </w:tc>
      </w:tr>
      <w:tr w:rsidR="00D7121B" w:rsidRPr="00D7121B" w14:paraId="5406FA05" w14:textId="77777777" w:rsidTr="008B0C0F">
        <w:trPr>
          <w:jc w:val="center"/>
        </w:trPr>
        <w:tc>
          <w:tcPr>
            <w:tcW w:w="3402" w:type="dxa"/>
            <w:hideMark/>
          </w:tcPr>
          <w:p w14:paraId="7BA8B229" w14:textId="77777777" w:rsidR="00D7121B" w:rsidRPr="00D7121B" w:rsidRDefault="00D7121B" w:rsidP="008B0C0F">
            <w:pPr>
              <w:rPr>
                <w:rFonts w:ascii="Arial" w:hAnsi="Arial" w:cs="Arial"/>
                <w:sz w:val="20"/>
                <w:szCs w:val="20"/>
              </w:rPr>
            </w:pPr>
            <w:r w:rsidRPr="00D7121B">
              <w:rPr>
                <w:rFonts w:ascii="Arial" w:hAnsi="Arial" w:cs="Arial"/>
                <w:sz w:val="20"/>
                <w:szCs w:val="20"/>
              </w:rPr>
              <w:t>Menorrhagia</w:t>
            </w:r>
          </w:p>
        </w:tc>
        <w:tc>
          <w:tcPr>
            <w:tcW w:w="1701" w:type="dxa"/>
            <w:hideMark/>
          </w:tcPr>
          <w:p w14:paraId="11C7CD3A"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2.36</w:t>
            </w:r>
          </w:p>
        </w:tc>
        <w:tc>
          <w:tcPr>
            <w:tcW w:w="1843" w:type="dxa"/>
            <w:hideMark/>
          </w:tcPr>
          <w:p w14:paraId="3918E6FD"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1.29 – 4.30</w:t>
            </w:r>
          </w:p>
        </w:tc>
        <w:tc>
          <w:tcPr>
            <w:tcW w:w="1134" w:type="dxa"/>
            <w:hideMark/>
          </w:tcPr>
          <w:p w14:paraId="0B62453D" w14:textId="41AEFB70" w:rsidR="00D7121B" w:rsidRPr="004E352F" w:rsidRDefault="00D7121B" w:rsidP="008B0C0F">
            <w:pPr>
              <w:jc w:val="center"/>
              <w:rPr>
                <w:rFonts w:ascii="Arial" w:hAnsi="Arial" w:cs="Arial"/>
                <w:b/>
                <w:bCs/>
                <w:sz w:val="20"/>
                <w:szCs w:val="20"/>
              </w:rPr>
            </w:pPr>
            <w:r w:rsidRPr="004E352F">
              <w:rPr>
                <w:rStyle w:val="Strong"/>
                <w:rFonts w:ascii="Arial" w:hAnsi="Arial" w:cs="Arial"/>
                <w:b w:val="0"/>
                <w:bCs w:val="0"/>
                <w:sz w:val="20"/>
                <w:szCs w:val="20"/>
              </w:rPr>
              <w:t>.01</w:t>
            </w:r>
          </w:p>
        </w:tc>
      </w:tr>
      <w:tr w:rsidR="00D7121B" w:rsidRPr="00D7121B" w14:paraId="590FAA33" w14:textId="77777777" w:rsidTr="008B0C0F">
        <w:trPr>
          <w:jc w:val="center"/>
        </w:trPr>
        <w:tc>
          <w:tcPr>
            <w:tcW w:w="3402" w:type="dxa"/>
            <w:hideMark/>
          </w:tcPr>
          <w:p w14:paraId="2AB268E2" w14:textId="77777777" w:rsidR="00D7121B" w:rsidRPr="00D7121B" w:rsidRDefault="00D7121B" w:rsidP="008B0C0F">
            <w:pPr>
              <w:rPr>
                <w:rFonts w:ascii="Arial" w:hAnsi="Arial" w:cs="Arial"/>
                <w:sz w:val="20"/>
                <w:szCs w:val="20"/>
              </w:rPr>
            </w:pPr>
            <w:r w:rsidRPr="00D7121B">
              <w:rPr>
                <w:rFonts w:ascii="Arial" w:hAnsi="Arial" w:cs="Arial"/>
                <w:sz w:val="20"/>
                <w:szCs w:val="20"/>
              </w:rPr>
              <w:t>Metrorrhagia</w:t>
            </w:r>
          </w:p>
        </w:tc>
        <w:tc>
          <w:tcPr>
            <w:tcW w:w="1701" w:type="dxa"/>
            <w:hideMark/>
          </w:tcPr>
          <w:p w14:paraId="196E827E"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1.41</w:t>
            </w:r>
          </w:p>
        </w:tc>
        <w:tc>
          <w:tcPr>
            <w:tcW w:w="1843" w:type="dxa"/>
            <w:hideMark/>
          </w:tcPr>
          <w:p w14:paraId="3F90CDD3"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0.46 – 4.29</w:t>
            </w:r>
          </w:p>
        </w:tc>
        <w:tc>
          <w:tcPr>
            <w:tcW w:w="1134" w:type="dxa"/>
            <w:hideMark/>
          </w:tcPr>
          <w:p w14:paraId="3134FE61" w14:textId="61248DCA" w:rsidR="00D7121B" w:rsidRPr="00D7121B" w:rsidRDefault="00D7121B" w:rsidP="008B0C0F">
            <w:pPr>
              <w:jc w:val="center"/>
              <w:rPr>
                <w:rFonts w:ascii="Arial" w:hAnsi="Arial" w:cs="Arial"/>
                <w:sz w:val="20"/>
                <w:szCs w:val="20"/>
              </w:rPr>
            </w:pPr>
            <w:r w:rsidRPr="00D7121B">
              <w:rPr>
                <w:rFonts w:ascii="Arial" w:hAnsi="Arial" w:cs="Arial"/>
                <w:sz w:val="20"/>
                <w:szCs w:val="20"/>
              </w:rPr>
              <w:t>.55</w:t>
            </w:r>
          </w:p>
        </w:tc>
      </w:tr>
      <w:tr w:rsidR="00D7121B" w:rsidRPr="00D7121B" w14:paraId="0E9C181F" w14:textId="77777777" w:rsidTr="008B0C0F">
        <w:trPr>
          <w:jc w:val="center"/>
        </w:trPr>
        <w:tc>
          <w:tcPr>
            <w:tcW w:w="3402" w:type="dxa"/>
            <w:hideMark/>
          </w:tcPr>
          <w:p w14:paraId="490153FF" w14:textId="77777777" w:rsidR="00D7121B" w:rsidRPr="00D7121B" w:rsidRDefault="00D7121B" w:rsidP="008B0C0F">
            <w:pPr>
              <w:rPr>
                <w:rFonts w:ascii="Arial" w:hAnsi="Arial" w:cs="Arial"/>
                <w:sz w:val="20"/>
                <w:szCs w:val="20"/>
              </w:rPr>
            </w:pPr>
            <w:r w:rsidRPr="00D7121B">
              <w:rPr>
                <w:rFonts w:ascii="Arial" w:hAnsi="Arial" w:cs="Arial"/>
                <w:sz w:val="20"/>
                <w:szCs w:val="20"/>
              </w:rPr>
              <w:t>Postmenopausal</w:t>
            </w:r>
          </w:p>
        </w:tc>
        <w:tc>
          <w:tcPr>
            <w:tcW w:w="1701" w:type="dxa"/>
            <w:hideMark/>
          </w:tcPr>
          <w:p w14:paraId="530045F0"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0.68</w:t>
            </w:r>
          </w:p>
        </w:tc>
        <w:tc>
          <w:tcPr>
            <w:tcW w:w="1843" w:type="dxa"/>
            <w:hideMark/>
          </w:tcPr>
          <w:p w14:paraId="4C87DC08"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0.07 – 6.72</w:t>
            </w:r>
          </w:p>
        </w:tc>
        <w:tc>
          <w:tcPr>
            <w:tcW w:w="1134" w:type="dxa"/>
            <w:hideMark/>
          </w:tcPr>
          <w:p w14:paraId="13110290" w14:textId="52606ED9" w:rsidR="00D7121B" w:rsidRPr="00D7121B" w:rsidRDefault="00D7121B" w:rsidP="008B0C0F">
            <w:pPr>
              <w:jc w:val="center"/>
              <w:rPr>
                <w:rFonts w:ascii="Arial" w:hAnsi="Arial" w:cs="Arial"/>
                <w:sz w:val="20"/>
                <w:szCs w:val="20"/>
              </w:rPr>
            </w:pPr>
            <w:r w:rsidRPr="00D7121B">
              <w:rPr>
                <w:rFonts w:ascii="Arial" w:hAnsi="Arial" w:cs="Arial"/>
                <w:sz w:val="20"/>
                <w:szCs w:val="20"/>
              </w:rPr>
              <w:t>.74</w:t>
            </w:r>
          </w:p>
        </w:tc>
      </w:tr>
      <w:tr w:rsidR="00D7121B" w:rsidRPr="00D7121B" w14:paraId="215159E5" w14:textId="77777777" w:rsidTr="008B0C0F">
        <w:trPr>
          <w:jc w:val="center"/>
        </w:trPr>
        <w:tc>
          <w:tcPr>
            <w:tcW w:w="8080" w:type="dxa"/>
            <w:gridSpan w:val="4"/>
            <w:hideMark/>
          </w:tcPr>
          <w:p w14:paraId="15560D85"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Time of tumor detection (</w:t>
            </w:r>
            <w:r w:rsidRPr="00D7121B">
              <w:rPr>
                <w:rFonts w:ascii="Arial" w:hAnsi="Arial" w:cs="Arial"/>
                <w:sz w:val="20"/>
                <w:szCs w:val="20"/>
              </w:rPr>
              <w:t>&lt;1 month - ref</w:t>
            </w:r>
            <w:r w:rsidRPr="00D7121B">
              <w:rPr>
                <w:rStyle w:val="Strong"/>
                <w:rFonts w:ascii="Arial" w:hAnsi="Arial" w:cs="Arial"/>
                <w:sz w:val="20"/>
                <w:szCs w:val="20"/>
              </w:rPr>
              <w:t>)</w:t>
            </w:r>
          </w:p>
        </w:tc>
      </w:tr>
      <w:tr w:rsidR="00D7121B" w:rsidRPr="00D7121B" w14:paraId="5088F40F" w14:textId="77777777" w:rsidTr="008B0C0F">
        <w:trPr>
          <w:jc w:val="center"/>
        </w:trPr>
        <w:tc>
          <w:tcPr>
            <w:tcW w:w="3402" w:type="dxa"/>
            <w:hideMark/>
          </w:tcPr>
          <w:p w14:paraId="48F270F8" w14:textId="77777777" w:rsidR="00D7121B" w:rsidRPr="00D7121B" w:rsidRDefault="00D7121B" w:rsidP="008B0C0F">
            <w:pPr>
              <w:rPr>
                <w:rFonts w:ascii="Arial" w:hAnsi="Arial" w:cs="Arial"/>
                <w:sz w:val="20"/>
                <w:szCs w:val="20"/>
              </w:rPr>
            </w:pPr>
            <w:r w:rsidRPr="00D7121B">
              <w:rPr>
                <w:rFonts w:ascii="Arial" w:hAnsi="Arial" w:cs="Arial"/>
                <w:sz w:val="20"/>
                <w:szCs w:val="20"/>
              </w:rPr>
              <w:t>1–12 months</w:t>
            </w:r>
          </w:p>
        </w:tc>
        <w:tc>
          <w:tcPr>
            <w:tcW w:w="1701" w:type="dxa"/>
            <w:hideMark/>
          </w:tcPr>
          <w:p w14:paraId="17E4BE93"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0.59</w:t>
            </w:r>
          </w:p>
        </w:tc>
        <w:tc>
          <w:tcPr>
            <w:tcW w:w="1843" w:type="dxa"/>
            <w:hideMark/>
          </w:tcPr>
          <w:p w14:paraId="3D6FD722"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0.31 – 1.11</w:t>
            </w:r>
          </w:p>
        </w:tc>
        <w:tc>
          <w:tcPr>
            <w:tcW w:w="1134" w:type="dxa"/>
            <w:hideMark/>
          </w:tcPr>
          <w:p w14:paraId="069D0301" w14:textId="58896D52" w:rsidR="00D7121B" w:rsidRPr="00D7121B" w:rsidRDefault="00D7121B" w:rsidP="008B0C0F">
            <w:pPr>
              <w:jc w:val="center"/>
              <w:rPr>
                <w:rFonts w:ascii="Arial" w:hAnsi="Arial" w:cs="Arial"/>
                <w:sz w:val="20"/>
                <w:szCs w:val="20"/>
              </w:rPr>
            </w:pPr>
            <w:r w:rsidRPr="00D7121B">
              <w:rPr>
                <w:rFonts w:ascii="Arial" w:hAnsi="Arial" w:cs="Arial"/>
                <w:sz w:val="20"/>
                <w:szCs w:val="20"/>
              </w:rPr>
              <w:t>.10</w:t>
            </w:r>
          </w:p>
        </w:tc>
      </w:tr>
      <w:tr w:rsidR="00D7121B" w:rsidRPr="00D7121B" w14:paraId="6F500D06" w14:textId="77777777" w:rsidTr="008B0C0F">
        <w:trPr>
          <w:jc w:val="center"/>
        </w:trPr>
        <w:tc>
          <w:tcPr>
            <w:tcW w:w="3402" w:type="dxa"/>
            <w:hideMark/>
          </w:tcPr>
          <w:p w14:paraId="3107D438" w14:textId="77777777" w:rsidR="00D7121B" w:rsidRPr="00D7121B" w:rsidRDefault="00D7121B" w:rsidP="008B0C0F">
            <w:pPr>
              <w:rPr>
                <w:rFonts w:ascii="Arial" w:hAnsi="Arial" w:cs="Arial"/>
                <w:sz w:val="20"/>
                <w:szCs w:val="20"/>
              </w:rPr>
            </w:pPr>
            <w:r w:rsidRPr="00D7121B">
              <w:rPr>
                <w:rFonts w:ascii="Arial" w:hAnsi="Arial" w:cs="Arial"/>
                <w:sz w:val="20"/>
                <w:szCs w:val="20"/>
              </w:rPr>
              <w:t>&gt;12 months</w:t>
            </w:r>
          </w:p>
        </w:tc>
        <w:tc>
          <w:tcPr>
            <w:tcW w:w="1701" w:type="dxa"/>
            <w:hideMark/>
          </w:tcPr>
          <w:p w14:paraId="146529FC"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0.34</w:t>
            </w:r>
          </w:p>
        </w:tc>
        <w:tc>
          <w:tcPr>
            <w:tcW w:w="1843" w:type="dxa"/>
            <w:hideMark/>
          </w:tcPr>
          <w:p w14:paraId="08086086"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0.17 – 0.66</w:t>
            </w:r>
          </w:p>
        </w:tc>
        <w:tc>
          <w:tcPr>
            <w:tcW w:w="1134" w:type="dxa"/>
            <w:hideMark/>
          </w:tcPr>
          <w:p w14:paraId="446B9C18" w14:textId="2B33D19C" w:rsidR="00D7121B" w:rsidRPr="004E352F" w:rsidRDefault="00D7121B" w:rsidP="008B0C0F">
            <w:pPr>
              <w:jc w:val="center"/>
              <w:rPr>
                <w:rFonts w:ascii="Arial" w:hAnsi="Arial" w:cs="Arial"/>
                <w:b/>
                <w:bCs/>
                <w:sz w:val="20"/>
                <w:szCs w:val="20"/>
              </w:rPr>
            </w:pPr>
            <w:r w:rsidRPr="004E352F">
              <w:rPr>
                <w:rStyle w:val="Strong"/>
                <w:rFonts w:ascii="Arial" w:hAnsi="Arial" w:cs="Arial"/>
                <w:b w:val="0"/>
                <w:bCs w:val="0"/>
                <w:sz w:val="20"/>
                <w:szCs w:val="20"/>
              </w:rPr>
              <w:t>.002</w:t>
            </w:r>
          </w:p>
        </w:tc>
      </w:tr>
      <w:tr w:rsidR="00D7121B" w:rsidRPr="00D7121B" w14:paraId="2DA053BD" w14:textId="77777777" w:rsidTr="008B0C0F">
        <w:trPr>
          <w:jc w:val="center"/>
        </w:trPr>
        <w:tc>
          <w:tcPr>
            <w:tcW w:w="8080" w:type="dxa"/>
            <w:gridSpan w:val="4"/>
            <w:hideMark/>
          </w:tcPr>
          <w:p w14:paraId="6D1083E2"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Anemia (</w:t>
            </w:r>
            <w:r w:rsidRPr="00D7121B">
              <w:rPr>
                <w:rFonts w:ascii="Arial" w:hAnsi="Arial" w:cs="Arial"/>
                <w:sz w:val="20"/>
                <w:szCs w:val="20"/>
              </w:rPr>
              <w:t>No anemia - ref</w:t>
            </w:r>
            <w:r w:rsidRPr="00D7121B">
              <w:rPr>
                <w:rStyle w:val="Strong"/>
                <w:rFonts w:ascii="Arial" w:hAnsi="Arial" w:cs="Arial"/>
                <w:sz w:val="20"/>
                <w:szCs w:val="20"/>
              </w:rPr>
              <w:t>)</w:t>
            </w:r>
          </w:p>
        </w:tc>
      </w:tr>
      <w:tr w:rsidR="00D7121B" w:rsidRPr="00D7121B" w14:paraId="4DBD9780" w14:textId="77777777" w:rsidTr="008B0C0F">
        <w:trPr>
          <w:jc w:val="center"/>
        </w:trPr>
        <w:tc>
          <w:tcPr>
            <w:tcW w:w="3402" w:type="dxa"/>
            <w:hideMark/>
          </w:tcPr>
          <w:p w14:paraId="7AB93D04" w14:textId="77777777" w:rsidR="00D7121B" w:rsidRPr="00D7121B" w:rsidRDefault="00D7121B" w:rsidP="008B0C0F">
            <w:pPr>
              <w:rPr>
                <w:rFonts w:ascii="Arial" w:hAnsi="Arial" w:cs="Arial"/>
                <w:sz w:val="20"/>
                <w:szCs w:val="20"/>
              </w:rPr>
            </w:pPr>
            <w:r w:rsidRPr="00D7121B">
              <w:rPr>
                <w:rFonts w:ascii="Arial" w:hAnsi="Arial" w:cs="Arial"/>
                <w:sz w:val="20"/>
                <w:szCs w:val="20"/>
              </w:rPr>
              <w:t>Mild</w:t>
            </w:r>
          </w:p>
        </w:tc>
        <w:tc>
          <w:tcPr>
            <w:tcW w:w="1701" w:type="dxa"/>
            <w:hideMark/>
          </w:tcPr>
          <w:p w14:paraId="2F66CDF9"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1.28</w:t>
            </w:r>
          </w:p>
        </w:tc>
        <w:tc>
          <w:tcPr>
            <w:tcW w:w="1843" w:type="dxa"/>
            <w:hideMark/>
          </w:tcPr>
          <w:p w14:paraId="15F8852E"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0.63 – 2.60</w:t>
            </w:r>
          </w:p>
        </w:tc>
        <w:tc>
          <w:tcPr>
            <w:tcW w:w="1134" w:type="dxa"/>
            <w:hideMark/>
          </w:tcPr>
          <w:p w14:paraId="7A19E044" w14:textId="1A6ABBDD" w:rsidR="00D7121B" w:rsidRPr="00D7121B" w:rsidRDefault="00D7121B" w:rsidP="008B0C0F">
            <w:pPr>
              <w:jc w:val="center"/>
              <w:rPr>
                <w:rFonts w:ascii="Arial" w:hAnsi="Arial" w:cs="Arial"/>
                <w:sz w:val="20"/>
                <w:szCs w:val="20"/>
              </w:rPr>
            </w:pPr>
            <w:r w:rsidRPr="00D7121B">
              <w:rPr>
                <w:rFonts w:ascii="Arial" w:hAnsi="Arial" w:cs="Arial"/>
                <w:sz w:val="20"/>
                <w:szCs w:val="20"/>
              </w:rPr>
              <w:t>.49</w:t>
            </w:r>
          </w:p>
        </w:tc>
      </w:tr>
      <w:tr w:rsidR="00D7121B" w:rsidRPr="00D7121B" w14:paraId="5BBD52EC" w14:textId="77777777" w:rsidTr="008B0C0F">
        <w:trPr>
          <w:jc w:val="center"/>
        </w:trPr>
        <w:tc>
          <w:tcPr>
            <w:tcW w:w="3402" w:type="dxa"/>
            <w:hideMark/>
          </w:tcPr>
          <w:p w14:paraId="7D69DAA5" w14:textId="77777777" w:rsidR="00D7121B" w:rsidRPr="00D7121B" w:rsidRDefault="00D7121B" w:rsidP="008B0C0F">
            <w:pPr>
              <w:rPr>
                <w:rFonts w:ascii="Arial" w:hAnsi="Arial" w:cs="Arial"/>
                <w:sz w:val="20"/>
                <w:szCs w:val="20"/>
              </w:rPr>
            </w:pPr>
            <w:r w:rsidRPr="00D7121B">
              <w:rPr>
                <w:rFonts w:ascii="Arial" w:hAnsi="Arial" w:cs="Arial"/>
                <w:sz w:val="20"/>
                <w:szCs w:val="20"/>
              </w:rPr>
              <w:t>Moderate</w:t>
            </w:r>
          </w:p>
        </w:tc>
        <w:tc>
          <w:tcPr>
            <w:tcW w:w="1701" w:type="dxa"/>
            <w:hideMark/>
          </w:tcPr>
          <w:p w14:paraId="60F5E147"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2.01</w:t>
            </w:r>
          </w:p>
        </w:tc>
        <w:tc>
          <w:tcPr>
            <w:tcW w:w="1843" w:type="dxa"/>
            <w:hideMark/>
          </w:tcPr>
          <w:p w14:paraId="53D04BDD"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0.96 – 4.20</w:t>
            </w:r>
          </w:p>
        </w:tc>
        <w:tc>
          <w:tcPr>
            <w:tcW w:w="1134" w:type="dxa"/>
            <w:hideMark/>
          </w:tcPr>
          <w:p w14:paraId="78FB4CC6" w14:textId="40085326" w:rsidR="00D7121B" w:rsidRPr="00D7121B" w:rsidRDefault="00D7121B" w:rsidP="008B0C0F">
            <w:pPr>
              <w:jc w:val="center"/>
              <w:rPr>
                <w:rFonts w:ascii="Arial" w:hAnsi="Arial" w:cs="Arial"/>
                <w:sz w:val="20"/>
                <w:szCs w:val="20"/>
              </w:rPr>
            </w:pPr>
            <w:r w:rsidRPr="00D7121B">
              <w:rPr>
                <w:rFonts w:ascii="Arial" w:hAnsi="Arial" w:cs="Arial"/>
                <w:sz w:val="20"/>
                <w:szCs w:val="20"/>
              </w:rPr>
              <w:t>.07</w:t>
            </w:r>
          </w:p>
        </w:tc>
      </w:tr>
      <w:tr w:rsidR="00D7121B" w:rsidRPr="00D7121B" w14:paraId="35D32E61" w14:textId="77777777" w:rsidTr="008B0C0F">
        <w:trPr>
          <w:jc w:val="center"/>
        </w:trPr>
        <w:tc>
          <w:tcPr>
            <w:tcW w:w="3402" w:type="dxa"/>
            <w:hideMark/>
          </w:tcPr>
          <w:p w14:paraId="0922FF7B" w14:textId="77777777" w:rsidR="00D7121B" w:rsidRPr="00D7121B" w:rsidRDefault="00D7121B" w:rsidP="008B0C0F">
            <w:pPr>
              <w:rPr>
                <w:rFonts w:ascii="Arial" w:hAnsi="Arial" w:cs="Arial"/>
                <w:sz w:val="20"/>
                <w:szCs w:val="20"/>
              </w:rPr>
            </w:pPr>
            <w:r w:rsidRPr="00D7121B">
              <w:rPr>
                <w:rFonts w:ascii="Arial" w:hAnsi="Arial" w:cs="Arial"/>
                <w:sz w:val="20"/>
                <w:szCs w:val="20"/>
              </w:rPr>
              <w:t>Severe</w:t>
            </w:r>
          </w:p>
        </w:tc>
        <w:tc>
          <w:tcPr>
            <w:tcW w:w="1701" w:type="dxa"/>
            <w:hideMark/>
          </w:tcPr>
          <w:p w14:paraId="1EAFB9B3"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3.08</w:t>
            </w:r>
          </w:p>
        </w:tc>
        <w:tc>
          <w:tcPr>
            <w:tcW w:w="1843" w:type="dxa"/>
            <w:hideMark/>
          </w:tcPr>
          <w:p w14:paraId="5673BB5A"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1.14 – 8.33</w:t>
            </w:r>
          </w:p>
        </w:tc>
        <w:tc>
          <w:tcPr>
            <w:tcW w:w="1134" w:type="dxa"/>
            <w:hideMark/>
          </w:tcPr>
          <w:p w14:paraId="30E755CC" w14:textId="1E8A4D02" w:rsidR="00D7121B" w:rsidRPr="004E352F" w:rsidRDefault="00D7121B" w:rsidP="008B0C0F">
            <w:pPr>
              <w:jc w:val="center"/>
              <w:rPr>
                <w:rFonts w:ascii="Arial" w:hAnsi="Arial" w:cs="Arial"/>
                <w:b/>
                <w:bCs/>
                <w:sz w:val="20"/>
                <w:szCs w:val="20"/>
              </w:rPr>
            </w:pPr>
            <w:r w:rsidRPr="004E352F">
              <w:rPr>
                <w:rStyle w:val="Strong"/>
                <w:rFonts w:ascii="Arial" w:hAnsi="Arial" w:cs="Arial"/>
                <w:b w:val="0"/>
                <w:bCs w:val="0"/>
                <w:sz w:val="20"/>
                <w:szCs w:val="20"/>
              </w:rPr>
              <w:t>.03</w:t>
            </w:r>
          </w:p>
        </w:tc>
      </w:tr>
      <w:tr w:rsidR="00D7121B" w:rsidRPr="00D7121B" w14:paraId="7D65294B" w14:textId="77777777" w:rsidTr="008B0C0F">
        <w:trPr>
          <w:jc w:val="center"/>
        </w:trPr>
        <w:tc>
          <w:tcPr>
            <w:tcW w:w="3402" w:type="dxa"/>
            <w:hideMark/>
          </w:tcPr>
          <w:p w14:paraId="01A70CB8" w14:textId="77777777" w:rsidR="00D7121B" w:rsidRPr="00D7121B" w:rsidRDefault="00D7121B" w:rsidP="008B0C0F">
            <w:pPr>
              <w:rPr>
                <w:rFonts w:ascii="Arial" w:hAnsi="Arial" w:cs="Arial"/>
                <w:sz w:val="20"/>
                <w:szCs w:val="20"/>
              </w:rPr>
            </w:pPr>
            <w:r w:rsidRPr="00D7121B">
              <w:rPr>
                <w:rFonts w:ascii="Arial" w:hAnsi="Arial" w:cs="Arial"/>
                <w:sz w:val="20"/>
                <w:szCs w:val="20"/>
              </w:rPr>
              <w:t>Very severe</w:t>
            </w:r>
          </w:p>
        </w:tc>
        <w:tc>
          <w:tcPr>
            <w:tcW w:w="1701" w:type="dxa"/>
            <w:hideMark/>
          </w:tcPr>
          <w:p w14:paraId="009F9B48"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4.91</w:t>
            </w:r>
          </w:p>
        </w:tc>
        <w:tc>
          <w:tcPr>
            <w:tcW w:w="1843" w:type="dxa"/>
            <w:hideMark/>
          </w:tcPr>
          <w:p w14:paraId="0614C19F"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1.11 – 21.64</w:t>
            </w:r>
          </w:p>
        </w:tc>
        <w:tc>
          <w:tcPr>
            <w:tcW w:w="1134" w:type="dxa"/>
            <w:hideMark/>
          </w:tcPr>
          <w:p w14:paraId="6554B308" w14:textId="0BB5C5B6" w:rsidR="00D7121B" w:rsidRPr="004E352F" w:rsidRDefault="00D7121B" w:rsidP="008B0C0F">
            <w:pPr>
              <w:jc w:val="center"/>
              <w:rPr>
                <w:rFonts w:ascii="Arial" w:hAnsi="Arial" w:cs="Arial"/>
                <w:b/>
                <w:bCs/>
                <w:sz w:val="20"/>
                <w:szCs w:val="20"/>
              </w:rPr>
            </w:pPr>
            <w:r w:rsidRPr="004E352F">
              <w:rPr>
                <w:rStyle w:val="Strong"/>
                <w:rFonts w:ascii="Arial" w:hAnsi="Arial" w:cs="Arial"/>
                <w:b w:val="0"/>
                <w:bCs w:val="0"/>
                <w:sz w:val="20"/>
                <w:szCs w:val="20"/>
              </w:rPr>
              <w:t>.04</w:t>
            </w:r>
          </w:p>
        </w:tc>
      </w:tr>
      <w:tr w:rsidR="00D7121B" w:rsidRPr="00D7121B" w14:paraId="46226DBB" w14:textId="77777777" w:rsidTr="008B0C0F">
        <w:trPr>
          <w:jc w:val="center"/>
        </w:trPr>
        <w:tc>
          <w:tcPr>
            <w:tcW w:w="8080" w:type="dxa"/>
            <w:gridSpan w:val="4"/>
            <w:hideMark/>
          </w:tcPr>
          <w:p w14:paraId="2CEE1EDA"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 xml:space="preserve">Preoperative blood transfusion (No - </w:t>
            </w:r>
            <w:r w:rsidRPr="00D7121B">
              <w:rPr>
                <w:rFonts w:ascii="Arial" w:hAnsi="Arial" w:cs="Arial"/>
                <w:sz w:val="20"/>
                <w:szCs w:val="20"/>
              </w:rPr>
              <w:t>ref</w:t>
            </w:r>
            <w:r w:rsidRPr="00D7121B">
              <w:rPr>
                <w:rStyle w:val="Strong"/>
                <w:rFonts w:ascii="Arial" w:hAnsi="Arial" w:cs="Arial"/>
                <w:sz w:val="20"/>
                <w:szCs w:val="20"/>
              </w:rPr>
              <w:t>)</w:t>
            </w:r>
          </w:p>
        </w:tc>
      </w:tr>
      <w:tr w:rsidR="00D7121B" w:rsidRPr="00D7121B" w14:paraId="495310F8" w14:textId="77777777" w:rsidTr="008B0C0F">
        <w:trPr>
          <w:jc w:val="center"/>
        </w:trPr>
        <w:tc>
          <w:tcPr>
            <w:tcW w:w="3402" w:type="dxa"/>
            <w:hideMark/>
          </w:tcPr>
          <w:p w14:paraId="31D88549" w14:textId="77777777" w:rsidR="00D7121B" w:rsidRPr="00D7121B" w:rsidRDefault="00D7121B" w:rsidP="008B0C0F">
            <w:pPr>
              <w:rPr>
                <w:rFonts w:ascii="Arial" w:hAnsi="Arial" w:cs="Arial"/>
                <w:sz w:val="20"/>
                <w:szCs w:val="20"/>
              </w:rPr>
            </w:pPr>
            <w:r w:rsidRPr="00D7121B">
              <w:rPr>
                <w:rFonts w:ascii="Arial" w:hAnsi="Arial" w:cs="Arial"/>
                <w:sz w:val="20"/>
                <w:szCs w:val="20"/>
              </w:rPr>
              <w:t>Yes</w:t>
            </w:r>
          </w:p>
        </w:tc>
        <w:tc>
          <w:tcPr>
            <w:tcW w:w="1701" w:type="dxa"/>
            <w:hideMark/>
          </w:tcPr>
          <w:p w14:paraId="5A7E2001"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1.64</w:t>
            </w:r>
          </w:p>
        </w:tc>
        <w:tc>
          <w:tcPr>
            <w:tcW w:w="1843" w:type="dxa"/>
            <w:hideMark/>
          </w:tcPr>
          <w:p w14:paraId="339EA214"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0.85 – 3.15</w:t>
            </w:r>
          </w:p>
        </w:tc>
        <w:tc>
          <w:tcPr>
            <w:tcW w:w="1134" w:type="dxa"/>
            <w:hideMark/>
          </w:tcPr>
          <w:p w14:paraId="67BC9954" w14:textId="576E81FA" w:rsidR="00D7121B" w:rsidRPr="00D7121B" w:rsidRDefault="00D7121B" w:rsidP="008B0C0F">
            <w:pPr>
              <w:jc w:val="center"/>
              <w:rPr>
                <w:rFonts w:ascii="Arial" w:hAnsi="Arial" w:cs="Arial"/>
                <w:sz w:val="20"/>
                <w:szCs w:val="20"/>
              </w:rPr>
            </w:pPr>
            <w:r w:rsidRPr="00D7121B">
              <w:rPr>
                <w:rFonts w:ascii="Arial" w:hAnsi="Arial" w:cs="Arial"/>
                <w:sz w:val="20"/>
                <w:szCs w:val="20"/>
              </w:rPr>
              <w:t>.14</w:t>
            </w:r>
          </w:p>
        </w:tc>
      </w:tr>
      <w:tr w:rsidR="00D7121B" w:rsidRPr="00D7121B" w14:paraId="3D7F0D60" w14:textId="77777777" w:rsidTr="008B0C0F">
        <w:trPr>
          <w:jc w:val="center"/>
        </w:trPr>
        <w:tc>
          <w:tcPr>
            <w:tcW w:w="8080" w:type="dxa"/>
            <w:gridSpan w:val="4"/>
            <w:hideMark/>
          </w:tcPr>
          <w:p w14:paraId="12BED1B0"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Uterine size (gestational equivalent) (</w:t>
            </w:r>
            <w:r w:rsidRPr="00D7121B">
              <w:rPr>
                <w:rFonts w:ascii="Arial" w:hAnsi="Arial" w:cs="Arial"/>
                <w:sz w:val="20"/>
                <w:szCs w:val="20"/>
              </w:rPr>
              <w:t>&lt;8 weeks - ref</w:t>
            </w:r>
            <w:r w:rsidRPr="00D7121B">
              <w:rPr>
                <w:rStyle w:val="Strong"/>
                <w:rFonts w:ascii="Arial" w:hAnsi="Arial" w:cs="Arial"/>
                <w:sz w:val="20"/>
                <w:szCs w:val="20"/>
              </w:rPr>
              <w:t>)</w:t>
            </w:r>
          </w:p>
        </w:tc>
      </w:tr>
      <w:tr w:rsidR="00D7121B" w:rsidRPr="00D7121B" w14:paraId="2F6465F4" w14:textId="77777777" w:rsidTr="008B0C0F">
        <w:trPr>
          <w:jc w:val="center"/>
        </w:trPr>
        <w:tc>
          <w:tcPr>
            <w:tcW w:w="3402" w:type="dxa"/>
            <w:hideMark/>
          </w:tcPr>
          <w:p w14:paraId="4E30FDCE" w14:textId="77777777" w:rsidR="00D7121B" w:rsidRPr="00D7121B" w:rsidRDefault="00D7121B" w:rsidP="008B0C0F">
            <w:pPr>
              <w:rPr>
                <w:rFonts w:ascii="Arial" w:hAnsi="Arial" w:cs="Arial"/>
                <w:sz w:val="20"/>
                <w:szCs w:val="20"/>
              </w:rPr>
            </w:pPr>
            <w:r w:rsidRPr="00D7121B">
              <w:rPr>
                <w:rFonts w:ascii="Arial" w:hAnsi="Arial" w:cs="Arial"/>
                <w:sz w:val="20"/>
                <w:szCs w:val="20"/>
              </w:rPr>
              <w:lastRenderedPageBreak/>
              <w:t>8–12 weeks</w:t>
            </w:r>
          </w:p>
        </w:tc>
        <w:tc>
          <w:tcPr>
            <w:tcW w:w="1701" w:type="dxa"/>
            <w:hideMark/>
          </w:tcPr>
          <w:p w14:paraId="4885B12F"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0.46</w:t>
            </w:r>
          </w:p>
        </w:tc>
        <w:tc>
          <w:tcPr>
            <w:tcW w:w="1843" w:type="dxa"/>
            <w:hideMark/>
          </w:tcPr>
          <w:p w14:paraId="4BEB40C0"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0.22 – 0.95</w:t>
            </w:r>
          </w:p>
        </w:tc>
        <w:tc>
          <w:tcPr>
            <w:tcW w:w="1134" w:type="dxa"/>
            <w:hideMark/>
          </w:tcPr>
          <w:p w14:paraId="1B1FD613" w14:textId="457D29C3" w:rsidR="00D7121B" w:rsidRPr="004E352F" w:rsidRDefault="00D7121B" w:rsidP="008B0C0F">
            <w:pPr>
              <w:jc w:val="center"/>
              <w:rPr>
                <w:rFonts w:ascii="Arial" w:hAnsi="Arial" w:cs="Arial"/>
                <w:b/>
                <w:bCs/>
                <w:sz w:val="20"/>
                <w:szCs w:val="20"/>
              </w:rPr>
            </w:pPr>
            <w:r w:rsidRPr="004E352F">
              <w:rPr>
                <w:rStyle w:val="Strong"/>
                <w:rFonts w:ascii="Arial" w:hAnsi="Arial" w:cs="Arial"/>
                <w:b w:val="0"/>
                <w:bCs w:val="0"/>
                <w:sz w:val="20"/>
                <w:szCs w:val="20"/>
              </w:rPr>
              <w:t>.04</w:t>
            </w:r>
          </w:p>
        </w:tc>
      </w:tr>
      <w:tr w:rsidR="00D7121B" w:rsidRPr="00D7121B" w14:paraId="25C23A61" w14:textId="77777777" w:rsidTr="008B0C0F">
        <w:trPr>
          <w:jc w:val="center"/>
        </w:trPr>
        <w:tc>
          <w:tcPr>
            <w:tcW w:w="3402" w:type="dxa"/>
            <w:hideMark/>
          </w:tcPr>
          <w:p w14:paraId="39A80D52" w14:textId="77777777" w:rsidR="00D7121B" w:rsidRPr="00D7121B" w:rsidRDefault="00D7121B" w:rsidP="008B0C0F">
            <w:pPr>
              <w:rPr>
                <w:rFonts w:ascii="Arial" w:hAnsi="Arial" w:cs="Arial"/>
                <w:sz w:val="20"/>
                <w:szCs w:val="20"/>
              </w:rPr>
            </w:pPr>
            <w:r w:rsidRPr="00D7121B">
              <w:rPr>
                <w:rFonts w:ascii="Arial" w:hAnsi="Arial" w:cs="Arial"/>
                <w:sz w:val="20"/>
                <w:szCs w:val="20"/>
              </w:rPr>
              <w:t>&gt;12 weeks</w:t>
            </w:r>
          </w:p>
        </w:tc>
        <w:tc>
          <w:tcPr>
            <w:tcW w:w="1701" w:type="dxa"/>
            <w:hideMark/>
          </w:tcPr>
          <w:p w14:paraId="7F13C7CB"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0.18</w:t>
            </w:r>
          </w:p>
        </w:tc>
        <w:tc>
          <w:tcPr>
            <w:tcW w:w="1843" w:type="dxa"/>
            <w:hideMark/>
          </w:tcPr>
          <w:p w14:paraId="34E4C21D"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0.07 – 0.47</w:t>
            </w:r>
          </w:p>
        </w:tc>
        <w:tc>
          <w:tcPr>
            <w:tcW w:w="1134" w:type="dxa"/>
            <w:hideMark/>
          </w:tcPr>
          <w:p w14:paraId="46F7A6AE" w14:textId="77777777" w:rsidR="00D7121B" w:rsidRPr="004E352F" w:rsidRDefault="00D7121B" w:rsidP="008B0C0F">
            <w:pPr>
              <w:jc w:val="center"/>
              <w:rPr>
                <w:rFonts w:ascii="Arial" w:hAnsi="Arial" w:cs="Arial"/>
                <w:b/>
                <w:bCs/>
                <w:sz w:val="20"/>
                <w:szCs w:val="20"/>
              </w:rPr>
            </w:pPr>
            <w:r w:rsidRPr="004E352F">
              <w:rPr>
                <w:rStyle w:val="Strong"/>
                <w:rFonts w:ascii="Arial" w:hAnsi="Arial" w:cs="Arial"/>
                <w:b w:val="0"/>
                <w:bCs w:val="0"/>
                <w:sz w:val="20"/>
                <w:szCs w:val="20"/>
              </w:rPr>
              <w:t>&lt;.001</w:t>
            </w:r>
          </w:p>
        </w:tc>
      </w:tr>
      <w:tr w:rsidR="00D7121B" w:rsidRPr="00D7121B" w14:paraId="5026CA10" w14:textId="77777777" w:rsidTr="008B0C0F">
        <w:trPr>
          <w:jc w:val="center"/>
        </w:trPr>
        <w:tc>
          <w:tcPr>
            <w:tcW w:w="8080" w:type="dxa"/>
            <w:gridSpan w:val="4"/>
            <w:hideMark/>
          </w:tcPr>
          <w:p w14:paraId="2746548F"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Fibroid size (mm) (</w:t>
            </w:r>
            <w:r w:rsidRPr="00D7121B">
              <w:rPr>
                <w:rFonts w:ascii="Arial" w:hAnsi="Arial" w:cs="Arial"/>
                <w:sz w:val="20"/>
                <w:szCs w:val="20"/>
              </w:rPr>
              <w:t>≤40</w:t>
            </w:r>
            <w:r w:rsidRPr="00D7121B">
              <w:rPr>
                <w:rFonts w:ascii="Arial" w:hAnsi="Arial" w:cs="Arial"/>
                <w:sz w:val="20"/>
                <w:szCs w:val="20"/>
                <w:lang w:val="vi-VN"/>
              </w:rPr>
              <w:t xml:space="preserve"> </w:t>
            </w:r>
            <w:r w:rsidRPr="00D7121B">
              <w:rPr>
                <w:rFonts w:ascii="Arial" w:hAnsi="Arial" w:cs="Arial"/>
                <w:sz w:val="20"/>
                <w:szCs w:val="20"/>
              </w:rPr>
              <w:t>- ref</w:t>
            </w:r>
            <w:r w:rsidRPr="00D7121B">
              <w:rPr>
                <w:rStyle w:val="Strong"/>
                <w:rFonts w:ascii="Arial" w:hAnsi="Arial" w:cs="Arial"/>
                <w:sz w:val="20"/>
                <w:szCs w:val="20"/>
              </w:rPr>
              <w:t>)</w:t>
            </w:r>
          </w:p>
        </w:tc>
      </w:tr>
      <w:tr w:rsidR="00D7121B" w:rsidRPr="00D7121B" w14:paraId="5B0DD409" w14:textId="77777777" w:rsidTr="008B0C0F">
        <w:trPr>
          <w:jc w:val="center"/>
        </w:trPr>
        <w:tc>
          <w:tcPr>
            <w:tcW w:w="3402" w:type="dxa"/>
            <w:hideMark/>
          </w:tcPr>
          <w:p w14:paraId="7B22B907" w14:textId="77777777" w:rsidR="00D7121B" w:rsidRPr="00D7121B" w:rsidRDefault="00D7121B" w:rsidP="008B0C0F">
            <w:pPr>
              <w:rPr>
                <w:rFonts w:ascii="Arial" w:hAnsi="Arial" w:cs="Arial"/>
                <w:sz w:val="20"/>
                <w:szCs w:val="20"/>
              </w:rPr>
            </w:pPr>
            <w:r w:rsidRPr="00D7121B">
              <w:rPr>
                <w:rFonts w:ascii="Arial" w:hAnsi="Arial" w:cs="Arial"/>
                <w:sz w:val="20"/>
                <w:szCs w:val="20"/>
              </w:rPr>
              <w:t>41–60</w:t>
            </w:r>
          </w:p>
        </w:tc>
        <w:tc>
          <w:tcPr>
            <w:tcW w:w="1701" w:type="dxa"/>
            <w:hideMark/>
          </w:tcPr>
          <w:p w14:paraId="7E212CFD"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0.39</w:t>
            </w:r>
          </w:p>
        </w:tc>
        <w:tc>
          <w:tcPr>
            <w:tcW w:w="1843" w:type="dxa"/>
            <w:hideMark/>
          </w:tcPr>
          <w:p w14:paraId="59C7D1E1"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0.18 – 0.83</w:t>
            </w:r>
          </w:p>
        </w:tc>
        <w:tc>
          <w:tcPr>
            <w:tcW w:w="1134" w:type="dxa"/>
            <w:hideMark/>
          </w:tcPr>
          <w:p w14:paraId="61CB9B33" w14:textId="77777777" w:rsidR="00D7121B" w:rsidRPr="004E352F" w:rsidRDefault="00D7121B" w:rsidP="008B0C0F">
            <w:pPr>
              <w:jc w:val="center"/>
              <w:rPr>
                <w:rFonts w:ascii="Arial" w:hAnsi="Arial" w:cs="Arial"/>
                <w:b/>
                <w:bCs/>
                <w:sz w:val="20"/>
                <w:szCs w:val="20"/>
              </w:rPr>
            </w:pPr>
            <w:r w:rsidRPr="004E352F">
              <w:rPr>
                <w:rStyle w:val="Strong"/>
                <w:rFonts w:ascii="Arial" w:hAnsi="Arial" w:cs="Arial"/>
                <w:b w:val="0"/>
                <w:bCs w:val="0"/>
                <w:sz w:val="20"/>
                <w:szCs w:val="20"/>
              </w:rPr>
              <w:t>0.01</w:t>
            </w:r>
          </w:p>
        </w:tc>
      </w:tr>
      <w:tr w:rsidR="00D7121B" w:rsidRPr="00D7121B" w14:paraId="6B655FB3" w14:textId="77777777" w:rsidTr="008B0C0F">
        <w:trPr>
          <w:jc w:val="center"/>
        </w:trPr>
        <w:tc>
          <w:tcPr>
            <w:tcW w:w="3402" w:type="dxa"/>
            <w:hideMark/>
          </w:tcPr>
          <w:p w14:paraId="3C8C3550" w14:textId="77777777" w:rsidR="00D7121B" w:rsidRPr="00D7121B" w:rsidRDefault="00D7121B" w:rsidP="008B0C0F">
            <w:pPr>
              <w:rPr>
                <w:rFonts w:ascii="Arial" w:hAnsi="Arial" w:cs="Arial"/>
                <w:sz w:val="20"/>
                <w:szCs w:val="20"/>
              </w:rPr>
            </w:pPr>
            <w:r w:rsidRPr="00D7121B">
              <w:rPr>
                <w:rFonts w:ascii="Arial" w:hAnsi="Arial" w:cs="Arial"/>
                <w:sz w:val="20"/>
                <w:szCs w:val="20"/>
              </w:rPr>
              <w:t>61–80</w:t>
            </w:r>
          </w:p>
        </w:tc>
        <w:tc>
          <w:tcPr>
            <w:tcW w:w="1701" w:type="dxa"/>
            <w:hideMark/>
          </w:tcPr>
          <w:p w14:paraId="69E601F2"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0.15</w:t>
            </w:r>
          </w:p>
        </w:tc>
        <w:tc>
          <w:tcPr>
            <w:tcW w:w="1843" w:type="dxa"/>
            <w:hideMark/>
          </w:tcPr>
          <w:p w14:paraId="37E5907C"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0.06 – 0.39</w:t>
            </w:r>
          </w:p>
        </w:tc>
        <w:tc>
          <w:tcPr>
            <w:tcW w:w="1134" w:type="dxa"/>
            <w:hideMark/>
          </w:tcPr>
          <w:p w14:paraId="7CE4AA47" w14:textId="77777777" w:rsidR="00D7121B" w:rsidRPr="004E352F" w:rsidRDefault="00D7121B" w:rsidP="008B0C0F">
            <w:pPr>
              <w:jc w:val="center"/>
              <w:rPr>
                <w:rFonts w:ascii="Arial" w:hAnsi="Arial" w:cs="Arial"/>
                <w:b/>
                <w:bCs/>
                <w:sz w:val="20"/>
                <w:szCs w:val="20"/>
              </w:rPr>
            </w:pPr>
            <w:r w:rsidRPr="004E352F">
              <w:rPr>
                <w:rStyle w:val="Strong"/>
                <w:rFonts w:ascii="Arial" w:hAnsi="Arial" w:cs="Arial"/>
                <w:b w:val="0"/>
                <w:bCs w:val="0"/>
                <w:sz w:val="20"/>
                <w:szCs w:val="20"/>
              </w:rPr>
              <w:t>&lt;.001</w:t>
            </w:r>
          </w:p>
        </w:tc>
      </w:tr>
      <w:tr w:rsidR="00D7121B" w:rsidRPr="00D7121B" w14:paraId="1BD3D983" w14:textId="77777777" w:rsidTr="008B0C0F">
        <w:trPr>
          <w:jc w:val="center"/>
        </w:trPr>
        <w:tc>
          <w:tcPr>
            <w:tcW w:w="3402" w:type="dxa"/>
            <w:hideMark/>
          </w:tcPr>
          <w:p w14:paraId="2B154440" w14:textId="77777777" w:rsidR="00D7121B" w:rsidRPr="00D7121B" w:rsidRDefault="00D7121B" w:rsidP="008B0C0F">
            <w:pPr>
              <w:rPr>
                <w:rFonts w:ascii="Arial" w:hAnsi="Arial" w:cs="Arial"/>
                <w:sz w:val="20"/>
                <w:szCs w:val="20"/>
              </w:rPr>
            </w:pPr>
            <w:r w:rsidRPr="00D7121B">
              <w:rPr>
                <w:rFonts w:ascii="Arial" w:hAnsi="Arial" w:cs="Arial"/>
                <w:sz w:val="20"/>
                <w:szCs w:val="20"/>
              </w:rPr>
              <w:t>≥81</w:t>
            </w:r>
          </w:p>
        </w:tc>
        <w:tc>
          <w:tcPr>
            <w:tcW w:w="1701" w:type="dxa"/>
            <w:hideMark/>
          </w:tcPr>
          <w:p w14:paraId="69E80637"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0.18</w:t>
            </w:r>
          </w:p>
        </w:tc>
        <w:tc>
          <w:tcPr>
            <w:tcW w:w="1843" w:type="dxa"/>
            <w:hideMark/>
          </w:tcPr>
          <w:p w14:paraId="05436A50"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0.07 – 0.45</w:t>
            </w:r>
          </w:p>
        </w:tc>
        <w:tc>
          <w:tcPr>
            <w:tcW w:w="1134" w:type="dxa"/>
            <w:hideMark/>
          </w:tcPr>
          <w:p w14:paraId="06523BFC" w14:textId="77777777" w:rsidR="00D7121B" w:rsidRPr="004E352F" w:rsidRDefault="00D7121B" w:rsidP="008B0C0F">
            <w:pPr>
              <w:jc w:val="center"/>
              <w:rPr>
                <w:rFonts w:ascii="Arial" w:hAnsi="Arial" w:cs="Arial"/>
                <w:b/>
                <w:bCs/>
                <w:sz w:val="20"/>
                <w:szCs w:val="20"/>
              </w:rPr>
            </w:pPr>
            <w:r w:rsidRPr="004E352F">
              <w:rPr>
                <w:rStyle w:val="Strong"/>
                <w:rFonts w:ascii="Arial" w:hAnsi="Arial" w:cs="Arial"/>
                <w:b w:val="0"/>
                <w:bCs w:val="0"/>
                <w:sz w:val="20"/>
                <w:szCs w:val="20"/>
              </w:rPr>
              <w:t>&lt;.001</w:t>
            </w:r>
          </w:p>
        </w:tc>
      </w:tr>
    </w:tbl>
    <w:p w14:paraId="66ED0CA8" w14:textId="77777777" w:rsidR="00790ADA" w:rsidRPr="00FB3A86" w:rsidRDefault="00790ADA" w:rsidP="00441B6F">
      <w:pPr>
        <w:pStyle w:val="Head1"/>
        <w:spacing w:after="0"/>
        <w:jc w:val="both"/>
        <w:rPr>
          <w:rFonts w:ascii="Arial" w:hAnsi="Arial" w:cs="Arial"/>
        </w:rPr>
      </w:pPr>
    </w:p>
    <w:p w14:paraId="4CDD1512" w14:textId="0C71EA7D" w:rsidR="00790ADA" w:rsidRDefault="004E352F" w:rsidP="00441B6F">
      <w:pPr>
        <w:pStyle w:val="Body"/>
        <w:spacing w:after="0"/>
        <w:rPr>
          <w:rFonts w:ascii="Arial" w:hAnsi="Arial" w:cs="Arial"/>
          <w:b/>
          <w:caps/>
          <w:sz w:val="22"/>
          <w:lang w:val="vi-VN"/>
        </w:rPr>
      </w:pPr>
      <w:r>
        <w:rPr>
          <w:rFonts w:ascii="Arial" w:hAnsi="Arial" w:cs="Arial"/>
          <w:b/>
          <w:caps/>
          <w:sz w:val="22"/>
          <w:lang w:val="vi-VN"/>
        </w:rPr>
        <w:t>4. DISCUSSION</w:t>
      </w:r>
    </w:p>
    <w:p w14:paraId="026955F6" w14:textId="77777777" w:rsidR="004E352F" w:rsidRPr="004E352F" w:rsidRDefault="004E352F" w:rsidP="00140E66">
      <w:pPr>
        <w:pStyle w:val="Body"/>
        <w:spacing w:after="0"/>
        <w:ind w:firstLine="567"/>
        <w:rPr>
          <w:rFonts w:ascii="Arial" w:hAnsi="Arial" w:cs="Arial"/>
          <w:lang w:val="vi-VN"/>
        </w:rPr>
      </w:pPr>
      <w:r w:rsidRPr="004E352F">
        <w:rPr>
          <w:rFonts w:ascii="Arial" w:hAnsi="Arial" w:cs="Arial"/>
          <w:lang w:val="vi-VN"/>
        </w:rPr>
        <w:t>The results of our study showed that uterine fibroids classified according to the FIGO 2018 system were most commonly type L5, accounting for 28.4%, followed by type L3 (21.9%) and type L4 (20.5%). This indicates that fibroids located predominantly within the myometrium or with a subserosal component represented the majority of cases in our study population. According to the FIGO classification system, types L3 and L4 are categorized as intramural fibroids, while type L5 refers to subserosal fibroids with more than 50% of their volume located within the myometrium (Munro et al., 2011). This classification is based on the relationship of the fibroid to the endometrium, myometrium, and serosa, providing a standardized approach for describing lesion location and guiding appropriate treatment strategies (Munro et al., 2011; Stewart et al., 2017).</w:t>
      </w:r>
    </w:p>
    <w:p w14:paraId="1E136422" w14:textId="77777777" w:rsidR="004E352F" w:rsidRPr="004E352F" w:rsidRDefault="004E352F" w:rsidP="00140E66">
      <w:pPr>
        <w:pStyle w:val="Body"/>
        <w:spacing w:after="0"/>
        <w:ind w:firstLine="567"/>
        <w:rPr>
          <w:rFonts w:ascii="Arial" w:hAnsi="Arial" w:cs="Arial"/>
          <w:lang w:val="vi-VN"/>
        </w:rPr>
      </w:pPr>
      <w:r w:rsidRPr="004E352F">
        <w:rPr>
          <w:rFonts w:ascii="Arial" w:hAnsi="Arial" w:cs="Arial"/>
          <w:lang w:val="vi-VN"/>
        </w:rPr>
        <w:t>Our findings are consistent with previous studies reporting that intramural fibroids are the most common type of uterine fibroids (Stewart et al., 2017; Uimari et al., 2022). Epidemiological studies have shown that intramural fibroids occur more frequently than other types, such as submucosal or pedunculated fibroids, because these tumors originate from smooth muscle cells within the myometrium and typically grow either within the myometrial layer or toward the serosal surface (Uimari et al., 2022).</w:t>
      </w:r>
    </w:p>
    <w:p w14:paraId="68F534CF" w14:textId="77777777" w:rsidR="004E352F" w:rsidRPr="004E352F" w:rsidRDefault="004E352F" w:rsidP="00140E66">
      <w:pPr>
        <w:pStyle w:val="Body"/>
        <w:spacing w:after="0"/>
        <w:ind w:firstLine="567"/>
        <w:rPr>
          <w:rFonts w:ascii="Arial" w:hAnsi="Arial" w:cs="Arial"/>
          <w:lang w:val="vi-VN"/>
        </w:rPr>
      </w:pPr>
      <w:r w:rsidRPr="004E352F">
        <w:rPr>
          <w:rFonts w:ascii="Arial" w:hAnsi="Arial" w:cs="Arial"/>
          <w:lang w:val="vi-VN"/>
        </w:rPr>
        <w:t>In Vietnam, several studies have reported similar findings. A study investigating imaging characteristics of uterine leiomyomas using ultrasound and magnetic resonance imaging conducted at military hospitals and tertiary medical centers found that the majority of fibroids were located within the myometrium, accounting for approximately 72% of cases. These findings further support the observation that intramural fibroids represent the most common type encountered in clinical practice in Vietnam.</w:t>
      </w:r>
    </w:p>
    <w:p w14:paraId="21F7CC7B" w14:textId="77777777" w:rsidR="004E352F" w:rsidRPr="004E352F" w:rsidRDefault="004E352F" w:rsidP="00140E66">
      <w:pPr>
        <w:pStyle w:val="Body"/>
        <w:spacing w:after="0"/>
        <w:ind w:firstLine="567"/>
        <w:rPr>
          <w:rFonts w:ascii="Arial" w:hAnsi="Arial" w:cs="Arial"/>
          <w:lang w:val="vi-VN"/>
        </w:rPr>
      </w:pPr>
      <w:r w:rsidRPr="004E352F">
        <w:rPr>
          <w:rFonts w:ascii="Arial" w:hAnsi="Arial" w:cs="Arial"/>
          <w:lang w:val="vi-VN"/>
        </w:rPr>
        <w:t>The relatively high proportion of L3, L4, and L5 fibroids in our study may be explained by the natural development of uterine fibroids, which typically originate within the myometrium and may extend toward the serosal or endometrial surfaces as they grow (Stewart et al., 2017; Uimari et al., 2022). As a result, fibroids with an intramural component are more frequently identified in clinical practice. Our findings are consistent with previous international and Vietnamese studies showing that intramural and subserosal fibroids are the most common types (Do et al, 2025; Nguyen et al., 2025; Stewart et al., 2017). The FIGO classification system therefore provides a useful framework for standardizing fibroid description and guiding treatment decisions (Munro et al., 2011).</w:t>
      </w:r>
    </w:p>
    <w:p w14:paraId="3A6C5803" w14:textId="77777777" w:rsidR="004E352F" w:rsidRPr="004E352F" w:rsidRDefault="004E352F" w:rsidP="00140E66">
      <w:pPr>
        <w:pStyle w:val="Body"/>
        <w:spacing w:after="0"/>
        <w:ind w:firstLine="567"/>
        <w:rPr>
          <w:rFonts w:ascii="Arial" w:hAnsi="Arial" w:cs="Arial"/>
          <w:lang w:val="vi-VN"/>
        </w:rPr>
      </w:pPr>
      <w:r w:rsidRPr="004E352F">
        <w:rPr>
          <w:rFonts w:ascii="Arial" w:hAnsi="Arial" w:cs="Arial"/>
          <w:lang w:val="vi-VN"/>
        </w:rPr>
        <w:t>In addition, this study demonstrated that submucosal fibroids were significantly associated with earlier detection, heavier menstrual bleeding, and more severe anemia compared with other fibroid types. Patients with submucosal fibroids were more likely to be diagnosed within one month and had a higher proportion of severe or very severe anemia. These findings are consistent with previous studies indicating that fibroid location plays an important role in symptom development (Do et al, 2025; Nguyen et al., 2025; Puri et al., 2014). Because submucosal fibroids distort the endometrial cavity and increase the endometrial surface area, they are strongly associated with heavy menstrual bleeding and reduced hemoglobin levels (Puri et al., 2014).</w:t>
      </w:r>
    </w:p>
    <w:p w14:paraId="69792FF2" w14:textId="77777777" w:rsidR="004E352F" w:rsidRPr="004E352F" w:rsidRDefault="004E352F" w:rsidP="00140E66">
      <w:pPr>
        <w:pStyle w:val="Body"/>
        <w:spacing w:after="0"/>
        <w:ind w:firstLine="567"/>
        <w:rPr>
          <w:rFonts w:ascii="Arial" w:hAnsi="Arial" w:cs="Arial"/>
          <w:lang w:val="vi-VN"/>
        </w:rPr>
      </w:pPr>
      <w:r w:rsidRPr="004E352F">
        <w:rPr>
          <w:rFonts w:ascii="Arial" w:hAnsi="Arial" w:cs="Arial"/>
          <w:lang w:val="vi-VN"/>
        </w:rPr>
        <w:t>Recent literature has similarly emphasized the clinical importance of fibroid location in determining clinical presentation (Barseghyan et al., 2023). A recent review reported that submucosal fibroids are the subtype most frequently associated with abnormal uterine bleeding and anemia and often require earlier medical or surgical intervention (Barseghyan et al., 2023). Another review published in 2022 estimated that approximately 30% of women with uterine fibroids experience menorrhagia, with submucosal fibroids showing the strongest association with abnormal uterine bleeding due to their direct effect on the endometrial cavity (Uimari et al., 2022).</w:t>
      </w:r>
    </w:p>
    <w:p w14:paraId="5F188D8E" w14:textId="69315458" w:rsidR="004E352F" w:rsidRPr="004E352F" w:rsidRDefault="004E352F" w:rsidP="00140E66">
      <w:pPr>
        <w:pStyle w:val="Body"/>
        <w:spacing w:after="0"/>
        <w:ind w:firstLine="567"/>
        <w:rPr>
          <w:rFonts w:ascii="Arial" w:hAnsi="Arial" w:cs="Arial"/>
          <w:lang w:val="vi-VN"/>
        </w:rPr>
      </w:pPr>
      <w:r w:rsidRPr="004E352F">
        <w:rPr>
          <w:rFonts w:ascii="Arial" w:hAnsi="Arial" w:cs="Arial"/>
          <w:lang w:val="vi-VN"/>
        </w:rPr>
        <w:t>In our study, submucosal fibroids were also associated with smaller uterine size and smaller fibroid size, which may reflect earlier clinical detection since even relatively small submucosal lesions can cause significant bleeding symptoms (Barseghyan et al., 2023; Uimari et al., 2022). In contrast, intramural and subserosal fibroids often remain asymptomatic for longer periods and may only be diagnosed when the uterus or tumor has enlarged substantially [4]. Multivariable analysis further supported these observations, showing that menorrhagia and severe anemia significantly increased the likelihood of submucosal fibroids, whereas larger uterine and tumor sizes were negatively associated with this subtype. Overall, these findings highlight the strong relationship between fibroid location and clinical presentation, particularly the role of submucosal fibroids in abnormal uterine bleeding and anemia (Puri et al., 2014; Uimari et al., 2022).</w:t>
      </w:r>
    </w:p>
    <w:p w14:paraId="587E212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D73D571" w14:textId="6AC5106B" w:rsidR="00790ADA" w:rsidRDefault="003B0067" w:rsidP="003B0067">
      <w:pPr>
        <w:pStyle w:val="Body"/>
        <w:spacing w:after="0"/>
        <w:ind w:firstLine="567"/>
        <w:rPr>
          <w:rFonts w:ascii="Arial" w:hAnsi="Arial" w:cs="Arial"/>
          <w:bCs/>
          <w:sz w:val="22"/>
        </w:rPr>
      </w:pPr>
      <w:r w:rsidRPr="003B0067">
        <w:rPr>
          <w:rFonts w:ascii="Arial" w:hAnsi="Arial" w:cs="Arial"/>
          <w:bCs/>
          <w:sz w:val="22"/>
        </w:rPr>
        <w:t xml:space="preserve">This study highlights the important role of fibroid location in determining clinical presentation among patients with uterine fibroids. Submucosal fibroids were significantly associated with earlier detection, heavier menstrual bleeding, and more severe anemia compared with other fibroid types. In contrast, intramural and </w:t>
      </w:r>
      <w:proofErr w:type="spellStart"/>
      <w:r w:rsidRPr="003B0067">
        <w:rPr>
          <w:rFonts w:ascii="Arial" w:hAnsi="Arial" w:cs="Arial"/>
          <w:bCs/>
          <w:sz w:val="22"/>
        </w:rPr>
        <w:t>subserosal</w:t>
      </w:r>
      <w:proofErr w:type="spellEnd"/>
      <w:r w:rsidRPr="003B0067">
        <w:rPr>
          <w:rFonts w:ascii="Arial" w:hAnsi="Arial" w:cs="Arial"/>
          <w:bCs/>
          <w:sz w:val="22"/>
        </w:rPr>
        <w:t xml:space="preserve"> fibroids were more often detected later and tended to be associated with larger uterine and tumor </w:t>
      </w:r>
      <w:r w:rsidRPr="003B0067">
        <w:rPr>
          <w:rFonts w:ascii="Arial" w:hAnsi="Arial" w:cs="Arial"/>
          <w:bCs/>
          <w:sz w:val="22"/>
        </w:rPr>
        <w:lastRenderedPageBreak/>
        <w:t>sizes. These findings emphasize that even relatively small submucosal fibroids can cause significant clinical symptoms due to their direct impact on the endometrial cavity. Based on these findings, clinicians should pay particular attention to patients presenting with heavy menstrual bleeding or anemia, as these symptoms may suggest the presence of submucosal fibroids and warrant early diagnostic evaluation. Early identification and appropriate management of submucosal fibroids may help reduce the risk of severe anemia and improve patient outcomes. Further studies with larger sample sizes and multicenter data are recommended to better understand the clinical characteristics and management strategies of different fibroid types in diverse populations.</w:t>
      </w:r>
    </w:p>
    <w:p w14:paraId="52BB38E0" w14:textId="77777777" w:rsidR="001C76ED" w:rsidRDefault="001C76ED" w:rsidP="003B0067">
      <w:pPr>
        <w:pStyle w:val="Body"/>
        <w:spacing w:after="0"/>
        <w:ind w:firstLine="567"/>
        <w:rPr>
          <w:rFonts w:ascii="Arial" w:hAnsi="Arial" w:cs="Arial"/>
          <w:bCs/>
          <w:sz w:val="22"/>
        </w:rPr>
      </w:pPr>
    </w:p>
    <w:p w14:paraId="55F6D1F6" w14:textId="77777777" w:rsidR="001C76ED" w:rsidRDefault="001C76ED" w:rsidP="003B0067">
      <w:pPr>
        <w:pStyle w:val="Body"/>
        <w:spacing w:after="0"/>
        <w:ind w:firstLine="567"/>
        <w:rPr>
          <w:rFonts w:ascii="Arial" w:hAnsi="Arial" w:cs="Arial"/>
          <w:bCs/>
          <w:sz w:val="22"/>
        </w:rPr>
      </w:pPr>
    </w:p>
    <w:p w14:paraId="0245E3DD" w14:textId="77777777" w:rsidR="001C76ED" w:rsidRPr="003B0067" w:rsidRDefault="001C76ED" w:rsidP="003B0067">
      <w:pPr>
        <w:pStyle w:val="Body"/>
        <w:spacing w:after="0"/>
        <w:ind w:firstLine="567"/>
        <w:rPr>
          <w:rFonts w:ascii="Arial" w:hAnsi="Arial" w:cs="Arial"/>
          <w:bCs/>
        </w:rPr>
      </w:pPr>
    </w:p>
    <w:p w14:paraId="36FC8146" w14:textId="30E88238" w:rsidR="00371FB6" w:rsidRPr="003B0067" w:rsidRDefault="00860000" w:rsidP="003B0067">
      <w:pPr>
        <w:pStyle w:val="ReferHead"/>
        <w:spacing w:after="0"/>
        <w:jc w:val="both"/>
        <w:rPr>
          <w:rFonts w:ascii="Arial" w:hAnsi="Arial" w:cs="Arial"/>
          <w:bCs/>
          <w:lang w:val="vi-VN"/>
        </w:rPr>
      </w:pPr>
      <w:r w:rsidRPr="00786D36">
        <w:rPr>
          <w:rFonts w:ascii="Arial" w:hAnsi="Arial" w:cs="Arial"/>
          <w:bCs/>
        </w:rPr>
        <w:t>Competing interests</w:t>
      </w:r>
      <w:r w:rsidR="003B0067">
        <w:rPr>
          <w:rFonts w:ascii="Arial" w:hAnsi="Arial" w:cs="Arial"/>
          <w:bCs/>
          <w:lang w:val="vi-VN"/>
        </w:rPr>
        <w:t xml:space="preserve">: </w:t>
      </w:r>
      <w:r w:rsidR="00E66E10" w:rsidRPr="003B0067">
        <w:rPr>
          <w:rFonts w:ascii="Arial" w:hAnsi="Arial" w:cs="Arial"/>
          <w:b w:val="0"/>
          <w:caps w:val="0"/>
          <w:sz w:val="20"/>
        </w:rPr>
        <w:t>Authors have declared that no competing interests exist</w:t>
      </w:r>
    </w:p>
    <w:p w14:paraId="0670F6BE" w14:textId="77777777" w:rsidR="00E4382B" w:rsidRDefault="00E4382B" w:rsidP="00441B6F">
      <w:pPr>
        <w:pStyle w:val="ReferHead"/>
        <w:spacing w:after="0"/>
        <w:jc w:val="both"/>
        <w:rPr>
          <w:rFonts w:ascii="Arial" w:hAnsi="Arial" w:cs="Arial"/>
          <w:bCs/>
        </w:rPr>
      </w:pPr>
    </w:p>
    <w:p w14:paraId="08A6A9CC" w14:textId="1DCE17BA" w:rsidR="00860000" w:rsidRDefault="005C784C" w:rsidP="00441B6F">
      <w:pPr>
        <w:pStyle w:val="ReferHead"/>
        <w:spacing w:after="0"/>
        <w:jc w:val="both"/>
        <w:rPr>
          <w:rFonts w:ascii="Arial" w:hAnsi="Arial" w:cs="Arial"/>
          <w:b w:val="0"/>
          <w:caps w:val="0"/>
          <w:sz w:val="20"/>
        </w:rPr>
      </w:pPr>
      <w:bookmarkStart w:id="1" w:name="_GoBack"/>
      <w:bookmarkEnd w:id="1"/>
      <w:r>
        <w:rPr>
          <w:rFonts w:ascii="Arial" w:hAnsi="Arial" w:cs="Arial"/>
          <w:bCs/>
        </w:rPr>
        <w:t>Ethical approval</w:t>
      </w:r>
      <w:r w:rsidR="003B0067">
        <w:rPr>
          <w:rFonts w:ascii="Arial" w:hAnsi="Arial" w:cs="Arial"/>
          <w:bCs/>
          <w:lang w:val="vi-VN"/>
        </w:rPr>
        <w:t xml:space="preserve">: </w:t>
      </w:r>
      <w:r w:rsidR="001A29D8" w:rsidRPr="003B0067">
        <w:rPr>
          <w:rFonts w:ascii="Arial" w:hAnsi="Arial" w:cs="Arial"/>
          <w:b w:val="0"/>
          <w:caps w:val="0"/>
          <w:sz w:val="20"/>
        </w:rPr>
        <w:t>All authors hereby declare that a</w:t>
      </w:r>
      <w:r w:rsidR="0041027F" w:rsidRPr="003B0067">
        <w:rPr>
          <w:rFonts w:ascii="Arial" w:hAnsi="Arial" w:cs="Arial"/>
          <w:b w:val="0"/>
          <w:caps w:val="0"/>
          <w:sz w:val="20"/>
        </w:rPr>
        <w:t xml:space="preserve">ll </w:t>
      </w:r>
      <w:r w:rsidR="00F469F0" w:rsidRPr="003B0067">
        <w:rPr>
          <w:rFonts w:ascii="Arial" w:hAnsi="Arial" w:cs="Arial"/>
          <w:b w:val="0"/>
          <w:caps w:val="0"/>
          <w:sz w:val="20"/>
        </w:rPr>
        <w:t>experiments</w:t>
      </w:r>
      <w:r w:rsidR="0041027F" w:rsidRPr="003B0067">
        <w:rPr>
          <w:rFonts w:ascii="Arial" w:hAnsi="Arial" w:cs="Arial"/>
          <w:b w:val="0"/>
          <w:caps w:val="0"/>
          <w:sz w:val="20"/>
        </w:rPr>
        <w:t xml:space="preserve"> have been examined</w:t>
      </w:r>
      <w:r w:rsidR="001A29D8" w:rsidRPr="003B0067">
        <w:rPr>
          <w:rFonts w:ascii="Arial" w:hAnsi="Arial" w:cs="Arial"/>
          <w:b w:val="0"/>
          <w:caps w:val="0"/>
          <w:sz w:val="20"/>
        </w:rPr>
        <w:t xml:space="preserve"> and approved</w:t>
      </w:r>
      <w:r w:rsidR="0041027F" w:rsidRPr="003B0067">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31A30D87" w14:textId="77777777" w:rsidR="001C76ED" w:rsidRDefault="001C76ED" w:rsidP="00441B6F">
      <w:pPr>
        <w:pStyle w:val="ReferHead"/>
        <w:spacing w:after="0"/>
        <w:jc w:val="both"/>
        <w:rPr>
          <w:rFonts w:ascii="Arial" w:hAnsi="Arial" w:cs="Arial"/>
          <w:b w:val="0"/>
          <w:caps w:val="0"/>
          <w:sz w:val="20"/>
        </w:rPr>
      </w:pPr>
    </w:p>
    <w:p w14:paraId="690BC854" w14:textId="77777777" w:rsidR="001C76ED" w:rsidRDefault="001C76ED" w:rsidP="00441B6F">
      <w:pPr>
        <w:pStyle w:val="ReferHead"/>
        <w:spacing w:after="0"/>
        <w:jc w:val="both"/>
        <w:rPr>
          <w:rFonts w:ascii="Arial" w:hAnsi="Arial" w:cs="Arial"/>
          <w:b w:val="0"/>
          <w:caps w:val="0"/>
          <w:sz w:val="20"/>
        </w:rPr>
      </w:pPr>
    </w:p>
    <w:p w14:paraId="20055F8B" w14:textId="77777777" w:rsidR="001C76ED" w:rsidRDefault="001C76ED" w:rsidP="00441B6F">
      <w:pPr>
        <w:pStyle w:val="ReferHead"/>
        <w:spacing w:after="0"/>
        <w:jc w:val="both"/>
        <w:rPr>
          <w:rFonts w:ascii="Arial" w:hAnsi="Arial" w:cs="Arial"/>
          <w:b w:val="0"/>
          <w:caps w:val="0"/>
          <w:sz w:val="20"/>
        </w:rPr>
      </w:pPr>
    </w:p>
    <w:p w14:paraId="3D416FAA" w14:textId="77777777" w:rsidR="001C76ED" w:rsidRPr="001C76ED" w:rsidRDefault="001C76ED" w:rsidP="001C76ED">
      <w:pPr>
        <w:pStyle w:val="ReferHead"/>
        <w:jc w:val="both"/>
        <w:rPr>
          <w:rFonts w:ascii="Arial" w:hAnsi="Arial" w:cs="Arial"/>
          <w:b w:val="0"/>
          <w:caps w:val="0"/>
          <w:sz w:val="20"/>
        </w:rPr>
      </w:pPr>
      <w:r w:rsidRPr="001C76ED">
        <w:rPr>
          <w:rFonts w:ascii="Arial" w:hAnsi="Arial" w:cs="Arial"/>
          <w:b w:val="0"/>
          <w:caps w:val="0"/>
          <w:sz w:val="20"/>
        </w:rPr>
        <w:t>COMPETING INTERESTS DISCLAIMER:</w:t>
      </w:r>
    </w:p>
    <w:p w14:paraId="6CF2C20F" w14:textId="12659571" w:rsidR="001C76ED" w:rsidRDefault="001C76ED" w:rsidP="001C76ED">
      <w:pPr>
        <w:pStyle w:val="ReferHead"/>
        <w:spacing w:after="0"/>
        <w:jc w:val="both"/>
        <w:rPr>
          <w:rFonts w:ascii="Arial" w:hAnsi="Arial" w:cs="Arial"/>
          <w:b w:val="0"/>
          <w:caps w:val="0"/>
          <w:sz w:val="20"/>
        </w:rPr>
      </w:pPr>
      <w:r w:rsidRPr="001C76ED">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0AAFDC9" w14:textId="77777777" w:rsidR="001C76ED" w:rsidRDefault="001C76ED" w:rsidP="00441B6F">
      <w:pPr>
        <w:pStyle w:val="ReferHead"/>
        <w:spacing w:after="0"/>
        <w:jc w:val="both"/>
        <w:rPr>
          <w:rFonts w:ascii="Arial" w:hAnsi="Arial" w:cs="Arial"/>
          <w:b w:val="0"/>
          <w:caps w:val="0"/>
          <w:sz w:val="20"/>
        </w:rPr>
      </w:pPr>
    </w:p>
    <w:p w14:paraId="0CE091EC" w14:textId="77777777" w:rsidR="001C76ED" w:rsidRDefault="001C76ED" w:rsidP="00441B6F">
      <w:pPr>
        <w:pStyle w:val="ReferHead"/>
        <w:spacing w:after="0"/>
        <w:jc w:val="both"/>
        <w:rPr>
          <w:rFonts w:ascii="Arial" w:hAnsi="Arial" w:cs="Arial"/>
          <w:b w:val="0"/>
          <w:caps w:val="0"/>
          <w:sz w:val="20"/>
        </w:rPr>
      </w:pPr>
    </w:p>
    <w:p w14:paraId="344A90F9" w14:textId="77777777" w:rsidR="001C76ED" w:rsidRDefault="001C76ED" w:rsidP="00441B6F">
      <w:pPr>
        <w:pStyle w:val="ReferHead"/>
        <w:spacing w:after="0"/>
        <w:jc w:val="both"/>
        <w:rPr>
          <w:rFonts w:ascii="Arial" w:hAnsi="Arial" w:cs="Arial"/>
          <w:b w:val="0"/>
          <w:caps w:val="0"/>
          <w:sz w:val="20"/>
        </w:rPr>
      </w:pPr>
    </w:p>
    <w:p w14:paraId="75DF1004" w14:textId="77777777" w:rsidR="001C76ED" w:rsidRPr="003B0067" w:rsidRDefault="001C76ED" w:rsidP="00441B6F">
      <w:pPr>
        <w:pStyle w:val="ReferHead"/>
        <w:spacing w:after="0"/>
        <w:jc w:val="both"/>
        <w:rPr>
          <w:rFonts w:ascii="Arial" w:hAnsi="Arial" w:cs="Arial"/>
          <w:b w:val="0"/>
          <w:caps w:val="0"/>
          <w:sz w:val="20"/>
          <w:lang w:val="vi-VN"/>
        </w:rPr>
      </w:pPr>
    </w:p>
    <w:p w14:paraId="54DB3597" w14:textId="629D7A7C" w:rsidR="00790ADA" w:rsidRPr="003B0067" w:rsidRDefault="00B01FCD" w:rsidP="00441B6F">
      <w:pPr>
        <w:pStyle w:val="ReferHead"/>
        <w:spacing w:after="0"/>
        <w:jc w:val="both"/>
        <w:rPr>
          <w:rFonts w:ascii="Arial" w:hAnsi="Arial" w:cs="Arial"/>
          <w:lang w:val="vi-VN"/>
        </w:rPr>
      </w:pPr>
      <w:r w:rsidRPr="00FB3A86">
        <w:rPr>
          <w:rFonts w:ascii="Arial" w:hAnsi="Arial" w:cs="Arial"/>
        </w:rPr>
        <w:t>References</w:t>
      </w:r>
    </w:p>
    <w:p w14:paraId="137FA62B" w14:textId="77777777" w:rsidR="003B0067" w:rsidRPr="003B0067" w:rsidRDefault="003B0067" w:rsidP="003B0067">
      <w:pPr>
        <w:pStyle w:val="NormalWeb"/>
        <w:spacing w:before="0" w:beforeAutospacing="0" w:after="0" w:afterAutospacing="0"/>
        <w:jc w:val="both"/>
        <w:rPr>
          <w:rFonts w:ascii="Arial" w:hAnsi="Arial" w:cs="Arial"/>
          <w:sz w:val="20"/>
          <w:szCs w:val="20"/>
        </w:rPr>
      </w:pPr>
      <w:r w:rsidRPr="003B0067">
        <w:rPr>
          <w:rFonts w:ascii="Arial" w:hAnsi="Arial" w:cs="Arial"/>
          <w:sz w:val="20"/>
          <w:szCs w:val="20"/>
        </w:rPr>
        <w:t xml:space="preserve">Aldakhil, L. O., Alobaid, S., Almogbel, A. T., &amp; Alfouzan, S. M. (2025). Anemia in pregnancy: Incidence, risk factors, and outcomes. </w:t>
      </w:r>
      <w:r w:rsidRPr="003B0067">
        <w:rPr>
          <w:rStyle w:val="Emphasis"/>
          <w:rFonts w:ascii="Arial" w:eastAsiaTheme="majorEastAsia" w:hAnsi="Arial" w:cs="Arial"/>
          <w:sz w:val="20"/>
          <w:szCs w:val="20"/>
        </w:rPr>
        <w:t>Cureus, 17</w:t>
      </w:r>
      <w:r w:rsidRPr="003B0067">
        <w:rPr>
          <w:rFonts w:ascii="Arial" w:hAnsi="Arial" w:cs="Arial"/>
          <w:sz w:val="20"/>
          <w:szCs w:val="20"/>
        </w:rPr>
        <w:t>(10), e93807.</w:t>
      </w:r>
    </w:p>
    <w:p w14:paraId="23166935" w14:textId="77777777" w:rsidR="003B0067" w:rsidRPr="003B0067" w:rsidRDefault="003B0067" w:rsidP="003B0067">
      <w:pPr>
        <w:pStyle w:val="NormalWeb"/>
        <w:spacing w:before="0" w:beforeAutospacing="0" w:after="0" w:afterAutospacing="0"/>
        <w:jc w:val="both"/>
        <w:rPr>
          <w:rFonts w:ascii="Arial" w:hAnsi="Arial" w:cs="Arial"/>
          <w:sz w:val="20"/>
          <w:szCs w:val="20"/>
        </w:rPr>
      </w:pPr>
      <w:r w:rsidRPr="003B0067">
        <w:rPr>
          <w:rFonts w:ascii="Arial" w:hAnsi="Arial" w:cs="Arial"/>
          <w:sz w:val="20"/>
          <w:szCs w:val="20"/>
        </w:rPr>
        <w:t xml:space="preserve">Baird, D. D., Dunson, D. B., Hill, M. C., Cousins, D., &amp; Schectman, J. M. (2003). High cumulative incidence of uterine leiomyoma in black and white women: Ultrasound evidence. </w:t>
      </w:r>
      <w:r w:rsidRPr="003B0067">
        <w:rPr>
          <w:rStyle w:val="Emphasis"/>
          <w:rFonts w:ascii="Arial" w:eastAsiaTheme="majorEastAsia" w:hAnsi="Arial" w:cs="Arial"/>
          <w:sz w:val="20"/>
          <w:szCs w:val="20"/>
        </w:rPr>
        <w:t>American Journal of Obstetrics and Gynecology, 188</w:t>
      </w:r>
      <w:r w:rsidRPr="003B0067">
        <w:rPr>
          <w:rFonts w:ascii="Arial" w:hAnsi="Arial" w:cs="Arial"/>
          <w:sz w:val="20"/>
          <w:szCs w:val="20"/>
        </w:rPr>
        <w:t>(1), 100–107. https://doi.org/10.1067/mob.2003.99</w:t>
      </w:r>
    </w:p>
    <w:p w14:paraId="2DCEE8D4" w14:textId="77777777" w:rsidR="003B0067" w:rsidRPr="003B0067" w:rsidRDefault="003B0067" w:rsidP="003B0067">
      <w:pPr>
        <w:pStyle w:val="NormalWeb"/>
        <w:spacing w:before="0" w:beforeAutospacing="0" w:after="0" w:afterAutospacing="0"/>
        <w:jc w:val="both"/>
        <w:rPr>
          <w:rFonts w:ascii="Arial" w:hAnsi="Arial" w:cs="Arial"/>
          <w:sz w:val="20"/>
          <w:szCs w:val="20"/>
        </w:rPr>
      </w:pPr>
      <w:r w:rsidRPr="003B0067">
        <w:rPr>
          <w:rFonts w:ascii="Arial" w:hAnsi="Arial" w:cs="Arial"/>
          <w:sz w:val="20"/>
          <w:szCs w:val="20"/>
        </w:rPr>
        <w:t xml:space="preserve">Barseghyan, M., Chae-Kim, J., &amp; Catherino, W. H. (2023). The efficacy of medical management of leiomyoma-associated heavy menstrual bleeding: A mini review. </w:t>
      </w:r>
      <w:r w:rsidRPr="003B0067">
        <w:rPr>
          <w:rStyle w:val="Emphasis"/>
          <w:rFonts w:ascii="Arial" w:eastAsiaTheme="majorEastAsia" w:hAnsi="Arial" w:cs="Arial"/>
          <w:sz w:val="20"/>
          <w:szCs w:val="20"/>
        </w:rPr>
        <w:t>F&amp;S Reports, 5</w:t>
      </w:r>
      <w:r w:rsidRPr="003B0067">
        <w:rPr>
          <w:rFonts w:ascii="Arial" w:hAnsi="Arial" w:cs="Arial"/>
          <w:sz w:val="20"/>
          <w:szCs w:val="20"/>
        </w:rPr>
        <w:t>(1), 4–8. https://doi.org/10.1016/j.xfre.2023.10.003</w:t>
      </w:r>
    </w:p>
    <w:p w14:paraId="75C6C6EF" w14:textId="77777777" w:rsidR="003B0067" w:rsidRPr="003B0067" w:rsidRDefault="003B0067" w:rsidP="003B0067">
      <w:pPr>
        <w:pStyle w:val="NormalWeb"/>
        <w:spacing w:before="0" w:beforeAutospacing="0" w:after="0" w:afterAutospacing="0"/>
        <w:jc w:val="both"/>
        <w:rPr>
          <w:rFonts w:ascii="Arial" w:hAnsi="Arial" w:cs="Arial"/>
          <w:sz w:val="20"/>
          <w:szCs w:val="20"/>
        </w:rPr>
      </w:pPr>
      <w:r w:rsidRPr="003B0067">
        <w:rPr>
          <w:rFonts w:ascii="Arial" w:hAnsi="Arial" w:cs="Arial"/>
          <w:sz w:val="20"/>
          <w:szCs w:val="20"/>
        </w:rPr>
        <w:t xml:space="preserve">Bulun, S. E. (2013). Uterine fibroids. </w:t>
      </w:r>
      <w:r w:rsidRPr="003B0067">
        <w:rPr>
          <w:rStyle w:val="Emphasis"/>
          <w:rFonts w:ascii="Arial" w:eastAsiaTheme="majorEastAsia" w:hAnsi="Arial" w:cs="Arial"/>
          <w:sz w:val="20"/>
          <w:szCs w:val="20"/>
        </w:rPr>
        <w:t>New England Journal of Medicine, 369</w:t>
      </w:r>
      <w:r w:rsidRPr="003B0067">
        <w:rPr>
          <w:rFonts w:ascii="Arial" w:hAnsi="Arial" w:cs="Arial"/>
          <w:sz w:val="20"/>
          <w:szCs w:val="20"/>
        </w:rPr>
        <w:t>(14), 1344–1355. https://doi.org/10.1056/NEJMra1209993</w:t>
      </w:r>
    </w:p>
    <w:p w14:paraId="65CAA852" w14:textId="77777777" w:rsidR="003B0067" w:rsidRPr="003B0067" w:rsidRDefault="003B0067" w:rsidP="003B0067">
      <w:pPr>
        <w:pStyle w:val="NormalWeb"/>
        <w:spacing w:before="0" w:beforeAutospacing="0" w:after="0" w:afterAutospacing="0"/>
        <w:jc w:val="both"/>
        <w:rPr>
          <w:rFonts w:ascii="Arial" w:hAnsi="Arial" w:cs="Arial"/>
          <w:sz w:val="20"/>
          <w:szCs w:val="20"/>
        </w:rPr>
      </w:pPr>
      <w:r w:rsidRPr="003B0067">
        <w:rPr>
          <w:rFonts w:ascii="Arial" w:hAnsi="Arial" w:cs="Arial"/>
          <w:sz w:val="20"/>
          <w:szCs w:val="20"/>
        </w:rPr>
        <w:t xml:space="preserve">Do, T. T. P., &amp; Huynh, T. P. (2025). Surgical treatment of uterine fibroids at the obstetrics department, Nga Bay General Hospital, Hau Giang province during 2022–2024. </w:t>
      </w:r>
      <w:r w:rsidRPr="003B0067">
        <w:rPr>
          <w:rStyle w:val="Emphasis"/>
          <w:rFonts w:ascii="Arial" w:eastAsiaTheme="majorEastAsia" w:hAnsi="Arial" w:cs="Arial"/>
          <w:sz w:val="20"/>
          <w:szCs w:val="20"/>
        </w:rPr>
        <w:t>Vietnam Journal of Community Medicine, 66</w:t>
      </w:r>
      <w:r w:rsidRPr="003B0067">
        <w:rPr>
          <w:rFonts w:ascii="Arial" w:hAnsi="Arial" w:cs="Arial"/>
          <w:sz w:val="20"/>
          <w:szCs w:val="20"/>
        </w:rPr>
        <w:t>(15), 90–95.</w:t>
      </w:r>
    </w:p>
    <w:p w14:paraId="2AA84867" w14:textId="77777777" w:rsidR="003B0067" w:rsidRPr="003B0067" w:rsidRDefault="003B0067" w:rsidP="003B0067">
      <w:pPr>
        <w:pStyle w:val="NormalWeb"/>
        <w:spacing w:before="0" w:beforeAutospacing="0" w:after="0" w:afterAutospacing="0"/>
        <w:jc w:val="both"/>
        <w:rPr>
          <w:rFonts w:ascii="Arial" w:hAnsi="Arial" w:cs="Arial"/>
          <w:sz w:val="20"/>
          <w:szCs w:val="20"/>
        </w:rPr>
      </w:pPr>
      <w:r w:rsidRPr="003B0067">
        <w:rPr>
          <w:rFonts w:ascii="Arial" w:hAnsi="Arial" w:cs="Arial"/>
          <w:sz w:val="20"/>
          <w:szCs w:val="20"/>
        </w:rPr>
        <w:t xml:space="preserve">Liu, X., Wang, K., Gou, X., Lian, J., Zhang, Y., Hong, N., Wang, J., Zhou, R., &amp; Cheng, J. (2025). The feasibility of high-resolution organ-axial T2-weighted MRI when combined with federation of gynecology and obstetrics (FIGO) classification of uterine fibroid patients. </w:t>
      </w:r>
      <w:r w:rsidRPr="003B0067">
        <w:rPr>
          <w:rStyle w:val="Emphasis"/>
          <w:rFonts w:ascii="Arial" w:eastAsiaTheme="majorEastAsia" w:hAnsi="Arial" w:cs="Arial"/>
          <w:sz w:val="20"/>
          <w:szCs w:val="20"/>
        </w:rPr>
        <w:t>Abdominal Radiology, 50</w:t>
      </w:r>
      <w:r w:rsidRPr="003B0067">
        <w:rPr>
          <w:rFonts w:ascii="Arial" w:hAnsi="Arial" w:cs="Arial"/>
          <w:sz w:val="20"/>
          <w:szCs w:val="20"/>
        </w:rPr>
        <w:t>(8), 3764–3772.</w:t>
      </w:r>
    </w:p>
    <w:p w14:paraId="14EE5F80" w14:textId="77777777" w:rsidR="003B0067" w:rsidRPr="003B0067" w:rsidRDefault="003B0067" w:rsidP="003B0067">
      <w:pPr>
        <w:pStyle w:val="NormalWeb"/>
        <w:spacing w:before="0" w:beforeAutospacing="0" w:after="0" w:afterAutospacing="0"/>
        <w:jc w:val="both"/>
        <w:rPr>
          <w:rFonts w:ascii="Arial" w:hAnsi="Arial" w:cs="Arial"/>
          <w:sz w:val="20"/>
          <w:szCs w:val="20"/>
        </w:rPr>
      </w:pPr>
      <w:r w:rsidRPr="003B0067">
        <w:rPr>
          <w:rFonts w:ascii="Arial" w:hAnsi="Arial" w:cs="Arial"/>
          <w:sz w:val="20"/>
          <w:szCs w:val="20"/>
        </w:rPr>
        <w:t xml:space="preserve">Munro, M. G., Critchley, H. O. D., Broder, M. S., &amp; Fraser, I. S. (2011). FIGO classification system (PALM-COEIN) for causes of abnormal uterine bleeding in nongravid women of reproductive age. </w:t>
      </w:r>
      <w:r w:rsidRPr="003B0067">
        <w:rPr>
          <w:rStyle w:val="Emphasis"/>
          <w:rFonts w:ascii="Arial" w:eastAsiaTheme="majorEastAsia" w:hAnsi="Arial" w:cs="Arial"/>
          <w:sz w:val="20"/>
          <w:szCs w:val="20"/>
        </w:rPr>
        <w:t>International Journal of Gynecology &amp; Obstetrics, 113</w:t>
      </w:r>
      <w:r w:rsidRPr="003B0067">
        <w:rPr>
          <w:rFonts w:ascii="Arial" w:hAnsi="Arial" w:cs="Arial"/>
          <w:sz w:val="20"/>
          <w:szCs w:val="20"/>
        </w:rPr>
        <w:t>(1), 3–13. https://doi.org/10.1016/j.ijgo.2010.11.011</w:t>
      </w:r>
    </w:p>
    <w:p w14:paraId="17D2814D" w14:textId="77777777" w:rsidR="003B0067" w:rsidRPr="003B0067" w:rsidRDefault="003B0067" w:rsidP="003B0067">
      <w:pPr>
        <w:pStyle w:val="NormalWeb"/>
        <w:spacing w:before="0" w:beforeAutospacing="0" w:after="0" w:afterAutospacing="0"/>
        <w:jc w:val="both"/>
        <w:rPr>
          <w:rFonts w:ascii="Arial" w:hAnsi="Arial" w:cs="Arial"/>
          <w:sz w:val="20"/>
          <w:szCs w:val="20"/>
        </w:rPr>
      </w:pPr>
      <w:r w:rsidRPr="003B0067">
        <w:rPr>
          <w:rFonts w:ascii="Arial" w:hAnsi="Arial" w:cs="Arial"/>
          <w:sz w:val="20"/>
          <w:szCs w:val="20"/>
        </w:rPr>
        <w:t xml:space="preserve">Munro, M. G., Critchley, H. O. D., &amp; Fraser, I. S. (2011). The FIGO classification of causes of abnormal uterine bleeding in the reproductive years. </w:t>
      </w:r>
      <w:r w:rsidRPr="003B0067">
        <w:rPr>
          <w:rStyle w:val="Emphasis"/>
          <w:rFonts w:ascii="Arial" w:eastAsiaTheme="majorEastAsia" w:hAnsi="Arial" w:cs="Arial"/>
          <w:sz w:val="20"/>
          <w:szCs w:val="20"/>
        </w:rPr>
        <w:t>Fertility and Sterility, 95</w:t>
      </w:r>
      <w:r w:rsidRPr="003B0067">
        <w:rPr>
          <w:rFonts w:ascii="Arial" w:hAnsi="Arial" w:cs="Arial"/>
          <w:sz w:val="20"/>
          <w:szCs w:val="20"/>
        </w:rPr>
        <w:t>(7), 2204–2208.e3. https://doi.org/10.1016/j.fertnstert.2011.03.079</w:t>
      </w:r>
    </w:p>
    <w:p w14:paraId="01B72B9C" w14:textId="77777777" w:rsidR="003B0067" w:rsidRPr="003B0067" w:rsidRDefault="003B0067" w:rsidP="003B0067">
      <w:pPr>
        <w:pStyle w:val="NormalWeb"/>
        <w:spacing w:before="0" w:beforeAutospacing="0" w:after="0" w:afterAutospacing="0"/>
        <w:jc w:val="both"/>
        <w:rPr>
          <w:rFonts w:ascii="Arial" w:hAnsi="Arial" w:cs="Arial"/>
          <w:sz w:val="20"/>
          <w:szCs w:val="20"/>
        </w:rPr>
      </w:pPr>
      <w:r w:rsidRPr="003B0067">
        <w:rPr>
          <w:rFonts w:ascii="Arial" w:hAnsi="Arial" w:cs="Arial"/>
          <w:sz w:val="20"/>
          <w:szCs w:val="20"/>
        </w:rPr>
        <w:t xml:space="preserve">Nguyen, T. B. D., &amp; Huynh, T. P. (2025). Characteristics of patients with uterine fibroids at obstetrics department, Nga Bay General Hospital, Hau Giang province during 2022–2024. </w:t>
      </w:r>
      <w:r w:rsidRPr="003B0067">
        <w:rPr>
          <w:rStyle w:val="Emphasis"/>
          <w:rFonts w:ascii="Arial" w:eastAsiaTheme="majorEastAsia" w:hAnsi="Arial" w:cs="Arial"/>
          <w:sz w:val="20"/>
          <w:szCs w:val="20"/>
        </w:rPr>
        <w:t>Vietnam Journal of Community Medicine, 66</w:t>
      </w:r>
      <w:r w:rsidRPr="003B0067">
        <w:rPr>
          <w:rFonts w:ascii="Arial" w:hAnsi="Arial" w:cs="Arial"/>
          <w:sz w:val="20"/>
          <w:szCs w:val="20"/>
        </w:rPr>
        <w:t>(15), 90–95.</w:t>
      </w:r>
    </w:p>
    <w:p w14:paraId="6B10C1D5" w14:textId="77777777" w:rsidR="003B0067" w:rsidRPr="003B0067" w:rsidRDefault="003B0067" w:rsidP="003B0067">
      <w:pPr>
        <w:pStyle w:val="NormalWeb"/>
        <w:spacing w:before="0" w:beforeAutospacing="0" w:after="0" w:afterAutospacing="0"/>
        <w:jc w:val="both"/>
        <w:rPr>
          <w:rFonts w:ascii="Arial" w:hAnsi="Arial" w:cs="Arial"/>
          <w:sz w:val="20"/>
          <w:szCs w:val="20"/>
        </w:rPr>
      </w:pPr>
      <w:r w:rsidRPr="003B0067">
        <w:rPr>
          <w:rFonts w:ascii="Arial" w:hAnsi="Arial" w:cs="Arial"/>
          <w:sz w:val="20"/>
          <w:szCs w:val="20"/>
        </w:rPr>
        <w:t xml:space="preserve">Pavone, D., Clemenza, S., Sorbi, F., Fambrini, M., &amp; Petraglia, F. (2018). Epidemiology and risk factors of uterine fibroids. </w:t>
      </w:r>
      <w:r w:rsidRPr="003B0067">
        <w:rPr>
          <w:rStyle w:val="Emphasis"/>
          <w:rFonts w:ascii="Arial" w:eastAsiaTheme="majorEastAsia" w:hAnsi="Arial" w:cs="Arial"/>
          <w:sz w:val="20"/>
          <w:szCs w:val="20"/>
        </w:rPr>
        <w:t>Best Practice &amp; Research Clinical Obstetrics &amp; Gynaecology, 46</w:t>
      </w:r>
      <w:r w:rsidRPr="003B0067">
        <w:rPr>
          <w:rFonts w:ascii="Arial" w:hAnsi="Arial" w:cs="Arial"/>
          <w:sz w:val="20"/>
          <w:szCs w:val="20"/>
        </w:rPr>
        <w:t>, 3–11. https://doi.org/10.1016/j.bpobgyn.2017.09.004</w:t>
      </w:r>
    </w:p>
    <w:p w14:paraId="7CE8F121" w14:textId="77777777" w:rsidR="003B0067" w:rsidRPr="003B0067" w:rsidRDefault="003B0067" w:rsidP="003B0067">
      <w:pPr>
        <w:pStyle w:val="NormalWeb"/>
        <w:spacing w:before="0" w:beforeAutospacing="0" w:after="0" w:afterAutospacing="0"/>
        <w:jc w:val="both"/>
        <w:rPr>
          <w:rFonts w:ascii="Arial" w:hAnsi="Arial" w:cs="Arial"/>
          <w:sz w:val="20"/>
          <w:szCs w:val="20"/>
        </w:rPr>
      </w:pPr>
      <w:r w:rsidRPr="003B0067">
        <w:rPr>
          <w:rFonts w:ascii="Arial" w:hAnsi="Arial" w:cs="Arial"/>
          <w:sz w:val="20"/>
          <w:szCs w:val="20"/>
        </w:rPr>
        <w:t xml:space="preserve">Puri, K., Famuyide, A. O., Erwin, P. J., Stewart, E. A., &amp; Laughlin-Tommaso, S. K. (2014). Submucosal fibroids and the relation to heavy menstrual bleeding and anemia. </w:t>
      </w:r>
      <w:r w:rsidRPr="003B0067">
        <w:rPr>
          <w:rStyle w:val="Emphasis"/>
          <w:rFonts w:ascii="Arial" w:eastAsiaTheme="majorEastAsia" w:hAnsi="Arial" w:cs="Arial"/>
          <w:sz w:val="20"/>
          <w:szCs w:val="20"/>
        </w:rPr>
        <w:t>American Journal of Obstetrics and Gynecology, 210</w:t>
      </w:r>
      <w:r w:rsidRPr="003B0067">
        <w:rPr>
          <w:rFonts w:ascii="Arial" w:hAnsi="Arial" w:cs="Arial"/>
          <w:sz w:val="20"/>
          <w:szCs w:val="20"/>
        </w:rPr>
        <w:t>(1), 38.e1–38.e7. https://doi.org/10.1016/j.ajog.2013.09.038</w:t>
      </w:r>
    </w:p>
    <w:p w14:paraId="0F776D36" w14:textId="77777777" w:rsidR="003B0067" w:rsidRPr="003B0067" w:rsidRDefault="003B0067" w:rsidP="003B0067">
      <w:pPr>
        <w:pStyle w:val="NormalWeb"/>
        <w:spacing w:before="0" w:beforeAutospacing="0" w:after="0" w:afterAutospacing="0"/>
        <w:jc w:val="both"/>
        <w:rPr>
          <w:rFonts w:ascii="Arial" w:hAnsi="Arial" w:cs="Arial"/>
          <w:sz w:val="20"/>
          <w:szCs w:val="20"/>
        </w:rPr>
      </w:pPr>
      <w:r w:rsidRPr="003B0067">
        <w:rPr>
          <w:rFonts w:ascii="Arial" w:hAnsi="Arial" w:cs="Arial"/>
          <w:sz w:val="20"/>
          <w:szCs w:val="20"/>
        </w:rPr>
        <w:t xml:space="preserve">Stewart, E. A., Cookson, C. L., Gandolfo, R. A., &amp; Schulze-Rath, R. (2017). Epidemiology of uterine fibroids: A systematic review. </w:t>
      </w:r>
      <w:r w:rsidRPr="003B0067">
        <w:rPr>
          <w:rStyle w:val="Emphasis"/>
          <w:rFonts w:ascii="Arial" w:eastAsiaTheme="majorEastAsia" w:hAnsi="Arial" w:cs="Arial"/>
          <w:sz w:val="20"/>
          <w:szCs w:val="20"/>
        </w:rPr>
        <w:t>BJOG: An International Journal of Obstetrics &amp; Gynaecology, 124</w:t>
      </w:r>
      <w:r w:rsidRPr="003B0067">
        <w:rPr>
          <w:rFonts w:ascii="Arial" w:hAnsi="Arial" w:cs="Arial"/>
          <w:sz w:val="20"/>
          <w:szCs w:val="20"/>
        </w:rPr>
        <w:t>(10), 1501–1512. https://doi.org/10.1111/1471-0528.14640</w:t>
      </w:r>
    </w:p>
    <w:p w14:paraId="73A56B95" w14:textId="77777777" w:rsidR="003B0067" w:rsidRPr="003B0067" w:rsidRDefault="003B0067" w:rsidP="003B0067">
      <w:pPr>
        <w:pStyle w:val="NormalWeb"/>
        <w:spacing w:before="0" w:beforeAutospacing="0" w:after="0" w:afterAutospacing="0"/>
        <w:jc w:val="both"/>
        <w:rPr>
          <w:rFonts w:ascii="Arial" w:hAnsi="Arial" w:cs="Arial"/>
          <w:sz w:val="20"/>
          <w:szCs w:val="20"/>
        </w:rPr>
      </w:pPr>
      <w:r w:rsidRPr="003B0067">
        <w:rPr>
          <w:rFonts w:ascii="Arial" w:hAnsi="Arial" w:cs="Arial"/>
          <w:sz w:val="20"/>
          <w:szCs w:val="20"/>
        </w:rPr>
        <w:t xml:space="preserve">Uimari, O., Subramaniam, K. S., Vollenhoven, B., &amp; Tapmeier, T. T. (2022). Uterine fibroids (leiomyomata) and heavy menstrual bleeding. </w:t>
      </w:r>
      <w:r w:rsidRPr="003B0067">
        <w:rPr>
          <w:rStyle w:val="Emphasis"/>
          <w:rFonts w:ascii="Arial" w:eastAsiaTheme="majorEastAsia" w:hAnsi="Arial" w:cs="Arial"/>
          <w:sz w:val="20"/>
          <w:szCs w:val="20"/>
        </w:rPr>
        <w:t>Frontiers in Reproductive Health, 4</w:t>
      </w:r>
      <w:r w:rsidRPr="003B0067">
        <w:rPr>
          <w:rFonts w:ascii="Arial" w:hAnsi="Arial" w:cs="Arial"/>
          <w:sz w:val="20"/>
          <w:szCs w:val="20"/>
        </w:rPr>
        <w:t>, 818243. https://doi.org/10.3389/frph.2022.818243</w:t>
      </w:r>
    </w:p>
    <w:p w14:paraId="2C1D3176" w14:textId="77777777" w:rsidR="003B0067" w:rsidRDefault="003B0067" w:rsidP="003B0067">
      <w:pPr>
        <w:pStyle w:val="B"/>
        <w:spacing w:line="288" w:lineRule="auto"/>
        <w:jc w:val="both"/>
        <w:rPr>
          <w:rFonts w:cs="Times New Roman"/>
          <w:color w:val="000000" w:themeColor="text1"/>
          <w:sz w:val="24"/>
          <w:szCs w:val="24"/>
          <w:lang w:val="vi-VN"/>
        </w:rPr>
      </w:pPr>
    </w:p>
    <w:p w14:paraId="35A3BF60" w14:textId="77777777" w:rsidR="00B01FCD" w:rsidRPr="00FB3A86" w:rsidRDefault="00B01FCD" w:rsidP="00441B6F">
      <w:pPr>
        <w:pStyle w:val="Appendix"/>
        <w:spacing w:after="0"/>
        <w:jc w:val="both"/>
        <w:rPr>
          <w:rFonts w:ascii="Arial" w:hAnsi="Arial" w:cs="Arial"/>
          <w:b w:val="0"/>
        </w:rPr>
      </w:pPr>
    </w:p>
    <w:sectPr w:rsidR="00B01FCD" w:rsidRPr="00FB3A86" w:rsidSect="003B0067">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824E7" w14:textId="77777777" w:rsidR="00513277" w:rsidRDefault="00513277" w:rsidP="00C37E61">
      <w:r>
        <w:separator/>
      </w:r>
    </w:p>
  </w:endnote>
  <w:endnote w:type="continuationSeparator" w:id="0">
    <w:p w14:paraId="3871C9B0" w14:textId="77777777" w:rsidR="00513277" w:rsidRDefault="0051327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EDB2A" w14:textId="77777777" w:rsidR="00E4382B" w:rsidRDefault="00E43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88E1B" w14:textId="77777777" w:rsidR="00E4382B" w:rsidRDefault="00E43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6EB7E" w14:textId="75D48398" w:rsidR="00754C9A" w:rsidRPr="00EF4457" w:rsidRDefault="00754C9A" w:rsidP="00EF44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799F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3C907" w14:textId="77777777" w:rsidR="00513277" w:rsidRDefault="00513277" w:rsidP="00C37E61">
      <w:r>
        <w:separator/>
      </w:r>
    </w:p>
  </w:footnote>
  <w:footnote w:type="continuationSeparator" w:id="0">
    <w:p w14:paraId="1D175BAD" w14:textId="77777777" w:rsidR="00513277" w:rsidRDefault="0051327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B84F0" w14:textId="5A50F944" w:rsidR="00E4382B" w:rsidRDefault="00E4382B">
    <w:pPr>
      <w:pStyle w:val="Header"/>
    </w:pPr>
    <w:r>
      <w:rPr>
        <w:noProof/>
      </w:rPr>
      <w:pict w14:anchorId="32073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0412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A0394" w14:textId="4BA79739" w:rsidR="00E4382B" w:rsidRDefault="00E4382B">
    <w:pPr>
      <w:pStyle w:val="Header"/>
    </w:pPr>
    <w:r>
      <w:rPr>
        <w:noProof/>
      </w:rPr>
      <w:pict w14:anchorId="60738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0412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F41F3" w14:textId="086517CD" w:rsidR="00296529" w:rsidRPr="00296529" w:rsidRDefault="00E4382B" w:rsidP="00296529">
    <w:pPr>
      <w:ind w:left="2160"/>
      <w:jc w:val="center"/>
      <w:rPr>
        <w:rFonts w:ascii="Times New Roman" w:eastAsia="Calibri" w:hAnsi="Times New Roman"/>
        <w:i/>
        <w:sz w:val="18"/>
        <w:szCs w:val="22"/>
      </w:rPr>
    </w:pPr>
    <w:r>
      <w:rPr>
        <w:noProof/>
      </w:rPr>
      <w:pict w14:anchorId="2D96A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0412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AC1E56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89E63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51073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8DECB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C01E3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3544B7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0D06E" w14:textId="394BFA3A" w:rsidR="00E4382B" w:rsidRDefault="00E4382B">
    <w:pPr>
      <w:pStyle w:val="Header"/>
    </w:pPr>
    <w:r>
      <w:rPr>
        <w:noProof/>
      </w:rPr>
      <w:pict w14:anchorId="0B6B9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0412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F8EDB" w14:textId="0A7C04C7" w:rsidR="00E4382B" w:rsidRDefault="00E4382B">
    <w:pPr>
      <w:pStyle w:val="Header"/>
    </w:pPr>
    <w:r>
      <w:rPr>
        <w:noProof/>
      </w:rPr>
      <w:pict w14:anchorId="1E324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0413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63ED" w14:textId="64EA96BA" w:rsidR="00E4382B" w:rsidRDefault="00E4382B">
    <w:pPr>
      <w:pStyle w:val="Header"/>
    </w:pPr>
    <w:r>
      <w:rPr>
        <w:noProof/>
      </w:rPr>
      <w:pict w14:anchorId="1612A9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0412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C62E9"/>
    <w:rsid w:val="000D689F"/>
    <w:rsid w:val="000E7B7B"/>
    <w:rsid w:val="000E7D62"/>
    <w:rsid w:val="00103357"/>
    <w:rsid w:val="00123C9F"/>
    <w:rsid w:val="00126190"/>
    <w:rsid w:val="00130F17"/>
    <w:rsid w:val="001320BF"/>
    <w:rsid w:val="00140E66"/>
    <w:rsid w:val="00144CB9"/>
    <w:rsid w:val="00163BC4"/>
    <w:rsid w:val="00191062"/>
    <w:rsid w:val="00192B72"/>
    <w:rsid w:val="001A29D8"/>
    <w:rsid w:val="001A5CAA"/>
    <w:rsid w:val="001B0427"/>
    <w:rsid w:val="001C76ED"/>
    <w:rsid w:val="001D3A51"/>
    <w:rsid w:val="001E10D2"/>
    <w:rsid w:val="001E25B4"/>
    <w:rsid w:val="001E44FE"/>
    <w:rsid w:val="001E6813"/>
    <w:rsid w:val="00200595"/>
    <w:rsid w:val="00204835"/>
    <w:rsid w:val="00231920"/>
    <w:rsid w:val="0023195C"/>
    <w:rsid w:val="0024282C"/>
    <w:rsid w:val="002460DC"/>
    <w:rsid w:val="00250985"/>
    <w:rsid w:val="002556F6"/>
    <w:rsid w:val="00264952"/>
    <w:rsid w:val="00283105"/>
    <w:rsid w:val="00284C4C"/>
    <w:rsid w:val="00287E68"/>
    <w:rsid w:val="00296529"/>
    <w:rsid w:val="002B27FB"/>
    <w:rsid w:val="002B685A"/>
    <w:rsid w:val="002C57D2"/>
    <w:rsid w:val="002E0D56"/>
    <w:rsid w:val="00315186"/>
    <w:rsid w:val="0033343E"/>
    <w:rsid w:val="00345BA0"/>
    <w:rsid w:val="003512C2"/>
    <w:rsid w:val="00371FB6"/>
    <w:rsid w:val="003727EA"/>
    <w:rsid w:val="003763C1"/>
    <w:rsid w:val="00376BBE"/>
    <w:rsid w:val="00387020"/>
    <w:rsid w:val="0039224F"/>
    <w:rsid w:val="003A43A4"/>
    <w:rsid w:val="003A7E18"/>
    <w:rsid w:val="003B0067"/>
    <w:rsid w:val="003C4C86"/>
    <w:rsid w:val="003C6258"/>
    <w:rsid w:val="003E2904"/>
    <w:rsid w:val="003F2BAC"/>
    <w:rsid w:val="00401927"/>
    <w:rsid w:val="0041027F"/>
    <w:rsid w:val="00412475"/>
    <w:rsid w:val="00423789"/>
    <w:rsid w:val="00440F43"/>
    <w:rsid w:val="00441B6F"/>
    <w:rsid w:val="00446221"/>
    <w:rsid w:val="00450E62"/>
    <w:rsid w:val="004539DB"/>
    <w:rsid w:val="00471A80"/>
    <w:rsid w:val="00473D92"/>
    <w:rsid w:val="004D305E"/>
    <w:rsid w:val="004D4277"/>
    <w:rsid w:val="004E352F"/>
    <w:rsid w:val="00502516"/>
    <w:rsid w:val="00505F06"/>
    <w:rsid w:val="00506828"/>
    <w:rsid w:val="00513277"/>
    <w:rsid w:val="0053056E"/>
    <w:rsid w:val="00554FDA"/>
    <w:rsid w:val="005A2864"/>
    <w:rsid w:val="005C784C"/>
    <w:rsid w:val="005D17F6"/>
    <w:rsid w:val="005D1C32"/>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2B4"/>
    <w:rsid w:val="007369E6"/>
    <w:rsid w:val="00746E59"/>
    <w:rsid w:val="00754C9A"/>
    <w:rsid w:val="00754FBE"/>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018A"/>
    <w:rsid w:val="00974262"/>
    <w:rsid w:val="00983040"/>
    <w:rsid w:val="009B3FB9"/>
    <w:rsid w:val="009C2465"/>
    <w:rsid w:val="009D35A0"/>
    <w:rsid w:val="009D7EB7"/>
    <w:rsid w:val="009E048A"/>
    <w:rsid w:val="009E08E9"/>
    <w:rsid w:val="009E3DB9"/>
    <w:rsid w:val="009E6E35"/>
    <w:rsid w:val="009F0EDA"/>
    <w:rsid w:val="00A03B96"/>
    <w:rsid w:val="00A05B19"/>
    <w:rsid w:val="00A1134E"/>
    <w:rsid w:val="00A20C63"/>
    <w:rsid w:val="00A24E7E"/>
    <w:rsid w:val="00A258C3"/>
    <w:rsid w:val="00A347C0"/>
    <w:rsid w:val="00A51431"/>
    <w:rsid w:val="00A539AD"/>
    <w:rsid w:val="00A94063"/>
    <w:rsid w:val="00AA6219"/>
    <w:rsid w:val="00AA74E0"/>
    <w:rsid w:val="00AB703F"/>
    <w:rsid w:val="00AC6BB8"/>
    <w:rsid w:val="00AE008F"/>
    <w:rsid w:val="00B01FCD"/>
    <w:rsid w:val="00B05095"/>
    <w:rsid w:val="00B1776C"/>
    <w:rsid w:val="00B21041"/>
    <w:rsid w:val="00B52583"/>
    <w:rsid w:val="00B52896"/>
    <w:rsid w:val="00B95236"/>
    <w:rsid w:val="00B96BD9"/>
    <w:rsid w:val="00BA1B01"/>
    <w:rsid w:val="00BA2641"/>
    <w:rsid w:val="00BB37AA"/>
    <w:rsid w:val="00BC53A0"/>
    <w:rsid w:val="00BE62AD"/>
    <w:rsid w:val="00BF121F"/>
    <w:rsid w:val="00BF1F80"/>
    <w:rsid w:val="00C1243D"/>
    <w:rsid w:val="00C166EF"/>
    <w:rsid w:val="00C17EB0"/>
    <w:rsid w:val="00C274D5"/>
    <w:rsid w:val="00C27F5F"/>
    <w:rsid w:val="00C30A0F"/>
    <w:rsid w:val="00C37E61"/>
    <w:rsid w:val="00C70F1B"/>
    <w:rsid w:val="00C71A47"/>
    <w:rsid w:val="00C7464C"/>
    <w:rsid w:val="00C85588"/>
    <w:rsid w:val="00CD6755"/>
    <w:rsid w:val="00CD6856"/>
    <w:rsid w:val="00CE0089"/>
    <w:rsid w:val="00CE793C"/>
    <w:rsid w:val="00CF193C"/>
    <w:rsid w:val="00D173F1"/>
    <w:rsid w:val="00D7121B"/>
    <w:rsid w:val="00D74CB0"/>
    <w:rsid w:val="00D8295D"/>
    <w:rsid w:val="00D85FDD"/>
    <w:rsid w:val="00DC2A65"/>
    <w:rsid w:val="00DD4F82"/>
    <w:rsid w:val="00DE15F0"/>
    <w:rsid w:val="00DE5663"/>
    <w:rsid w:val="00DE78AA"/>
    <w:rsid w:val="00E00454"/>
    <w:rsid w:val="00E053D0"/>
    <w:rsid w:val="00E15994"/>
    <w:rsid w:val="00E3114E"/>
    <w:rsid w:val="00E31A70"/>
    <w:rsid w:val="00E35B02"/>
    <w:rsid w:val="00E4382B"/>
    <w:rsid w:val="00E66496"/>
    <w:rsid w:val="00E66B35"/>
    <w:rsid w:val="00E66E10"/>
    <w:rsid w:val="00E769F6"/>
    <w:rsid w:val="00E8407C"/>
    <w:rsid w:val="00E84F3C"/>
    <w:rsid w:val="00EA012C"/>
    <w:rsid w:val="00EC198A"/>
    <w:rsid w:val="00EC6A55"/>
    <w:rsid w:val="00ED0288"/>
    <w:rsid w:val="00EE52CB"/>
    <w:rsid w:val="00EF4457"/>
    <w:rsid w:val="00EF581D"/>
    <w:rsid w:val="00EF66FB"/>
    <w:rsid w:val="00EF7FD8"/>
    <w:rsid w:val="00F06F59"/>
    <w:rsid w:val="00F17988"/>
    <w:rsid w:val="00F3527F"/>
    <w:rsid w:val="00F469F0"/>
    <w:rsid w:val="00F53273"/>
    <w:rsid w:val="00F755E4"/>
    <w:rsid w:val="00F77D02"/>
    <w:rsid w:val="00F9308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F440D6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7121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7121B"/>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semiHidden/>
    <w:rsid w:val="00D7121B"/>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D7121B"/>
    <w:rPr>
      <w:b/>
      <w:bCs/>
    </w:rPr>
  </w:style>
  <w:style w:type="paragraph" w:customStyle="1" w:styleId="D1">
    <w:name w:val="D1"/>
    <w:basedOn w:val="Normal"/>
    <w:qFormat/>
    <w:rsid w:val="00D7121B"/>
    <w:pPr>
      <w:widowControl w:val="0"/>
      <w:spacing w:after="120" w:line="360" w:lineRule="auto"/>
      <w:jc w:val="center"/>
    </w:pPr>
    <w:rPr>
      <w:rFonts w:ascii="Times New Roman" w:eastAsiaTheme="minorHAnsi" w:hAnsi="Times New Roman" w:cstheme="minorBidi"/>
      <w:b/>
      <w:i/>
      <w:sz w:val="28"/>
      <w:szCs w:val="22"/>
    </w:rPr>
  </w:style>
  <w:style w:type="paragraph" w:customStyle="1" w:styleId="B">
    <w:name w:val="B"/>
    <w:basedOn w:val="ListParagraph"/>
    <w:qFormat/>
    <w:rsid w:val="00D7121B"/>
    <w:pPr>
      <w:widowControl w:val="0"/>
      <w:spacing w:line="360" w:lineRule="auto"/>
      <w:ind w:left="0"/>
      <w:jc w:val="center"/>
    </w:pPr>
    <w:rPr>
      <w:rFonts w:ascii="Times New Roman" w:eastAsiaTheme="minorHAnsi" w:hAnsi="Times New Roman" w:cstheme="minorBidi"/>
      <w:b/>
      <w:sz w:val="28"/>
      <w:szCs w:val="22"/>
    </w:rPr>
  </w:style>
  <w:style w:type="paragraph" w:styleId="ListParagraph">
    <w:name w:val="List Paragraph"/>
    <w:basedOn w:val="Normal"/>
    <w:uiPriority w:val="34"/>
    <w:qFormat/>
    <w:rsid w:val="00D71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c:v>
                </c:pt>
              </c:strCache>
            </c:strRef>
          </c:tx>
          <c:spPr>
            <a:solidFill>
              <a:srgbClr val="5DCAA5"/>
            </a:solidFill>
            <a:effectLst/>
          </c:spPr>
          <c:invertIfNegative val="0"/>
          <c:dPt>
            <c:idx val="0"/>
            <c:invertIfNegative val="0"/>
            <c:bubble3D val="0"/>
            <c:extLst>
              <c:ext xmlns:c16="http://schemas.microsoft.com/office/drawing/2014/chart" uri="{C3380CC4-5D6E-409C-BE32-E72D297353CC}">
                <c16:uniqueId val="{00000000-67E4-C64F-973D-8A172E65689E}"/>
              </c:ext>
            </c:extLst>
          </c:dPt>
          <c:dPt>
            <c:idx val="1"/>
            <c:invertIfNegative val="0"/>
            <c:bubble3D val="0"/>
            <c:spPr>
              <a:solidFill>
                <a:srgbClr val="1D9E75"/>
              </a:solidFill>
              <a:effectLst/>
            </c:spPr>
            <c:extLst>
              <c:ext xmlns:c16="http://schemas.microsoft.com/office/drawing/2014/chart" uri="{C3380CC4-5D6E-409C-BE32-E72D297353CC}">
                <c16:uniqueId val="{00000002-67E4-C64F-973D-8A172E65689E}"/>
              </c:ext>
            </c:extLst>
          </c:dPt>
          <c:dPt>
            <c:idx val="2"/>
            <c:invertIfNegative val="0"/>
            <c:bubble3D val="0"/>
            <c:spPr>
              <a:solidFill>
                <a:srgbClr val="0F6E56"/>
              </a:solidFill>
              <a:effectLst/>
            </c:spPr>
            <c:extLst>
              <c:ext xmlns:c16="http://schemas.microsoft.com/office/drawing/2014/chart" uri="{C3380CC4-5D6E-409C-BE32-E72D297353CC}">
                <c16:uniqueId val="{00000004-67E4-C64F-973D-8A172E65689E}"/>
              </c:ext>
            </c:extLst>
          </c:dPt>
          <c:dPt>
            <c:idx val="3"/>
            <c:invertIfNegative val="0"/>
            <c:bubble3D val="0"/>
            <c:spPr>
              <a:solidFill>
                <a:srgbClr val="378ADD"/>
              </a:solidFill>
              <a:effectLst/>
            </c:spPr>
            <c:extLst>
              <c:ext xmlns:c16="http://schemas.microsoft.com/office/drawing/2014/chart" uri="{C3380CC4-5D6E-409C-BE32-E72D297353CC}">
                <c16:uniqueId val="{00000006-67E4-C64F-973D-8A172E65689E}"/>
              </c:ext>
            </c:extLst>
          </c:dPt>
          <c:dPt>
            <c:idx val="4"/>
            <c:invertIfNegative val="0"/>
            <c:bubble3D val="0"/>
            <c:spPr>
              <a:solidFill>
                <a:srgbClr val="185FA5"/>
              </a:solidFill>
              <a:effectLst/>
            </c:spPr>
            <c:extLst>
              <c:ext xmlns:c16="http://schemas.microsoft.com/office/drawing/2014/chart" uri="{C3380CC4-5D6E-409C-BE32-E72D297353CC}">
                <c16:uniqueId val="{00000008-67E4-C64F-973D-8A172E65689E}"/>
              </c:ext>
            </c:extLst>
          </c:dPt>
          <c:dPt>
            <c:idx val="5"/>
            <c:invertIfNegative val="0"/>
            <c:bubble3D val="0"/>
            <c:spPr>
              <a:solidFill>
                <a:srgbClr val="7F77DD"/>
              </a:solidFill>
              <a:effectLst/>
            </c:spPr>
            <c:extLst>
              <c:ext xmlns:c16="http://schemas.microsoft.com/office/drawing/2014/chart" uri="{C3380CC4-5D6E-409C-BE32-E72D297353CC}">
                <c16:uniqueId val="{0000000A-67E4-C64F-973D-8A172E65689E}"/>
              </c:ext>
            </c:extLst>
          </c:dPt>
          <c:dPt>
            <c:idx val="6"/>
            <c:invertIfNegative val="0"/>
            <c:bubble3D val="0"/>
            <c:spPr>
              <a:solidFill>
                <a:srgbClr val="534AB7"/>
              </a:solidFill>
              <a:effectLst/>
            </c:spPr>
            <c:extLst>
              <c:ext xmlns:c16="http://schemas.microsoft.com/office/drawing/2014/chart" uri="{C3380CC4-5D6E-409C-BE32-E72D297353CC}">
                <c16:uniqueId val="{0000000C-67E4-C64F-973D-8A172E65689E}"/>
              </c:ext>
            </c:extLst>
          </c:dPt>
          <c:dPt>
            <c:idx val="7"/>
            <c:invertIfNegative val="0"/>
            <c:bubble3D val="0"/>
            <c:spPr>
              <a:solidFill>
                <a:srgbClr val="BA7517"/>
              </a:solidFill>
              <a:effectLst/>
            </c:spPr>
            <c:extLst>
              <c:ext xmlns:c16="http://schemas.microsoft.com/office/drawing/2014/chart" uri="{C3380CC4-5D6E-409C-BE32-E72D297353CC}">
                <c16:uniqueId val="{0000000E-67E4-C64F-973D-8A172E65689E}"/>
              </c:ext>
            </c:extLst>
          </c:dPt>
          <c:dPt>
            <c:idx val="8"/>
            <c:invertIfNegative val="0"/>
            <c:bubble3D val="0"/>
            <c:spPr>
              <a:solidFill>
                <a:srgbClr val="D85A30"/>
              </a:solidFill>
              <a:effectLst/>
            </c:spPr>
            <c:extLst>
              <c:ext xmlns:c16="http://schemas.microsoft.com/office/drawing/2014/chart" uri="{C3380CC4-5D6E-409C-BE32-E72D297353CC}">
                <c16:uniqueId val="{00000010-67E4-C64F-973D-8A172E65689E}"/>
              </c:ext>
            </c:extLst>
          </c:dPt>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L0</c:v>
                </c:pt>
                <c:pt idx="1">
                  <c:v>L1</c:v>
                </c:pt>
                <c:pt idx="2">
                  <c:v>L2</c:v>
                </c:pt>
                <c:pt idx="3">
                  <c:v>L3</c:v>
                </c:pt>
                <c:pt idx="4">
                  <c:v>L4</c:v>
                </c:pt>
                <c:pt idx="5">
                  <c:v>L5</c:v>
                </c:pt>
                <c:pt idx="6">
                  <c:v>L6</c:v>
                </c:pt>
                <c:pt idx="7">
                  <c:v>L7</c:v>
                </c:pt>
                <c:pt idx="8">
                  <c:v>L8</c:v>
                </c:pt>
              </c:strCache>
            </c:strRef>
          </c:cat>
          <c:val>
            <c:numRef>
              <c:f>Sheet1!$B$2:$B$10</c:f>
              <c:numCache>
                <c:formatCode>General</c:formatCode>
                <c:ptCount val="9"/>
                <c:pt idx="0">
                  <c:v>4.0999999999999996</c:v>
                </c:pt>
                <c:pt idx="1">
                  <c:v>14.4</c:v>
                </c:pt>
                <c:pt idx="2">
                  <c:v>18.5</c:v>
                </c:pt>
                <c:pt idx="3">
                  <c:v>21.9</c:v>
                </c:pt>
                <c:pt idx="4">
                  <c:v>20.5</c:v>
                </c:pt>
                <c:pt idx="5">
                  <c:v>28.4</c:v>
                </c:pt>
                <c:pt idx="6">
                  <c:v>12.7</c:v>
                </c:pt>
                <c:pt idx="7">
                  <c:v>2.7</c:v>
                </c:pt>
                <c:pt idx="8">
                  <c:v>1</c:v>
                </c:pt>
              </c:numCache>
            </c:numRef>
          </c:val>
          <c:extLst>
            <c:ext xmlns:c16="http://schemas.microsoft.com/office/drawing/2014/chart" uri="{C3380CC4-5D6E-409C-BE32-E72D297353CC}">
              <c16:uniqueId val="{00000011-67E4-C64F-973D-8A172E65689E}"/>
            </c:ext>
          </c:extLst>
        </c:ser>
        <c:dLbls>
          <c:showLegendKey val="0"/>
          <c:showVal val="1"/>
          <c:showCatName val="0"/>
          <c:showSerName val="0"/>
          <c:showPercent val="0"/>
          <c:showBubbleSize val="0"/>
        </c:dLbls>
        <c:gapWidth val="150"/>
        <c:axId val="2094734554"/>
        <c:axId val="2094734552"/>
      </c:barChart>
      <c:catAx>
        <c:axId val="2094734554"/>
        <c:scaling>
          <c:orientation val="minMax"/>
        </c:scaling>
        <c:delete val="0"/>
        <c:axPos val="b"/>
        <c:title>
          <c:tx>
            <c:rich>
              <a:bodyPr/>
              <a:lstStyle/>
              <a:p>
                <a:pPr>
                  <a:defRPr/>
                </a:pPr>
                <a:r>
                  <a:rPr lang="en-US"/>
                  <a:t>FIGO Classification</a:t>
                </a:r>
              </a:p>
            </c:rich>
          </c:tx>
          <c:overlay val="0"/>
        </c:title>
        <c:numFmt formatCode="General" sourceLinked="1"/>
        <c:majorTickMark val="out"/>
        <c:minorTickMark val="none"/>
        <c:tickLblPos val="low"/>
        <c:spPr>
          <a:ln w="12700" cap="flat">
            <a:solidFill>
              <a:srgbClr val="888888"/>
            </a:solidFill>
            <a:prstDash val="solid"/>
            <a:round/>
          </a:ln>
        </c:spPr>
        <c:crossAx val="2094734552"/>
        <c:crosses val="autoZero"/>
        <c:auto val="1"/>
        <c:lblAlgn val="ctr"/>
        <c:lblOffset val="100"/>
        <c:noMultiLvlLbl val="1"/>
      </c:catAx>
      <c:valAx>
        <c:axId val="2094734552"/>
        <c:scaling>
          <c:orientation val="minMax"/>
          <c:max val="35"/>
          <c:min val="0"/>
        </c:scaling>
        <c:delete val="0"/>
        <c:axPos val="l"/>
        <c:majorGridlines>
          <c:spPr>
            <a:ln w="6350" cap="flat">
              <a:solidFill>
                <a:srgbClr val="EEEEEE"/>
              </a:solidFill>
              <a:prstDash val="solid"/>
              <a:round/>
            </a:ln>
          </c:spPr>
        </c:majorGridlines>
        <c:title>
          <c:tx>
            <c:rich>
              <a:bodyPr/>
              <a:lstStyle/>
              <a:p>
                <a:pPr>
                  <a:defRPr/>
                </a:pPr>
                <a:r>
                  <a:rPr lang="en-US"/>
                  <a:t>Percentage (%)</a:t>
                </a:r>
              </a:p>
            </c:rich>
          </c:tx>
          <c:overlay val="0"/>
        </c:title>
        <c:numFmt formatCode="General" sourceLinked="0"/>
        <c:majorTickMark val="out"/>
        <c:minorTickMark val="none"/>
        <c:tickLblPos val="nextTo"/>
        <c:spPr>
          <a:ln w="12700" cap="flat">
            <a:solidFill>
              <a:srgbClr val="888888"/>
            </a:solidFill>
            <a:prstDash val="solid"/>
            <a:round/>
          </a:ln>
        </c:spPr>
        <c:crossAx val="2094734554"/>
        <c:crosses val="autoZero"/>
        <c:crossBetween val="between"/>
      </c:valAx>
      <c:spPr>
        <a:solidFill>
          <a:srgbClr val="FFFFFF"/>
        </a:solidFill>
        <a:ln>
          <a:noFill/>
        </a:ln>
        <a:effectLst/>
      </c:spPr>
    </c:plotArea>
    <c:plotVisOnly val="1"/>
    <c:dispBlanksAs val="span"/>
    <c:showDLblsOverMax val="1"/>
  </c:chart>
  <c:spPr>
    <a:solidFill>
      <a:srgbClr val="FFFFFF"/>
    </a:solidFill>
    <a:ln>
      <a:noFill/>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9A8F0-CB14-4EB8-92EF-2D2DE787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TotalTime>
  <Pages>9</Pages>
  <Words>3935</Words>
  <Characters>22434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26317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53</cp:revision>
  <cp:lastPrinted>1999-07-06T11:00:00Z</cp:lastPrinted>
  <dcterms:created xsi:type="dcterms:W3CDTF">2014-10-25T14:34:00Z</dcterms:created>
  <dcterms:modified xsi:type="dcterms:W3CDTF">2026-04-09T09:13:00Z</dcterms:modified>
</cp:coreProperties>
</file>