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2FAA6" w14:textId="5EE9457A" w:rsidR="009309BD" w:rsidRPr="009309BD" w:rsidRDefault="009309BD" w:rsidP="00680D07">
      <w:pPr>
        <w:spacing w:after="0" w:line="276" w:lineRule="auto"/>
        <w:rPr>
          <w:rFonts w:ascii="Times New Roman" w:hAnsi="Times New Roman" w:cs="Times New Roman"/>
          <w:b/>
          <w:bCs/>
          <w:sz w:val="28"/>
          <w:szCs w:val="28"/>
          <w:u w:val="single"/>
        </w:rPr>
      </w:pPr>
      <w:r w:rsidRPr="009309BD">
        <w:rPr>
          <w:rFonts w:ascii="Times New Roman" w:hAnsi="Times New Roman" w:cs="Times New Roman"/>
          <w:b/>
          <w:bCs/>
          <w:sz w:val="28"/>
          <w:szCs w:val="28"/>
          <w:u w:val="single"/>
        </w:rPr>
        <w:t>Review Article</w:t>
      </w:r>
    </w:p>
    <w:p w14:paraId="5DFC6EDC" w14:textId="09D32A86" w:rsidR="002C121A" w:rsidRDefault="002C121A" w:rsidP="00680D07">
      <w:pPr>
        <w:spacing w:after="0" w:line="276" w:lineRule="auto"/>
        <w:rPr>
          <w:rFonts w:ascii="Times New Roman" w:hAnsi="Times New Roman" w:cs="Times New Roman"/>
          <w:b/>
          <w:bCs/>
          <w:sz w:val="28"/>
          <w:szCs w:val="28"/>
        </w:rPr>
      </w:pPr>
      <w:r w:rsidRPr="002C121A">
        <w:rPr>
          <w:rFonts w:ascii="Times New Roman" w:hAnsi="Times New Roman" w:cs="Times New Roman"/>
          <w:b/>
          <w:bCs/>
          <w:sz w:val="28"/>
          <w:szCs w:val="28"/>
        </w:rPr>
        <w:t>Optimising Postoperative Recovery in Polytrauma Surgery: Integrating Abdominal and Orthopaedic Principles in Resource-Constrained Trauma Systems</w:t>
      </w:r>
    </w:p>
    <w:p w14:paraId="2C69BAF6" w14:textId="77777777" w:rsidR="00B92D59" w:rsidRDefault="00B92D59" w:rsidP="00680D07">
      <w:pPr>
        <w:spacing w:after="0" w:line="276" w:lineRule="auto"/>
        <w:rPr>
          <w:rFonts w:ascii="Times New Roman" w:hAnsi="Times New Roman" w:cs="Times New Roman"/>
          <w:b/>
          <w:bCs/>
          <w:sz w:val="28"/>
          <w:szCs w:val="28"/>
        </w:rPr>
      </w:pPr>
    </w:p>
    <w:p w14:paraId="10E844D3" w14:textId="77777777" w:rsidR="00B92D59" w:rsidRPr="002C121A" w:rsidRDefault="00B92D59" w:rsidP="00680D07">
      <w:pPr>
        <w:spacing w:after="0" w:line="276" w:lineRule="auto"/>
        <w:rPr>
          <w:rFonts w:ascii="Times New Roman" w:hAnsi="Times New Roman" w:cs="Times New Roman"/>
          <w:b/>
          <w:bCs/>
          <w:sz w:val="28"/>
          <w:szCs w:val="28"/>
        </w:rPr>
      </w:pPr>
    </w:p>
    <w:p w14:paraId="222900C8" w14:textId="77777777" w:rsidR="00680D07" w:rsidRDefault="00680D07" w:rsidP="00680D07">
      <w:pPr>
        <w:spacing w:after="0" w:line="276" w:lineRule="auto"/>
        <w:rPr>
          <w:rFonts w:ascii="Times New Roman" w:hAnsi="Times New Roman" w:cs="Times New Roman"/>
          <w:b/>
          <w:bCs/>
        </w:rPr>
      </w:pPr>
    </w:p>
    <w:p w14:paraId="67343B8C" w14:textId="77777777" w:rsidR="00680D07" w:rsidRDefault="00680D07" w:rsidP="00680D07">
      <w:pPr>
        <w:spacing w:after="0" w:line="276" w:lineRule="auto"/>
        <w:rPr>
          <w:rFonts w:ascii="Times New Roman" w:hAnsi="Times New Roman" w:cs="Times New Roman"/>
          <w:b/>
          <w:bCs/>
        </w:rPr>
      </w:pPr>
    </w:p>
    <w:p w14:paraId="1A2188B1" w14:textId="77777777" w:rsidR="00680D07" w:rsidRDefault="00680D07" w:rsidP="00680D07">
      <w:pPr>
        <w:spacing w:after="0" w:line="276" w:lineRule="auto"/>
        <w:rPr>
          <w:rFonts w:ascii="Times New Roman" w:hAnsi="Times New Roman" w:cs="Times New Roman"/>
          <w:b/>
          <w:bCs/>
        </w:rPr>
      </w:pPr>
    </w:p>
    <w:p w14:paraId="0DF3223C" w14:textId="77777777" w:rsidR="00B92D59" w:rsidRDefault="00B92D59" w:rsidP="00680D07">
      <w:pPr>
        <w:spacing w:after="0" w:line="276" w:lineRule="auto"/>
        <w:rPr>
          <w:rFonts w:ascii="Times New Roman" w:hAnsi="Times New Roman" w:cs="Times New Roman"/>
        </w:rPr>
      </w:pPr>
    </w:p>
    <w:p w14:paraId="7A83A204" w14:textId="77777777" w:rsidR="00B92D59" w:rsidRDefault="00B92D59" w:rsidP="00680D07">
      <w:pPr>
        <w:spacing w:after="0" w:line="276" w:lineRule="auto"/>
        <w:rPr>
          <w:rFonts w:ascii="Times New Roman" w:hAnsi="Times New Roman" w:cs="Times New Roman"/>
        </w:rPr>
      </w:pPr>
    </w:p>
    <w:p w14:paraId="2F0EE4D1" w14:textId="77777777" w:rsidR="00B92D59" w:rsidRDefault="00B92D59" w:rsidP="00680D07">
      <w:pPr>
        <w:spacing w:after="0" w:line="276" w:lineRule="auto"/>
        <w:rPr>
          <w:rFonts w:ascii="Times New Roman" w:hAnsi="Times New Roman" w:cs="Times New Roman"/>
        </w:rPr>
      </w:pPr>
    </w:p>
    <w:p w14:paraId="1554F71C" w14:textId="77777777" w:rsidR="00B92D59" w:rsidRDefault="00B92D59" w:rsidP="00680D07">
      <w:pPr>
        <w:spacing w:after="0" w:line="276" w:lineRule="auto"/>
        <w:rPr>
          <w:rFonts w:ascii="Times New Roman" w:hAnsi="Times New Roman" w:cs="Times New Roman"/>
        </w:rPr>
      </w:pPr>
    </w:p>
    <w:p w14:paraId="3937855C" w14:textId="77777777" w:rsidR="00B92D59" w:rsidRDefault="00B92D59" w:rsidP="00680D07">
      <w:pPr>
        <w:spacing w:after="0" w:line="276" w:lineRule="auto"/>
        <w:rPr>
          <w:rFonts w:ascii="Times New Roman" w:hAnsi="Times New Roman" w:cs="Times New Roman"/>
        </w:rPr>
      </w:pPr>
    </w:p>
    <w:p w14:paraId="0C5704AC" w14:textId="77777777" w:rsidR="00B92D59" w:rsidRDefault="00B92D59" w:rsidP="00680D07">
      <w:pPr>
        <w:spacing w:after="0" w:line="276" w:lineRule="auto"/>
        <w:rPr>
          <w:rFonts w:ascii="Times New Roman" w:hAnsi="Times New Roman" w:cs="Times New Roman"/>
        </w:rPr>
      </w:pPr>
    </w:p>
    <w:p w14:paraId="1793119D" w14:textId="77777777" w:rsidR="00B92D59" w:rsidRDefault="00B92D59" w:rsidP="00680D07">
      <w:pPr>
        <w:spacing w:after="0" w:line="276" w:lineRule="auto"/>
        <w:rPr>
          <w:rFonts w:ascii="Times New Roman" w:hAnsi="Times New Roman" w:cs="Times New Roman"/>
        </w:rPr>
      </w:pPr>
    </w:p>
    <w:p w14:paraId="1C8EEDE7" w14:textId="77777777" w:rsidR="00B92D59" w:rsidRDefault="00B92D59" w:rsidP="00680D07">
      <w:pPr>
        <w:spacing w:after="0" w:line="276" w:lineRule="auto"/>
        <w:rPr>
          <w:rFonts w:ascii="Times New Roman" w:hAnsi="Times New Roman" w:cs="Times New Roman"/>
        </w:rPr>
      </w:pPr>
    </w:p>
    <w:p w14:paraId="4A281E86" w14:textId="77777777" w:rsidR="00B92D59" w:rsidRDefault="00B92D59" w:rsidP="00680D07">
      <w:pPr>
        <w:spacing w:after="0" w:line="276" w:lineRule="auto"/>
        <w:rPr>
          <w:rFonts w:ascii="Times New Roman" w:hAnsi="Times New Roman" w:cs="Times New Roman"/>
        </w:rPr>
      </w:pPr>
    </w:p>
    <w:p w14:paraId="13CD0B8F" w14:textId="77777777" w:rsidR="00B92D59" w:rsidRDefault="00B92D59" w:rsidP="00680D07">
      <w:pPr>
        <w:spacing w:after="0" w:line="276" w:lineRule="auto"/>
        <w:rPr>
          <w:rFonts w:ascii="Times New Roman" w:hAnsi="Times New Roman" w:cs="Times New Roman"/>
        </w:rPr>
      </w:pPr>
    </w:p>
    <w:p w14:paraId="29C512CB" w14:textId="77777777" w:rsidR="00B92D59" w:rsidRDefault="00B92D59" w:rsidP="00680D07">
      <w:pPr>
        <w:spacing w:after="0" w:line="276" w:lineRule="auto"/>
        <w:rPr>
          <w:rFonts w:ascii="Times New Roman" w:hAnsi="Times New Roman" w:cs="Times New Roman"/>
        </w:rPr>
      </w:pPr>
    </w:p>
    <w:p w14:paraId="1C6C72B2" w14:textId="77777777" w:rsidR="00B92D59" w:rsidRDefault="00B92D59" w:rsidP="00680D07">
      <w:pPr>
        <w:spacing w:after="0" w:line="276" w:lineRule="auto"/>
        <w:rPr>
          <w:rFonts w:ascii="Times New Roman" w:hAnsi="Times New Roman" w:cs="Times New Roman"/>
        </w:rPr>
      </w:pPr>
    </w:p>
    <w:p w14:paraId="41232AEA" w14:textId="77777777" w:rsidR="00B92D59" w:rsidRDefault="00B92D59" w:rsidP="00680D07">
      <w:pPr>
        <w:spacing w:after="0" w:line="276" w:lineRule="auto"/>
        <w:rPr>
          <w:rFonts w:ascii="Times New Roman" w:hAnsi="Times New Roman" w:cs="Times New Roman"/>
        </w:rPr>
      </w:pPr>
    </w:p>
    <w:p w14:paraId="0606D401" w14:textId="77777777" w:rsidR="00B92D59" w:rsidRDefault="00B92D59" w:rsidP="00680D07">
      <w:pPr>
        <w:spacing w:after="0" w:line="276" w:lineRule="auto"/>
        <w:rPr>
          <w:rFonts w:ascii="Times New Roman" w:hAnsi="Times New Roman" w:cs="Times New Roman"/>
        </w:rPr>
      </w:pPr>
    </w:p>
    <w:p w14:paraId="47DA5F31" w14:textId="77777777" w:rsidR="00B92D59" w:rsidRDefault="00B92D59" w:rsidP="00680D07">
      <w:pPr>
        <w:spacing w:after="0" w:line="276" w:lineRule="auto"/>
        <w:rPr>
          <w:rFonts w:ascii="Times New Roman" w:hAnsi="Times New Roman" w:cs="Times New Roman"/>
        </w:rPr>
      </w:pPr>
    </w:p>
    <w:p w14:paraId="76137555" w14:textId="77777777" w:rsidR="00B92D59" w:rsidRDefault="00B92D59" w:rsidP="00680D07">
      <w:pPr>
        <w:spacing w:after="0" w:line="276" w:lineRule="auto"/>
        <w:rPr>
          <w:rFonts w:ascii="Times New Roman" w:hAnsi="Times New Roman" w:cs="Times New Roman"/>
        </w:rPr>
      </w:pPr>
    </w:p>
    <w:p w14:paraId="1FEF221B" w14:textId="77777777" w:rsidR="00B92D59" w:rsidRDefault="00B92D59" w:rsidP="00680D07">
      <w:pPr>
        <w:spacing w:after="0" w:line="276" w:lineRule="auto"/>
        <w:rPr>
          <w:rFonts w:ascii="Times New Roman" w:hAnsi="Times New Roman" w:cs="Times New Roman"/>
        </w:rPr>
      </w:pPr>
    </w:p>
    <w:p w14:paraId="2BF37D7B" w14:textId="638928CD" w:rsidR="002C121A" w:rsidRPr="00B92D59" w:rsidRDefault="00B92D59" w:rsidP="00680D07">
      <w:pPr>
        <w:spacing w:after="0" w:line="276" w:lineRule="auto"/>
        <w:rPr>
          <w:rFonts w:ascii="Times New Roman" w:hAnsi="Times New Roman" w:cs="Times New Roman"/>
          <w:b/>
          <w:bCs/>
        </w:rPr>
      </w:pPr>
      <w:r w:rsidRPr="00B92D59">
        <w:rPr>
          <w:rFonts w:ascii="Times New Roman" w:hAnsi="Times New Roman" w:cs="Times New Roman"/>
          <w:b/>
          <w:bCs/>
        </w:rPr>
        <w:t>ABSTRACT</w:t>
      </w:r>
    </w:p>
    <w:p w14:paraId="1E0F681E"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b/>
          <w:bCs/>
        </w:rPr>
        <w:t>Background</w:t>
      </w:r>
    </w:p>
    <w:p w14:paraId="501A19B2" w14:textId="27CC9976"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Polytrauma patients undergoing combined abdominal and orthopaedic surgery experience compounded physiological stress characterised by systemic inflammation, endothelial dysfunction, hypermetabolism, and immune dysregulation. These biological processes increase the risk of pulmonary complications, infection, venous thromboembolism, and multiple organ dysfunction. Mortality disparities between trauma systems are strongly associated with workforce density, ICU capacity, time-to-intervention, and rescue capability rather than injury burden alone.</w:t>
      </w:r>
    </w:p>
    <w:p w14:paraId="1458907E"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b/>
          <w:bCs/>
        </w:rPr>
        <w:t>Objective</w:t>
      </w:r>
    </w:p>
    <w:p w14:paraId="24ABE88C"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To synthesise current evidence and propose a physiology-driven, tiered framework for postoperative recovery optimisation in polytrauma surgery, with particular emphasis on quantitative thresholds and feasibility within resource-constrained trauma systems.</w:t>
      </w:r>
    </w:p>
    <w:p w14:paraId="7205143B"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b/>
          <w:bCs/>
        </w:rPr>
        <w:t>Methods</w:t>
      </w:r>
    </w:p>
    <w:p w14:paraId="47E5FF50" w14:textId="3D6F56F4"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A structured narrative synthesis was conducted integrating epidemiological data, trauma pathophysiology, orthopaedic fixation timing studies, perioperative fluid and nutritional strategies, infection prevention evidence, and system-level implementation research. Interventions were categorised into Tier 1 (high-impact, low-resource), Tier 2 (structured compliance strategies), and Tier 3 (advanced system-dependent measures).</w:t>
      </w:r>
    </w:p>
    <w:p w14:paraId="5D807ED8"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b/>
          <w:bCs/>
        </w:rPr>
        <w:t>Results</w:t>
      </w:r>
    </w:p>
    <w:p w14:paraId="258F1C0E" w14:textId="521745D3"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 xml:space="preserve">Trauma mortality and morbidity vary up to 2–5-fold across systems, correlating with surgeon density (&lt;2 vs &gt;35 per 100,000 population), ICU capacity (&lt;1 vs &gt;20 beds per 100,000), and time-to-laparotomy thresholds </w:t>
      </w:r>
      <w:r w:rsidRPr="002C121A">
        <w:rPr>
          <w:rFonts w:ascii="Times New Roman" w:hAnsi="Times New Roman" w:cs="Times New Roman"/>
        </w:rPr>
        <w:lastRenderedPageBreak/>
        <w:t xml:space="preserve">(&gt;3 hours associated with increased mortality. Biological amplifiers—including cytokine surge, endothelial injury, </w:t>
      </w:r>
      <w:proofErr w:type="spellStart"/>
      <w:r w:rsidRPr="002C121A">
        <w:rPr>
          <w:rFonts w:ascii="Times New Roman" w:hAnsi="Times New Roman" w:cs="Times New Roman"/>
        </w:rPr>
        <w:t>hypercatabolism</w:t>
      </w:r>
      <w:proofErr w:type="spellEnd"/>
      <w:r w:rsidRPr="002C121A">
        <w:rPr>
          <w:rFonts w:ascii="Times New Roman" w:hAnsi="Times New Roman" w:cs="Times New Roman"/>
        </w:rPr>
        <w:t>, and pulmonary vulnerability—interact with surgical timing decisions, particularly fracture fixation strategy. Early enteral nutrition reduces septic complications by approximately 30–40%, restrictive fluid strategies reduce overall complications by 20–30%, early fixation in stable patients lowers pulmonary complications by 20–30%, and structured compliance programs demonstrate 20–35% relative mortality reduction in trauma system implementation studies.</w:t>
      </w:r>
    </w:p>
    <w:p w14:paraId="7E341B06"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b/>
          <w:bCs/>
        </w:rPr>
        <w:t>Conclusion</w:t>
      </w:r>
    </w:p>
    <w:p w14:paraId="2FFDC27F"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Recovery in polytrauma is not determined solely by operative technique but by the coordination of physiologic timing, metabolic support, infection control, and system-level responsiveness. A quantified, phased recovery framework offers a practical model adaptable to both mature and resource-limited trauma systems.</w:t>
      </w:r>
    </w:p>
    <w:p w14:paraId="04083558" w14:textId="77777777" w:rsidR="002C121A" w:rsidRPr="00680D07" w:rsidRDefault="002C121A" w:rsidP="00680D07">
      <w:pPr>
        <w:spacing w:after="0" w:line="276" w:lineRule="auto"/>
        <w:rPr>
          <w:rFonts w:ascii="Times New Roman" w:hAnsi="Times New Roman" w:cs="Times New Roman"/>
        </w:rPr>
      </w:pPr>
    </w:p>
    <w:p w14:paraId="50EBC5A5" w14:textId="77777777" w:rsidR="00680D07" w:rsidRDefault="00680D07" w:rsidP="00680D07">
      <w:pPr>
        <w:spacing w:after="0" w:line="276" w:lineRule="auto"/>
        <w:rPr>
          <w:rFonts w:ascii="Times New Roman" w:hAnsi="Times New Roman" w:cs="Times New Roman"/>
          <w:b/>
          <w:bCs/>
        </w:rPr>
      </w:pPr>
    </w:p>
    <w:p w14:paraId="22BE60F9" w14:textId="6023435D" w:rsidR="00680D07" w:rsidRDefault="00B92D59" w:rsidP="00680D07">
      <w:pPr>
        <w:spacing w:after="0" w:line="276" w:lineRule="auto"/>
        <w:rPr>
          <w:rFonts w:ascii="Times New Roman" w:hAnsi="Times New Roman" w:cs="Times New Roman"/>
          <w:b/>
          <w:bCs/>
        </w:rPr>
      </w:pPr>
      <w:r w:rsidRPr="00B92D59">
        <w:rPr>
          <w:rFonts w:ascii="Times New Roman" w:hAnsi="Times New Roman" w:cs="Times New Roman"/>
          <w:b/>
          <w:bCs/>
        </w:rPr>
        <w:t>Keywords: Polytrauma; Orthopaedic trauma; Emergency laparotomy; Damage control orthopaedics; Enhanced recovery; Trauma systems; Resource-constrained care</w:t>
      </w:r>
    </w:p>
    <w:p w14:paraId="712F7106" w14:textId="77777777" w:rsidR="00B92D59" w:rsidRDefault="00B92D59" w:rsidP="00680D07">
      <w:pPr>
        <w:spacing w:after="0" w:line="276" w:lineRule="auto"/>
        <w:rPr>
          <w:rFonts w:ascii="Times New Roman" w:hAnsi="Times New Roman" w:cs="Times New Roman"/>
          <w:b/>
          <w:bCs/>
        </w:rPr>
      </w:pPr>
    </w:p>
    <w:p w14:paraId="318BB8B3" w14:textId="77777777" w:rsidR="00B92D59" w:rsidRDefault="00B92D59" w:rsidP="00680D07">
      <w:pPr>
        <w:spacing w:after="0" w:line="276" w:lineRule="auto"/>
        <w:rPr>
          <w:rFonts w:ascii="Times New Roman" w:hAnsi="Times New Roman" w:cs="Times New Roman"/>
          <w:b/>
          <w:bCs/>
        </w:rPr>
      </w:pPr>
    </w:p>
    <w:p w14:paraId="2F8BC2C4" w14:textId="77777777" w:rsidR="00B92D59" w:rsidRDefault="00B92D59" w:rsidP="00680D07">
      <w:pPr>
        <w:spacing w:after="0" w:line="276" w:lineRule="auto"/>
        <w:rPr>
          <w:rFonts w:ascii="Times New Roman" w:hAnsi="Times New Roman" w:cs="Times New Roman"/>
          <w:b/>
          <w:bCs/>
        </w:rPr>
      </w:pPr>
    </w:p>
    <w:p w14:paraId="609F5F2B" w14:textId="77777777" w:rsidR="00680D07" w:rsidRDefault="00680D07" w:rsidP="00680D07">
      <w:pPr>
        <w:spacing w:after="0" w:line="276" w:lineRule="auto"/>
        <w:rPr>
          <w:rFonts w:ascii="Times New Roman" w:hAnsi="Times New Roman" w:cs="Times New Roman"/>
          <w:b/>
          <w:bCs/>
        </w:rPr>
      </w:pPr>
    </w:p>
    <w:p w14:paraId="3A725DE5" w14:textId="77777777" w:rsidR="00680D07" w:rsidRDefault="00680D07" w:rsidP="00680D07">
      <w:pPr>
        <w:spacing w:after="0" w:line="276" w:lineRule="auto"/>
        <w:rPr>
          <w:rFonts w:ascii="Times New Roman" w:hAnsi="Times New Roman" w:cs="Times New Roman"/>
          <w:b/>
          <w:bCs/>
        </w:rPr>
      </w:pPr>
    </w:p>
    <w:p w14:paraId="30AAACB8" w14:textId="77777777" w:rsidR="00680D07" w:rsidRDefault="00680D07" w:rsidP="00680D07">
      <w:pPr>
        <w:spacing w:after="0" w:line="276" w:lineRule="auto"/>
        <w:rPr>
          <w:rFonts w:ascii="Times New Roman" w:hAnsi="Times New Roman" w:cs="Times New Roman"/>
          <w:b/>
          <w:bCs/>
        </w:rPr>
      </w:pPr>
    </w:p>
    <w:p w14:paraId="18902640" w14:textId="5088F1A2" w:rsidR="002C121A" w:rsidRPr="002C121A" w:rsidRDefault="002C121A" w:rsidP="00680D07">
      <w:pPr>
        <w:spacing w:after="0" w:line="276" w:lineRule="auto"/>
        <w:jc w:val="center"/>
        <w:rPr>
          <w:rFonts w:ascii="Times New Roman" w:hAnsi="Times New Roman" w:cs="Times New Roman"/>
          <w:b/>
          <w:bCs/>
        </w:rPr>
      </w:pPr>
      <w:r w:rsidRPr="002C121A">
        <w:rPr>
          <w:rFonts w:ascii="Times New Roman" w:hAnsi="Times New Roman" w:cs="Times New Roman"/>
          <w:b/>
          <w:bCs/>
        </w:rPr>
        <w:t>INTRODUCTION</w:t>
      </w:r>
    </w:p>
    <w:p w14:paraId="6D183173" w14:textId="61DE878B" w:rsidR="002C121A" w:rsidRPr="002C121A" w:rsidRDefault="002C121A" w:rsidP="00680D07">
      <w:pPr>
        <w:spacing w:after="0" w:line="276" w:lineRule="auto"/>
        <w:rPr>
          <w:rFonts w:ascii="Times New Roman" w:hAnsi="Times New Roman" w:cs="Times New Roman"/>
        </w:rPr>
      </w:pPr>
    </w:p>
    <w:p w14:paraId="542DFE90"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Trauma remains one of the leading causes of death and long-term disability worldwide, particularly among individuals younger than 45 years [76]. Global estimates suggest approximately 4.5 million injury-related deaths annually, with a substantial proportion occurring in low- and middle-income countries (LMICs) [76,77]. Beyond mortality, trauma contributes disproportionately to disability-adjusted life years, reflecting both survivorship and functional decline.</w:t>
      </w:r>
    </w:p>
    <w:p w14:paraId="008E3946" w14:textId="77777777" w:rsidR="00680D07" w:rsidRPr="002C121A" w:rsidRDefault="00680D07" w:rsidP="00680D07">
      <w:pPr>
        <w:spacing w:after="0" w:line="276" w:lineRule="auto"/>
        <w:rPr>
          <w:rFonts w:ascii="Times New Roman" w:hAnsi="Times New Roman" w:cs="Times New Roman"/>
        </w:rPr>
      </w:pPr>
    </w:p>
    <w:p w14:paraId="038BC8D6"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 xml:space="preserve">Polytrauma patients requiring combined abdominal and orthopaedic interventions represent a uniquely vulnerable subgroup. Emergency laparotomy for </w:t>
      </w:r>
      <w:proofErr w:type="spellStart"/>
      <w:r w:rsidRPr="002C121A">
        <w:rPr>
          <w:rFonts w:ascii="Times New Roman" w:hAnsi="Times New Roman" w:cs="Times New Roman"/>
        </w:rPr>
        <w:t>hemorrhage</w:t>
      </w:r>
      <w:proofErr w:type="spellEnd"/>
      <w:r w:rsidRPr="002C121A">
        <w:rPr>
          <w:rFonts w:ascii="Times New Roman" w:hAnsi="Times New Roman" w:cs="Times New Roman"/>
        </w:rPr>
        <w:t xml:space="preserve"> or contamination often coincides with long-bone fractures, pelvic instability, or spinal injury. These injuries do not act independently. Instead, they interact through shared physiological pathways that amplify systemic stress.</w:t>
      </w:r>
    </w:p>
    <w:p w14:paraId="58036368" w14:textId="77777777" w:rsidR="00680D07" w:rsidRPr="002C121A" w:rsidRDefault="00680D07" w:rsidP="00680D07">
      <w:pPr>
        <w:spacing w:after="0" w:line="276" w:lineRule="auto"/>
        <w:rPr>
          <w:rFonts w:ascii="Times New Roman" w:hAnsi="Times New Roman" w:cs="Times New Roman"/>
        </w:rPr>
      </w:pPr>
    </w:p>
    <w:p w14:paraId="24A46A26"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The biological response to severe trauma involves early cytokine surge, endothelial glycocalyx disruption, coagulopathy, and sustained hypermetabolism [54–58]. In parallel, surgical intervention itself may intensify inflammatory signalling, particularly when undertaken during unstable physiological states—a phenomenon often described as the “second-hit” effect [26,45]. When poorly timed, definitive fracture fixation or prolonged operative exposure may contribute to acute respiratory distress syndrome (ARDS) and multiple organ failure (MOF), which account for up to 20–30% of late trauma deaths [61].</w:t>
      </w:r>
    </w:p>
    <w:p w14:paraId="243FB89C" w14:textId="77777777" w:rsidR="00680D07" w:rsidRPr="002C121A" w:rsidRDefault="00680D07" w:rsidP="00680D07">
      <w:pPr>
        <w:spacing w:after="0" w:line="276" w:lineRule="auto"/>
        <w:rPr>
          <w:rFonts w:ascii="Times New Roman" w:hAnsi="Times New Roman" w:cs="Times New Roman"/>
        </w:rPr>
      </w:pPr>
    </w:p>
    <w:p w14:paraId="5288F451" w14:textId="5B02E723"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 xml:space="preserve">Importantly, </w:t>
      </w:r>
      <w:r w:rsidR="00127A04" w:rsidRPr="00127A04">
        <w:rPr>
          <w:rFonts w:ascii="Times New Roman" w:hAnsi="Times New Roman" w:cs="Times New Roman"/>
        </w:rPr>
        <w:t>mortality variation across trauma systems often reflects differences beyond injury severity alone</w:t>
      </w:r>
      <w:r w:rsidR="00127A04">
        <w:rPr>
          <w:rFonts w:ascii="Times New Roman" w:hAnsi="Times New Roman" w:cs="Times New Roman"/>
        </w:rPr>
        <w:t xml:space="preserve">. </w:t>
      </w:r>
      <w:r w:rsidRPr="002C121A">
        <w:rPr>
          <w:rFonts w:ascii="Times New Roman" w:hAnsi="Times New Roman" w:cs="Times New Roman"/>
        </w:rPr>
        <w:t xml:space="preserve">Surgeon density may vary from fewer than 2 per 100,000 population in some LMIC regions to more than 35 per 100,000 in high-income settings [101]. ICU capacity ranges from fewer than 1 bed per 100,000 population to more than 20 per 100,000 [102]. Ventilator availability shows similar disparity [103]. Time-to-laparotomy exceeding three hours has been associated with increased mortality in </w:t>
      </w:r>
      <w:proofErr w:type="spellStart"/>
      <w:r w:rsidRPr="002C121A">
        <w:rPr>
          <w:rFonts w:ascii="Times New Roman" w:hAnsi="Times New Roman" w:cs="Times New Roman"/>
        </w:rPr>
        <w:t>hemorrhagic</w:t>
      </w:r>
      <w:proofErr w:type="spellEnd"/>
      <w:r w:rsidRPr="002C121A">
        <w:rPr>
          <w:rFonts w:ascii="Times New Roman" w:hAnsi="Times New Roman" w:cs="Times New Roman"/>
        </w:rPr>
        <w:t xml:space="preserve"> trauma [105], and preventable death rates may be two to three times higher in less mature trauma systems [110].</w:t>
      </w:r>
    </w:p>
    <w:p w14:paraId="1CA8EC99" w14:textId="77777777" w:rsidR="00680D07" w:rsidRPr="002C121A" w:rsidRDefault="00680D07" w:rsidP="00680D07">
      <w:pPr>
        <w:spacing w:after="0" w:line="276" w:lineRule="auto"/>
        <w:rPr>
          <w:rFonts w:ascii="Times New Roman" w:hAnsi="Times New Roman" w:cs="Times New Roman"/>
        </w:rPr>
      </w:pPr>
    </w:p>
    <w:p w14:paraId="6B11B053"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lastRenderedPageBreak/>
        <w:t>These disparities highlight a central point: survival after polytrauma depends not only on initial resuscitation, but on coordinated postoperative recovery. Yet recovery strategies are often developed in discipline-specific silos. Orthopaedic literature focuses on timing of fixation [31,38], while abdominal surgery literature emphasises infection control and early feeding [1,14]. Critical care research addresses ARDS and organ support [107,108]. Rarely are these domains integrated into a unified recovery framework.</w:t>
      </w:r>
    </w:p>
    <w:p w14:paraId="0D8445F3" w14:textId="77777777" w:rsidR="00680D07" w:rsidRPr="002C121A" w:rsidRDefault="00680D07" w:rsidP="00680D07">
      <w:pPr>
        <w:spacing w:after="0" w:line="276" w:lineRule="auto"/>
        <w:rPr>
          <w:rFonts w:ascii="Times New Roman" w:hAnsi="Times New Roman" w:cs="Times New Roman"/>
        </w:rPr>
      </w:pPr>
    </w:p>
    <w:p w14:paraId="20A64562"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 xml:space="preserve">This separation is clinically consequential. Fluid overload may impair bowel recovery while simultaneously increasing limb compartment pressures [62,98]. </w:t>
      </w:r>
      <w:proofErr w:type="spellStart"/>
      <w:r w:rsidRPr="002C121A">
        <w:rPr>
          <w:rFonts w:ascii="Times New Roman" w:hAnsi="Times New Roman" w:cs="Times New Roman"/>
        </w:rPr>
        <w:t>Hypercatabolism</w:t>
      </w:r>
      <w:proofErr w:type="spellEnd"/>
      <w:r w:rsidRPr="002C121A">
        <w:rPr>
          <w:rFonts w:ascii="Times New Roman" w:hAnsi="Times New Roman" w:cs="Times New Roman"/>
        </w:rPr>
        <w:t xml:space="preserve"> delays both wound healing and fracture union [67–69]. Delayed mobilisation increases pulmonary and thromboembolic risk in patients whose fractures are not stabilised appropriately [72,100]. Infection risk spans both contaminated laparotomy and implant-associated fracture fixation [35,95].</w:t>
      </w:r>
    </w:p>
    <w:p w14:paraId="066DA487" w14:textId="77777777" w:rsidR="00680D07" w:rsidRPr="002C121A" w:rsidRDefault="00680D07" w:rsidP="00680D07">
      <w:pPr>
        <w:spacing w:after="0" w:line="276" w:lineRule="auto"/>
        <w:rPr>
          <w:rFonts w:ascii="Times New Roman" w:hAnsi="Times New Roman" w:cs="Times New Roman"/>
        </w:rPr>
      </w:pPr>
    </w:p>
    <w:p w14:paraId="25C0835D" w14:textId="2C0CBA54"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Enhanced recovery after surgery (ERAS) pathways have demonstrated improved outcomes in elective surgical populations [93,94], but direct translation to unstable trauma patients is neither straightforward nor universally feasible. In resource-constrained systems, comprehensive pathway implementation may be limited by workforce, infrastructure, and monitoring capacity [77,80].</w:t>
      </w:r>
      <w:r w:rsidR="003014FE" w:rsidRPr="003014FE">
        <w:t xml:space="preserve"> </w:t>
      </w:r>
      <w:r w:rsidR="003014FE" w:rsidRPr="003014FE">
        <w:rPr>
          <w:rFonts w:ascii="Times New Roman" w:hAnsi="Times New Roman" w:cs="Times New Roman"/>
        </w:rPr>
        <w:t>Several principles proposed in this framework parallel elements of enhanced recovery after surgery (ERAS) programmes, although their application in polytrauma requires physiological adaptation.</w:t>
      </w:r>
    </w:p>
    <w:p w14:paraId="3560E54C" w14:textId="77777777" w:rsidR="00680D07" w:rsidRPr="002C121A" w:rsidRDefault="00680D07" w:rsidP="00680D07">
      <w:pPr>
        <w:spacing w:after="0" w:line="276" w:lineRule="auto"/>
        <w:rPr>
          <w:rFonts w:ascii="Times New Roman" w:hAnsi="Times New Roman" w:cs="Times New Roman"/>
        </w:rPr>
      </w:pPr>
    </w:p>
    <w:p w14:paraId="657C5A8E" w14:textId="5F7893CB"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A pragmatic approach is therefore required—one that prioritises physiologically meaningful interventions, aligns orthopaedic and abdominal decision-making, and acknowledges system maturity. The aim of this review is to synthesise quantitative evidence across trauma epidemiology, pathophysiology, fixation timing, perioperative optimisation, and implementation science to propose a tiered recovery framework applicable across diverse trauma systems.</w:t>
      </w:r>
      <w:r w:rsidR="000E7753">
        <w:rPr>
          <w:rFonts w:ascii="Times New Roman" w:hAnsi="Times New Roman" w:cs="Times New Roman"/>
        </w:rPr>
        <w:t xml:space="preserve"> </w:t>
      </w:r>
      <w:r w:rsidR="000E7753" w:rsidRPr="000E7753">
        <w:rPr>
          <w:rFonts w:ascii="Times New Roman" w:hAnsi="Times New Roman" w:cs="Times New Roman"/>
        </w:rPr>
        <w:t>Although this review incorporates global trauma literature, the proposed recovery framework is particularly relevant to mature trauma networks such as those established across many European countries. Structured trauma systems, multidisciplinary decision-making, and registry-driven quality improvement provide an environment in which coordinated postoperative recovery strategies can be implemented consistently. Within such systems, aligning orthopaedic fixation timing, metabolic support, infection prevention, and early mobilisation may offer additional gains beyond initial resuscitation alone. The framework presented here therefore complements existing European trauma system models by emphasising physiological recovery as a shared responsibility across surgical and critical care teams.</w:t>
      </w:r>
      <w:r w:rsidR="002C2A22">
        <w:rPr>
          <w:rFonts w:ascii="Times New Roman" w:hAnsi="Times New Roman" w:cs="Times New Roman"/>
        </w:rPr>
        <w:t xml:space="preserve"> </w:t>
      </w:r>
      <w:r w:rsidR="002C2A22" w:rsidRPr="002C2A22">
        <w:rPr>
          <w:rFonts w:ascii="Times New Roman" w:hAnsi="Times New Roman" w:cs="Times New Roman"/>
        </w:rPr>
        <w:t>This review aims to provide a clinically applicable synthesis relevant to contemporary trauma systems.</w:t>
      </w:r>
    </w:p>
    <w:p w14:paraId="6A1F041D" w14:textId="77777777" w:rsidR="002C121A" w:rsidRPr="00680D07" w:rsidRDefault="002C121A" w:rsidP="00680D07">
      <w:pPr>
        <w:spacing w:after="0" w:line="276" w:lineRule="auto"/>
        <w:rPr>
          <w:rFonts w:ascii="Times New Roman" w:hAnsi="Times New Roman" w:cs="Times New Roman"/>
        </w:rPr>
      </w:pPr>
    </w:p>
    <w:p w14:paraId="10B5C1C6" w14:textId="77777777" w:rsidR="002C121A" w:rsidRPr="00680D07" w:rsidRDefault="002C121A" w:rsidP="00680D07">
      <w:pPr>
        <w:spacing w:after="0" w:line="276" w:lineRule="auto"/>
        <w:rPr>
          <w:rFonts w:ascii="Times New Roman" w:hAnsi="Times New Roman" w:cs="Times New Roman"/>
        </w:rPr>
      </w:pPr>
    </w:p>
    <w:p w14:paraId="4EC52CB0" w14:textId="77777777" w:rsidR="002C121A" w:rsidRPr="002C121A" w:rsidRDefault="002C121A" w:rsidP="00680D07">
      <w:pPr>
        <w:spacing w:after="0" w:line="276" w:lineRule="auto"/>
        <w:jc w:val="center"/>
        <w:rPr>
          <w:rFonts w:ascii="Times New Roman" w:hAnsi="Times New Roman" w:cs="Times New Roman"/>
          <w:b/>
          <w:bCs/>
        </w:rPr>
      </w:pPr>
      <w:r w:rsidRPr="002C121A">
        <w:rPr>
          <w:rFonts w:ascii="Times New Roman" w:hAnsi="Times New Roman" w:cs="Times New Roman"/>
          <w:b/>
          <w:bCs/>
        </w:rPr>
        <w:t>METHODS</w:t>
      </w:r>
    </w:p>
    <w:p w14:paraId="7D5028F6" w14:textId="25C5FB52" w:rsidR="002C121A" w:rsidRPr="002C121A" w:rsidRDefault="002C121A" w:rsidP="00680D07">
      <w:pPr>
        <w:spacing w:after="0" w:line="276" w:lineRule="auto"/>
        <w:rPr>
          <w:rFonts w:ascii="Times New Roman" w:hAnsi="Times New Roman" w:cs="Times New Roman"/>
        </w:rPr>
      </w:pPr>
    </w:p>
    <w:p w14:paraId="07405B15" w14:textId="77777777"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Conceptual Framework and Literature Synthesis</w:t>
      </w:r>
    </w:p>
    <w:p w14:paraId="4AF2F5E4"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This review was designed as a structured narrative synthesis rather than a formal systematic review or meta-analysis. The objective was conceptual integration across domains that are traditionally examined separately: trauma epidemiology, systemic inflammatory biology, orthopaedic fixation timing, emergency abdominal surgery recovery, and implementation science.</w:t>
      </w:r>
    </w:p>
    <w:p w14:paraId="4481EFF2" w14:textId="77777777" w:rsidR="00680D07" w:rsidRPr="002C121A" w:rsidRDefault="00680D07" w:rsidP="00680D07">
      <w:pPr>
        <w:spacing w:after="0" w:line="276" w:lineRule="auto"/>
        <w:rPr>
          <w:rFonts w:ascii="Times New Roman" w:hAnsi="Times New Roman" w:cs="Times New Roman"/>
        </w:rPr>
      </w:pPr>
    </w:p>
    <w:p w14:paraId="65D00DAF"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Peer-reviewed literature was examined across five principal domains:</w:t>
      </w:r>
    </w:p>
    <w:p w14:paraId="79A9D4F4" w14:textId="77777777" w:rsidR="002C121A" w:rsidRPr="002C121A" w:rsidRDefault="002C121A" w:rsidP="00680D07">
      <w:pPr>
        <w:numPr>
          <w:ilvl w:val="0"/>
          <w:numId w:val="2"/>
        </w:numPr>
        <w:spacing w:after="0" w:line="276" w:lineRule="auto"/>
        <w:rPr>
          <w:rFonts w:ascii="Times New Roman" w:hAnsi="Times New Roman" w:cs="Times New Roman"/>
        </w:rPr>
      </w:pPr>
      <w:r w:rsidRPr="002C121A">
        <w:rPr>
          <w:rFonts w:ascii="Times New Roman" w:hAnsi="Times New Roman" w:cs="Times New Roman"/>
        </w:rPr>
        <w:t>Global trauma burden and system capacity indicators [76–80,101–110]</w:t>
      </w:r>
    </w:p>
    <w:p w14:paraId="035B8171" w14:textId="77777777" w:rsidR="002C121A" w:rsidRPr="002C121A" w:rsidRDefault="002C121A" w:rsidP="00680D07">
      <w:pPr>
        <w:numPr>
          <w:ilvl w:val="0"/>
          <w:numId w:val="2"/>
        </w:numPr>
        <w:spacing w:after="0" w:line="276" w:lineRule="auto"/>
        <w:rPr>
          <w:rFonts w:ascii="Times New Roman" w:hAnsi="Times New Roman" w:cs="Times New Roman"/>
        </w:rPr>
      </w:pPr>
      <w:r w:rsidRPr="002C121A">
        <w:rPr>
          <w:rFonts w:ascii="Times New Roman" w:hAnsi="Times New Roman" w:cs="Times New Roman"/>
        </w:rPr>
        <w:t>Trauma-induced inflammatory and metabolic physiology [54–63]</w:t>
      </w:r>
    </w:p>
    <w:p w14:paraId="688175A2" w14:textId="77777777" w:rsidR="002C121A" w:rsidRPr="002C121A" w:rsidRDefault="002C121A" w:rsidP="00680D07">
      <w:pPr>
        <w:numPr>
          <w:ilvl w:val="0"/>
          <w:numId w:val="2"/>
        </w:numPr>
        <w:spacing w:after="0" w:line="276" w:lineRule="auto"/>
        <w:rPr>
          <w:rFonts w:ascii="Times New Roman" w:hAnsi="Times New Roman" w:cs="Times New Roman"/>
        </w:rPr>
      </w:pPr>
      <w:r w:rsidRPr="002C121A">
        <w:rPr>
          <w:rFonts w:ascii="Times New Roman" w:hAnsi="Times New Roman" w:cs="Times New Roman"/>
        </w:rPr>
        <w:t>Orthopaedic fixation timing and second-hit phenomena [26,31,33,38,45]</w:t>
      </w:r>
    </w:p>
    <w:p w14:paraId="498AC0C9" w14:textId="77777777" w:rsidR="002C121A" w:rsidRPr="002C121A" w:rsidRDefault="002C121A" w:rsidP="00680D07">
      <w:pPr>
        <w:numPr>
          <w:ilvl w:val="0"/>
          <w:numId w:val="2"/>
        </w:numPr>
        <w:spacing w:after="0" w:line="276" w:lineRule="auto"/>
        <w:rPr>
          <w:rFonts w:ascii="Times New Roman" w:hAnsi="Times New Roman" w:cs="Times New Roman"/>
        </w:rPr>
      </w:pPr>
      <w:r w:rsidRPr="002C121A">
        <w:rPr>
          <w:rFonts w:ascii="Times New Roman" w:hAnsi="Times New Roman" w:cs="Times New Roman"/>
        </w:rPr>
        <w:t>Perioperative optimisation strategies including nutrition, fluid management, antimicrobial prophylaxis, and mobilisation [1,14,67–69,72,95,98,99,100]</w:t>
      </w:r>
    </w:p>
    <w:p w14:paraId="6B12BF4D" w14:textId="77777777" w:rsidR="002C121A" w:rsidRDefault="002C121A" w:rsidP="00680D07">
      <w:pPr>
        <w:numPr>
          <w:ilvl w:val="0"/>
          <w:numId w:val="2"/>
        </w:numPr>
        <w:spacing w:after="0" w:line="276" w:lineRule="auto"/>
        <w:rPr>
          <w:rFonts w:ascii="Times New Roman" w:hAnsi="Times New Roman" w:cs="Times New Roman"/>
        </w:rPr>
      </w:pPr>
      <w:r w:rsidRPr="002C121A">
        <w:rPr>
          <w:rFonts w:ascii="Times New Roman" w:hAnsi="Times New Roman" w:cs="Times New Roman"/>
        </w:rPr>
        <w:lastRenderedPageBreak/>
        <w:t>System-level implementation, compliance monitoring, and failure-to-rescue literature [83,89–94,110]</w:t>
      </w:r>
    </w:p>
    <w:p w14:paraId="5136B1B8" w14:textId="77777777" w:rsidR="00680D07" w:rsidRPr="002C121A" w:rsidRDefault="00680D07" w:rsidP="00E71842">
      <w:pPr>
        <w:spacing w:after="0" w:line="276" w:lineRule="auto"/>
        <w:ind w:left="720"/>
        <w:rPr>
          <w:rFonts w:ascii="Times New Roman" w:hAnsi="Times New Roman" w:cs="Times New Roman"/>
        </w:rPr>
      </w:pPr>
    </w:p>
    <w:p w14:paraId="4941D679"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Where available, quantitative effect sizes and incidence ranges were extracted to allow comparison across domains. Emphasis was placed on studies reporting measurable outcomes, including complication rates, mortality reduction, and timing thresholds.</w:t>
      </w:r>
    </w:p>
    <w:p w14:paraId="3061B35F" w14:textId="77777777" w:rsidR="00680D07" w:rsidRPr="002C121A" w:rsidRDefault="00680D07" w:rsidP="00680D07">
      <w:pPr>
        <w:spacing w:after="0" w:line="276" w:lineRule="auto"/>
        <w:rPr>
          <w:rFonts w:ascii="Times New Roman" w:hAnsi="Times New Roman" w:cs="Times New Roman"/>
        </w:rPr>
      </w:pPr>
    </w:p>
    <w:p w14:paraId="7DCDB034"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Because polytrauma populations are heterogeneous and often excluded from tightly controlled elective surgery trials, the evidence base necessarily includes a combination of randomised trials, observational cohort studies, registry analyses, and implementation evaluations. Rather than pooling effect sizes, this review integrates mechanistic reasoning with reported outcome ranges to construct a coherent recovery framework.</w:t>
      </w:r>
    </w:p>
    <w:p w14:paraId="226B4A61" w14:textId="77777777" w:rsidR="00680D07" w:rsidRPr="002C121A" w:rsidRDefault="00680D07" w:rsidP="00680D07">
      <w:pPr>
        <w:spacing w:after="0" w:line="276" w:lineRule="auto"/>
        <w:rPr>
          <w:rFonts w:ascii="Times New Roman" w:hAnsi="Times New Roman" w:cs="Times New Roman"/>
        </w:rPr>
      </w:pPr>
    </w:p>
    <w:p w14:paraId="56EDA955" w14:textId="77777777"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Categorisation of Recovery Strategies</w:t>
      </w:r>
    </w:p>
    <w:p w14:paraId="76861830"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Interventions were grouped into three tiers according to resource requirement and system maturity:</w:t>
      </w:r>
    </w:p>
    <w:p w14:paraId="115AE260" w14:textId="77777777" w:rsidR="002C121A" w:rsidRPr="002C121A" w:rsidRDefault="002C121A" w:rsidP="00680D07">
      <w:pPr>
        <w:numPr>
          <w:ilvl w:val="0"/>
          <w:numId w:val="3"/>
        </w:numPr>
        <w:spacing w:after="0" w:line="276" w:lineRule="auto"/>
        <w:rPr>
          <w:rFonts w:ascii="Times New Roman" w:hAnsi="Times New Roman" w:cs="Times New Roman"/>
        </w:rPr>
      </w:pPr>
      <w:r w:rsidRPr="002C121A">
        <w:rPr>
          <w:rFonts w:ascii="Times New Roman" w:hAnsi="Times New Roman" w:cs="Times New Roman"/>
          <w:b/>
          <w:bCs/>
        </w:rPr>
        <w:t>Tier 1:</w:t>
      </w:r>
      <w:r w:rsidRPr="002C121A">
        <w:rPr>
          <w:rFonts w:ascii="Times New Roman" w:hAnsi="Times New Roman" w:cs="Times New Roman"/>
        </w:rPr>
        <w:t xml:space="preserve"> High-impact, low-resource measures directly targeting physiological amplification.</w:t>
      </w:r>
    </w:p>
    <w:p w14:paraId="66AB36F1" w14:textId="77777777" w:rsidR="002C121A" w:rsidRPr="002C121A" w:rsidRDefault="002C121A" w:rsidP="00680D07">
      <w:pPr>
        <w:numPr>
          <w:ilvl w:val="0"/>
          <w:numId w:val="3"/>
        </w:numPr>
        <w:spacing w:after="0" w:line="276" w:lineRule="auto"/>
        <w:rPr>
          <w:rFonts w:ascii="Times New Roman" w:hAnsi="Times New Roman" w:cs="Times New Roman"/>
        </w:rPr>
      </w:pPr>
      <w:r w:rsidRPr="002C121A">
        <w:rPr>
          <w:rFonts w:ascii="Times New Roman" w:hAnsi="Times New Roman" w:cs="Times New Roman"/>
          <w:b/>
          <w:bCs/>
        </w:rPr>
        <w:t>Tier 2:</w:t>
      </w:r>
      <w:r w:rsidRPr="002C121A">
        <w:rPr>
          <w:rFonts w:ascii="Times New Roman" w:hAnsi="Times New Roman" w:cs="Times New Roman"/>
        </w:rPr>
        <w:t xml:space="preserve"> Structured compliance and monitoring strategies requiring moderate organisational capacity.</w:t>
      </w:r>
    </w:p>
    <w:p w14:paraId="5167B2FC" w14:textId="77777777" w:rsidR="002C121A" w:rsidRDefault="002C121A" w:rsidP="00680D07">
      <w:pPr>
        <w:numPr>
          <w:ilvl w:val="0"/>
          <w:numId w:val="3"/>
        </w:numPr>
        <w:spacing w:after="0" w:line="276" w:lineRule="auto"/>
        <w:rPr>
          <w:rFonts w:ascii="Times New Roman" w:hAnsi="Times New Roman" w:cs="Times New Roman"/>
        </w:rPr>
      </w:pPr>
      <w:r w:rsidRPr="002C121A">
        <w:rPr>
          <w:rFonts w:ascii="Times New Roman" w:hAnsi="Times New Roman" w:cs="Times New Roman"/>
          <w:b/>
          <w:bCs/>
        </w:rPr>
        <w:t>Tier 3:</w:t>
      </w:r>
      <w:r w:rsidRPr="002C121A">
        <w:rPr>
          <w:rFonts w:ascii="Times New Roman" w:hAnsi="Times New Roman" w:cs="Times New Roman"/>
        </w:rPr>
        <w:t xml:space="preserve"> Advanced system-dependent interventions requiring mature governance and critical care infrastructure.</w:t>
      </w:r>
    </w:p>
    <w:p w14:paraId="754F108C" w14:textId="77777777" w:rsidR="00680D07" w:rsidRPr="002C121A" w:rsidRDefault="00680D07" w:rsidP="00680D07">
      <w:pPr>
        <w:spacing w:after="0" w:line="276" w:lineRule="auto"/>
        <w:ind w:left="720"/>
        <w:rPr>
          <w:rFonts w:ascii="Times New Roman" w:hAnsi="Times New Roman" w:cs="Times New Roman"/>
        </w:rPr>
      </w:pPr>
    </w:p>
    <w:p w14:paraId="124A5BEB" w14:textId="1DD3C9F6"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This tiered structure allows adaptation across trauma systems with differing workforce density, ICU availability, and monitoring capability.</w:t>
      </w:r>
      <w:r w:rsidRPr="00680D07">
        <w:rPr>
          <w:rFonts w:ascii="Times New Roman" w:hAnsi="Times New Roman" w:cs="Times New Roman"/>
        </w:rPr>
        <w:t xml:space="preserve"> The novelty of this review lies not in individual interventions, but in quantitative integration across abdominal and orthopaedic domains within a unified, tiered systems framework. Tables are intentionally comprehensive to facilitate institutional benchmarking.</w:t>
      </w:r>
    </w:p>
    <w:p w14:paraId="130879B8" w14:textId="77777777" w:rsidR="002C121A" w:rsidRPr="00680D07" w:rsidRDefault="002C121A" w:rsidP="00680D07">
      <w:pPr>
        <w:spacing w:after="0" w:line="276" w:lineRule="auto"/>
        <w:rPr>
          <w:rFonts w:ascii="Times New Roman" w:hAnsi="Times New Roman" w:cs="Times New Roman"/>
        </w:rPr>
      </w:pPr>
    </w:p>
    <w:p w14:paraId="19B9AF68" w14:textId="77777777" w:rsidR="00680D07" w:rsidRDefault="00680D07" w:rsidP="00680D07">
      <w:pPr>
        <w:spacing w:after="0" w:line="276" w:lineRule="auto"/>
        <w:rPr>
          <w:rFonts w:ascii="Times New Roman" w:hAnsi="Times New Roman" w:cs="Times New Roman"/>
          <w:b/>
          <w:bCs/>
        </w:rPr>
      </w:pPr>
    </w:p>
    <w:p w14:paraId="78B331A7" w14:textId="6C47CE13" w:rsidR="002C121A" w:rsidRPr="002C121A" w:rsidRDefault="002C121A" w:rsidP="00680D07">
      <w:pPr>
        <w:spacing w:after="0" w:line="276" w:lineRule="auto"/>
        <w:rPr>
          <w:rFonts w:ascii="Times New Roman" w:hAnsi="Times New Roman" w:cs="Times New Roman"/>
          <w:b/>
          <w:bCs/>
        </w:rPr>
      </w:pPr>
      <w:r w:rsidRPr="00680D07">
        <w:rPr>
          <w:rFonts w:ascii="Times New Roman" w:hAnsi="Times New Roman" w:cs="Times New Roman"/>
          <w:b/>
          <w:bCs/>
        </w:rPr>
        <w:t>G</w:t>
      </w:r>
      <w:r w:rsidRPr="002C121A">
        <w:rPr>
          <w:rFonts w:ascii="Times New Roman" w:hAnsi="Times New Roman" w:cs="Times New Roman"/>
          <w:b/>
          <w:bCs/>
        </w:rPr>
        <w:t>LOBAL TRAUMA BURDEN AND SYSTEM DISPARITIES</w:t>
      </w:r>
    </w:p>
    <w:p w14:paraId="0D84BD9F" w14:textId="753ACFEE" w:rsidR="002C121A" w:rsidRPr="002C121A" w:rsidRDefault="002C121A" w:rsidP="00680D07">
      <w:pPr>
        <w:spacing w:after="0" w:line="276" w:lineRule="auto"/>
        <w:rPr>
          <w:rFonts w:ascii="Times New Roman" w:hAnsi="Times New Roman" w:cs="Times New Roman"/>
        </w:rPr>
      </w:pPr>
    </w:p>
    <w:p w14:paraId="386B2A3E"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Trauma accounts for approximately 4.5 million deaths annually worldwide and remains a leading cause of mortality in individuals under 45 years of age [76]. In addition to mortality, hundreds of millions sustain non-fatal injuries each year, contributing substantially to global disability burden [76]. However, the distribution of trauma mortality is uneven. More than 90% of injury-related deaths occur in low- and middle-income countries (LMICs) [77].</w:t>
      </w:r>
    </w:p>
    <w:p w14:paraId="04277F83" w14:textId="77777777" w:rsidR="00680D07" w:rsidRPr="002C121A" w:rsidRDefault="00680D07" w:rsidP="00680D07">
      <w:pPr>
        <w:spacing w:after="0" w:line="276" w:lineRule="auto"/>
        <w:rPr>
          <w:rFonts w:ascii="Times New Roman" w:hAnsi="Times New Roman" w:cs="Times New Roman"/>
        </w:rPr>
      </w:pPr>
    </w:p>
    <w:p w14:paraId="0240702F"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The disparity is not explained solely by injury incidence. System-level capacity plays a decisive role. Global surgical workforce analyses demonstrate surgeon densities ranging from fewer than 2 per 100,000 population in many low-income settings to more than 35–40 per 100,000 in high-income countries [101]. Intensive care unit (ICU) capacity may vary by more than twenty-fold, with fewer than 1 ICU bed per 100,000 population in some regions compared with more than 20 per 100,000 in mature trauma systems [102]. Ventilator availability shows similar gradients, often fewer than 5 per million population in low-resource settings versus more than 200 per million in high-income countries [103].</w:t>
      </w:r>
    </w:p>
    <w:p w14:paraId="6D0FCE6B" w14:textId="77777777" w:rsidR="00680D07" w:rsidRPr="002C121A" w:rsidRDefault="00680D07" w:rsidP="00680D07">
      <w:pPr>
        <w:spacing w:after="0" w:line="276" w:lineRule="auto"/>
        <w:rPr>
          <w:rFonts w:ascii="Times New Roman" w:hAnsi="Times New Roman" w:cs="Times New Roman"/>
        </w:rPr>
      </w:pPr>
    </w:p>
    <w:p w14:paraId="7D1C5E83"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 xml:space="preserve">Time-to-intervention further differentiates outcomes. Observational trauma </w:t>
      </w:r>
      <w:proofErr w:type="spellStart"/>
      <w:r w:rsidRPr="002C121A">
        <w:rPr>
          <w:rFonts w:ascii="Times New Roman" w:hAnsi="Times New Roman" w:cs="Times New Roman"/>
        </w:rPr>
        <w:t>center</w:t>
      </w:r>
      <w:proofErr w:type="spellEnd"/>
      <w:r w:rsidRPr="002C121A">
        <w:rPr>
          <w:rFonts w:ascii="Times New Roman" w:hAnsi="Times New Roman" w:cs="Times New Roman"/>
        </w:rPr>
        <w:t xml:space="preserve"> data demonstrate that mortality increases when definitive laparotomy for </w:t>
      </w:r>
      <w:proofErr w:type="spellStart"/>
      <w:r w:rsidRPr="002C121A">
        <w:rPr>
          <w:rFonts w:ascii="Times New Roman" w:hAnsi="Times New Roman" w:cs="Times New Roman"/>
        </w:rPr>
        <w:t>hemorrhage</w:t>
      </w:r>
      <w:proofErr w:type="spellEnd"/>
      <w:r w:rsidRPr="002C121A">
        <w:rPr>
          <w:rFonts w:ascii="Times New Roman" w:hAnsi="Times New Roman" w:cs="Times New Roman"/>
        </w:rPr>
        <w:t xml:space="preserve"> is delayed beyond three hours [105]. In global trauma trials, treatment efficacy for time-sensitive interventions diminishes substantially when delayed beyond similar thresholds [104]. Delays are frequently influenced by prehospital transport limitations, workforce shortages, and operating theatre access constraints [79,85].</w:t>
      </w:r>
    </w:p>
    <w:p w14:paraId="3EFB557B" w14:textId="77777777" w:rsidR="00680D07" w:rsidRPr="002C121A" w:rsidRDefault="00680D07" w:rsidP="00680D07">
      <w:pPr>
        <w:spacing w:after="0" w:line="276" w:lineRule="auto"/>
        <w:rPr>
          <w:rFonts w:ascii="Times New Roman" w:hAnsi="Times New Roman" w:cs="Times New Roman"/>
        </w:rPr>
      </w:pPr>
    </w:p>
    <w:p w14:paraId="4462C493"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Mortality variation across hospitals with comparable complication rates highlights the importance of rescue capacity. Multi-</w:t>
      </w:r>
      <w:proofErr w:type="spellStart"/>
      <w:r w:rsidRPr="002C121A">
        <w:rPr>
          <w:rFonts w:ascii="Times New Roman" w:hAnsi="Times New Roman" w:cs="Times New Roman"/>
        </w:rPr>
        <w:t>center</w:t>
      </w:r>
      <w:proofErr w:type="spellEnd"/>
      <w:r w:rsidRPr="002C121A">
        <w:rPr>
          <w:rFonts w:ascii="Times New Roman" w:hAnsi="Times New Roman" w:cs="Times New Roman"/>
        </w:rPr>
        <w:t xml:space="preserve"> analyses have shown two- to three-fold differences in mortality attributable primarily to </w:t>
      </w:r>
      <w:r w:rsidRPr="002C121A">
        <w:rPr>
          <w:rFonts w:ascii="Times New Roman" w:hAnsi="Times New Roman" w:cs="Times New Roman"/>
        </w:rPr>
        <w:lastRenderedPageBreak/>
        <w:t>variation in failure-to-rescue rather than complication incidence [91]. Preventable death analyses suggest that up to 20–30% of trauma deaths may be avoidable in immature systems, with structured trauma governance associated with measurable reductions over time [110].</w:t>
      </w:r>
    </w:p>
    <w:p w14:paraId="07BD5A6A" w14:textId="77777777" w:rsidR="00680D07" w:rsidRPr="002C121A" w:rsidRDefault="00680D07" w:rsidP="00680D07">
      <w:pPr>
        <w:spacing w:after="0" w:line="276" w:lineRule="auto"/>
        <w:rPr>
          <w:rFonts w:ascii="Times New Roman" w:hAnsi="Times New Roman" w:cs="Times New Roman"/>
        </w:rPr>
      </w:pPr>
    </w:p>
    <w:p w14:paraId="1C1C050F"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 xml:space="preserve">Importantly, structured system implementation in LMIC trauma </w:t>
      </w:r>
      <w:proofErr w:type="spellStart"/>
      <w:r w:rsidRPr="002C121A">
        <w:rPr>
          <w:rFonts w:ascii="Times New Roman" w:hAnsi="Times New Roman" w:cs="Times New Roman"/>
        </w:rPr>
        <w:t>centers</w:t>
      </w:r>
      <w:proofErr w:type="spellEnd"/>
      <w:r w:rsidRPr="002C121A">
        <w:rPr>
          <w:rFonts w:ascii="Times New Roman" w:hAnsi="Times New Roman" w:cs="Times New Roman"/>
        </w:rPr>
        <w:t xml:space="preserve"> has demonstrated relative mortality reductions of 20–35% following introduction of organised trauma pathways and workforce training programs [83,84]. These findings indicate that recovery phase coordination—rather than technological sophistication alone—can materially influence survival.</w:t>
      </w:r>
    </w:p>
    <w:p w14:paraId="3754C5C8" w14:textId="77777777" w:rsidR="00680D07" w:rsidRPr="002C121A" w:rsidRDefault="00680D07" w:rsidP="00680D07">
      <w:pPr>
        <w:spacing w:after="0" w:line="276" w:lineRule="auto"/>
        <w:rPr>
          <w:rFonts w:ascii="Times New Roman" w:hAnsi="Times New Roman" w:cs="Times New Roman"/>
        </w:rPr>
      </w:pPr>
    </w:p>
    <w:p w14:paraId="79FAD920" w14:textId="338DA67F"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Polytrauma outcomes therefore reflect a combination of biological injury severity and system capacity. Workforce density influences fracture fixation timing. ICU capacity determines ability to manage ARDS and organ failure. Monitoring infrastructure shapes early detection of deterioration. Recovery optimisation must therefore be viewed within this broader systems context.</w:t>
      </w:r>
      <w:r w:rsidR="001C0AB6" w:rsidRPr="00680D07">
        <w:rPr>
          <w:rFonts w:ascii="Times New Roman" w:hAnsi="Times New Roman" w:cs="Times New Roman"/>
        </w:rPr>
        <w:t xml:space="preserve"> Table 1. Global Trauma Burden, System Capacity, Treatment Delays, and Recovery-Relevant Disparities</w:t>
      </w:r>
    </w:p>
    <w:p w14:paraId="4FA4D742" w14:textId="77777777" w:rsidR="002C121A" w:rsidRPr="00680D07" w:rsidRDefault="002C121A" w:rsidP="00680D07">
      <w:pPr>
        <w:spacing w:after="0" w:line="276" w:lineRule="auto"/>
        <w:rPr>
          <w:rFonts w:ascii="Times New Roman" w:hAnsi="Times New Roman" w:cs="Times New Roman"/>
        </w:rPr>
      </w:pPr>
    </w:p>
    <w:p w14:paraId="0CFEC094" w14:textId="77777777" w:rsidR="00717547" w:rsidRPr="00680D07" w:rsidRDefault="00717547" w:rsidP="00717547">
      <w:pPr>
        <w:spacing w:after="0" w:line="276" w:lineRule="auto"/>
        <w:rPr>
          <w:rFonts w:ascii="Times New Roman" w:hAnsi="Times New Roman" w:cs="Times New Roman"/>
          <w:b/>
          <w:bCs/>
        </w:rPr>
      </w:pPr>
      <w:r w:rsidRPr="00680D07">
        <w:rPr>
          <w:rFonts w:ascii="Times New Roman" w:hAnsi="Times New Roman" w:cs="Times New Roman"/>
          <w:b/>
          <w:bCs/>
        </w:rPr>
        <w:t xml:space="preserve">TABLE 1 </w:t>
      </w:r>
      <w:r w:rsidRPr="00030269">
        <w:rPr>
          <w:rFonts w:ascii="Times New Roman" w:hAnsi="Times New Roman" w:cs="Times New Roman"/>
          <w:b/>
          <w:bCs/>
        </w:rPr>
        <w:t>Global Trauma Burden, System Capacity Metrics, and Recovery-Relevant Disparities in Polytrauma Care</w:t>
      </w:r>
    </w:p>
    <w:p w14:paraId="242EB7A6" w14:textId="77777777" w:rsidR="00717547" w:rsidRPr="00680D07" w:rsidRDefault="00717547" w:rsidP="00717547">
      <w:pPr>
        <w:spacing w:after="0" w:line="276" w:lineRule="auto"/>
        <w:rPr>
          <w:rFonts w:ascii="Times New Roman" w:hAnsi="Times New Roman" w:cs="Times New Roman"/>
          <w:b/>
          <w:bCs/>
        </w:rPr>
      </w:pPr>
    </w:p>
    <w:tbl>
      <w:tblPr>
        <w:tblStyle w:val="TableGrid"/>
        <w:tblW w:w="0" w:type="auto"/>
        <w:tblLook w:val="04A0" w:firstRow="1" w:lastRow="0" w:firstColumn="1" w:lastColumn="0" w:noHBand="0" w:noVBand="1"/>
      </w:tblPr>
      <w:tblGrid>
        <w:gridCol w:w="792"/>
        <w:gridCol w:w="798"/>
        <w:gridCol w:w="811"/>
        <w:gridCol w:w="716"/>
        <w:gridCol w:w="781"/>
        <w:gridCol w:w="712"/>
        <w:gridCol w:w="732"/>
        <w:gridCol w:w="779"/>
        <w:gridCol w:w="811"/>
        <w:gridCol w:w="811"/>
        <w:gridCol w:w="756"/>
        <w:gridCol w:w="862"/>
        <w:gridCol w:w="375"/>
      </w:tblGrid>
      <w:tr w:rsidR="00717547" w:rsidRPr="00680D07" w14:paraId="6F9A8A7D" w14:textId="77777777" w:rsidTr="00FA527B">
        <w:tc>
          <w:tcPr>
            <w:tcW w:w="0" w:type="auto"/>
            <w:hideMark/>
          </w:tcPr>
          <w:p w14:paraId="2F481287"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Study / Source</w:t>
            </w:r>
          </w:p>
        </w:tc>
        <w:tc>
          <w:tcPr>
            <w:tcW w:w="0" w:type="auto"/>
            <w:hideMark/>
          </w:tcPr>
          <w:p w14:paraId="7AFB99DC"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Setting</w:t>
            </w:r>
          </w:p>
        </w:tc>
        <w:tc>
          <w:tcPr>
            <w:tcW w:w="0" w:type="auto"/>
            <w:hideMark/>
          </w:tcPr>
          <w:p w14:paraId="214A7E71"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Mortality Data</w:t>
            </w:r>
          </w:p>
        </w:tc>
        <w:tc>
          <w:tcPr>
            <w:tcW w:w="0" w:type="auto"/>
            <w:hideMark/>
          </w:tcPr>
          <w:p w14:paraId="41E16FB8"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Surgeon Density (per 100k)</w:t>
            </w:r>
          </w:p>
        </w:tc>
        <w:tc>
          <w:tcPr>
            <w:tcW w:w="0" w:type="auto"/>
            <w:hideMark/>
          </w:tcPr>
          <w:p w14:paraId="0087C84E"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ICU Beds (per 100k)</w:t>
            </w:r>
          </w:p>
        </w:tc>
        <w:tc>
          <w:tcPr>
            <w:tcW w:w="0" w:type="auto"/>
            <w:hideMark/>
          </w:tcPr>
          <w:p w14:paraId="741BFF5F"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Ventilators (per million)</w:t>
            </w:r>
          </w:p>
        </w:tc>
        <w:tc>
          <w:tcPr>
            <w:tcW w:w="0" w:type="auto"/>
            <w:hideMark/>
          </w:tcPr>
          <w:p w14:paraId="7120D1B3"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Prehospital Delay</w:t>
            </w:r>
          </w:p>
        </w:tc>
        <w:tc>
          <w:tcPr>
            <w:tcW w:w="0" w:type="auto"/>
            <w:hideMark/>
          </w:tcPr>
          <w:p w14:paraId="1319C4E1"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Time-to-Laparotomy</w:t>
            </w:r>
          </w:p>
        </w:tc>
        <w:tc>
          <w:tcPr>
            <w:tcW w:w="0" w:type="auto"/>
            <w:hideMark/>
          </w:tcPr>
          <w:p w14:paraId="5EA2A129"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Time-to-Fixation</w:t>
            </w:r>
          </w:p>
        </w:tc>
        <w:tc>
          <w:tcPr>
            <w:tcW w:w="0" w:type="auto"/>
            <w:hideMark/>
          </w:tcPr>
          <w:p w14:paraId="200D8F4B"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ARDS / MOF Incidence</w:t>
            </w:r>
          </w:p>
        </w:tc>
        <w:tc>
          <w:tcPr>
            <w:tcW w:w="0" w:type="auto"/>
            <w:hideMark/>
          </w:tcPr>
          <w:p w14:paraId="433EEB37"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Preventable Death Rate</w:t>
            </w:r>
          </w:p>
        </w:tc>
        <w:tc>
          <w:tcPr>
            <w:tcW w:w="0" w:type="auto"/>
            <w:hideMark/>
          </w:tcPr>
          <w:p w14:paraId="5FD274F2"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Recovery-Relevant Interpretation</w:t>
            </w:r>
          </w:p>
        </w:tc>
        <w:tc>
          <w:tcPr>
            <w:tcW w:w="0" w:type="auto"/>
            <w:hideMark/>
          </w:tcPr>
          <w:p w14:paraId="27DD4B32"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Ref</w:t>
            </w:r>
          </w:p>
        </w:tc>
      </w:tr>
      <w:tr w:rsidR="00717547" w:rsidRPr="00680D07" w14:paraId="442B0CD6" w14:textId="77777777" w:rsidTr="00FA527B">
        <w:tc>
          <w:tcPr>
            <w:tcW w:w="0" w:type="auto"/>
            <w:hideMark/>
          </w:tcPr>
          <w:p w14:paraId="16BFC8A3"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Haagsma et al., 2020</w:t>
            </w:r>
          </w:p>
        </w:tc>
        <w:tc>
          <w:tcPr>
            <w:tcW w:w="0" w:type="auto"/>
            <w:hideMark/>
          </w:tcPr>
          <w:p w14:paraId="5680C5F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Global</w:t>
            </w:r>
          </w:p>
        </w:tc>
        <w:tc>
          <w:tcPr>
            <w:tcW w:w="0" w:type="auto"/>
            <w:hideMark/>
          </w:tcPr>
          <w:p w14:paraId="253884A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~4.5M injury deaths annually</w:t>
            </w:r>
          </w:p>
        </w:tc>
        <w:tc>
          <w:tcPr>
            <w:tcW w:w="0" w:type="auto"/>
            <w:hideMark/>
          </w:tcPr>
          <w:p w14:paraId="0444E8C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Not reported</w:t>
            </w:r>
          </w:p>
        </w:tc>
        <w:tc>
          <w:tcPr>
            <w:tcW w:w="0" w:type="auto"/>
            <w:hideMark/>
          </w:tcPr>
          <w:p w14:paraId="62A327C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Not reported</w:t>
            </w:r>
          </w:p>
        </w:tc>
        <w:tc>
          <w:tcPr>
            <w:tcW w:w="0" w:type="auto"/>
            <w:hideMark/>
          </w:tcPr>
          <w:p w14:paraId="283914E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Not reported</w:t>
            </w:r>
          </w:p>
        </w:tc>
        <w:tc>
          <w:tcPr>
            <w:tcW w:w="0" w:type="auto"/>
            <w:hideMark/>
          </w:tcPr>
          <w:p w14:paraId="30E4543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Not reported</w:t>
            </w:r>
          </w:p>
        </w:tc>
        <w:tc>
          <w:tcPr>
            <w:tcW w:w="0" w:type="auto"/>
            <w:hideMark/>
          </w:tcPr>
          <w:p w14:paraId="42806BF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Not reported</w:t>
            </w:r>
          </w:p>
        </w:tc>
        <w:tc>
          <w:tcPr>
            <w:tcW w:w="0" w:type="auto"/>
            <w:hideMark/>
          </w:tcPr>
          <w:p w14:paraId="53BAF1B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Not reported</w:t>
            </w:r>
          </w:p>
        </w:tc>
        <w:tc>
          <w:tcPr>
            <w:tcW w:w="0" w:type="auto"/>
            <w:hideMark/>
          </w:tcPr>
          <w:p w14:paraId="45D7030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Not reported</w:t>
            </w:r>
          </w:p>
        </w:tc>
        <w:tc>
          <w:tcPr>
            <w:tcW w:w="0" w:type="auto"/>
            <w:hideMark/>
          </w:tcPr>
          <w:p w14:paraId="649BA9F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Not reported</w:t>
            </w:r>
          </w:p>
        </w:tc>
        <w:tc>
          <w:tcPr>
            <w:tcW w:w="0" w:type="auto"/>
            <w:hideMark/>
          </w:tcPr>
          <w:p w14:paraId="42D51A3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High global burden; recovery quality determines DALY impact</w:t>
            </w:r>
          </w:p>
        </w:tc>
        <w:tc>
          <w:tcPr>
            <w:tcW w:w="0" w:type="auto"/>
            <w:hideMark/>
          </w:tcPr>
          <w:p w14:paraId="045B788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76</w:t>
            </w:r>
          </w:p>
        </w:tc>
      </w:tr>
      <w:tr w:rsidR="00717547" w:rsidRPr="00680D07" w14:paraId="0D2D3FA5" w14:textId="77777777" w:rsidTr="00FA527B">
        <w:tc>
          <w:tcPr>
            <w:tcW w:w="0" w:type="auto"/>
            <w:hideMark/>
          </w:tcPr>
          <w:p w14:paraId="42984003"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Meara et al., 2015</w:t>
            </w:r>
          </w:p>
        </w:tc>
        <w:tc>
          <w:tcPr>
            <w:tcW w:w="0" w:type="auto"/>
            <w:hideMark/>
          </w:tcPr>
          <w:p w14:paraId="65DC9DD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Global</w:t>
            </w:r>
          </w:p>
        </w:tc>
        <w:tc>
          <w:tcPr>
            <w:tcW w:w="0" w:type="auto"/>
            <w:hideMark/>
          </w:tcPr>
          <w:p w14:paraId="5BA0FAE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18M deaths from surgical conditions annually</w:t>
            </w:r>
          </w:p>
        </w:tc>
        <w:tc>
          <w:tcPr>
            <w:tcW w:w="0" w:type="auto"/>
            <w:hideMark/>
          </w:tcPr>
          <w:p w14:paraId="49C6650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&lt;2 in many LIC vs &gt;35–40 in HIC</w:t>
            </w:r>
          </w:p>
        </w:tc>
        <w:tc>
          <w:tcPr>
            <w:tcW w:w="0" w:type="auto"/>
            <w:hideMark/>
          </w:tcPr>
          <w:p w14:paraId="5B1EBA1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&lt;1 LIC vs &gt;20 HIC</w:t>
            </w:r>
          </w:p>
        </w:tc>
        <w:tc>
          <w:tcPr>
            <w:tcW w:w="0" w:type="auto"/>
            <w:hideMark/>
          </w:tcPr>
          <w:p w14:paraId="44D5406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Not reported</w:t>
            </w:r>
          </w:p>
        </w:tc>
        <w:tc>
          <w:tcPr>
            <w:tcW w:w="0" w:type="auto"/>
            <w:hideMark/>
          </w:tcPr>
          <w:p w14:paraId="4414463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Surgical access often &gt;24h delayed in LIC</w:t>
            </w:r>
          </w:p>
        </w:tc>
        <w:tc>
          <w:tcPr>
            <w:tcW w:w="0" w:type="auto"/>
            <w:hideMark/>
          </w:tcPr>
          <w:p w14:paraId="58D5CE6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Emergency surgery delays common</w:t>
            </w:r>
          </w:p>
        </w:tc>
        <w:tc>
          <w:tcPr>
            <w:tcW w:w="0" w:type="auto"/>
            <w:hideMark/>
          </w:tcPr>
          <w:p w14:paraId="1D5BD78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Fixation delayed due to access</w:t>
            </w:r>
          </w:p>
        </w:tc>
        <w:tc>
          <w:tcPr>
            <w:tcW w:w="0" w:type="auto"/>
            <w:hideMark/>
          </w:tcPr>
          <w:p w14:paraId="6769146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Not reported</w:t>
            </w:r>
          </w:p>
        </w:tc>
        <w:tc>
          <w:tcPr>
            <w:tcW w:w="0" w:type="auto"/>
            <w:hideMark/>
          </w:tcPr>
          <w:p w14:paraId="4540F85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&gt;90% trauma deaths in LMIC</w:t>
            </w:r>
          </w:p>
        </w:tc>
        <w:tc>
          <w:tcPr>
            <w:tcW w:w="0" w:type="auto"/>
            <w:hideMark/>
          </w:tcPr>
          <w:p w14:paraId="688395D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Workforce &amp; ICU scarcity limit rescue capacity</w:t>
            </w:r>
          </w:p>
        </w:tc>
        <w:tc>
          <w:tcPr>
            <w:tcW w:w="0" w:type="auto"/>
            <w:hideMark/>
          </w:tcPr>
          <w:p w14:paraId="1B18457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77</w:t>
            </w:r>
          </w:p>
        </w:tc>
      </w:tr>
      <w:tr w:rsidR="00717547" w:rsidRPr="00680D07" w14:paraId="20E8718C" w14:textId="77777777" w:rsidTr="00FA527B">
        <w:tc>
          <w:tcPr>
            <w:tcW w:w="0" w:type="auto"/>
            <w:hideMark/>
          </w:tcPr>
          <w:p w14:paraId="1BEF61E1"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lastRenderedPageBreak/>
              <w:t>Holmer et al., 2015</w:t>
            </w:r>
          </w:p>
        </w:tc>
        <w:tc>
          <w:tcPr>
            <w:tcW w:w="0" w:type="auto"/>
            <w:hideMark/>
          </w:tcPr>
          <w:p w14:paraId="498AAC6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Global</w:t>
            </w:r>
          </w:p>
        </w:tc>
        <w:tc>
          <w:tcPr>
            <w:tcW w:w="0" w:type="auto"/>
            <w:hideMark/>
          </w:tcPr>
          <w:p w14:paraId="6805106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255364F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Median 0.7–2 LIC vs 35–40 HIC</w:t>
            </w:r>
          </w:p>
        </w:tc>
        <w:tc>
          <w:tcPr>
            <w:tcW w:w="0" w:type="auto"/>
            <w:hideMark/>
          </w:tcPr>
          <w:p w14:paraId="0B54080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Correlates with surgeon density</w:t>
            </w:r>
          </w:p>
        </w:tc>
        <w:tc>
          <w:tcPr>
            <w:tcW w:w="0" w:type="auto"/>
            <w:hideMark/>
          </w:tcPr>
          <w:p w14:paraId="31C4E14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6902B6A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Workforce density affects access</w:t>
            </w:r>
          </w:p>
        </w:tc>
        <w:tc>
          <w:tcPr>
            <w:tcW w:w="0" w:type="auto"/>
            <w:hideMark/>
          </w:tcPr>
          <w:p w14:paraId="28272E4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0226C69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Delayed fixation in low-density areas</w:t>
            </w:r>
          </w:p>
        </w:tc>
        <w:tc>
          <w:tcPr>
            <w:tcW w:w="0" w:type="auto"/>
            <w:hideMark/>
          </w:tcPr>
          <w:p w14:paraId="249E3BB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6564DA2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69120DB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Surgeon density directly affects time to definitive care</w:t>
            </w:r>
          </w:p>
        </w:tc>
        <w:tc>
          <w:tcPr>
            <w:tcW w:w="0" w:type="auto"/>
            <w:hideMark/>
          </w:tcPr>
          <w:p w14:paraId="74A60A5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101</w:t>
            </w:r>
          </w:p>
        </w:tc>
      </w:tr>
      <w:tr w:rsidR="00717547" w:rsidRPr="00680D07" w14:paraId="0091F20E" w14:textId="77777777" w:rsidTr="00FA527B">
        <w:tc>
          <w:tcPr>
            <w:tcW w:w="0" w:type="auto"/>
            <w:hideMark/>
          </w:tcPr>
          <w:p w14:paraId="1058C0BC"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Kempthorne et al., 2017</w:t>
            </w:r>
          </w:p>
        </w:tc>
        <w:tc>
          <w:tcPr>
            <w:tcW w:w="0" w:type="auto"/>
            <w:hideMark/>
          </w:tcPr>
          <w:p w14:paraId="37E69A9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LIC review</w:t>
            </w:r>
          </w:p>
        </w:tc>
        <w:tc>
          <w:tcPr>
            <w:tcW w:w="0" w:type="auto"/>
            <w:hideMark/>
          </w:tcPr>
          <w:p w14:paraId="24C5E98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Higher case fatality in ICU-limited settings</w:t>
            </w:r>
          </w:p>
        </w:tc>
        <w:tc>
          <w:tcPr>
            <w:tcW w:w="0" w:type="auto"/>
            <w:hideMark/>
          </w:tcPr>
          <w:p w14:paraId="579CA2E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2F216C7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Often &lt;1 per 100k LIC vs &gt;20 HIC</w:t>
            </w:r>
          </w:p>
        </w:tc>
        <w:tc>
          <w:tcPr>
            <w:tcW w:w="0" w:type="auto"/>
            <w:hideMark/>
          </w:tcPr>
          <w:p w14:paraId="304B5CE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Ventilators scarce</w:t>
            </w:r>
          </w:p>
        </w:tc>
        <w:tc>
          <w:tcPr>
            <w:tcW w:w="0" w:type="auto"/>
            <w:hideMark/>
          </w:tcPr>
          <w:p w14:paraId="56373EC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 admission delayed</w:t>
            </w:r>
          </w:p>
        </w:tc>
        <w:tc>
          <w:tcPr>
            <w:tcW w:w="0" w:type="auto"/>
            <w:hideMark/>
          </w:tcPr>
          <w:p w14:paraId="206FB7E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78EFC6F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21B05FE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Increased mortality when ICU unavailable</w:t>
            </w:r>
          </w:p>
        </w:tc>
        <w:tc>
          <w:tcPr>
            <w:tcW w:w="0" w:type="auto"/>
            <w:hideMark/>
          </w:tcPr>
          <w:p w14:paraId="065BCBB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0AA2875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 scarcity drives late postoperative death</w:t>
            </w:r>
          </w:p>
        </w:tc>
        <w:tc>
          <w:tcPr>
            <w:tcW w:w="0" w:type="auto"/>
            <w:hideMark/>
          </w:tcPr>
          <w:p w14:paraId="182FE5D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102</w:t>
            </w:r>
          </w:p>
        </w:tc>
      </w:tr>
      <w:tr w:rsidR="00717547" w:rsidRPr="00680D07" w14:paraId="486FD864" w14:textId="77777777" w:rsidTr="00FA527B">
        <w:tc>
          <w:tcPr>
            <w:tcW w:w="0" w:type="auto"/>
            <w:hideMark/>
          </w:tcPr>
          <w:p w14:paraId="79FFC159"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Murthy et al., 2015</w:t>
            </w:r>
          </w:p>
        </w:tc>
        <w:tc>
          <w:tcPr>
            <w:tcW w:w="0" w:type="auto"/>
            <w:hideMark/>
          </w:tcPr>
          <w:p w14:paraId="63A9715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Global</w:t>
            </w:r>
          </w:p>
        </w:tc>
        <w:tc>
          <w:tcPr>
            <w:tcW w:w="0" w:type="auto"/>
            <w:hideMark/>
          </w:tcPr>
          <w:p w14:paraId="766ECFB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142415B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476122B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747D59C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&lt;5 per million LIC vs &gt;200 per million HIC</w:t>
            </w:r>
          </w:p>
        </w:tc>
        <w:tc>
          <w:tcPr>
            <w:tcW w:w="0" w:type="auto"/>
            <w:hideMark/>
          </w:tcPr>
          <w:p w14:paraId="07EB552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6A2EBC3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1DF77E4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3AB3F34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ARDS survival dependent on ventilation</w:t>
            </w:r>
          </w:p>
        </w:tc>
        <w:tc>
          <w:tcPr>
            <w:tcW w:w="0" w:type="auto"/>
            <w:hideMark/>
          </w:tcPr>
          <w:p w14:paraId="2489FA2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5C4ED64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Ventilator scarcity limits pulmonary rescue</w:t>
            </w:r>
          </w:p>
        </w:tc>
        <w:tc>
          <w:tcPr>
            <w:tcW w:w="0" w:type="auto"/>
            <w:hideMark/>
          </w:tcPr>
          <w:p w14:paraId="577F446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103</w:t>
            </w:r>
          </w:p>
        </w:tc>
      </w:tr>
      <w:tr w:rsidR="00717547" w:rsidRPr="00680D07" w14:paraId="0CA5E714" w14:textId="77777777" w:rsidTr="00FA527B">
        <w:tc>
          <w:tcPr>
            <w:tcW w:w="0" w:type="auto"/>
            <w:hideMark/>
          </w:tcPr>
          <w:p w14:paraId="05CD5E48"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Mock et al., 1998</w:t>
            </w:r>
          </w:p>
        </w:tc>
        <w:tc>
          <w:tcPr>
            <w:tcW w:w="0" w:type="auto"/>
            <w:hideMark/>
          </w:tcPr>
          <w:p w14:paraId="32A69D7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USA vs Ghana vs Mexico</w:t>
            </w:r>
          </w:p>
        </w:tc>
        <w:tc>
          <w:tcPr>
            <w:tcW w:w="0" w:type="auto"/>
            <w:hideMark/>
          </w:tcPr>
          <w:p w14:paraId="3CF49A2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6–8% HIC vs ~35% low-resource</w:t>
            </w:r>
          </w:p>
        </w:tc>
        <w:tc>
          <w:tcPr>
            <w:tcW w:w="0" w:type="auto"/>
            <w:hideMark/>
          </w:tcPr>
          <w:p w14:paraId="0EC9B60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Lower trained workforce in Ghana</w:t>
            </w:r>
          </w:p>
        </w:tc>
        <w:tc>
          <w:tcPr>
            <w:tcW w:w="0" w:type="auto"/>
            <w:hideMark/>
          </w:tcPr>
          <w:p w14:paraId="6B594D2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Limited ICU beds</w:t>
            </w:r>
          </w:p>
        </w:tc>
        <w:tc>
          <w:tcPr>
            <w:tcW w:w="0" w:type="auto"/>
            <w:hideMark/>
          </w:tcPr>
          <w:p w14:paraId="5BF117B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Limited ventilators</w:t>
            </w:r>
          </w:p>
        </w:tc>
        <w:tc>
          <w:tcPr>
            <w:tcW w:w="0" w:type="auto"/>
            <w:hideMark/>
          </w:tcPr>
          <w:p w14:paraId="4B26FBB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Delayed arrival common</w:t>
            </w:r>
          </w:p>
        </w:tc>
        <w:tc>
          <w:tcPr>
            <w:tcW w:w="0" w:type="auto"/>
            <w:hideMark/>
          </w:tcPr>
          <w:p w14:paraId="3193F64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Delayed definitive surgery</w:t>
            </w:r>
          </w:p>
        </w:tc>
        <w:tc>
          <w:tcPr>
            <w:tcW w:w="0" w:type="auto"/>
            <w:hideMark/>
          </w:tcPr>
          <w:p w14:paraId="145B9DE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Not specified</w:t>
            </w:r>
          </w:p>
        </w:tc>
        <w:tc>
          <w:tcPr>
            <w:tcW w:w="0" w:type="auto"/>
            <w:hideMark/>
          </w:tcPr>
          <w:p w14:paraId="19C5121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3853C32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4–5× mortality gap</w:t>
            </w:r>
          </w:p>
        </w:tc>
        <w:tc>
          <w:tcPr>
            <w:tcW w:w="0" w:type="auto"/>
            <w:hideMark/>
          </w:tcPr>
          <w:p w14:paraId="0072EEB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System maturity influences late survival</w:t>
            </w:r>
          </w:p>
        </w:tc>
        <w:tc>
          <w:tcPr>
            <w:tcW w:w="0" w:type="auto"/>
            <w:hideMark/>
          </w:tcPr>
          <w:p w14:paraId="543B93E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78</w:t>
            </w:r>
          </w:p>
        </w:tc>
      </w:tr>
      <w:tr w:rsidR="00717547" w:rsidRPr="00680D07" w14:paraId="6FD4686A" w14:textId="77777777" w:rsidTr="00FA527B">
        <w:tc>
          <w:tcPr>
            <w:tcW w:w="0" w:type="auto"/>
            <w:hideMark/>
          </w:tcPr>
          <w:p w14:paraId="539EA742"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Stewart et al., 2014</w:t>
            </w:r>
          </w:p>
        </w:tc>
        <w:tc>
          <w:tcPr>
            <w:tcW w:w="0" w:type="auto"/>
            <w:hideMark/>
          </w:tcPr>
          <w:p w14:paraId="0883634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LMIC systematic review</w:t>
            </w:r>
          </w:p>
        </w:tc>
        <w:tc>
          <w:tcPr>
            <w:tcW w:w="0" w:type="auto"/>
            <w:hideMark/>
          </w:tcPr>
          <w:p w14:paraId="3384352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13–25% LMIC vs &lt;10% HIC</w:t>
            </w:r>
          </w:p>
        </w:tc>
        <w:tc>
          <w:tcPr>
            <w:tcW w:w="0" w:type="auto"/>
            <w:hideMark/>
          </w:tcPr>
          <w:p w14:paraId="71F88A0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Workforce shortages</w:t>
            </w:r>
          </w:p>
        </w:tc>
        <w:tc>
          <w:tcPr>
            <w:tcW w:w="0" w:type="auto"/>
            <w:hideMark/>
          </w:tcPr>
          <w:p w14:paraId="66D560A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 admission &lt;10% trauma pts</w:t>
            </w:r>
          </w:p>
        </w:tc>
        <w:tc>
          <w:tcPr>
            <w:tcW w:w="0" w:type="auto"/>
            <w:hideMark/>
          </w:tcPr>
          <w:p w14:paraId="22EAB72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2181E32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Transport delays &gt;2h common</w:t>
            </w:r>
          </w:p>
        </w:tc>
        <w:tc>
          <w:tcPr>
            <w:tcW w:w="0" w:type="auto"/>
            <w:hideMark/>
          </w:tcPr>
          <w:p w14:paraId="0EF45D0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Surgical delay frequent</w:t>
            </w:r>
          </w:p>
        </w:tc>
        <w:tc>
          <w:tcPr>
            <w:tcW w:w="0" w:type="auto"/>
            <w:hideMark/>
          </w:tcPr>
          <w:p w14:paraId="4FA0E9A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6B30499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3683055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~2× mortality disparity</w:t>
            </w:r>
          </w:p>
        </w:tc>
        <w:tc>
          <w:tcPr>
            <w:tcW w:w="0" w:type="auto"/>
            <w:hideMark/>
          </w:tcPr>
          <w:p w14:paraId="5B71719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Monitoring gaps worsen outcomes</w:t>
            </w:r>
          </w:p>
        </w:tc>
        <w:tc>
          <w:tcPr>
            <w:tcW w:w="0" w:type="auto"/>
            <w:hideMark/>
          </w:tcPr>
          <w:p w14:paraId="2A1E84A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79</w:t>
            </w:r>
          </w:p>
        </w:tc>
      </w:tr>
      <w:tr w:rsidR="00717547" w:rsidRPr="00680D07" w14:paraId="4CFFA11D" w14:textId="77777777" w:rsidTr="00FA527B">
        <w:tc>
          <w:tcPr>
            <w:tcW w:w="0" w:type="auto"/>
            <w:hideMark/>
          </w:tcPr>
          <w:p w14:paraId="42B6919C"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 xml:space="preserve">Kobusingye &amp; </w:t>
            </w:r>
            <w:r w:rsidRPr="00030269">
              <w:rPr>
                <w:rFonts w:ascii="Times New Roman" w:hAnsi="Times New Roman" w:cs="Times New Roman"/>
                <w:b/>
                <w:bCs/>
              </w:rPr>
              <w:lastRenderedPageBreak/>
              <w:t>Hyder, 2020</w:t>
            </w:r>
          </w:p>
        </w:tc>
        <w:tc>
          <w:tcPr>
            <w:tcW w:w="0" w:type="auto"/>
            <w:hideMark/>
          </w:tcPr>
          <w:p w14:paraId="70FCE51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Sub-Sahar</w:t>
            </w:r>
            <w:r w:rsidRPr="00030269">
              <w:rPr>
                <w:rFonts w:ascii="Times New Roman" w:hAnsi="Times New Roman" w:cs="Times New Roman"/>
              </w:rPr>
              <w:lastRenderedPageBreak/>
              <w:t>an Africa</w:t>
            </w:r>
          </w:p>
        </w:tc>
        <w:tc>
          <w:tcPr>
            <w:tcW w:w="0" w:type="auto"/>
            <w:hideMark/>
          </w:tcPr>
          <w:p w14:paraId="30EE626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 xml:space="preserve">High young adult </w:t>
            </w:r>
            <w:r w:rsidRPr="00030269">
              <w:rPr>
                <w:rFonts w:ascii="Times New Roman" w:hAnsi="Times New Roman" w:cs="Times New Roman"/>
              </w:rPr>
              <w:lastRenderedPageBreak/>
              <w:t>mortality</w:t>
            </w:r>
          </w:p>
        </w:tc>
        <w:tc>
          <w:tcPr>
            <w:tcW w:w="0" w:type="auto"/>
            <w:hideMark/>
          </w:tcPr>
          <w:p w14:paraId="4441CD6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 xml:space="preserve">Workforce </w:t>
            </w:r>
            <w:r w:rsidRPr="00030269">
              <w:rPr>
                <w:rFonts w:ascii="Times New Roman" w:hAnsi="Times New Roman" w:cs="Times New Roman"/>
              </w:rPr>
              <w:lastRenderedPageBreak/>
              <w:t>scarcity</w:t>
            </w:r>
          </w:p>
        </w:tc>
        <w:tc>
          <w:tcPr>
            <w:tcW w:w="0" w:type="auto"/>
            <w:hideMark/>
          </w:tcPr>
          <w:p w14:paraId="2B70D26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ICU limited</w:t>
            </w:r>
          </w:p>
        </w:tc>
        <w:tc>
          <w:tcPr>
            <w:tcW w:w="0" w:type="auto"/>
            <w:hideMark/>
          </w:tcPr>
          <w:p w14:paraId="2244ED9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495CC0A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Prehospital delay </w:t>
            </w:r>
            <w:r w:rsidRPr="00030269">
              <w:rPr>
                <w:rFonts w:ascii="Times New Roman" w:hAnsi="Times New Roman" w:cs="Times New Roman"/>
              </w:rPr>
              <w:lastRenderedPageBreak/>
              <w:t>often &gt;2–6h</w:t>
            </w:r>
          </w:p>
        </w:tc>
        <w:tc>
          <w:tcPr>
            <w:tcW w:w="0" w:type="auto"/>
            <w:hideMark/>
          </w:tcPr>
          <w:p w14:paraId="0658BDD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Delayed surgic</w:t>
            </w:r>
            <w:r w:rsidRPr="00030269">
              <w:rPr>
                <w:rFonts w:ascii="Times New Roman" w:hAnsi="Times New Roman" w:cs="Times New Roman"/>
              </w:rPr>
              <w:lastRenderedPageBreak/>
              <w:t>al access</w:t>
            </w:r>
          </w:p>
        </w:tc>
        <w:tc>
          <w:tcPr>
            <w:tcW w:w="0" w:type="auto"/>
            <w:hideMark/>
          </w:tcPr>
          <w:p w14:paraId="1577806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N/A</w:t>
            </w:r>
          </w:p>
        </w:tc>
        <w:tc>
          <w:tcPr>
            <w:tcW w:w="0" w:type="auto"/>
            <w:hideMark/>
          </w:tcPr>
          <w:p w14:paraId="2486AC9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5D97F24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High preventable </w:t>
            </w:r>
            <w:r w:rsidRPr="00030269">
              <w:rPr>
                <w:rFonts w:ascii="Times New Roman" w:hAnsi="Times New Roman" w:cs="Times New Roman"/>
              </w:rPr>
              <w:lastRenderedPageBreak/>
              <w:t>mortality</w:t>
            </w:r>
          </w:p>
        </w:tc>
        <w:tc>
          <w:tcPr>
            <w:tcW w:w="0" w:type="auto"/>
            <w:hideMark/>
          </w:tcPr>
          <w:p w14:paraId="293643F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Delayed physio</w:t>
            </w:r>
            <w:r w:rsidRPr="00030269">
              <w:rPr>
                <w:rFonts w:ascii="Times New Roman" w:hAnsi="Times New Roman" w:cs="Times New Roman"/>
              </w:rPr>
              <w:lastRenderedPageBreak/>
              <w:t>logic stabilisation worsens recovery</w:t>
            </w:r>
          </w:p>
        </w:tc>
        <w:tc>
          <w:tcPr>
            <w:tcW w:w="0" w:type="auto"/>
            <w:hideMark/>
          </w:tcPr>
          <w:p w14:paraId="21DA411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85</w:t>
            </w:r>
          </w:p>
        </w:tc>
      </w:tr>
      <w:tr w:rsidR="00717547" w:rsidRPr="00680D07" w14:paraId="73478A0E" w14:textId="77777777" w:rsidTr="00FA527B">
        <w:tc>
          <w:tcPr>
            <w:tcW w:w="0" w:type="auto"/>
            <w:hideMark/>
          </w:tcPr>
          <w:p w14:paraId="05D4B140"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Clarke et al., 2002</w:t>
            </w:r>
          </w:p>
        </w:tc>
        <w:tc>
          <w:tcPr>
            <w:tcW w:w="0" w:type="auto"/>
            <w:hideMark/>
          </w:tcPr>
          <w:p w14:paraId="4BA0A45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US trauma </w:t>
            </w:r>
            <w:proofErr w:type="spellStart"/>
            <w:r w:rsidRPr="00030269">
              <w:rPr>
                <w:rFonts w:ascii="Times New Roman" w:hAnsi="Times New Roman" w:cs="Times New Roman"/>
              </w:rPr>
              <w:t>centers</w:t>
            </w:r>
            <w:proofErr w:type="spellEnd"/>
          </w:p>
        </w:tc>
        <w:tc>
          <w:tcPr>
            <w:tcW w:w="0" w:type="auto"/>
            <w:hideMark/>
          </w:tcPr>
          <w:p w14:paraId="6CCC768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Mortality rises when laparotomy &gt;3h</w:t>
            </w:r>
          </w:p>
        </w:tc>
        <w:tc>
          <w:tcPr>
            <w:tcW w:w="0" w:type="auto"/>
            <w:hideMark/>
          </w:tcPr>
          <w:p w14:paraId="7AEB7D8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373C246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 available</w:t>
            </w:r>
          </w:p>
        </w:tc>
        <w:tc>
          <w:tcPr>
            <w:tcW w:w="0" w:type="auto"/>
            <w:hideMark/>
          </w:tcPr>
          <w:p w14:paraId="194C397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1C46363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4C9BCD7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&gt;3h delay increases mortality significantly</w:t>
            </w:r>
          </w:p>
        </w:tc>
        <w:tc>
          <w:tcPr>
            <w:tcW w:w="0" w:type="auto"/>
            <w:hideMark/>
          </w:tcPr>
          <w:p w14:paraId="1025A85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0FB708B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7BD60D6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5DCDEA3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Time-to-laparotomy critical determinant</w:t>
            </w:r>
          </w:p>
        </w:tc>
        <w:tc>
          <w:tcPr>
            <w:tcW w:w="0" w:type="auto"/>
            <w:hideMark/>
          </w:tcPr>
          <w:p w14:paraId="3F9FDF5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105</w:t>
            </w:r>
          </w:p>
        </w:tc>
      </w:tr>
      <w:tr w:rsidR="00717547" w:rsidRPr="00680D07" w14:paraId="771C80B0" w14:textId="77777777" w:rsidTr="00FA527B">
        <w:tc>
          <w:tcPr>
            <w:tcW w:w="0" w:type="auto"/>
            <w:hideMark/>
          </w:tcPr>
          <w:p w14:paraId="1A88348C"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CRASH-2, 2010</w:t>
            </w:r>
          </w:p>
        </w:tc>
        <w:tc>
          <w:tcPr>
            <w:tcW w:w="0" w:type="auto"/>
            <w:hideMark/>
          </w:tcPr>
          <w:p w14:paraId="7654A34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Global trauma</w:t>
            </w:r>
          </w:p>
        </w:tc>
        <w:tc>
          <w:tcPr>
            <w:tcW w:w="0" w:type="auto"/>
            <w:hideMark/>
          </w:tcPr>
          <w:p w14:paraId="280861B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TXA benefit reduced if &gt;3h delay</w:t>
            </w:r>
          </w:p>
        </w:tc>
        <w:tc>
          <w:tcPr>
            <w:tcW w:w="0" w:type="auto"/>
            <w:hideMark/>
          </w:tcPr>
          <w:p w14:paraId="64986BA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4668151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Variable ICU access</w:t>
            </w:r>
          </w:p>
        </w:tc>
        <w:tc>
          <w:tcPr>
            <w:tcW w:w="0" w:type="auto"/>
            <w:hideMark/>
          </w:tcPr>
          <w:p w14:paraId="21FE824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3BD9A77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TXA &lt;3h improves survival</w:t>
            </w:r>
          </w:p>
        </w:tc>
        <w:tc>
          <w:tcPr>
            <w:tcW w:w="0" w:type="auto"/>
            <w:hideMark/>
          </w:tcPr>
          <w:p w14:paraId="27FAD58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 &gt;3h reduces benefit</w:t>
            </w:r>
          </w:p>
        </w:tc>
        <w:tc>
          <w:tcPr>
            <w:tcW w:w="0" w:type="auto"/>
            <w:hideMark/>
          </w:tcPr>
          <w:p w14:paraId="5CDF611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009C3AD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04895C1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249F858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Time-sensitive trauma management essential</w:t>
            </w:r>
          </w:p>
        </w:tc>
        <w:tc>
          <w:tcPr>
            <w:tcW w:w="0" w:type="auto"/>
            <w:hideMark/>
          </w:tcPr>
          <w:p w14:paraId="16D150F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104</w:t>
            </w:r>
          </w:p>
        </w:tc>
      </w:tr>
      <w:tr w:rsidR="00717547" w:rsidRPr="00680D07" w14:paraId="55AFAFEE" w14:textId="77777777" w:rsidTr="00FA527B">
        <w:tc>
          <w:tcPr>
            <w:tcW w:w="0" w:type="auto"/>
            <w:hideMark/>
          </w:tcPr>
          <w:p w14:paraId="1B81DDC8"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Vallier et al., 2013</w:t>
            </w:r>
          </w:p>
        </w:tc>
        <w:tc>
          <w:tcPr>
            <w:tcW w:w="0" w:type="auto"/>
            <w:hideMark/>
          </w:tcPr>
          <w:p w14:paraId="60260AD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Polytrauma fixation</w:t>
            </w:r>
          </w:p>
        </w:tc>
        <w:tc>
          <w:tcPr>
            <w:tcW w:w="0" w:type="auto"/>
            <w:hideMark/>
          </w:tcPr>
          <w:p w14:paraId="2E7B858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fixation &lt;24h reduces pulmonary complications</w:t>
            </w:r>
          </w:p>
        </w:tc>
        <w:tc>
          <w:tcPr>
            <w:tcW w:w="0" w:type="auto"/>
            <w:hideMark/>
          </w:tcPr>
          <w:p w14:paraId="53BE12D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Requires orthopaedic capacity</w:t>
            </w:r>
          </w:p>
        </w:tc>
        <w:tc>
          <w:tcPr>
            <w:tcW w:w="0" w:type="auto"/>
            <w:hideMark/>
          </w:tcPr>
          <w:p w14:paraId="3DE6701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 required</w:t>
            </w:r>
          </w:p>
        </w:tc>
        <w:tc>
          <w:tcPr>
            <w:tcW w:w="0" w:type="auto"/>
            <w:hideMark/>
          </w:tcPr>
          <w:p w14:paraId="4C66167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0378A85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46DF455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7E74AAE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&gt;48–72h delay increases complications</w:t>
            </w:r>
          </w:p>
        </w:tc>
        <w:tc>
          <w:tcPr>
            <w:tcW w:w="0" w:type="auto"/>
            <w:hideMark/>
          </w:tcPr>
          <w:p w14:paraId="5CCCF02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ARDS with early fixation</w:t>
            </w:r>
          </w:p>
        </w:tc>
        <w:tc>
          <w:tcPr>
            <w:tcW w:w="0" w:type="auto"/>
            <w:hideMark/>
          </w:tcPr>
          <w:p w14:paraId="3D26D83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1641CF7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Fixation timing affects pulmonary recovery</w:t>
            </w:r>
          </w:p>
        </w:tc>
        <w:tc>
          <w:tcPr>
            <w:tcW w:w="0" w:type="auto"/>
            <w:hideMark/>
          </w:tcPr>
          <w:p w14:paraId="75BFAF2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38</w:t>
            </w:r>
          </w:p>
        </w:tc>
      </w:tr>
      <w:tr w:rsidR="00717547" w:rsidRPr="00680D07" w14:paraId="5A12F343" w14:textId="77777777" w:rsidTr="00FA527B">
        <w:tc>
          <w:tcPr>
            <w:tcW w:w="0" w:type="auto"/>
            <w:hideMark/>
          </w:tcPr>
          <w:p w14:paraId="4FFD1700"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Brundage et al., 2002</w:t>
            </w:r>
          </w:p>
        </w:tc>
        <w:tc>
          <w:tcPr>
            <w:tcW w:w="0" w:type="auto"/>
            <w:hideMark/>
          </w:tcPr>
          <w:p w14:paraId="3B68372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Femur fractures</w:t>
            </w:r>
          </w:p>
        </w:tc>
        <w:tc>
          <w:tcPr>
            <w:tcW w:w="0" w:type="auto"/>
            <w:hideMark/>
          </w:tcPr>
          <w:p w14:paraId="281909C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Delayed fixation &gt;48h ↑ pulmonary complications</w:t>
            </w:r>
          </w:p>
        </w:tc>
        <w:tc>
          <w:tcPr>
            <w:tcW w:w="0" w:type="auto"/>
            <w:hideMark/>
          </w:tcPr>
          <w:p w14:paraId="6398974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6FF0F21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 dependent</w:t>
            </w:r>
          </w:p>
        </w:tc>
        <w:tc>
          <w:tcPr>
            <w:tcW w:w="0" w:type="auto"/>
            <w:hideMark/>
          </w:tcPr>
          <w:p w14:paraId="098407A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2926DE4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532AE5C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2FBDA07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Median delay &gt;48h increases ARDS risk</w:t>
            </w:r>
          </w:p>
        </w:tc>
        <w:tc>
          <w:tcPr>
            <w:tcW w:w="0" w:type="auto"/>
            <w:hideMark/>
          </w:tcPr>
          <w:p w14:paraId="18C0DBC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ARDS incidence increased</w:t>
            </w:r>
          </w:p>
        </w:tc>
        <w:tc>
          <w:tcPr>
            <w:tcW w:w="0" w:type="auto"/>
            <w:hideMark/>
          </w:tcPr>
          <w:p w14:paraId="39BC3B2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0535590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Delayed stabilisation worsens lung outcomes</w:t>
            </w:r>
          </w:p>
        </w:tc>
        <w:tc>
          <w:tcPr>
            <w:tcW w:w="0" w:type="auto"/>
            <w:hideMark/>
          </w:tcPr>
          <w:p w14:paraId="6AA5149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33</w:t>
            </w:r>
          </w:p>
        </w:tc>
      </w:tr>
      <w:tr w:rsidR="00717547" w:rsidRPr="00680D07" w14:paraId="0AB257F3" w14:textId="77777777" w:rsidTr="00FA527B">
        <w:tc>
          <w:tcPr>
            <w:tcW w:w="0" w:type="auto"/>
            <w:hideMark/>
          </w:tcPr>
          <w:p w14:paraId="240B4375"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lastRenderedPageBreak/>
              <w:t>Pape et al., 2002</w:t>
            </w:r>
          </w:p>
        </w:tc>
        <w:tc>
          <w:tcPr>
            <w:tcW w:w="0" w:type="auto"/>
            <w:hideMark/>
          </w:tcPr>
          <w:p w14:paraId="5F27AB7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Polytrauma</w:t>
            </w:r>
          </w:p>
        </w:tc>
        <w:tc>
          <w:tcPr>
            <w:tcW w:w="0" w:type="auto"/>
            <w:hideMark/>
          </w:tcPr>
          <w:p w14:paraId="0FEA6E9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MOF major late mortality (~20–30%)</w:t>
            </w:r>
          </w:p>
        </w:tc>
        <w:tc>
          <w:tcPr>
            <w:tcW w:w="0" w:type="auto"/>
            <w:hideMark/>
          </w:tcPr>
          <w:p w14:paraId="2FA0853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3C22A4C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 essential</w:t>
            </w:r>
          </w:p>
        </w:tc>
        <w:tc>
          <w:tcPr>
            <w:tcW w:w="0" w:type="auto"/>
            <w:hideMark/>
          </w:tcPr>
          <w:p w14:paraId="1819644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Ventilator-dependent</w:t>
            </w:r>
          </w:p>
        </w:tc>
        <w:tc>
          <w:tcPr>
            <w:tcW w:w="0" w:type="auto"/>
            <w:hideMark/>
          </w:tcPr>
          <w:p w14:paraId="2128D1C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3604C54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701092D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Mistimed fixation amplifies inflammation</w:t>
            </w:r>
          </w:p>
        </w:tc>
        <w:tc>
          <w:tcPr>
            <w:tcW w:w="0" w:type="auto"/>
            <w:hideMark/>
          </w:tcPr>
          <w:p w14:paraId="46DE842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MOF 20–30% late deaths</w:t>
            </w:r>
          </w:p>
        </w:tc>
        <w:tc>
          <w:tcPr>
            <w:tcW w:w="0" w:type="auto"/>
            <w:hideMark/>
          </w:tcPr>
          <w:p w14:paraId="618150D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3907458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Second-hit phenomenon critical</w:t>
            </w:r>
          </w:p>
        </w:tc>
        <w:tc>
          <w:tcPr>
            <w:tcW w:w="0" w:type="auto"/>
            <w:hideMark/>
          </w:tcPr>
          <w:p w14:paraId="6703752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26</w:t>
            </w:r>
          </w:p>
        </w:tc>
      </w:tr>
      <w:tr w:rsidR="00717547" w:rsidRPr="00680D07" w14:paraId="009B8757" w14:textId="77777777" w:rsidTr="00FA527B">
        <w:tc>
          <w:tcPr>
            <w:tcW w:w="0" w:type="auto"/>
            <w:hideMark/>
          </w:tcPr>
          <w:p w14:paraId="76E4C5A3" w14:textId="77777777" w:rsidR="00717547" w:rsidRPr="00030269" w:rsidRDefault="00717547" w:rsidP="00FA527B">
            <w:pPr>
              <w:spacing w:line="276" w:lineRule="auto"/>
              <w:rPr>
                <w:rFonts w:ascii="Times New Roman" w:hAnsi="Times New Roman" w:cs="Times New Roman"/>
                <w:b/>
                <w:bCs/>
              </w:rPr>
            </w:pPr>
            <w:proofErr w:type="spellStart"/>
            <w:r w:rsidRPr="00030269">
              <w:rPr>
                <w:rFonts w:ascii="Times New Roman" w:hAnsi="Times New Roman" w:cs="Times New Roman"/>
                <w:b/>
                <w:bCs/>
              </w:rPr>
              <w:t>Sauaia</w:t>
            </w:r>
            <w:proofErr w:type="spellEnd"/>
            <w:r w:rsidRPr="00030269">
              <w:rPr>
                <w:rFonts w:ascii="Times New Roman" w:hAnsi="Times New Roman" w:cs="Times New Roman"/>
                <w:b/>
                <w:bCs/>
              </w:rPr>
              <w:t xml:space="preserve"> et al., 1995</w:t>
            </w:r>
          </w:p>
        </w:tc>
        <w:tc>
          <w:tcPr>
            <w:tcW w:w="0" w:type="auto"/>
            <w:hideMark/>
          </w:tcPr>
          <w:p w14:paraId="417EFF8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US registry</w:t>
            </w:r>
          </w:p>
        </w:tc>
        <w:tc>
          <w:tcPr>
            <w:tcW w:w="0" w:type="auto"/>
            <w:hideMark/>
          </w:tcPr>
          <w:p w14:paraId="401E3EC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MOF accounts for ~20–30% late trauma deaths</w:t>
            </w:r>
          </w:p>
        </w:tc>
        <w:tc>
          <w:tcPr>
            <w:tcW w:w="0" w:type="auto"/>
            <w:hideMark/>
          </w:tcPr>
          <w:p w14:paraId="635A41F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18A2528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ICU-dependent</w:t>
            </w:r>
          </w:p>
        </w:tc>
        <w:tc>
          <w:tcPr>
            <w:tcW w:w="0" w:type="auto"/>
            <w:hideMark/>
          </w:tcPr>
          <w:p w14:paraId="26444FF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Ventilator-dependent</w:t>
            </w:r>
          </w:p>
        </w:tc>
        <w:tc>
          <w:tcPr>
            <w:tcW w:w="0" w:type="auto"/>
            <w:hideMark/>
          </w:tcPr>
          <w:p w14:paraId="25BDAC6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788B98D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1E72B35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3156DE9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ARDS ~15–20% severe trauma</w:t>
            </w:r>
          </w:p>
        </w:tc>
        <w:tc>
          <w:tcPr>
            <w:tcW w:w="0" w:type="auto"/>
            <w:hideMark/>
          </w:tcPr>
          <w:p w14:paraId="6CA6BD8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53C16FA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Late death driven by organ failure</w:t>
            </w:r>
          </w:p>
        </w:tc>
        <w:tc>
          <w:tcPr>
            <w:tcW w:w="0" w:type="auto"/>
            <w:hideMark/>
          </w:tcPr>
          <w:p w14:paraId="3EE55FD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61</w:t>
            </w:r>
          </w:p>
        </w:tc>
      </w:tr>
      <w:tr w:rsidR="00717547" w:rsidRPr="00680D07" w14:paraId="302BB060" w14:textId="77777777" w:rsidTr="00FA527B">
        <w:tc>
          <w:tcPr>
            <w:tcW w:w="0" w:type="auto"/>
            <w:hideMark/>
          </w:tcPr>
          <w:p w14:paraId="69A3D737"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Rubenfeld et al., 2005</w:t>
            </w:r>
          </w:p>
        </w:tc>
        <w:tc>
          <w:tcPr>
            <w:tcW w:w="0" w:type="auto"/>
            <w:hideMark/>
          </w:tcPr>
          <w:p w14:paraId="4D84452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 ARDS epidemiology</w:t>
            </w:r>
          </w:p>
        </w:tc>
        <w:tc>
          <w:tcPr>
            <w:tcW w:w="0" w:type="auto"/>
            <w:hideMark/>
          </w:tcPr>
          <w:p w14:paraId="665EBFB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ARDS mortality ~30–40%</w:t>
            </w:r>
          </w:p>
        </w:tc>
        <w:tc>
          <w:tcPr>
            <w:tcW w:w="0" w:type="auto"/>
            <w:hideMark/>
          </w:tcPr>
          <w:p w14:paraId="5BEEA12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6CAA54A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ICU-dependent</w:t>
            </w:r>
          </w:p>
        </w:tc>
        <w:tc>
          <w:tcPr>
            <w:tcW w:w="0" w:type="auto"/>
            <w:hideMark/>
          </w:tcPr>
          <w:p w14:paraId="5D7E569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Ventilator required</w:t>
            </w:r>
          </w:p>
        </w:tc>
        <w:tc>
          <w:tcPr>
            <w:tcW w:w="0" w:type="auto"/>
            <w:hideMark/>
          </w:tcPr>
          <w:p w14:paraId="52CBF90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761D612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6024E65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02A4807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ARDS incidence significant in severe trauma</w:t>
            </w:r>
          </w:p>
        </w:tc>
        <w:tc>
          <w:tcPr>
            <w:tcW w:w="0" w:type="auto"/>
            <w:hideMark/>
          </w:tcPr>
          <w:p w14:paraId="7BE193F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17F7890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Pulmonary complications major survival determinant</w:t>
            </w:r>
          </w:p>
        </w:tc>
        <w:tc>
          <w:tcPr>
            <w:tcW w:w="0" w:type="auto"/>
            <w:hideMark/>
          </w:tcPr>
          <w:p w14:paraId="0E500DB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107</w:t>
            </w:r>
          </w:p>
        </w:tc>
      </w:tr>
      <w:tr w:rsidR="00717547" w:rsidRPr="00680D07" w14:paraId="48849D98" w14:textId="77777777" w:rsidTr="00FA527B">
        <w:tc>
          <w:tcPr>
            <w:tcW w:w="0" w:type="auto"/>
            <w:hideMark/>
          </w:tcPr>
          <w:p w14:paraId="171A2CDE"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Bellani et al., 2016</w:t>
            </w:r>
          </w:p>
        </w:tc>
        <w:tc>
          <w:tcPr>
            <w:tcW w:w="0" w:type="auto"/>
            <w:hideMark/>
          </w:tcPr>
          <w:p w14:paraId="6237F9E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Global ICU (LUNG SAFE)</w:t>
            </w:r>
          </w:p>
        </w:tc>
        <w:tc>
          <w:tcPr>
            <w:tcW w:w="0" w:type="auto"/>
            <w:hideMark/>
          </w:tcPr>
          <w:p w14:paraId="187A975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Moderate-severe ARDS mortality &gt;40%</w:t>
            </w:r>
          </w:p>
        </w:tc>
        <w:tc>
          <w:tcPr>
            <w:tcW w:w="0" w:type="auto"/>
            <w:hideMark/>
          </w:tcPr>
          <w:p w14:paraId="320CB39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2C521FD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 variability</w:t>
            </w:r>
          </w:p>
        </w:tc>
        <w:tc>
          <w:tcPr>
            <w:tcW w:w="0" w:type="auto"/>
            <w:hideMark/>
          </w:tcPr>
          <w:p w14:paraId="659C443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Ventilator availability varies widely</w:t>
            </w:r>
          </w:p>
        </w:tc>
        <w:tc>
          <w:tcPr>
            <w:tcW w:w="0" w:type="auto"/>
            <w:hideMark/>
          </w:tcPr>
          <w:p w14:paraId="36F2966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1381AB4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7094171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7C476AF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ARDS global burden high</w:t>
            </w:r>
          </w:p>
        </w:tc>
        <w:tc>
          <w:tcPr>
            <w:tcW w:w="0" w:type="auto"/>
            <w:hideMark/>
          </w:tcPr>
          <w:p w14:paraId="5AE008E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5FC2918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 maturity influences ARDS survival</w:t>
            </w:r>
          </w:p>
        </w:tc>
        <w:tc>
          <w:tcPr>
            <w:tcW w:w="0" w:type="auto"/>
            <w:hideMark/>
          </w:tcPr>
          <w:p w14:paraId="4655114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108</w:t>
            </w:r>
          </w:p>
        </w:tc>
      </w:tr>
      <w:tr w:rsidR="00717547" w:rsidRPr="00680D07" w14:paraId="0FB513E5" w14:textId="77777777" w:rsidTr="00FA527B">
        <w:tc>
          <w:tcPr>
            <w:tcW w:w="0" w:type="auto"/>
            <w:hideMark/>
          </w:tcPr>
          <w:p w14:paraId="229EB107"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O’Reilly et al., 2013</w:t>
            </w:r>
          </w:p>
        </w:tc>
        <w:tc>
          <w:tcPr>
            <w:tcW w:w="0" w:type="auto"/>
            <w:hideMark/>
          </w:tcPr>
          <w:p w14:paraId="3CFA271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HIC vs MIC registry</w:t>
            </w:r>
          </w:p>
        </w:tc>
        <w:tc>
          <w:tcPr>
            <w:tcW w:w="0" w:type="auto"/>
            <w:hideMark/>
          </w:tcPr>
          <w:p w14:paraId="63BA9D7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Higher mortality in middle-income</w:t>
            </w:r>
          </w:p>
        </w:tc>
        <w:tc>
          <w:tcPr>
            <w:tcW w:w="0" w:type="auto"/>
            <w:hideMark/>
          </w:tcPr>
          <w:p w14:paraId="093868C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Fewer trauma specialists</w:t>
            </w:r>
          </w:p>
        </w:tc>
        <w:tc>
          <w:tcPr>
            <w:tcW w:w="0" w:type="auto"/>
            <w:hideMark/>
          </w:tcPr>
          <w:p w14:paraId="54176B4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Variable ICU</w:t>
            </w:r>
          </w:p>
        </w:tc>
        <w:tc>
          <w:tcPr>
            <w:tcW w:w="0" w:type="auto"/>
            <w:hideMark/>
          </w:tcPr>
          <w:p w14:paraId="217AB73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7BD2A21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Longer time to definitive care</w:t>
            </w:r>
          </w:p>
        </w:tc>
        <w:tc>
          <w:tcPr>
            <w:tcW w:w="0" w:type="auto"/>
            <w:hideMark/>
          </w:tcPr>
          <w:p w14:paraId="5AA0937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5D46DB2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Delayed fixation</w:t>
            </w:r>
          </w:p>
        </w:tc>
        <w:tc>
          <w:tcPr>
            <w:tcW w:w="0" w:type="auto"/>
            <w:hideMark/>
          </w:tcPr>
          <w:p w14:paraId="02516E1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Increased complications</w:t>
            </w:r>
          </w:p>
        </w:tc>
        <w:tc>
          <w:tcPr>
            <w:tcW w:w="0" w:type="auto"/>
            <w:hideMark/>
          </w:tcPr>
          <w:p w14:paraId="08F9077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549FAF3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Registry maturity improves outcomes</w:t>
            </w:r>
          </w:p>
        </w:tc>
        <w:tc>
          <w:tcPr>
            <w:tcW w:w="0" w:type="auto"/>
            <w:hideMark/>
          </w:tcPr>
          <w:p w14:paraId="0D123CD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109</w:t>
            </w:r>
          </w:p>
        </w:tc>
      </w:tr>
      <w:tr w:rsidR="00717547" w:rsidRPr="00680D07" w14:paraId="031DE942" w14:textId="77777777" w:rsidTr="00FA527B">
        <w:tc>
          <w:tcPr>
            <w:tcW w:w="0" w:type="auto"/>
            <w:hideMark/>
          </w:tcPr>
          <w:p w14:paraId="30C90179"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 xml:space="preserve">Sakran et </w:t>
            </w:r>
            <w:r w:rsidRPr="00030269">
              <w:rPr>
                <w:rFonts w:ascii="Times New Roman" w:hAnsi="Times New Roman" w:cs="Times New Roman"/>
                <w:b/>
                <w:bCs/>
              </w:rPr>
              <w:lastRenderedPageBreak/>
              <w:t>al., 2012</w:t>
            </w:r>
          </w:p>
        </w:tc>
        <w:tc>
          <w:tcPr>
            <w:tcW w:w="0" w:type="auto"/>
            <w:hideMark/>
          </w:tcPr>
          <w:p w14:paraId="2A4A4B2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 xml:space="preserve">Global </w:t>
            </w:r>
            <w:r w:rsidRPr="00030269">
              <w:rPr>
                <w:rFonts w:ascii="Times New Roman" w:hAnsi="Times New Roman" w:cs="Times New Roman"/>
              </w:rPr>
              <w:lastRenderedPageBreak/>
              <w:t>review</w:t>
            </w:r>
          </w:p>
        </w:tc>
        <w:tc>
          <w:tcPr>
            <w:tcW w:w="0" w:type="auto"/>
            <w:hideMark/>
          </w:tcPr>
          <w:p w14:paraId="7F32335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 xml:space="preserve">Preventable death </w:t>
            </w:r>
            <w:r w:rsidRPr="00030269">
              <w:rPr>
                <w:rFonts w:ascii="Times New Roman" w:hAnsi="Times New Roman" w:cs="Times New Roman"/>
              </w:rPr>
              <w:lastRenderedPageBreak/>
              <w:t>up to 20–30% immature systems</w:t>
            </w:r>
          </w:p>
        </w:tc>
        <w:tc>
          <w:tcPr>
            <w:tcW w:w="0" w:type="auto"/>
            <w:hideMark/>
          </w:tcPr>
          <w:p w14:paraId="43E798F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Training gaps</w:t>
            </w:r>
          </w:p>
        </w:tc>
        <w:tc>
          <w:tcPr>
            <w:tcW w:w="0" w:type="auto"/>
            <w:hideMark/>
          </w:tcPr>
          <w:p w14:paraId="26E352C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 variability</w:t>
            </w:r>
          </w:p>
        </w:tc>
        <w:tc>
          <w:tcPr>
            <w:tcW w:w="0" w:type="auto"/>
            <w:hideMark/>
          </w:tcPr>
          <w:p w14:paraId="79EAA3F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39A0D2C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Delay </w:t>
            </w:r>
            <w:r w:rsidRPr="00030269">
              <w:rPr>
                <w:rFonts w:ascii="Times New Roman" w:hAnsi="Times New Roman" w:cs="Times New Roman"/>
              </w:rPr>
              <w:lastRenderedPageBreak/>
              <w:t>common</w:t>
            </w:r>
          </w:p>
        </w:tc>
        <w:tc>
          <w:tcPr>
            <w:tcW w:w="0" w:type="auto"/>
            <w:hideMark/>
          </w:tcPr>
          <w:p w14:paraId="69C3285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Delay common</w:t>
            </w:r>
          </w:p>
        </w:tc>
        <w:tc>
          <w:tcPr>
            <w:tcW w:w="0" w:type="auto"/>
            <w:hideMark/>
          </w:tcPr>
          <w:p w14:paraId="7EEF315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 common</w:t>
            </w:r>
          </w:p>
        </w:tc>
        <w:tc>
          <w:tcPr>
            <w:tcW w:w="0" w:type="auto"/>
            <w:hideMark/>
          </w:tcPr>
          <w:p w14:paraId="39460A5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4F06823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Preventable death </w:t>
            </w:r>
            <w:r w:rsidRPr="00030269">
              <w:rPr>
                <w:rFonts w:ascii="Times New Roman" w:hAnsi="Times New Roman" w:cs="Times New Roman"/>
              </w:rPr>
              <w:lastRenderedPageBreak/>
              <w:t>2–3× higher</w:t>
            </w:r>
          </w:p>
        </w:tc>
        <w:tc>
          <w:tcPr>
            <w:tcW w:w="0" w:type="auto"/>
            <w:hideMark/>
          </w:tcPr>
          <w:p w14:paraId="47BD778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 xml:space="preserve">Structured trauma </w:t>
            </w:r>
            <w:r w:rsidRPr="00030269">
              <w:rPr>
                <w:rFonts w:ascii="Times New Roman" w:hAnsi="Times New Roman" w:cs="Times New Roman"/>
              </w:rPr>
              <w:lastRenderedPageBreak/>
              <w:t>systems reduce avoidable death</w:t>
            </w:r>
          </w:p>
        </w:tc>
        <w:tc>
          <w:tcPr>
            <w:tcW w:w="0" w:type="auto"/>
            <w:hideMark/>
          </w:tcPr>
          <w:p w14:paraId="4AA04FB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110</w:t>
            </w:r>
          </w:p>
        </w:tc>
      </w:tr>
      <w:tr w:rsidR="00717547" w:rsidRPr="00680D07" w14:paraId="16A0B9AB" w14:textId="77777777" w:rsidTr="00FA527B">
        <w:tc>
          <w:tcPr>
            <w:tcW w:w="0" w:type="auto"/>
            <w:hideMark/>
          </w:tcPr>
          <w:p w14:paraId="2D8A460B"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Jayaraman et al., 2014</w:t>
            </w:r>
          </w:p>
        </w:tc>
        <w:tc>
          <w:tcPr>
            <w:tcW w:w="0" w:type="auto"/>
            <w:hideMark/>
          </w:tcPr>
          <w:p w14:paraId="2CADEF4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Uganda</w:t>
            </w:r>
          </w:p>
        </w:tc>
        <w:tc>
          <w:tcPr>
            <w:tcW w:w="0" w:type="auto"/>
            <w:hideMark/>
          </w:tcPr>
          <w:p w14:paraId="27C0B0F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Mortality 17% → 11% after system training</w:t>
            </w:r>
          </w:p>
        </w:tc>
        <w:tc>
          <w:tcPr>
            <w:tcW w:w="0" w:type="auto"/>
            <w:hideMark/>
          </w:tcPr>
          <w:p w14:paraId="26519C1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Workforce improved</w:t>
            </w:r>
          </w:p>
        </w:tc>
        <w:tc>
          <w:tcPr>
            <w:tcW w:w="0" w:type="auto"/>
            <w:hideMark/>
          </w:tcPr>
          <w:p w14:paraId="23DF011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Basic ICU improvement</w:t>
            </w:r>
          </w:p>
        </w:tc>
        <w:tc>
          <w:tcPr>
            <w:tcW w:w="0" w:type="auto"/>
            <w:hideMark/>
          </w:tcPr>
          <w:p w14:paraId="3D38BEA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44F789A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prehospital delay</w:t>
            </w:r>
          </w:p>
        </w:tc>
        <w:tc>
          <w:tcPr>
            <w:tcW w:w="0" w:type="auto"/>
            <w:hideMark/>
          </w:tcPr>
          <w:p w14:paraId="6767A15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surgical delay</w:t>
            </w:r>
          </w:p>
        </w:tc>
        <w:tc>
          <w:tcPr>
            <w:tcW w:w="0" w:type="auto"/>
            <w:hideMark/>
          </w:tcPr>
          <w:p w14:paraId="0DA5FEE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3431559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63AC472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~35% relative mortality reduction</w:t>
            </w:r>
          </w:p>
        </w:tc>
        <w:tc>
          <w:tcPr>
            <w:tcW w:w="0" w:type="auto"/>
            <w:hideMark/>
          </w:tcPr>
          <w:p w14:paraId="6331CAA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Organised trauma response improves recovery</w:t>
            </w:r>
          </w:p>
        </w:tc>
        <w:tc>
          <w:tcPr>
            <w:tcW w:w="0" w:type="auto"/>
            <w:hideMark/>
          </w:tcPr>
          <w:p w14:paraId="08393B3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83</w:t>
            </w:r>
          </w:p>
        </w:tc>
      </w:tr>
      <w:tr w:rsidR="00717547" w:rsidRPr="00680D07" w14:paraId="00346D73" w14:textId="77777777" w:rsidTr="00FA527B">
        <w:tc>
          <w:tcPr>
            <w:tcW w:w="0" w:type="auto"/>
            <w:hideMark/>
          </w:tcPr>
          <w:p w14:paraId="2EFF9A0E" w14:textId="77777777" w:rsidR="00717547" w:rsidRPr="00030269" w:rsidRDefault="00717547" w:rsidP="00FA527B">
            <w:pPr>
              <w:spacing w:line="276" w:lineRule="auto"/>
              <w:rPr>
                <w:rFonts w:ascii="Times New Roman" w:hAnsi="Times New Roman" w:cs="Times New Roman"/>
                <w:b/>
                <w:bCs/>
              </w:rPr>
            </w:pPr>
            <w:proofErr w:type="spellStart"/>
            <w:r w:rsidRPr="00030269">
              <w:rPr>
                <w:rFonts w:ascii="Times New Roman" w:hAnsi="Times New Roman" w:cs="Times New Roman"/>
                <w:b/>
                <w:bCs/>
              </w:rPr>
              <w:t>Elobu</w:t>
            </w:r>
            <w:proofErr w:type="spellEnd"/>
            <w:r w:rsidRPr="00030269">
              <w:rPr>
                <w:rFonts w:ascii="Times New Roman" w:hAnsi="Times New Roman" w:cs="Times New Roman"/>
                <w:b/>
                <w:bCs/>
              </w:rPr>
              <w:t xml:space="preserve"> et al., 2022</w:t>
            </w:r>
          </w:p>
        </w:tc>
        <w:tc>
          <w:tcPr>
            <w:tcW w:w="0" w:type="auto"/>
            <w:hideMark/>
          </w:tcPr>
          <w:p w14:paraId="1EC5E92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LMIC hospital</w:t>
            </w:r>
          </w:p>
        </w:tc>
        <w:tc>
          <w:tcPr>
            <w:tcW w:w="0" w:type="auto"/>
            <w:hideMark/>
          </w:tcPr>
          <w:p w14:paraId="298D228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~20% mortality reduction post pathway</w:t>
            </w:r>
          </w:p>
        </w:tc>
        <w:tc>
          <w:tcPr>
            <w:tcW w:w="0" w:type="auto"/>
            <w:hideMark/>
          </w:tcPr>
          <w:p w14:paraId="26726DD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Structured team model</w:t>
            </w:r>
          </w:p>
        </w:tc>
        <w:tc>
          <w:tcPr>
            <w:tcW w:w="0" w:type="auto"/>
            <w:hideMark/>
          </w:tcPr>
          <w:p w14:paraId="0EEC679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Monitoring strengthened</w:t>
            </w:r>
          </w:p>
        </w:tc>
        <w:tc>
          <w:tcPr>
            <w:tcW w:w="0" w:type="auto"/>
            <w:hideMark/>
          </w:tcPr>
          <w:p w14:paraId="1E4EABD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4B23932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time-to-surgery</w:t>
            </w:r>
          </w:p>
        </w:tc>
        <w:tc>
          <w:tcPr>
            <w:tcW w:w="0" w:type="auto"/>
            <w:hideMark/>
          </w:tcPr>
          <w:p w14:paraId="2ED1FC0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fixation delay</w:t>
            </w:r>
          </w:p>
        </w:tc>
        <w:tc>
          <w:tcPr>
            <w:tcW w:w="0" w:type="auto"/>
            <w:hideMark/>
          </w:tcPr>
          <w:p w14:paraId="48BEEB8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5F5EFA2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N/A</w:t>
            </w:r>
          </w:p>
        </w:tc>
        <w:tc>
          <w:tcPr>
            <w:tcW w:w="0" w:type="auto"/>
            <w:hideMark/>
          </w:tcPr>
          <w:p w14:paraId="59AF8F0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Measurable mortality reduction</w:t>
            </w:r>
          </w:p>
        </w:tc>
        <w:tc>
          <w:tcPr>
            <w:tcW w:w="0" w:type="auto"/>
            <w:hideMark/>
          </w:tcPr>
          <w:p w14:paraId="3F0E9F6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Protocolised recovery improves survival</w:t>
            </w:r>
          </w:p>
        </w:tc>
        <w:tc>
          <w:tcPr>
            <w:tcW w:w="0" w:type="auto"/>
            <w:hideMark/>
          </w:tcPr>
          <w:p w14:paraId="2F057A5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84</w:t>
            </w:r>
          </w:p>
        </w:tc>
      </w:tr>
    </w:tbl>
    <w:p w14:paraId="76578D92" w14:textId="77777777" w:rsidR="00717547" w:rsidRPr="00680D07" w:rsidRDefault="00717547" w:rsidP="00717547">
      <w:pPr>
        <w:spacing w:after="0" w:line="276" w:lineRule="auto"/>
        <w:rPr>
          <w:rFonts w:ascii="Times New Roman" w:hAnsi="Times New Roman" w:cs="Times New Roman"/>
        </w:rPr>
      </w:pPr>
    </w:p>
    <w:p w14:paraId="17DF0E1B" w14:textId="77777777" w:rsidR="00717547" w:rsidRPr="00680D07" w:rsidRDefault="00717547" w:rsidP="00717547">
      <w:pPr>
        <w:spacing w:after="0" w:line="276" w:lineRule="auto"/>
        <w:rPr>
          <w:rFonts w:ascii="Times New Roman" w:hAnsi="Times New Roman" w:cs="Times New Roman"/>
        </w:rPr>
      </w:pPr>
    </w:p>
    <w:p w14:paraId="632CF19B" w14:textId="77777777" w:rsidR="00717547" w:rsidRPr="001C0AB6" w:rsidRDefault="00717547" w:rsidP="00717547">
      <w:pPr>
        <w:spacing w:after="0" w:line="276" w:lineRule="auto"/>
        <w:rPr>
          <w:rFonts w:ascii="Times New Roman" w:hAnsi="Times New Roman" w:cs="Times New Roman"/>
        </w:rPr>
      </w:pPr>
      <w:r w:rsidRPr="001C0AB6">
        <w:rPr>
          <w:rFonts w:ascii="Times New Roman" w:hAnsi="Times New Roman" w:cs="Times New Roman"/>
          <w:b/>
          <w:bCs/>
        </w:rPr>
        <w:t>Footnotes:</w:t>
      </w:r>
    </w:p>
    <w:p w14:paraId="4E3DB24E" w14:textId="77777777" w:rsidR="00717547" w:rsidRPr="001C0AB6" w:rsidRDefault="00717547" w:rsidP="00717547">
      <w:pPr>
        <w:numPr>
          <w:ilvl w:val="0"/>
          <w:numId w:val="8"/>
        </w:numPr>
        <w:spacing w:after="0" w:line="276" w:lineRule="auto"/>
        <w:rPr>
          <w:rFonts w:ascii="Times New Roman" w:hAnsi="Times New Roman" w:cs="Times New Roman"/>
        </w:rPr>
      </w:pPr>
      <w:r w:rsidRPr="001C0AB6">
        <w:rPr>
          <w:rFonts w:ascii="Times New Roman" w:hAnsi="Times New Roman" w:cs="Times New Roman"/>
        </w:rPr>
        <w:t>Data represent reported ranges across published global and regional studies and may vary by country and year [76–80,101–110].</w:t>
      </w:r>
    </w:p>
    <w:p w14:paraId="2FEE42DD" w14:textId="77777777" w:rsidR="00717547" w:rsidRPr="001C0AB6" w:rsidRDefault="00717547" w:rsidP="00717547">
      <w:pPr>
        <w:numPr>
          <w:ilvl w:val="0"/>
          <w:numId w:val="8"/>
        </w:numPr>
        <w:spacing w:after="0" w:line="276" w:lineRule="auto"/>
        <w:rPr>
          <w:rFonts w:ascii="Times New Roman" w:hAnsi="Times New Roman" w:cs="Times New Roman"/>
        </w:rPr>
      </w:pPr>
      <w:r w:rsidRPr="001C0AB6">
        <w:rPr>
          <w:rFonts w:ascii="Times New Roman" w:hAnsi="Times New Roman" w:cs="Times New Roman"/>
        </w:rPr>
        <w:t>Surgeon and ICU bed density values are approximate medians derived from international workforce analyses; local distribution within countries may be heterogeneous [101,102].</w:t>
      </w:r>
    </w:p>
    <w:p w14:paraId="6287DAAB" w14:textId="77777777" w:rsidR="00717547" w:rsidRPr="001C0AB6" w:rsidRDefault="00717547" w:rsidP="00717547">
      <w:pPr>
        <w:numPr>
          <w:ilvl w:val="0"/>
          <w:numId w:val="8"/>
        </w:numPr>
        <w:spacing w:after="0" w:line="276" w:lineRule="auto"/>
        <w:rPr>
          <w:rFonts w:ascii="Times New Roman" w:hAnsi="Times New Roman" w:cs="Times New Roman"/>
        </w:rPr>
      </w:pPr>
      <w:r w:rsidRPr="001C0AB6">
        <w:rPr>
          <w:rFonts w:ascii="Times New Roman" w:hAnsi="Times New Roman" w:cs="Times New Roman"/>
        </w:rPr>
        <w:t>Time-to-laparotomy thresholds reflect observational data; causality cannot be definitively established [105].</w:t>
      </w:r>
    </w:p>
    <w:p w14:paraId="10DCCFC7" w14:textId="77777777" w:rsidR="00717547" w:rsidRPr="001C0AB6" w:rsidRDefault="00717547" w:rsidP="00717547">
      <w:pPr>
        <w:numPr>
          <w:ilvl w:val="0"/>
          <w:numId w:val="8"/>
        </w:numPr>
        <w:spacing w:after="0" w:line="276" w:lineRule="auto"/>
        <w:rPr>
          <w:rFonts w:ascii="Times New Roman" w:hAnsi="Times New Roman" w:cs="Times New Roman"/>
        </w:rPr>
      </w:pPr>
      <w:r w:rsidRPr="001C0AB6">
        <w:rPr>
          <w:rFonts w:ascii="Times New Roman" w:hAnsi="Times New Roman" w:cs="Times New Roman"/>
        </w:rPr>
        <w:t>ARDS incidence and mortality vary by injury severity, ICU capacity, and ventilatory strategy [107,108].</w:t>
      </w:r>
    </w:p>
    <w:p w14:paraId="021BD03A" w14:textId="77777777" w:rsidR="00717547" w:rsidRPr="001C0AB6" w:rsidRDefault="00717547" w:rsidP="00717547">
      <w:pPr>
        <w:numPr>
          <w:ilvl w:val="0"/>
          <w:numId w:val="8"/>
        </w:numPr>
        <w:spacing w:after="0" w:line="276" w:lineRule="auto"/>
        <w:rPr>
          <w:rFonts w:ascii="Times New Roman" w:hAnsi="Times New Roman" w:cs="Times New Roman"/>
        </w:rPr>
      </w:pPr>
      <w:r w:rsidRPr="001C0AB6">
        <w:rPr>
          <w:rFonts w:ascii="Times New Roman" w:hAnsi="Times New Roman" w:cs="Times New Roman"/>
        </w:rPr>
        <w:t>Preventable death proportions are context-dependent and influenced by trauma system maturity and governance [110].</w:t>
      </w:r>
    </w:p>
    <w:p w14:paraId="000FE6C3" w14:textId="77777777" w:rsidR="00717547" w:rsidRPr="001C0AB6" w:rsidRDefault="00717547" w:rsidP="00717547">
      <w:pPr>
        <w:numPr>
          <w:ilvl w:val="0"/>
          <w:numId w:val="8"/>
        </w:numPr>
        <w:spacing w:after="0" w:line="276" w:lineRule="auto"/>
        <w:rPr>
          <w:rFonts w:ascii="Times New Roman" w:hAnsi="Times New Roman" w:cs="Times New Roman"/>
        </w:rPr>
      </w:pPr>
      <w:r w:rsidRPr="001C0AB6">
        <w:rPr>
          <w:rFonts w:ascii="Times New Roman" w:hAnsi="Times New Roman" w:cs="Times New Roman"/>
        </w:rPr>
        <w:t>LMIC denotes low- and middle-income countries as classified by World Bank criteria.</w:t>
      </w:r>
    </w:p>
    <w:p w14:paraId="7D148853" w14:textId="77777777" w:rsidR="00717547" w:rsidRPr="00680D07" w:rsidRDefault="00717547" w:rsidP="00717547">
      <w:pPr>
        <w:spacing w:after="0" w:line="276" w:lineRule="auto"/>
        <w:rPr>
          <w:rFonts w:ascii="Times New Roman" w:hAnsi="Times New Roman" w:cs="Times New Roman"/>
        </w:rPr>
      </w:pPr>
    </w:p>
    <w:p w14:paraId="7044C8BD" w14:textId="77777777" w:rsidR="002C121A" w:rsidRPr="00680D07" w:rsidRDefault="002C121A" w:rsidP="00680D07">
      <w:pPr>
        <w:spacing w:after="0" w:line="276" w:lineRule="auto"/>
        <w:rPr>
          <w:rFonts w:ascii="Times New Roman" w:hAnsi="Times New Roman" w:cs="Times New Roman"/>
        </w:rPr>
      </w:pPr>
    </w:p>
    <w:p w14:paraId="6AF17AAF" w14:textId="77777777"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BIOLOGICAL AMPLIFICATION IN POLYTRAUMA</w:t>
      </w:r>
    </w:p>
    <w:p w14:paraId="4CFC7A51" w14:textId="4A34546F" w:rsidR="002C121A" w:rsidRPr="002C121A" w:rsidRDefault="002C121A" w:rsidP="00680D07">
      <w:pPr>
        <w:spacing w:after="0" w:line="276" w:lineRule="auto"/>
        <w:rPr>
          <w:rFonts w:ascii="Times New Roman" w:hAnsi="Times New Roman" w:cs="Times New Roman"/>
        </w:rPr>
      </w:pPr>
    </w:p>
    <w:p w14:paraId="0CED6140"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 xml:space="preserve">Severe trauma initiates a complex systemic response that extends beyond local tissue injury. Early activation of pro-inflammatory cytokines, including interleukin-6 (IL-6) and tumour necrosis factor-α (TNF-α), can reach markedly elevated levels within hours of injury, correlating with injury severity and subsequent organ </w:t>
      </w:r>
      <w:r w:rsidRPr="002C121A">
        <w:rPr>
          <w:rFonts w:ascii="Times New Roman" w:hAnsi="Times New Roman" w:cs="Times New Roman"/>
        </w:rPr>
        <w:lastRenderedPageBreak/>
        <w:t>dysfunction [54,55]. This inflammatory surge is accompanied by widespread endothelial glycocalyx disruption, increased vascular permeability, and microcirculatory impairment [58,59].</w:t>
      </w:r>
    </w:p>
    <w:p w14:paraId="67E34A90" w14:textId="77777777" w:rsidR="00680D07" w:rsidRPr="002C121A" w:rsidRDefault="00680D07" w:rsidP="00680D07">
      <w:pPr>
        <w:spacing w:after="0" w:line="276" w:lineRule="auto"/>
        <w:rPr>
          <w:rFonts w:ascii="Times New Roman" w:hAnsi="Times New Roman" w:cs="Times New Roman"/>
        </w:rPr>
      </w:pPr>
    </w:p>
    <w:p w14:paraId="09B89657"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The magnitude and persistence of this response influence postoperative trajectory. Elevated IL-6 concentrations have been associated with increased risk of ARDS and MOF [63]. MOF remains responsible for approximately 20–30% of late trauma deaths in contemporary registries [61]. The inflammatory response is not static; it may be amplified by additional surgical stress, particularly when definitive procedures are performed during periods of physiological instability. This interaction underlies the “second-hit” concept described in orthopaedic trauma literature [26,45].</w:t>
      </w:r>
    </w:p>
    <w:p w14:paraId="2C388937" w14:textId="77777777" w:rsidR="00680D07" w:rsidRPr="002C121A" w:rsidRDefault="00680D07" w:rsidP="00680D07">
      <w:pPr>
        <w:spacing w:after="0" w:line="276" w:lineRule="auto"/>
        <w:rPr>
          <w:rFonts w:ascii="Times New Roman" w:hAnsi="Times New Roman" w:cs="Times New Roman"/>
        </w:rPr>
      </w:pPr>
    </w:p>
    <w:p w14:paraId="096C4307"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Endothelial dysfunction plays a parallel role. Shedding of glycocalyx components, reflected by elevated circulating syndecan-1 levels, correlates with shock severity and capillary leak [58]. Excessive crystalloid administration during early resuscitation may compound interstitial oedema, increasing risk of pulmonary compromise and extremity compartment syndrome [62,98]. Positive fluid balance exceeding 2–3 litres within the first 24 hours has been associated with worse pulmonary outcomes in critically ill populations [98,99].</w:t>
      </w:r>
    </w:p>
    <w:p w14:paraId="3D78109A" w14:textId="77777777" w:rsidR="00680D07" w:rsidRPr="002C121A" w:rsidRDefault="00680D07" w:rsidP="00680D07">
      <w:pPr>
        <w:spacing w:after="0" w:line="276" w:lineRule="auto"/>
        <w:rPr>
          <w:rFonts w:ascii="Times New Roman" w:hAnsi="Times New Roman" w:cs="Times New Roman"/>
        </w:rPr>
      </w:pPr>
    </w:p>
    <w:p w14:paraId="19541898"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Metabolic consequences are equally important. Resting energy expenditure may increase by 20–50% following major trauma, accompanied by accelerated skeletal muscle protein breakdown [67–69]. Without early nutritional support and mobilisation, measurable lean mass loss can occur within days of ICU admission. Muscle wasting contributes to prolonged ventilatory dependence and delayed fracture rehabilitation [100].</w:t>
      </w:r>
    </w:p>
    <w:p w14:paraId="242711EF" w14:textId="77777777" w:rsidR="00680D07" w:rsidRPr="002C121A" w:rsidRDefault="00680D07" w:rsidP="00680D07">
      <w:pPr>
        <w:spacing w:after="0" w:line="276" w:lineRule="auto"/>
        <w:rPr>
          <w:rFonts w:ascii="Times New Roman" w:hAnsi="Times New Roman" w:cs="Times New Roman"/>
        </w:rPr>
      </w:pPr>
    </w:p>
    <w:p w14:paraId="4A4049C6"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Pulmonary vulnerability represents a central convergence point. ARDS develops in approximately 10–20% of patients with severe trauma and carries reported mortality rates of 30–46% depending on severity and system capacity [61,107,108]. Factors that intensify systemic inflammation—including delayed fracture stabilisation or excessive operative burden in unstable patients—have been associated with increased pulmonary complications [33,38].</w:t>
      </w:r>
    </w:p>
    <w:p w14:paraId="1BA8C4B2" w14:textId="77777777" w:rsidR="00680D07" w:rsidRPr="002C121A" w:rsidRDefault="00680D07" w:rsidP="00680D07">
      <w:pPr>
        <w:spacing w:after="0" w:line="276" w:lineRule="auto"/>
        <w:rPr>
          <w:rFonts w:ascii="Times New Roman" w:hAnsi="Times New Roman" w:cs="Times New Roman"/>
        </w:rPr>
      </w:pPr>
    </w:p>
    <w:p w14:paraId="1F5B0081"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Coagulopathy further complicates recovery. Trauma-induced coagulopathy has been reported in up to 25–35% of severely injured patients and is associated with increased mortality [57]. Delayed haemostatic control and transfusion imbalance may prolong inflammatory activation and organ dysfunction.</w:t>
      </w:r>
    </w:p>
    <w:p w14:paraId="5D8DF279" w14:textId="77777777" w:rsidR="00680D07" w:rsidRPr="002C121A" w:rsidRDefault="00680D07" w:rsidP="00680D07">
      <w:pPr>
        <w:spacing w:after="0" w:line="276" w:lineRule="auto"/>
        <w:rPr>
          <w:rFonts w:ascii="Times New Roman" w:hAnsi="Times New Roman" w:cs="Times New Roman"/>
        </w:rPr>
      </w:pPr>
    </w:p>
    <w:p w14:paraId="012F2AF6"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These biological processes are interconnected. Hyperinflammation, endothelial leak, metabolic stress, and immune suppression do not operate independently. Instead, they form a cascade in which early physiological decisions—resuscitation volume, timing of fixation, initiation of feeding—modulate downstream organ vulnerability.</w:t>
      </w:r>
    </w:p>
    <w:p w14:paraId="3AD7600F" w14:textId="77777777" w:rsidR="00B54120" w:rsidRDefault="00B54120" w:rsidP="00680D07">
      <w:pPr>
        <w:spacing w:after="0" w:line="276" w:lineRule="auto"/>
        <w:rPr>
          <w:rFonts w:ascii="Times New Roman" w:hAnsi="Times New Roman" w:cs="Times New Roman"/>
        </w:rPr>
      </w:pPr>
    </w:p>
    <w:p w14:paraId="65B8B6C6" w14:textId="77777777" w:rsidR="00B54120" w:rsidRPr="00F36343" w:rsidRDefault="00B54120" w:rsidP="00680D07">
      <w:pPr>
        <w:spacing w:after="0" w:line="276" w:lineRule="auto"/>
        <w:rPr>
          <w:rFonts w:ascii="Times New Roman" w:hAnsi="Times New Roman" w:cs="Times New Roman"/>
          <w:b/>
          <w:bCs/>
        </w:rPr>
      </w:pPr>
      <w:r w:rsidRPr="00F36343">
        <w:rPr>
          <w:rFonts w:ascii="Times New Roman" w:hAnsi="Times New Roman" w:cs="Times New Roman"/>
          <w:b/>
          <w:bCs/>
        </w:rPr>
        <w:t>Pre-Injury Vulnerability and Biological Age</w:t>
      </w:r>
    </w:p>
    <w:p w14:paraId="7A48B898" w14:textId="0A8FB74C" w:rsidR="00B54120" w:rsidRDefault="00B54120" w:rsidP="00680D07">
      <w:pPr>
        <w:spacing w:after="0" w:line="276" w:lineRule="auto"/>
        <w:rPr>
          <w:rFonts w:ascii="Times New Roman" w:hAnsi="Times New Roman" w:cs="Times New Roman"/>
        </w:rPr>
      </w:pPr>
      <w:r w:rsidRPr="00F36343">
        <w:rPr>
          <w:rFonts w:ascii="Times New Roman" w:hAnsi="Times New Roman" w:cs="Times New Roman"/>
        </w:rPr>
        <w:t xml:space="preserve">Inflammatory tolerance is not uniform across trauma patients. Advanced biological age and pre-existing sarcopenia are associated with reduced physiological reserve and impaired </w:t>
      </w:r>
      <w:proofErr w:type="spellStart"/>
      <w:r w:rsidRPr="00F36343">
        <w:rPr>
          <w:rFonts w:ascii="Times New Roman" w:hAnsi="Times New Roman" w:cs="Times New Roman"/>
        </w:rPr>
        <w:t>immunometabolic</w:t>
      </w:r>
      <w:proofErr w:type="spellEnd"/>
      <w:r w:rsidRPr="00F36343">
        <w:rPr>
          <w:rFonts w:ascii="Times New Roman" w:hAnsi="Times New Roman" w:cs="Times New Roman"/>
        </w:rPr>
        <w:t xml:space="preserve"> response [70,71]. Age-related alterations in inflammatory signalling and muscle regenerative capacity may amplify hypercatabolic effects following injury [67,71]. In older trauma populations, comparable injury severity scores may translate into higher rates of organ dysfunction and prolonged recovery [61]. Incorporating biological vulnerability into recovery sequencing may further individualise operative timing and metabolic strategy.</w:t>
      </w:r>
    </w:p>
    <w:p w14:paraId="4677820D" w14:textId="71C50356" w:rsidR="007D042B" w:rsidRDefault="007D042B" w:rsidP="00680D07">
      <w:pPr>
        <w:spacing w:after="0" w:line="276" w:lineRule="auto"/>
        <w:rPr>
          <w:rFonts w:ascii="Times New Roman" w:hAnsi="Times New Roman" w:cs="Times New Roman"/>
        </w:rPr>
      </w:pPr>
    </w:p>
    <w:p w14:paraId="2E1DF98C" w14:textId="4EFB3AB6" w:rsidR="007D042B" w:rsidRDefault="007D042B" w:rsidP="00680D07">
      <w:pPr>
        <w:spacing w:after="0" w:line="276" w:lineRule="auto"/>
        <w:rPr>
          <w:rFonts w:ascii="Times New Roman" w:hAnsi="Times New Roman" w:cs="Times New Roman"/>
        </w:rPr>
      </w:pPr>
    </w:p>
    <w:p w14:paraId="17084391" w14:textId="3314D749" w:rsidR="007D042B" w:rsidRDefault="007D042B" w:rsidP="00680D07">
      <w:pPr>
        <w:spacing w:after="0" w:line="276" w:lineRule="auto"/>
        <w:rPr>
          <w:rFonts w:ascii="Times New Roman" w:hAnsi="Times New Roman" w:cs="Times New Roman"/>
        </w:rPr>
      </w:pPr>
    </w:p>
    <w:p w14:paraId="4193DB8B" w14:textId="77777777" w:rsidR="007D042B" w:rsidRPr="002C121A" w:rsidRDefault="007D042B" w:rsidP="00680D07">
      <w:pPr>
        <w:spacing w:after="0" w:line="276" w:lineRule="auto"/>
        <w:rPr>
          <w:rFonts w:ascii="Times New Roman" w:hAnsi="Times New Roman" w:cs="Times New Roman"/>
        </w:rPr>
      </w:pPr>
    </w:p>
    <w:p w14:paraId="098FC788" w14:textId="299BEA25" w:rsidR="002C121A" w:rsidRPr="002C121A" w:rsidRDefault="002C121A" w:rsidP="00680D07">
      <w:pPr>
        <w:spacing w:after="0" w:line="276" w:lineRule="auto"/>
        <w:rPr>
          <w:rFonts w:ascii="Times New Roman" w:hAnsi="Times New Roman" w:cs="Times New Roman"/>
        </w:rPr>
      </w:pPr>
    </w:p>
    <w:p w14:paraId="2B9BF53C" w14:textId="77777777" w:rsidR="00680D07"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lastRenderedPageBreak/>
        <w:t>Figure 1. The Polytrauma Recovery Cascade: Biological Amplifiers and Intervention Overlay.</w:t>
      </w:r>
    </w:p>
    <w:p w14:paraId="3B713E9D" w14:textId="64CFE55B" w:rsidR="00A34858" w:rsidRDefault="00C12C64" w:rsidP="00680D07">
      <w:pPr>
        <w:spacing w:after="0" w:line="276" w:lineRule="auto"/>
        <w:rPr>
          <w:rFonts w:ascii="Times New Roman" w:hAnsi="Times New Roman" w:cs="Times New Roman"/>
        </w:rPr>
      </w:pPr>
      <w:r>
        <w:rPr>
          <w:noProof/>
        </w:rPr>
        <w:drawing>
          <wp:inline distT="0" distB="0" distL="0" distR="0" wp14:anchorId="169EC846" wp14:editId="2482F625">
            <wp:extent cx="6188710" cy="3980180"/>
            <wp:effectExtent l="0" t="0" r="2540" b="1270"/>
            <wp:docPr id="964526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26800" name=""/>
                    <pic:cNvPicPr/>
                  </pic:nvPicPr>
                  <pic:blipFill>
                    <a:blip r:embed="rId7"/>
                    <a:stretch>
                      <a:fillRect/>
                    </a:stretch>
                  </pic:blipFill>
                  <pic:spPr>
                    <a:xfrm>
                      <a:off x="0" y="0"/>
                      <a:ext cx="6188710" cy="3980180"/>
                    </a:xfrm>
                    <a:prstGeom prst="rect">
                      <a:avLst/>
                    </a:prstGeom>
                  </pic:spPr>
                </pic:pic>
              </a:graphicData>
            </a:graphic>
          </wp:inline>
        </w:drawing>
      </w:r>
    </w:p>
    <w:p w14:paraId="63751227" w14:textId="77777777" w:rsidR="00A34858" w:rsidRDefault="00A34858" w:rsidP="00680D07">
      <w:pPr>
        <w:spacing w:after="0" w:line="276" w:lineRule="auto"/>
        <w:rPr>
          <w:rFonts w:ascii="Times New Roman" w:hAnsi="Times New Roman" w:cs="Times New Roman"/>
        </w:rPr>
      </w:pPr>
    </w:p>
    <w:p w14:paraId="2D47A112" w14:textId="77777777" w:rsidR="00A34858" w:rsidRDefault="00A34858" w:rsidP="00680D07">
      <w:pPr>
        <w:spacing w:after="0" w:line="276" w:lineRule="auto"/>
        <w:rPr>
          <w:rFonts w:ascii="Times New Roman" w:hAnsi="Times New Roman" w:cs="Times New Roman"/>
        </w:rPr>
      </w:pPr>
    </w:p>
    <w:p w14:paraId="4C0B46C4" w14:textId="77777777" w:rsidR="00A34858" w:rsidRDefault="00A34858" w:rsidP="00680D07">
      <w:pPr>
        <w:spacing w:after="0" w:line="276" w:lineRule="auto"/>
        <w:rPr>
          <w:rFonts w:ascii="Times New Roman" w:hAnsi="Times New Roman" w:cs="Times New Roman"/>
        </w:rPr>
      </w:pPr>
    </w:p>
    <w:p w14:paraId="020A267C" w14:textId="2FFB0568"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br/>
        <w:t xml:space="preserve">This figure illustrates the progression from initial injury and haemorrhage to systemic inflammatory activation, endothelial dysfunction, </w:t>
      </w:r>
      <w:proofErr w:type="spellStart"/>
      <w:r w:rsidRPr="002C121A">
        <w:rPr>
          <w:rFonts w:ascii="Times New Roman" w:hAnsi="Times New Roman" w:cs="Times New Roman"/>
        </w:rPr>
        <w:t>hypercatabolism</w:t>
      </w:r>
      <w:proofErr w:type="spellEnd"/>
      <w:r w:rsidRPr="002C121A">
        <w:rPr>
          <w:rFonts w:ascii="Times New Roman" w:hAnsi="Times New Roman" w:cs="Times New Roman"/>
        </w:rPr>
        <w:t>, and pulmonary vulnerability. Overlay arrows demonstrate points at which Tier 1 interventions (early nutrition, fluid discipline, physiologically guided fixation, antimicrobial prophylaxis, and mobilisation) may attenuate downstream complications including ARDS, MOF, and infection.</w:t>
      </w:r>
    </w:p>
    <w:p w14:paraId="5A730763" w14:textId="77777777" w:rsidR="002C121A" w:rsidRPr="002C121A" w:rsidRDefault="0027162B" w:rsidP="00680D07">
      <w:pPr>
        <w:spacing w:after="0" w:line="276" w:lineRule="auto"/>
        <w:rPr>
          <w:rFonts w:ascii="Times New Roman" w:hAnsi="Times New Roman" w:cs="Times New Roman"/>
        </w:rPr>
      </w:pPr>
      <w:r>
        <w:rPr>
          <w:rFonts w:ascii="Times New Roman" w:hAnsi="Times New Roman" w:cs="Times New Roman"/>
          <w:noProof/>
        </w:rPr>
        <w:pict w14:anchorId="061190ED">
          <v:rect id="_x0000_i1025" style="width:0;height:1.5pt" o:hralign="center" o:hrstd="t" o:hr="t" fillcolor="#a0a0a0" stroked="f"/>
        </w:pict>
      </w:r>
    </w:p>
    <w:p w14:paraId="76B15D5F" w14:textId="77777777" w:rsidR="00680D07" w:rsidRDefault="00680D07" w:rsidP="00680D07">
      <w:pPr>
        <w:spacing w:after="0" w:line="276" w:lineRule="auto"/>
        <w:rPr>
          <w:rFonts w:ascii="Segoe UI Emoji" w:hAnsi="Segoe UI Emoji" w:cs="Segoe UI Emoji"/>
          <w:b/>
          <w:bCs/>
        </w:rPr>
      </w:pPr>
    </w:p>
    <w:p w14:paraId="3A3CB32D" w14:textId="3C572849"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b/>
          <w:bCs/>
        </w:rPr>
        <w:t>Table 2. Biological Amplifiers in Polytrauma: Quantitative Mechanisms and Recovery Implications</w:t>
      </w:r>
    </w:p>
    <w:p w14:paraId="3CFDD063" w14:textId="77777777" w:rsidR="002C121A" w:rsidRDefault="002C121A" w:rsidP="00680D07">
      <w:pPr>
        <w:spacing w:after="0" w:line="276" w:lineRule="auto"/>
        <w:rPr>
          <w:rFonts w:ascii="Times New Roman" w:hAnsi="Times New Roman" w:cs="Times New Roman"/>
        </w:rPr>
      </w:pPr>
    </w:p>
    <w:p w14:paraId="4420323D" w14:textId="77777777" w:rsidR="00717547" w:rsidRPr="00680D07" w:rsidRDefault="00717547" w:rsidP="00717547">
      <w:pPr>
        <w:spacing w:after="0" w:line="276" w:lineRule="auto"/>
        <w:rPr>
          <w:rFonts w:ascii="Times New Roman" w:hAnsi="Times New Roman" w:cs="Times New Roman"/>
        </w:rPr>
      </w:pPr>
    </w:p>
    <w:tbl>
      <w:tblPr>
        <w:tblStyle w:val="TableGrid"/>
        <w:tblW w:w="0" w:type="auto"/>
        <w:tblLook w:val="04A0" w:firstRow="1" w:lastRow="0" w:firstColumn="1" w:lastColumn="0" w:noHBand="0" w:noVBand="1"/>
      </w:tblPr>
      <w:tblGrid>
        <w:gridCol w:w="1546"/>
        <w:gridCol w:w="1549"/>
        <w:gridCol w:w="1578"/>
        <w:gridCol w:w="1228"/>
        <w:gridCol w:w="1256"/>
        <w:gridCol w:w="1597"/>
        <w:gridCol w:w="982"/>
      </w:tblGrid>
      <w:tr w:rsidR="00717547" w:rsidRPr="00030269" w14:paraId="6341607C" w14:textId="77777777" w:rsidTr="00FA527B">
        <w:tc>
          <w:tcPr>
            <w:tcW w:w="0" w:type="auto"/>
            <w:hideMark/>
          </w:tcPr>
          <w:p w14:paraId="223432A4"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Mechanistic Domain</w:t>
            </w:r>
          </w:p>
        </w:tc>
        <w:tc>
          <w:tcPr>
            <w:tcW w:w="0" w:type="auto"/>
            <w:hideMark/>
          </w:tcPr>
          <w:p w14:paraId="4787874F"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Quantitative Biological Signal</w:t>
            </w:r>
          </w:p>
        </w:tc>
        <w:tc>
          <w:tcPr>
            <w:tcW w:w="0" w:type="auto"/>
            <w:hideMark/>
          </w:tcPr>
          <w:p w14:paraId="355EB159"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Incidence / Magnitude</w:t>
            </w:r>
          </w:p>
        </w:tc>
        <w:tc>
          <w:tcPr>
            <w:tcW w:w="0" w:type="auto"/>
            <w:hideMark/>
          </w:tcPr>
          <w:p w14:paraId="0CC68065"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Clinical Manifestation</w:t>
            </w:r>
          </w:p>
        </w:tc>
        <w:tc>
          <w:tcPr>
            <w:tcW w:w="0" w:type="auto"/>
            <w:hideMark/>
          </w:tcPr>
          <w:p w14:paraId="36386D19"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Interaction with Abdominal &amp; Orthopaedic Injury</w:t>
            </w:r>
          </w:p>
        </w:tc>
        <w:tc>
          <w:tcPr>
            <w:tcW w:w="0" w:type="auto"/>
            <w:hideMark/>
          </w:tcPr>
          <w:p w14:paraId="2DBE19B8"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Recovery-Relevant Intervention</w:t>
            </w:r>
          </w:p>
        </w:tc>
        <w:tc>
          <w:tcPr>
            <w:tcW w:w="0" w:type="auto"/>
            <w:hideMark/>
          </w:tcPr>
          <w:p w14:paraId="70ED862D"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Key Refs</w:t>
            </w:r>
          </w:p>
        </w:tc>
      </w:tr>
      <w:tr w:rsidR="00717547" w:rsidRPr="00030269" w14:paraId="281FACDE" w14:textId="77777777" w:rsidTr="00FA527B">
        <w:tc>
          <w:tcPr>
            <w:tcW w:w="0" w:type="auto"/>
            <w:hideMark/>
          </w:tcPr>
          <w:p w14:paraId="5E1F63DD"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Systemic inflammatory activation</w:t>
            </w:r>
          </w:p>
        </w:tc>
        <w:tc>
          <w:tcPr>
            <w:tcW w:w="0" w:type="auto"/>
            <w:hideMark/>
          </w:tcPr>
          <w:p w14:paraId="754707E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IL-6 levels &gt;500–1,000 </w:t>
            </w:r>
            <w:proofErr w:type="spellStart"/>
            <w:r w:rsidRPr="00030269">
              <w:rPr>
                <w:rFonts w:ascii="Times New Roman" w:hAnsi="Times New Roman" w:cs="Times New Roman"/>
              </w:rPr>
              <w:t>pg</w:t>
            </w:r>
            <w:proofErr w:type="spellEnd"/>
            <w:r w:rsidRPr="00030269">
              <w:rPr>
                <w:rFonts w:ascii="Times New Roman" w:hAnsi="Times New Roman" w:cs="Times New Roman"/>
              </w:rPr>
              <w:t xml:space="preserve">/mL in severe trauma; early cytokine </w:t>
            </w:r>
            <w:r w:rsidRPr="00030269">
              <w:rPr>
                <w:rFonts w:ascii="Times New Roman" w:hAnsi="Times New Roman" w:cs="Times New Roman"/>
              </w:rPr>
              <w:lastRenderedPageBreak/>
              <w:t>surge within hours</w:t>
            </w:r>
          </w:p>
        </w:tc>
        <w:tc>
          <w:tcPr>
            <w:tcW w:w="0" w:type="auto"/>
            <w:hideMark/>
          </w:tcPr>
          <w:p w14:paraId="4107E57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 xml:space="preserve">Elevated cytokines correlate with injury severity; genomic </w:t>
            </w:r>
            <w:r w:rsidRPr="00030269">
              <w:rPr>
                <w:rFonts w:ascii="Times New Roman" w:hAnsi="Times New Roman" w:cs="Times New Roman"/>
              </w:rPr>
              <w:lastRenderedPageBreak/>
              <w:t>activation within 12–24h</w:t>
            </w:r>
          </w:p>
        </w:tc>
        <w:tc>
          <w:tcPr>
            <w:tcW w:w="0" w:type="auto"/>
            <w:hideMark/>
          </w:tcPr>
          <w:p w14:paraId="66FBD6E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SIRS, fever, tachycardia</w:t>
            </w:r>
          </w:p>
        </w:tc>
        <w:tc>
          <w:tcPr>
            <w:tcW w:w="0" w:type="auto"/>
            <w:hideMark/>
          </w:tcPr>
          <w:p w14:paraId="666F7A3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Amplified by prolonged operative time </w:t>
            </w:r>
            <w:r w:rsidRPr="00030269">
              <w:rPr>
                <w:rFonts w:ascii="Times New Roman" w:hAnsi="Times New Roman" w:cs="Times New Roman"/>
              </w:rPr>
              <w:lastRenderedPageBreak/>
              <w:t>(“second hit”)</w:t>
            </w:r>
          </w:p>
        </w:tc>
        <w:tc>
          <w:tcPr>
            <w:tcW w:w="0" w:type="auto"/>
            <w:hideMark/>
          </w:tcPr>
          <w:p w14:paraId="5DB048D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Physiologically guided fixation timing</w:t>
            </w:r>
          </w:p>
        </w:tc>
        <w:tc>
          <w:tcPr>
            <w:tcW w:w="0" w:type="auto"/>
            <w:hideMark/>
          </w:tcPr>
          <w:p w14:paraId="4EE7A7D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54,55,63</w:t>
            </w:r>
          </w:p>
        </w:tc>
      </w:tr>
      <w:tr w:rsidR="00717547" w:rsidRPr="00030269" w14:paraId="4272DE5B" w14:textId="77777777" w:rsidTr="00FA527B">
        <w:tc>
          <w:tcPr>
            <w:tcW w:w="0" w:type="auto"/>
            <w:hideMark/>
          </w:tcPr>
          <w:p w14:paraId="6237837C"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Second-hit inflammatory amplification</w:t>
            </w:r>
          </w:p>
        </w:tc>
        <w:tc>
          <w:tcPr>
            <w:tcW w:w="0" w:type="auto"/>
            <w:hideMark/>
          </w:tcPr>
          <w:p w14:paraId="06BC06C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Increased TNF-α &amp; IL-6 after major surgery in unstable patients</w:t>
            </w:r>
          </w:p>
        </w:tc>
        <w:tc>
          <w:tcPr>
            <w:tcW w:w="0" w:type="auto"/>
            <w:hideMark/>
          </w:tcPr>
          <w:p w14:paraId="765D259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Higher MOF rates when fixation performed during inflammatory peak</w:t>
            </w:r>
          </w:p>
        </w:tc>
        <w:tc>
          <w:tcPr>
            <w:tcW w:w="0" w:type="auto"/>
            <w:hideMark/>
          </w:tcPr>
          <w:p w14:paraId="6E77B9C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ARDS, MOF</w:t>
            </w:r>
          </w:p>
        </w:tc>
        <w:tc>
          <w:tcPr>
            <w:tcW w:w="0" w:type="auto"/>
            <w:hideMark/>
          </w:tcPr>
          <w:p w14:paraId="021F738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Delayed or excessive fixation worsens inflammatory load</w:t>
            </w:r>
          </w:p>
        </w:tc>
        <w:tc>
          <w:tcPr>
            <w:tcW w:w="0" w:type="auto"/>
            <w:hideMark/>
          </w:tcPr>
          <w:p w14:paraId="0BA06A6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Damage control orthopaedics when unstable</w:t>
            </w:r>
          </w:p>
        </w:tc>
        <w:tc>
          <w:tcPr>
            <w:tcW w:w="0" w:type="auto"/>
            <w:hideMark/>
          </w:tcPr>
          <w:p w14:paraId="241E88C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26,45,106</w:t>
            </w:r>
          </w:p>
        </w:tc>
      </w:tr>
      <w:tr w:rsidR="00717547" w:rsidRPr="00030269" w14:paraId="14BBFE89" w14:textId="77777777" w:rsidTr="00FA527B">
        <w:tc>
          <w:tcPr>
            <w:tcW w:w="0" w:type="auto"/>
            <w:hideMark/>
          </w:tcPr>
          <w:p w14:paraId="4BC914FF"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Endothelial glycocalyx shedding</w:t>
            </w:r>
          </w:p>
        </w:tc>
        <w:tc>
          <w:tcPr>
            <w:tcW w:w="0" w:type="auto"/>
            <w:hideMark/>
          </w:tcPr>
          <w:p w14:paraId="7C376B2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Elevated syndecan-1 levels associated with shock severity</w:t>
            </w:r>
          </w:p>
        </w:tc>
        <w:tc>
          <w:tcPr>
            <w:tcW w:w="0" w:type="auto"/>
            <w:hideMark/>
          </w:tcPr>
          <w:p w14:paraId="751796C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Increased vascular permeability proportional to shock duration</w:t>
            </w:r>
          </w:p>
        </w:tc>
        <w:tc>
          <w:tcPr>
            <w:tcW w:w="0" w:type="auto"/>
            <w:hideMark/>
          </w:tcPr>
          <w:p w14:paraId="2501479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Tissue oedema, hypotension</w:t>
            </w:r>
          </w:p>
        </w:tc>
        <w:tc>
          <w:tcPr>
            <w:tcW w:w="0" w:type="auto"/>
            <w:hideMark/>
          </w:tcPr>
          <w:p w14:paraId="3D24FF5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Bowel wall oedema, compartment syndrome</w:t>
            </w:r>
          </w:p>
        </w:tc>
        <w:tc>
          <w:tcPr>
            <w:tcW w:w="0" w:type="auto"/>
            <w:hideMark/>
          </w:tcPr>
          <w:p w14:paraId="4F658ED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Restrictive / balanced fluid strategy</w:t>
            </w:r>
          </w:p>
        </w:tc>
        <w:tc>
          <w:tcPr>
            <w:tcW w:w="0" w:type="auto"/>
            <w:hideMark/>
          </w:tcPr>
          <w:p w14:paraId="0626ACB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58,59</w:t>
            </w:r>
          </w:p>
        </w:tc>
      </w:tr>
      <w:tr w:rsidR="00717547" w:rsidRPr="00030269" w14:paraId="7030476B" w14:textId="77777777" w:rsidTr="00FA527B">
        <w:tc>
          <w:tcPr>
            <w:tcW w:w="0" w:type="auto"/>
            <w:hideMark/>
          </w:tcPr>
          <w:p w14:paraId="0B208765"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Capillary leak &amp; fluid overload</w:t>
            </w:r>
          </w:p>
        </w:tc>
        <w:tc>
          <w:tcPr>
            <w:tcW w:w="0" w:type="auto"/>
            <w:hideMark/>
          </w:tcPr>
          <w:p w14:paraId="79F6D4F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Positive fluid balance &gt;2–3 L first 24h associated with worse pulmonary outcomes</w:t>
            </w:r>
          </w:p>
        </w:tc>
        <w:tc>
          <w:tcPr>
            <w:tcW w:w="0" w:type="auto"/>
            <w:hideMark/>
          </w:tcPr>
          <w:p w14:paraId="0D54756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Increased ventilator days with fluid accumulation</w:t>
            </w:r>
          </w:p>
        </w:tc>
        <w:tc>
          <w:tcPr>
            <w:tcW w:w="0" w:type="auto"/>
            <w:hideMark/>
          </w:tcPr>
          <w:p w14:paraId="7C27AA8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Pulmonary oedema, ARDS</w:t>
            </w:r>
          </w:p>
        </w:tc>
        <w:tc>
          <w:tcPr>
            <w:tcW w:w="0" w:type="auto"/>
            <w:hideMark/>
          </w:tcPr>
          <w:p w14:paraId="18C6084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Abdominal closure tension, limb swelling</w:t>
            </w:r>
          </w:p>
        </w:tc>
        <w:tc>
          <w:tcPr>
            <w:tcW w:w="0" w:type="auto"/>
            <w:hideMark/>
          </w:tcPr>
          <w:p w14:paraId="0037B8B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fluid de-escalation</w:t>
            </w:r>
          </w:p>
        </w:tc>
        <w:tc>
          <w:tcPr>
            <w:tcW w:w="0" w:type="auto"/>
            <w:hideMark/>
          </w:tcPr>
          <w:p w14:paraId="74B5740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98,99</w:t>
            </w:r>
          </w:p>
        </w:tc>
      </w:tr>
      <w:tr w:rsidR="00717547" w:rsidRPr="00030269" w14:paraId="49656C6C" w14:textId="77777777" w:rsidTr="00FA527B">
        <w:tc>
          <w:tcPr>
            <w:tcW w:w="0" w:type="auto"/>
            <w:hideMark/>
          </w:tcPr>
          <w:p w14:paraId="0730C23F" w14:textId="77777777" w:rsidR="00717547" w:rsidRPr="00030269" w:rsidRDefault="00717547" w:rsidP="00FA527B">
            <w:pPr>
              <w:spacing w:line="276" w:lineRule="auto"/>
              <w:rPr>
                <w:rFonts w:ascii="Times New Roman" w:hAnsi="Times New Roman" w:cs="Times New Roman"/>
                <w:b/>
                <w:bCs/>
              </w:rPr>
            </w:pPr>
            <w:proofErr w:type="spellStart"/>
            <w:r w:rsidRPr="00030269">
              <w:rPr>
                <w:rFonts w:ascii="Times New Roman" w:hAnsi="Times New Roman" w:cs="Times New Roman"/>
                <w:b/>
                <w:bCs/>
              </w:rPr>
              <w:t>Hypercatabolism</w:t>
            </w:r>
            <w:proofErr w:type="spellEnd"/>
          </w:p>
        </w:tc>
        <w:tc>
          <w:tcPr>
            <w:tcW w:w="0" w:type="auto"/>
            <w:hideMark/>
          </w:tcPr>
          <w:p w14:paraId="74988D6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Resting energy expenditure ↑ 20–50% post major trauma</w:t>
            </w:r>
          </w:p>
        </w:tc>
        <w:tc>
          <w:tcPr>
            <w:tcW w:w="0" w:type="auto"/>
            <w:hideMark/>
          </w:tcPr>
          <w:p w14:paraId="1B7684B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Muscle protein breakdown persists weeks</w:t>
            </w:r>
          </w:p>
        </w:tc>
        <w:tc>
          <w:tcPr>
            <w:tcW w:w="0" w:type="auto"/>
            <w:hideMark/>
          </w:tcPr>
          <w:p w14:paraId="2CCD119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Lean mass loss 10–15% in severe injury</w:t>
            </w:r>
          </w:p>
        </w:tc>
        <w:tc>
          <w:tcPr>
            <w:tcW w:w="0" w:type="auto"/>
            <w:hideMark/>
          </w:tcPr>
          <w:p w14:paraId="52292D9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Impaired fracture healing, delayed wound repair</w:t>
            </w:r>
          </w:p>
        </w:tc>
        <w:tc>
          <w:tcPr>
            <w:tcW w:w="0" w:type="auto"/>
            <w:hideMark/>
          </w:tcPr>
          <w:p w14:paraId="10C6E23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enteral nutrition</w:t>
            </w:r>
          </w:p>
        </w:tc>
        <w:tc>
          <w:tcPr>
            <w:tcW w:w="0" w:type="auto"/>
            <w:hideMark/>
          </w:tcPr>
          <w:p w14:paraId="38E1CC3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67–69</w:t>
            </w:r>
          </w:p>
        </w:tc>
      </w:tr>
      <w:tr w:rsidR="00717547" w:rsidRPr="00030269" w14:paraId="7A485BD0" w14:textId="77777777" w:rsidTr="00FA527B">
        <w:tc>
          <w:tcPr>
            <w:tcW w:w="0" w:type="auto"/>
            <w:hideMark/>
          </w:tcPr>
          <w:p w14:paraId="52FD356A"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Skeletal muscle loss</w:t>
            </w:r>
          </w:p>
        </w:tc>
        <w:tc>
          <w:tcPr>
            <w:tcW w:w="0" w:type="auto"/>
            <w:hideMark/>
          </w:tcPr>
          <w:p w14:paraId="56F6F69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Up to 1–1.5% muscle mass loss per ICU day without mobilisation</w:t>
            </w:r>
          </w:p>
        </w:tc>
        <w:tc>
          <w:tcPr>
            <w:tcW w:w="0" w:type="auto"/>
            <w:hideMark/>
          </w:tcPr>
          <w:p w14:paraId="5B5F5CA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ICU-acquired weakness common after &gt;7 days</w:t>
            </w:r>
          </w:p>
        </w:tc>
        <w:tc>
          <w:tcPr>
            <w:tcW w:w="0" w:type="auto"/>
            <w:hideMark/>
          </w:tcPr>
          <w:p w14:paraId="7471F29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Delayed ambulation</w:t>
            </w:r>
          </w:p>
        </w:tc>
        <w:tc>
          <w:tcPr>
            <w:tcW w:w="0" w:type="auto"/>
            <w:hideMark/>
          </w:tcPr>
          <w:p w14:paraId="5274841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Limits fracture rehabilitation</w:t>
            </w:r>
          </w:p>
        </w:tc>
        <w:tc>
          <w:tcPr>
            <w:tcW w:w="0" w:type="auto"/>
            <w:hideMark/>
          </w:tcPr>
          <w:p w14:paraId="5AFC3C4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mobilisation</w:t>
            </w:r>
          </w:p>
        </w:tc>
        <w:tc>
          <w:tcPr>
            <w:tcW w:w="0" w:type="auto"/>
            <w:hideMark/>
          </w:tcPr>
          <w:p w14:paraId="19A2169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100</w:t>
            </w:r>
          </w:p>
        </w:tc>
      </w:tr>
      <w:tr w:rsidR="00717547" w:rsidRPr="00030269" w14:paraId="0797513B" w14:textId="77777777" w:rsidTr="00FA527B">
        <w:tc>
          <w:tcPr>
            <w:tcW w:w="0" w:type="auto"/>
            <w:hideMark/>
          </w:tcPr>
          <w:p w14:paraId="44F74208"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Immune suppression phase</w:t>
            </w:r>
          </w:p>
        </w:tc>
        <w:tc>
          <w:tcPr>
            <w:tcW w:w="0" w:type="auto"/>
            <w:hideMark/>
          </w:tcPr>
          <w:p w14:paraId="5CAD165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Lymphocyte dysfunction days 3–7 post trauma</w:t>
            </w:r>
          </w:p>
        </w:tc>
        <w:tc>
          <w:tcPr>
            <w:tcW w:w="0" w:type="auto"/>
            <w:hideMark/>
          </w:tcPr>
          <w:p w14:paraId="773E842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Increased infection risk during immunosuppressive phase</w:t>
            </w:r>
          </w:p>
        </w:tc>
        <w:tc>
          <w:tcPr>
            <w:tcW w:w="0" w:type="auto"/>
            <w:hideMark/>
          </w:tcPr>
          <w:p w14:paraId="3460E51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SSI, pneumonia</w:t>
            </w:r>
          </w:p>
        </w:tc>
        <w:tc>
          <w:tcPr>
            <w:tcW w:w="0" w:type="auto"/>
            <w:hideMark/>
          </w:tcPr>
          <w:p w14:paraId="0441BF9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Implant-associated infection risk</w:t>
            </w:r>
          </w:p>
        </w:tc>
        <w:tc>
          <w:tcPr>
            <w:tcW w:w="0" w:type="auto"/>
            <w:hideMark/>
          </w:tcPr>
          <w:p w14:paraId="695F864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Timely antimicrobial prophylaxis</w:t>
            </w:r>
          </w:p>
        </w:tc>
        <w:tc>
          <w:tcPr>
            <w:tcW w:w="0" w:type="auto"/>
            <w:hideMark/>
          </w:tcPr>
          <w:p w14:paraId="10AE3E4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54,95</w:t>
            </w:r>
          </w:p>
        </w:tc>
      </w:tr>
      <w:tr w:rsidR="00717547" w:rsidRPr="00030269" w14:paraId="410270AD" w14:textId="77777777" w:rsidTr="00FA527B">
        <w:tc>
          <w:tcPr>
            <w:tcW w:w="0" w:type="auto"/>
            <w:hideMark/>
          </w:tcPr>
          <w:p w14:paraId="53140373"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ARDS pathophysiology</w:t>
            </w:r>
          </w:p>
        </w:tc>
        <w:tc>
          <w:tcPr>
            <w:tcW w:w="0" w:type="auto"/>
            <w:hideMark/>
          </w:tcPr>
          <w:p w14:paraId="41D5236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Incidence ~10–20% severe trauma; mortality 30–46%</w:t>
            </w:r>
          </w:p>
        </w:tc>
        <w:tc>
          <w:tcPr>
            <w:tcW w:w="0" w:type="auto"/>
            <w:hideMark/>
          </w:tcPr>
          <w:p w14:paraId="28BBEAFB" w14:textId="77777777" w:rsidR="00717547" w:rsidRPr="00030269" w:rsidRDefault="00717547" w:rsidP="00FA527B">
            <w:pPr>
              <w:spacing w:line="276" w:lineRule="auto"/>
              <w:rPr>
                <w:rFonts w:ascii="Times New Roman" w:hAnsi="Times New Roman" w:cs="Times New Roman"/>
              </w:rPr>
            </w:pPr>
            <w:proofErr w:type="spellStart"/>
            <w:r w:rsidRPr="00030269">
              <w:rPr>
                <w:rFonts w:ascii="Times New Roman" w:hAnsi="Times New Roman" w:cs="Times New Roman"/>
              </w:rPr>
              <w:t>PaO</w:t>
            </w:r>
            <w:proofErr w:type="spellEnd"/>
            <w:r w:rsidRPr="00030269">
              <w:rPr>
                <w:rFonts w:ascii="Times New Roman" w:hAnsi="Times New Roman" w:cs="Times New Roman"/>
              </w:rPr>
              <w:t>₂/</w:t>
            </w:r>
            <w:proofErr w:type="spellStart"/>
            <w:r w:rsidRPr="00030269">
              <w:rPr>
                <w:rFonts w:ascii="Times New Roman" w:hAnsi="Times New Roman" w:cs="Times New Roman"/>
              </w:rPr>
              <w:t>FiO</w:t>
            </w:r>
            <w:proofErr w:type="spellEnd"/>
            <w:r w:rsidRPr="00030269">
              <w:rPr>
                <w:rFonts w:ascii="Times New Roman" w:hAnsi="Times New Roman" w:cs="Times New Roman"/>
              </w:rPr>
              <w:t>₂ ratio &lt;200 in moderate-severe ARDS</w:t>
            </w:r>
          </w:p>
        </w:tc>
        <w:tc>
          <w:tcPr>
            <w:tcW w:w="0" w:type="auto"/>
            <w:hideMark/>
          </w:tcPr>
          <w:p w14:paraId="4C325A6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Prolonged ventilation</w:t>
            </w:r>
          </w:p>
        </w:tc>
        <w:tc>
          <w:tcPr>
            <w:tcW w:w="0" w:type="auto"/>
            <w:hideMark/>
          </w:tcPr>
          <w:p w14:paraId="42C201B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Delayed fixation increases pulmonary inflammatory burden</w:t>
            </w:r>
          </w:p>
        </w:tc>
        <w:tc>
          <w:tcPr>
            <w:tcW w:w="0" w:type="auto"/>
            <w:hideMark/>
          </w:tcPr>
          <w:p w14:paraId="27C9D34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stabilisation when stable</w:t>
            </w:r>
          </w:p>
        </w:tc>
        <w:tc>
          <w:tcPr>
            <w:tcW w:w="0" w:type="auto"/>
            <w:hideMark/>
          </w:tcPr>
          <w:p w14:paraId="04BC25C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61,107,108</w:t>
            </w:r>
          </w:p>
        </w:tc>
      </w:tr>
      <w:tr w:rsidR="00717547" w:rsidRPr="00030269" w14:paraId="7462A762" w14:textId="77777777" w:rsidTr="00FA527B">
        <w:tc>
          <w:tcPr>
            <w:tcW w:w="0" w:type="auto"/>
            <w:hideMark/>
          </w:tcPr>
          <w:p w14:paraId="15A982D4"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Multiple organ failure (MOF)</w:t>
            </w:r>
          </w:p>
        </w:tc>
        <w:tc>
          <w:tcPr>
            <w:tcW w:w="0" w:type="auto"/>
            <w:hideMark/>
          </w:tcPr>
          <w:p w14:paraId="230CBAA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Accounts for ~20–30% of </w:t>
            </w:r>
            <w:r w:rsidRPr="00030269">
              <w:rPr>
                <w:rFonts w:ascii="Times New Roman" w:hAnsi="Times New Roman" w:cs="Times New Roman"/>
              </w:rPr>
              <w:lastRenderedPageBreak/>
              <w:t>late trauma deaths</w:t>
            </w:r>
          </w:p>
        </w:tc>
        <w:tc>
          <w:tcPr>
            <w:tcW w:w="0" w:type="auto"/>
            <w:hideMark/>
          </w:tcPr>
          <w:p w14:paraId="3A61AF5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 xml:space="preserve">Late mortality after initial </w:t>
            </w:r>
            <w:r w:rsidRPr="00030269">
              <w:rPr>
                <w:rFonts w:ascii="Times New Roman" w:hAnsi="Times New Roman" w:cs="Times New Roman"/>
              </w:rPr>
              <w:lastRenderedPageBreak/>
              <w:t>haemorrhage control</w:t>
            </w:r>
          </w:p>
        </w:tc>
        <w:tc>
          <w:tcPr>
            <w:tcW w:w="0" w:type="auto"/>
            <w:hideMark/>
          </w:tcPr>
          <w:p w14:paraId="5090CDE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 xml:space="preserve">Renal, pulmonary, </w:t>
            </w:r>
            <w:r w:rsidRPr="00030269">
              <w:rPr>
                <w:rFonts w:ascii="Times New Roman" w:hAnsi="Times New Roman" w:cs="Times New Roman"/>
              </w:rPr>
              <w:lastRenderedPageBreak/>
              <w:t>cardiovascular failure</w:t>
            </w:r>
          </w:p>
        </w:tc>
        <w:tc>
          <w:tcPr>
            <w:tcW w:w="0" w:type="auto"/>
            <w:hideMark/>
          </w:tcPr>
          <w:p w14:paraId="5E374E2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 xml:space="preserve">Mistimed surgical stress </w:t>
            </w:r>
            <w:r w:rsidRPr="00030269">
              <w:rPr>
                <w:rFonts w:ascii="Times New Roman" w:hAnsi="Times New Roman" w:cs="Times New Roman"/>
              </w:rPr>
              <w:lastRenderedPageBreak/>
              <w:t>exacerbates MOF</w:t>
            </w:r>
          </w:p>
        </w:tc>
        <w:tc>
          <w:tcPr>
            <w:tcW w:w="0" w:type="auto"/>
            <w:hideMark/>
          </w:tcPr>
          <w:p w14:paraId="0ABE6CC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Staged operative approach</w:t>
            </w:r>
          </w:p>
        </w:tc>
        <w:tc>
          <w:tcPr>
            <w:tcW w:w="0" w:type="auto"/>
            <w:hideMark/>
          </w:tcPr>
          <w:p w14:paraId="4660387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61,26</w:t>
            </w:r>
          </w:p>
        </w:tc>
      </w:tr>
      <w:tr w:rsidR="00717547" w:rsidRPr="00030269" w14:paraId="21C6AEDB" w14:textId="77777777" w:rsidTr="00FA527B">
        <w:tc>
          <w:tcPr>
            <w:tcW w:w="0" w:type="auto"/>
            <w:hideMark/>
          </w:tcPr>
          <w:p w14:paraId="07BC545D"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Coagulopathy &amp; endothelial injury</w:t>
            </w:r>
          </w:p>
        </w:tc>
        <w:tc>
          <w:tcPr>
            <w:tcW w:w="0" w:type="auto"/>
            <w:hideMark/>
          </w:tcPr>
          <w:p w14:paraId="5EFD2DB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Trauma-induced coagulopathy present in up to 25–35% severe trauma</w:t>
            </w:r>
          </w:p>
        </w:tc>
        <w:tc>
          <w:tcPr>
            <w:tcW w:w="0" w:type="auto"/>
            <w:hideMark/>
          </w:tcPr>
          <w:p w14:paraId="31CF3BE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Associated with 3–4× mortality</w:t>
            </w:r>
          </w:p>
        </w:tc>
        <w:tc>
          <w:tcPr>
            <w:tcW w:w="0" w:type="auto"/>
            <w:hideMark/>
          </w:tcPr>
          <w:p w14:paraId="76396A1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Bleeding, transfusion need</w:t>
            </w:r>
          </w:p>
        </w:tc>
        <w:tc>
          <w:tcPr>
            <w:tcW w:w="0" w:type="auto"/>
            <w:hideMark/>
          </w:tcPr>
          <w:p w14:paraId="13A7495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Increased inflammatory amplification</w:t>
            </w:r>
          </w:p>
        </w:tc>
        <w:tc>
          <w:tcPr>
            <w:tcW w:w="0" w:type="auto"/>
            <w:hideMark/>
          </w:tcPr>
          <w:p w14:paraId="13B5AB4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haemostatic control</w:t>
            </w:r>
          </w:p>
        </w:tc>
        <w:tc>
          <w:tcPr>
            <w:tcW w:w="0" w:type="auto"/>
            <w:hideMark/>
          </w:tcPr>
          <w:p w14:paraId="3B78BBB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57,104</w:t>
            </w:r>
          </w:p>
        </w:tc>
      </w:tr>
      <w:tr w:rsidR="00717547" w:rsidRPr="00030269" w14:paraId="3CCC58F2" w14:textId="77777777" w:rsidTr="00FA527B">
        <w:tc>
          <w:tcPr>
            <w:tcW w:w="0" w:type="auto"/>
            <w:hideMark/>
          </w:tcPr>
          <w:p w14:paraId="5E2ECAB1"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Venous thromboembolism</w:t>
            </w:r>
          </w:p>
        </w:tc>
        <w:tc>
          <w:tcPr>
            <w:tcW w:w="0" w:type="auto"/>
            <w:hideMark/>
          </w:tcPr>
          <w:p w14:paraId="4422DEE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VTE incidence up to 10–15% in immobilised trauma patients</w:t>
            </w:r>
          </w:p>
        </w:tc>
        <w:tc>
          <w:tcPr>
            <w:tcW w:w="0" w:type="auto"/>
            <w:hideMark/>
          </w:tcPr>
          <w:p w14:paraId="08CE7F1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Higher in long-bone fractures</w:t>
            </w:r>
          </w:p>
        </w:tc>
        <w:tc>
          <w:tcPr>
            <w:tcW w:w="0" w:type="auto"/>
            <w:hideMark/>
          </w:tcPr>
          <w:p w14:paraId="74EE652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PE, prolonged ICU stay</w:t>
            </w:r>
          </w:p>
        </w:tc>
        <w:tc>
          <w:tcPr>
            <w:tcW w:w="0" w:type="auto"/>
            <w:hideMark/>
          </w:tcPr>
          <w:p w14:paraId="78AB742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Immobilisation due to fracture instability</w:t>
            </w:r>
          </w:p>
        </w:tc>
        <w:tc>
          <w:tcPr>
            <w:tcW w:w="0" w:type="auto"/>
            <w:hideMark/>
          </w:tcPr>
          <w:p w14:paraId="649457C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mobilisation &amp; thromboprophylaxis</w:t>
            </w:r>
          </w:p>
        </w:tc>
        <w:tc>
          <w:tcPr>
            <w:tcW w:w="0" w:type="auto"/>
            <w:hideMark/>
          </w:tcPr>
          <w:p w14:paraId="29F87C7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72,73</w:t>
            </w:r>
          </w:p>
        </w:tc>
      </w:tr>
      <w:tr w:rsidR="00717547" w:rsidRPr="00030269" w14:paraId="4BDBF2C5" w14:textId="77777777" w:rsidTr="00FA527B">
        <w:tc>
          <w:tcPr>
            <w:tcW w:w="0" w:type="auto"/>
            <w:hideMark/>
          </w:tcPr>
          <w:p w14:paraId="067D02BA"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Compartment physiology</w:t>
            </w:r>
          </w:p>
        </w:tc>
        <w:tc>
          <w:tcPr>
            <w:tcW w:w="0" w:type="auto"/>
            <w:hideMark/>
          </w:tcPr>
          <w:p w14:paraId="04DE3FA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Increased </w:t>
            </w:r>
            <w:proofErr w:type="spellStart"/>
            <w:r w:rsidRPr="00030269">
              <w:rPr>
                <w:rFonts w:ascii="Times New Roman" w:hAnsi="Times New Roman" w:cs="Times New Roman"/>
              </w:rPr>
              <w:t>intracompartmental</w:t>
            </w:r>
            <w:proofErr w:type="spellEnd"/>
            <w:r w:rsidRPr="00030269">
              <w:rPr>
                <w:rFonts w:ascii="Times New Roman" w:hAnsi="Times New Roman" w:cs="Times New Roman"/>
              </w:rPr>
              <w:t xml:space="preserve"> pressures with aggressive fluid</w:t>
            </w:r>
          </w:p>
        </w:tc>
        <w:tc>
          <w:tcPr>
            <w:tcW w:w="0" w:type="auto"/>
            <w:hideMark/>
          </w:tcPr>
          <w:p w14:paraId="5D3C0E2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Fasciotomy rates higher in high-volume resuscitation</w:t>
            </w:r>
          </w:p>
        </w:tc>
        <w:tc>
          <w:tcPr>
            <w:tcW w:w="0" w:type="auto"/>
            <w:hideMark/>
          </w:tcPr>
          <w:p w14:paraId="63F8DCD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Muscle necrosis</w:t>
            </w:r>
          </w:p>
        </w:tc>
        <w:tc>
          <w:tcPr>
            <w:tcW w:w="0" w:type="auto"/>
            <w:hideMark/>
          </w:tcPr>
          <w:p w14:paraId="5D3E088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Limb-threatening complication</w:t>
            </w:r>
          </w:p>
        </w:tc>
        <w:tc>
          <w:tcPr>
            <w:tcW w:w="0" w:type="auto"/>
            <w:hideMark/>
          </w:tcPr>
          <w:p w14:paraId="2FDA727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Fluid discipline &amp; monitoring</w:t>
            </w:r>
          </w:p>
        </w:tc>
        <w:tc>
          <w:tcPr>
            <w:tcW w:w="0" w:type="auto"/>
            <w:hideMark/>
          </w:tcPr>
          <w:p w14:paraId="6A6550D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62,98</w:t>
            </w:r>
          </w:p>
        </w:tc>
      </w:tr>
    </w:tbl>
    <w:p w14:paraId="4FFD4A27" w14:textId="77777777" w:rsidR="00717547" w:rsidRPr="00680D07" w:rsidRDefault="00717547" w:rsidP="00717547">
      <w:pPr>
        <w:spacing w:after="0" w:line="276" w:lineRule="auto"/>
        <w:rPr>
          <w:rFonts w:ascii="Times New Roman" w:hAnsi="Times New Roman" w:cs="Times New Roman"/>
        </w:rPr>
      </w:pPr>
    </w:p>
    <w:p w14:paraId="4312AB29" w14:textId="77777777" w:rsidR="00717547" w:rsidRPr="00680D07" w:rsidRDefault="00717547" w:rsidP="00717547">
      <w:pPr>
        <w:spacing w:after="0" w:line="276" w:lineRule="auto"/>
        <w:rPr>
          <w:rFonts w:ascii="Times New Roman" w:hAnsi="Times New Roman" w:cs="Times New Roman"/>
          <w:b/>
          <w:bCs/>
        </w:rPr>
      </w:pPr>
    </w:p>
    <w:p w14:paraId="3E3D1A70" w14:textId="77777777" w:rsidR="00717547" w:rsidRPr="001C0AB6" w:rsidRDefault="00717547" w:rsidP="00717547">
      <w:pPr>
        <w:spacing w:after="0" w:line="276" w:lineRule="auto"/>
        <w:rPr>
          <w:rFonts w:ascii="Times New Roman" w:hAnsi="Times New Roman" w:cs="Times New Roman"/>
          <w:b/>
          <w:bCs/>
        </w:rPr>
      </w:pPr>
      <w:r w:rsidRPr="001C0AB6">
        <w:rPr>
          <w:rFonts w:ascii="Times New Roman" w:hAnsi="Times New Roman" w:cs="Times New Roman"/>
          <w:b/>
          <w:bCs/>
        </w:rPr>
        <w:t>Footnotes:</w:t>
      </w:r>
    </w:p>
    <w:p w14:paraId="492C0CA9" w14:textId="77777777" w:rsidR="00717547" w:rsidRPr="001C0AB6" w:rsidRDefault="00717547" w:rsidP="00717547">
      <w:pPr>
        <w:numPr>
          <w:ilvl w:val="0"/>
          <w:numId w:val="9"/>
        </w:numPr>
        <w:spacing w:after="0" w:line="276" w:lineRule="auto"/>
        <w:rPr>
          <w:rFonts w:ascii="Times New Roman" w:hAnsi="Times New Roman" w:cs="Times New Roman"/>
        </w:rPr>
      </w:pPr>
      <w:r w:rsidRPr="001C0AB6">
        <w:rPr>
          <w:rFonts w:ascii="Times New Roman" w:hAnsi="Times New Roman" w:cs="Times New Roman"/>
        </w:rPr>
        <w:t>Cytokine levels and metabolic changes represent ranges reported in severe trauma cohorts and may vary with injury burden and sampling timing [54–63].</w:t>
      </w:r>
    </w:p>
    <w:p w14:paraId="39EE7E4B" w14:textId="77777777" w:rsidR="00717547" w:rsidRPr="001C0AB6" w:rsidRDefault="00717547" w:rsidP="00717547">
      <w:pPr>
        <w:numPr>
          <w:ilvl w:val="0"/>
          <w:numId w:val="9"/>
        </w:numPr>
        <w:spacing w:after="0" w:line="276" w:lineRule="auto"/>
        <w:rPr>
          <w:rFonts w:ascii="Times New Roman" w:hAnsi="Times New Roman" w:cs="Times New Roman"/>
        </w:rPr>
      </w:pPr>
      <w:r w:rsidRPr="001C0AB6">
        <w:rPr>
          <w:rFonts w:ascii="Times New Roman" w:hAnsi="Times New Roman" w:cs="Times New Roman"/>
        </w:rPr>
        <w:t>Trauma-induced coagulopathy may occur early and is not exclusively secondary to dilution or acidosis [57].</w:t>
      </w:r>
    </w:p>
    <w:p w14:paraId="0D6FE75B" w14:textId="77777777" w:rsidR="00717547" w:rsidRPr="001C0AB6" w:rsidRDefault="00717547" w:rsidP="00717547">
      <w:pPr>
        <w:numPr>
          <w:ilvl w:val="0"/>
          <w:numId w:val="9"/>
        </w:numPr>
        <w:spacing w:after="0" w:line="276" w:lineRule="auto"/>
        <w:rPr>
          <w:rFonts w:ascii="Times New Roman" w:hAnsi="Times New Roman" w:cs="Times New Roman"/>
        </w:rPr>
      </w:pPr>
      <w:r w:rsidRPr="001C0AB6">
        <w:rPr>
          <w:rFonts w:ascii="Times New Roman" w:hAnsi="Times New Roman" w:cs="Times New Roman"/>
        </w:rPr>
        <w:t>Hypermetabolic response magnitude depends on injury severity and duration of critical illness [67–69].</w:t>
      </w:r>
    </w:p>
    <w:p w14:paraId="190B34F3" w14:textId="77777777" w:rsidR="00717547" w:rsidRPr="001C0AB6" w:rsidRDefault="00717547" w:rsidP="00717547">
      <w:pPr>
        <w:numPr>
          <w:ilvl w:val="0"/>
          <w:numId w:val="9"/>
        </w:numPr>
        <w:spacing w:after="0" w:line="276" w:lineRule="auto"/>
        <w:rPr>
          <w:rFonts w:ascii="Times New Roman" w:hAnsi="Times New Roman" w:cs="Times New Roman"/>
        </w:rPr>
      </w:pPr>
      <w:r w:rsidRPr="001C0AB6">
        <w:rPr>
          <w:rFonts w:ascii="Times New Roman" w:hAnsi="Times New Roman" w:cs="Times New Roman"/>
        </w:rPr>
        <w:t>ARDS incidence and mortality values reflect pooled registry and observational data; variation across systems is expected [61,107,108].</w:t>
      </w:r>
    </w:p>
    <w:p w14:paraId="5DFB0C2B" w14:textId="77777777" w:rsidR="00717547" w:rsidRPr="001C0AB6" w:rsidRDefault="00717547" w:rsidP="00717547">
      <w:pPr>
        <w:numPr>
          <w:ilvl w:val="0"/>
          <w:numId w:val="9"/>
        </w:numPr>
        <w:spacing w:after="0" w:line="276" w:lineRule="auto"/>
        <w:rPr>
          <w:rFonts w:ascii="Times New Roman" w:hAnsi="Times New Roman" w:cs="Times New Roman"/>
        </w:rPr>
      </w:pPr>
      <w:r w:rsidRPr="001C0AB6">
        <w:rPr>
          <w:rFonts w:ascii="Times New Roman" w:hAnsi="Times New Roman" w:cs="Times New Roman"/>
        </w:rPr>
        <w:t>Mechanistic relationships are based on current pathophysiological understanding and may overlap temporally rather than follow strict linear progression.</w:t>
      </w:r>
    </w:p>
    <w:p w14:paraId="01EEF11D" w14:textId="77777777" w:rsidR="00680D07" w:rsidRDefault="00680D07" w:rsidP="00680D07">
      <w:pPr>
        <w:spacing w:after="0" w:line="276" w:lineRule="auto"/>
        <w:rPr>
          <w:rFonts w:ascii="Times New Roman" w:hAnsi="Times New Roman" w:cs="Times New Roman"/>
        </w:rPr>
      </w:pPr>
    </w:p>
    <w:p w14:paraId="355DA4F2" w14:textId="77777777" w:rsidR="00680D07" w:rsidRDefault="00680D07" w:rsidP="00680D07">
      <w:pPr>
        <w:spacing w:after="0" w:line="276" w:lineRule="auto"/>
        <w:rPr>
          <w:rFonts w:ascii="Times New Roman" w:hAnsi="Times New Roman" w:cs="Times New Roman"/>
        </w:rPr>
      </w:pPr>
    </w:p>
    <w:p w14:paraId="0FD31489" w14:textId="77777777" w:rsidR="00252A8A" w:rsidRDefault="00252A8A" w:rsidP="00680D07">
      <w:pPr>
        <w:spacing w:after="0" w:line="276" w:lineRule="auto"/>
        <w:rPr>
          <w:rFonts w:ascii="Times New Roman" w:hAnsi="Times New Roman" w:cs="Times New Roman"/>
        </w:rPr>
      </w:pPr>
    </w:p>
    <w:p w14:paraId="44D86B7D" w14:textId="77777777" w:rsidR="00252A8A" w:rsidRPr="00F36343" w:rsidRDefault="00252A8A" w:rsidP="00252A8A">
      <w:pPr>
        <w:spacing w:after="0" w:line="276" w:lineRule="auto"/>
        <w:rPr>
          <w:rFonts w:ascii="Times New Roman" w:hAnsi="Times New Roman" w:cs="Times New Roman"/>
          <w:b/>
          <w:bCs/>
        </w:rPr>
      </w:pPr>
      <w:r w:rsidRPr="00F36343">
        <w:rPr>
          <w:rFonts w:ascii="Times New Roman" w:hAnsi="Times New Roman" w:cs="Times New Roman"/>
          <w:b/>
          <w:bCs/>
        </w:rPr>
        <w:t>Conceptual Integration: Cumulative Physiological Load</w:t>
      </w:r>
    </w:p>
    <w:p w14:paraId="3DA06B55" w14:textId="77777777" w:rsidR="00252A8A" w:rsidRPr="00F36343" w:rsidRDefault="00252A8A" w:rsidP="00252A8A">
      <w:pPr>
        <w:spacing w:after="0" w:line="276" w:lineRule="auto"/>
        <w:rPr>
          <w:rFonts w:ascii="Times New Roman" w:hAnsi="Times New Roman" w:cs="Times New Roman"/>
        </w:rPr>
      </w:pPr>
      <w:r w:rsidRPr="00F36343">
        <w:rPr>
          <w:rFonts w:ascii="Times New Roman" w:hAnsi="Times New Roman" w:cs="Times New Roman"/>
        </w:rPr>
        <w:t>Severe polytrauma may be conceptualised as a state of finite inflammatory tolerance. Following injury, patients exhibit early systemic immune activation characterised by cytokine surge, endothelial glycocalyx shedding, and microcirculatory dysfunction [54–60]. Subsequent operative interventions, transfusion burden, and fluid administration may further amplify this response, particularly when performed during ongoing shock or inflammatory peak states [26,45,63].</w:t>
      </w:r>
    </w:p>
    <w:p w14:paraId="4E427C50" w14:textId="77777777" w:rsidR="00252A8A" w:rsidRPr="00F36343" w:rsidRDefault="00252A8A" w:rsidP="00252A8A">
      <w:pPr>
        <w:spacing w:after="0" w:line="276" w:lineRule="auto"/>
        <w:rPr>
          <w:rFonts w:ascii="Times New Roman" w:hAnsi="Times New Roman" w:cs="Times New Roman"/>
        </w:rPr>
      </w:pPr>
      <w:r w:rsidRPr="00F36343">
        <w:rPr>
          <w:rFonts w:ascii="Times New Roman" w:hAnsi="Times New Roman" w:cs="Times New Roman"/>
        </w:rPr>
        <w:t>Rather than viewing surgical decisions as isolated events, postoperative recovery may therefore be understood as the cumulative sequencing of physiological load within a limited tolerance window. Emergency laparotomy represents a substantial inflammatory stimulus [54,56], while prolonged definitive fixation during persistent instability may exacerbate cytokine activation and increase risk of organ dysfunction—the so-called “second-hit” phenomenon [26,45]. Excess crystalloid administration compounds endothelial permeability and interstitial oedema, contributing to pulmonary and tissue complications [58,98].</w:t>
      </w:r>
    </w:p>
    <w:p w14:paraId="0A480834" w14:textId="67A7DA22" w:rsidR="00252A8A" w:rsidRDefault="00252A8A" w:rsidP="00680D07">
      <w:pPr>
        <w:spacing w:after="0" w:line="276" w:lineRule="auto"/>
        <w:rPr>
          <w:rFonts w:ascii="Times New Roman" w:hAnsi="Times New Roman" w:cs="Times New Roman"/>
        </w:rPr>
      </w:pPr>
      <w:r w:rsidRPr="00F36343">
        <w:rPr>
          <w:rFonts w:ascii="Times New Roman" w:hAnsi="Times New Roman" w:cs="Times New Roman"/>
        </w:rPr>
        <w:lastRenderedPageBreak/>
        <w:t>This framing shifts emphasis from binary timing thresholds toward alignment of intervention intensity with demonstrable physiological recovery. The objective is not avoidance of necessary procedures, but staging them within the patient’s inflammatory capacity.</w:t>
      </w:r>
    </w:p>
    <w:p w14:paraId="355DAE52" w14:textId="77777777" w:rsidR="00252A8A" w:rsidRDefault="00252A8A" w:rsidP="00680D07">
      <w:pPr>
        <w:spacing w:after="0" w:line="276" w:lineRule="auto"/>
        <w:rPr>
          <w:rFonts w:ascii="Times New Roman" w:hAnsi="Times New Roman" w:cs="Times New Roman"/>
        </w:rPr>
      </w:pPr>
    </w:p>
    <w:p w14:paraId="0F17D733" w14:textId="77777777" w:rsidR="00252A8A" w:rsidRDefault="00252A8A" w:rsidP="00680D07">
      <w:pPr>
        <w:spacing w:after="0" w:line="276" w:lineRule="auto"/>
        <w:rPr>
          <w:rFonts w:ascii="Times New Roman" w:hAnsi="Times New Roman" w:cs="Times New Roman"/>
        </w:rPr>
      </w:pPr>
    </w:p>
    <w:p w14:paraId="54B9EA9A" w14:textId="77777777" w:rsidR="00252A8A" w:rsidRPr="00680D07" w:rsidRDefault="00252A8A" w:rsidP="00680D07">
      <w:pPr>
        <w:spacing w:after="0" w:line="276" w:lineRule="auto"/>
        <w:rPr>
          <w:rFonts w:ascii="Times New Roman" w:hAnsi="Times New Roman" w:cs="Times New Roman"/>
        </w:rPr>
      </w:pPr>
    </w:p>
    <w:p w14:paraId="1C91A3CD" w14:textId="77777777"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SHARED ABDOMINAL AND ORTHOPAEDIC RECOVERY VULNERABILITIES</w:t>
      </w:r>
    </w:p>
    <w:p w14:paraId="1A459E15" w14:textId="648D96A1" w:rsidR="002C121A" w:rsidRPr="002C121A" w:rsidRDefault="002C121A" w:rsidP="00680D07">
      <w:pPr>
        <w:spacing w:after="0" w:line="276" w:lineRule="auto"/>
        <w:rPr>
          <w:rFonts w:ascii="Times New Roman" w:hAnsi="Times New Roman" w:cs="Times New Roman"/>
        </w:rPr>
      </w:pPr>
    </w:p>
    <w:p w14:paraId="7BCE3E5A"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Although abdominal and orthopaedic injuries are often managed by different teams, their recovery trajectories are biologically interdependent.</w:t>
      </w:r>
    </w:p>
    <w:p w14:paraId="59BDDDFD" w14:textId="77777777" w:rsidR="00680D07" w:rsidRDefault="00680D07" w:rsidP="00680D07">
      <w:pPr>
        <w:spacing w:after="0" w:line="276" w:lineRule="auto"/>
        <w:rPr>
          <w:rFonts w:ascii="Times New Roman" w:hAnsi="Times New Roman" w:cs="Times New Roman"/>
          <w:b/>
          <w:bCs/>
        </w:rPr>
      </w:pPr>
    </w:p>
    <w:p w14:paraId="323B01C6" w14:textId="26D8799A"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Fluid Strategy and Tissue Oedema</w:t>
      </w:r>
    </w:p>
    <w:p w14:paraId="1CBFE52B" w14:textId="51DF2499"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Intra-abdominal contamination or haemorrhage often necessitates aggressive early resuscitation. However, excessive crystalloid administration contributes to bowel wall oedema, impaired anastomotic healing, and delayed gastrointestinal recovery [98,99]. The same fluid excess increases limb swelling and compartment pressure in long-bone fractures, raising the risk of compartment syndrome and delayed fixation [62]. Fluid balance therefore has dual implications: gastrointestinal function and extremity viability.</w:t>
      </w:r>
      <w:r w:rsidRPr="00680D07">
        <w:rPr>
          <w:rFonts w:ascii="Times New Roman" w:hAnsi="Times New Roman" w:cs="Times New Roman"/>
        </w:rPr>
        <w:t xml:space="preserve"> Direct polytrauma-specific RCT data remain limited, and recommendations rely partly on extrapolation from critically ill populations</w:t>
      </w:r>
    </w:p>
    <w:p w14:paraId="0BB688B1" w14:textId="77777777" w:rsidR="00680D07" w:rsidRPr="002C121A" w:rsidRDefault="00680D07" w:rsidP="00680D07">
      <w:pPr>
        <w:spacing w:after="0" w:line="276" w:lineRule="auto"/>
        <w:rPr>
          <w:rFonts w:ascii="Times New Roman" w:hAnsi="Times New Roman" w:cs="Times New Roman"/>
        </w:rPr>
      </w:pPr>
    </w:p>
    <w:p w14:paraId="08C76D1A" w14:textId="77777777"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Surgical Timing and Inflammatory Burden</w:t>
      </w:r>
    </w:p>
    <w:p w14:paraId="5CFF97EF" w14:textId="70E153DB"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Definitive abdominal intervention may be unavoidable in unstable patients. However, proceeding to prolonged orthopaedic fixation during the same inflammatory peak may amplify systemic cytokine response [26,45]. Conversely, prolonged skeletal instability due to delayed fixation has been associated with increased pulmonary complications, particularly when fixation is delayed beyond 48 hours in physiologically stable patients [33,38].</w:t>
      </w:r>
      <w:r w:rsidR="00680D07">
        <w:rPr>
          <w:rFonts w:ascii="Times New Roman" w:hAnsi="Times New Roman" w:cs="Times New Roman"/>
        </w:rPr>
        <w:t xml:space="preserve"> </w:t>
      </w:r>
      <w:r w:rsidRPr="002C121A">
        <w:rPr>
          <w:rFonts w:ascii="Times New Roman" w:hAnsi="Times New Roman" w:cs="Times New Roman"/>
        </w:rPr>
        <w:t>Thus, timing decisions must consider systemic physiology rather than discipline-specific convenience.</w:t>
      </w:r>
    </w:p>
    <w:p w14:paraId="30C999CB" w14:textId="77777777" w:rsidR="00680D07" w:rsidRPr="002C121A" w:rsidRDefault="00680D07" w:rsidP="00680D07">
      <w:pPr>
        <w:spacing w:after="0" w:line="276" w:lineRule="auto"/>
        <w:rPr>
          <w:rFonts w:ascii="Times New Roman" w:hAnsi="Times New Roman" w:cs="Times New Roman"/>
        </w:rPr>
      </w:pPr>
    </w:p>
    <w:p w14:paraId="5474A056" w14:textId="77777777"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Infection Risk Across Compartments</w:t>
      </w:r>
    </w:p>
    <w:p w14:paraId="1937EE64"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Polytrauma frequently involves contaminated laparotomy alongside open fractures requiring implant stabilisation. Infection risk is therefore compounded. Timely antimicrobial prophylaxis reduces surgical site infection rates by 40–60% in surgical populations [95,96], and early antibiotic administration in open fractures is associated with reduced deep infection [35]. Failure in either domain may compromise the other; abdominal sepsis increases risk of implant infection, while implant-associated infection prolongs systemic inflammation.</w:t>
      </w:r>
    </w:p>
    <w:p w14:paraId="30912717" w14:textId="77777777" w:rsidR="00680D07" w:rsidRPr="002C121A" w:rsidRDefault="00680D07" w:rsidP="00680D07">
      <w:pPr>
        <w:spacing w:after="0" w:line="276" w:lineRule="auto"/>
        <w:rPr>
          <w:rFonts w:ascii="Times New Roman" w:hAnsi="Times New Roman" w:cs="Times New Roman"/>
        </w:rPr>
      </w:pPr>
    </w:p>
    <w:p w14:paraId="11C1426E" w14:textId="77777777" w:rsidR="002C121A" w:rsidRPr="002C121A" w:rsidRDefault="002C121A" w:rsidP="00680D07">
      <w:pPr>
        <w:spacing w:after="0" w:line="276" w:lineRule="auto"/>
        <w:rPr>
          <w:rFonts w:ascii="Times New Roman" w:hAnsi="Times New Roman" w:cs="Times New Roman"/>
          <w:b/>
          <w:bCs/>
        </w:rPr>
      </w:pPr>
      <w:proofErr w:type="spellStart"/>
      <w:r w:rsidRPr="002C121A">
        <w:rPr>
          <w:rFonts w:ascii="Times New Roman" w:hAnsi="Times New Roman" w:cs="Times New Roman"/>
          <w:b/>
          <w:bCs/>
        </w:rPr>
        <w:t>Hypercatabolism</w:t>
      </w:r>
      <w:proofErr w:type="spellEnd"/>
      <w:r w:rsidRPr="002C121A">
        <w:rPr>
          <w:rFonts w:ascii="Times New Roman" w:hAnsi="Times New Roman" w:cs="Times New Roman"/>
          <w:b/>
          <w:bCs/>
        </w:rPr>
        <w:t xml:space="preserve"> and Tissue Repair</w:t>
      </w:r>
    </w:p>
    <w:p w14:paraId="3E1E301B"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The metabolic response to trauma impairs wound healing and fracture consolidation simultaneously [67–69]. Protein-energy deficit delays fascial closure and bone callus formation. Early enteral nutrition has been associated with approximately 30–40% relative reduction in septic complications in critically injured patients [1,14], but also contributes indirectly to skeletal recovery through mitigation of muscle and protein loss.</w:t>
      </w:r>
    </w:p>
    <w:p w14:paraId="3C98128A" w14:textId="77777777" w:rsidR="00680D07" w:rsidRPr="002C121A" w:rsidRDefault="00680D07" w:rsidP="00680D07">
      <w:pPr>
        <w:spacing w:after="0" w:line="276" w:lineRule="auto"/>
        <w:rPr>
          <w:rFonts w:ascii="Times New Roman" w:hAnsi="Times New Roman" w:cs="Times New Roman"/>
        </w:rPr>
      </w:pPr>
    </w:p>
    <w:p w14:paraId="272853DA" w14:textId="77777777"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Mobilisation and Pulmonary Protection</w:t>
      </w:r>
    </w:p>
    <w:p w14:paraId="51259614" w14:textId="605A3D09"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Fracture instability often delays mobilisation, while abdominal pain and ventilatory support further limit activity. Immobilisation increases venous thromboembolism risk, reported in up to 10–15% of trauma patients without prophylaxis [72,73], and contributes to ICU-acquired weakness [100]. Early mobilisation is dependent upon fracture stability, pain control, and coordinated care planning.</w:t>
      </w:r>
    </w:p>
    <w:p w14:paraId="00E45E6F" w14:textId="77777777" w:rsidR="007D042B" w:rsidRDefault="007D042B" w:rsidP="00680D07">
      <w:pPr>
        <w:spacing w:after="0" w:line="276" w:lineRule="auto"/>
        <w:rPr>
          <w:rFonts w:ascii="Times New Roman" w:hAnsi="Times New Roman" w:cs="Times New Roman"/>
        </w:rPr>
      </w:pPr>
    </w:p>
    <w:p w14:paraId="36E97154" w14:textId="77777777" w:rsidR="00680D07" w:rsidRPr="002C121A" w:rsidRDefault="00680D07" w:rsidP="00680D07">
      <w:pPr>
        <w:spacing w:after="0" w:line="276" w:lineRule="auto"/>
        <w:rPr>
          <w:rFonts w:ascii="Times New Roman" w:hAnsi="Times New Roman" w:cs="Times New Roman"/>
        </w:rPr>
      </w:pPr>
    </w:p>
    <w:p w14:paraId="29FB6CD6" w14:textId="77777777"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lastRenderedPageBreak/>
        <w:t>Rescue Capacity and Escalation</w:t>
      </w:r>
    </w:p>
    <w:p w14:paraId="4B63D45D" w14:textId="442F0344"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Complication rates alone do not determine mortality. Hospitals with similar complication rates may exhibit two- to three-fold differences in mortality depending on failure-to-rescue capability [91]. In polytrauma, deterioration may arise from abdominal sepsis, pulmonary failure, or fixation-related inflammatory burden. Rapid escalation pathways and ICU availability determine whether complications become fatal.</w:t>
      </w:r>
    </w:p>
    <w:p w14:paraId="4FD6E1EE"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These shared vulnerabilities illustrate a central principle: recovery is cumulative. Fluid balance, fixation timing, infection control, and mobilisation interact across surgical domains. Optimisation therefore requires coordination rather than parallel management.</w:t>
      </w:r>
    </w:p>
    <w:p w14:paraId="577BD5EB" w14:textId="77777777" w:rsidR="00680D07" w:rsidRPr="002C121A" w:rsidRDefault="00680D07" w:rsidP="00680D07">
      <w:pPr>
        <w:spacing w:after="0" w:line="276" w:lineRule="auto"/>
        <w:rPr>
          <w:rFonts w:ascii="Times New Roman" w:hAnsi="Times New Roman" w:cs="Times New Roman"/>
        </w:rPr>
      </w:pPr>
    </w:p>
    <w:p w14:paraId="10E1A1AD" w14:textId="77777777" w:rsidR="00680D07" w:rsidRDefault="00680D07" w:rsidP="00680D07">
      <w:pPr>
        <w:spacing w:after="0" w:line="276" w:lineRule="auto"/>
        <w:rPr>
          <w:rFonts w:ascii="Times New Roman" w:hAnsi="Times New Roman" w:cs="Times New Roman"/>
          <w:b/>
          <w:bCs/>
        </w:rPr>
      </w:pPr>
    </w:p>
    <w:p w14:paraId="23162AEA" w14:textId="28CB0DEA"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TIER 1 HIGH-IMPACT RECOVERY INTERVENTIONS</w:t>
      </w:r>
    </w:p>
    <w:p w14:paraId="247913AC" w14:textId="44CA87DD" w:rsidR="002C121A" w:rsidRPr="002C121A" w:rsidRDefault="002C121A" w:rsidP="00680D07">
      <w:pPr>
        <w:spacing w:after="0" w:line="276" w:lineRule="auto"/>
        <w:rPr>
          <w:rFonts w:ascii="Times New Roman" w:hAnsi="Times New Roman" w:cs="Times New Roman"/>
        </w:rPr>
      </w:pPr>
    </w:p>
    <w:p w14:paraId="53F47DF5"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Tier 1 interventions are defined as measures that directly attenuate physiological amplification, require limited infrastructure, and demonstrate measurable outcome benefit. These strategies form the foundation of recovery optimisation and are applicable across trauma systems with varying resource availability.</w:t>
      </w:r>
    </w:p>
    <w:p w14:paraId="2AE2686D" w14:textId="77777777" w:rsidR="00680D07" w:rsidRPr="002C121A" w:rsidRDefault="00680D07" w:rsidP="00680D07">
      <w:pPr>
        <w:spacing w:after="0" w:line="276" w:lineRule="auto"/>
        <w:rPr>
          <w:rFonts w:ascii="Times New Roman" w:hAnsi="Times New Roman" w:cs="Times New Roman"/>
        </w:rPr>
      </w:pPr>
    </w:p>
    <w:p w14:paraId="6590FCFD" w14:textId="075A07D2"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Early Enteral Nutrition</w:t>
      </w:r>
    </w:p>
    <w:p w14:paraId="06465FB6"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Early enteral feeding, typically initiated within 24–48 hours in haemodynamically stable patients, has been associated with a 30–40% relative reduction in septic complications in critically injured populations [1,14]. Systematic reviews suggest a risk ratio of approximately 0.7 for infectious complications compared with delayed feeding strategies [4].</w:t>
      </w:r>
    </w:p>
    <w:p w14:paraId="30DEFC29" w14:textId="77777777" w:rsidR="00680D07" w:rsidRPr="002C121A" w:rsidRDefault="00680D07" w:rsidP="00680D07">
      <w:pPr>
        <w:spacing w:after="0" w:line="276" w:lineRule="auto"/>
        <w:rPr>
          <w:rFonts w:ascii="Times New Roman" w:hAnsi="Times New Roman" w:cs="Times New Roman"/>
        </w:rPr>
      </w:pPr>
    </w:p>
    <w:p w14:paraId="54D28EE0"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Beyond infection control, early nutrition mitigates trauma-induced hypermetabolism and skeletal muscle breakdown, which may increase resting energy expenditure by 20–50% after severe injury [67–69]. While precise effects on fracture union are less directly quantified, preservation of protein balance supports tissue repair across surgical domains.</w:t>
      </w:r>
    </w:p>
    <w:p w14:paraId="415F93F5" w14:textId="77777777" w:rsidR="00680D07" w:rsidRPr="002C121A" w:rsidRDefault="00680D07" w:rsidP="00680D07">
      <w:pPr>
        <w:spacing w:after="0" w:line="276" w:lineRule="auto"/>
        <w:rPr>
          <w:rFonts w:ascii="Times New Roman" w:hAnsi="Times New Roman" w:cs="Times New Roman"/>
        </w:rPr>
      </w:pPr>
    </w:p>
    <w:p w14:paraId="2CC00556"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Importantly, early feeding should follow physiological stabilisation rather than rigid time thresholds. The objective is avoidance of unnecessary delay once perfusion and haemodynamic parameters permit.</w:t>
      </w:r>
    </w:p>
    <w:p w14:paraId="6B959110" w14:textId="77777777" w:rsidR="00D105E7" w:rsidRDefault="00D105E7" w:rsidP="00680D07">
      <w:pPr>
        <w:spacing w:after="0" w:line="276" w:lineRule="auto"/>
        <w:rPr>
          <w:rFonts w:ascii="Times New Roman" w:hAnsi="Times New Roman" w:cs="Times New Roman"/>
        </w:rPr>
      </w:pPr>
    </w:p>
    <w:p w14:paraId="4B81DAFE" w14:textId="77777777" w:rsidR="00D105E7" w:rsidRDefault="00D105E7" w:rsidP="00680D07">
      <w:pPr>
        <w:spacing w:after="0" w:line="276" w:lineRule="auto"/>
        <w:rPr>
          <w:rFonts w:ascii="Times New Roman" w:hAnsi="Times New Roman" w:cs="Times New Roman"/>
        </w:rPr>
      </w:pPr>
    </w:p>
    <w:p w14:paraId="231ECC7A" w14:textId="77777777" w:rsidR="00D105E7" w:rsidRPr="00F36343" w:rsidRDefault="00D105E7" w:rsidP="00680D07">
      <w:pPr>
        <w:spacing w:after="0" w:line="276" w:lineRule="auto"/>
        <w:rPr>
          <w:rFonts w:ascii="Times New Roman" w:hAnsi="Times New Roman" w:cs="Times New Roman"/>
          <w:b/>
          <w:bCs/>
        </w:rPr>
      </w:pPr>
      <w:r w:rsidRPr="00F36343">
        <w:rPr>
          <w:rFonts w:ascii="Times New Roman" w:hAnsi="Times New Roman" w:cs="Times New Roman"/>
          <w:b/>
          <w:bCs/>
        </w:rPr>
        <w:t>The Early Metabolic Recovery Window</w:t>
      </w:r>
    </w:p>
    <w:p w14:paraId="6F972A13" w14:textId="77777777" w:rsidR="00D105E7" w:rsidRPr="00F36343" w:rsidRDefault="00D105E7" w:rsidP="00680D07">
      <w:pPr>
        <w:spacing w:after="0" w:line="276" w:lineRule="auto"/>
        <w:rPr>
          <w:rFonts w:ascii="Times New Roman" w:hAnsi="Times New Roman" w:cs="Times New Roman"/>
        </w:rPr>
      </w:pPr>
      <w:r w:rsidRPr="00F36343">
        <w:rPr>
          <w:rFonts w:ascii="Times New Roman" w:hAnsi="Times New Roman" w:cs="Times New Roman"/>
        </w:rPr>
        <w:t>Major trauma induces rapid hypermetabolism and skeletal muscle protein breakdown, with resting energy expenditure increasing by 20–50% in severe injury [67–69]. Genomic and immune dysregulation occur within hours and may persist for days [54,60]. Without early nutritional support, measurable lean body mass loss can occur within the first several days of critical illness, contributing to prolonged ventilatory dependence and delayed functional recovery [69,100].</w:t>
      </w:r>
    </w:p>
    <w:p w14:paraId="15361F3B" w14:textId="54078BD5" w:rsidR="00D105E7" w:rsidRDefault="00D105E7" w:rsidP="00680D07">
      <w:pPr>
        <w:spacing w:after="0" w:line="276" w:lineRule="auto"/>
        <w:rPr>
          <w:rFonts w:ascii="Times New Roman" w:hAnsi="Times New Roman" w:cs="Times New Roman"/>
        </w:rPr>
      </w:pPr>
      <w:r w:rsidRPr="00F36343">
        <w:rPr>
          <w:rFonts w:ascii="Times New Roman" w:hAnsi="Times New Roman" w:cs="Times New Roman"/>
        </w:rPr>
        <w:t>Early enteral nutrition, when initiated within 24–48 hours in haemodynamically stable patients, has been associated with a 30–40% relative reduction in septic complications in critically injured cohorts [1,14]. Framing the first 72 hours as an early metabolic recovery window emphasises the temporal importance of initiating nutrition and mobilisation before the peak immunosuppressive phase described between days 3–7 [54]. While precise polytrauma-specific cut-offs remain to be validated, delay in metabolic support may contribute to sustained catabolism and impaired recovery trajectory.</w:t>
      </w:r>
    </w:p>
    <w:p w14:paraId="408C5D78" w14:textId="77777777" w:rsidR="007D042B" w:rsidRDefault="007D042B" w:rsidP="00680D07">
      <w:pPr>
        <w:spacing w:after="0" w:line="276" w:lineRule="auto"/>
        <w:rPr>
          <w:rFonts w:ascii="Times New Roman" w:hAnsi="Times New Roman" w:cs="Times New Roman"/>
        </w:rPr>
      </w:pPr>
    </w:p>
    <w:p w14:paraId="3C229170" w14:textId="77777777" w:rsidR="00D105E7" w:rsidRDefault="00D105E7" w:rsidP="00680D07">
      <w:pPr>
        <w:spacing w:after="0" w:line="276" w:lineRule="auto"/>
        <w:rPr>
          <w:rFonts w:ascii="Times New Roman" w:hAnsi="Times New Roman" w:cs="Times New Roman"/>
        </w:rPr>
      </w:pPr>
    </w:p>
    <w:p w14:paraId="4801CA1E" w14:textId="77777777" w:rsidR="00D105E7" w:rsidRDefault="00D105E7" w:rsidP="00680D07">
      <w:pPr>
        <w:spacing w:after="0" w:line="276" w:lineRule="auto"/>
        <w:rPr>
          <w:rFonts w:ascii="Times New Roman" w:hAnsi="Times New Roman" w:cs="Times New Roman"/>
        </w:rPr>
      </w:pPr>
    </w:p>
    <w:p w14:paraId="1557931A" w14:textId="77777777" w:rsidR="00D105E7" w:rsidRDefault="00D105E7" w:rsidP="00680D07">
      <w:pPr>
        <w:spacing w:after="0" w:line="276" w:lineRule="auto"/>
        <w:rPr>
          <w:rFonts w:ascii="Times New Roman" w:hAnsi="Times New Roman" w:cs="Times New Roman"/>
        </w:rPr>
      </w:pPr>
    </w:p>
    <w:p w14:paraId="691CDFC2" w14:textId="77777777" w:rsidR="00680D07" w:rsidRPr="002C121A" w:rsidRDefault="00680D07" w:rsidP="00680D07">
      <w:pPr>
        <w:spacing w:after="0" w:line="276" w:lineRule="auto"/>
        <w:rPr>
          <w:rFonts w:ascii="Times New Roman" w:hAnsi="Times New Roman" w:cs="Times New Roman"/>
        </w:rPr>
      </w:pPr>
    </w:p>
    <w:p w14:paraId="5D99858A" w14:textId="04D20AA2"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lastRenderedPageBreak/>
        <w:t>Disciplined Fluid Management</w:t>
      </w:r>
    </w:p>
    <w:p w14:paraId="65A4DC0B"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Resuscitation remains lifesaving in haemorrhagic trauma. However, once haemodynamic stability is achieved, ongoing liberal fluid administration may worsen endothelial permeability and interstitial oedema [58,98].</w:t>
      </w:r>
    </w:p>
    <w:p w14:paraId="009A74D5"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Restrictive or balanced fluid strategies in surgical populations have demonstrated approximately 20–30% reductions in postoperative complications compared with liberal approaches [99]. In critically ill cohorts, use of balanced crystalloids has been associated with modest reductions in major adverse kidney events and improved physiological profiles [98].</w:t>
      </w:r>
    </w:p>
    <w:p w14:paraId="46427842" w14:textId="77777777" w:rsidR="00DE5DC9" w:rsidRPr="002C121A" w:rsidRDefault="00DE5DC9" w:rsidP="00680D07">
      <w:pPr>
        <w:spacing w:after="0" w:line="276" w:lineRule="auto"/>
        <w:rPr>
          <w:rFonts w:ascii="Times New Roman" w:hAnsi="Times New Roman" w:cs="Times New Roman"/>
        </w:rPr>
      </w:pPr>
    </w:p>
    <w:p w14:paraId="4080B2E5"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Positive fluid balance exceeding 2–3 litres within the first 24 hours has been associated with increased pulmonary complications and ventilator dependence [98]. For polytrauma patients, this fluid discipline influences both pulmonary recovery and extremity compartment pressures [62].</w:t>
      </w:r>
    </w:p>
    <w:p w14:paraId="517793AB" w14:textId="77777777" w:rsidR="00680D07" w:rsidRDefault="00680D07" w:rsidP="00680D07">
      <w:pPr>
        <w:spacing w:after="0" w:line="276" w:lineRule="auto"/>
        <w:rPr>
          <w:rFonts w:ascii="Times New Roman" w:hAnsi="Times New Roman" w:cs="Times New Roman"/>
          <w:b/>
          <w:bCs/>
        </w:rPr>
      </w:pPr>
    </w:p>
    <w:p w14:paraId="245BD8C8" w14:textId="459DCABD"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Physiologically Guided Fracture Stabilisation</w:t>
      </w:r>
    </w:p>
    <w:p w14:paraId="72982A93"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Early total care (ETC) for long-bone fractures in physiologically stable patients has been associated with 20–30% reductions in pulmonary complications compared with delayed fixation strategies [31,38]. Conversely, fixation delayed beyond 48 hours in otherwise stable patients has been linked to increased ARDS incidence and longer ventilator duration [33].</w:t>
      </w:r>
    </w:p>
    <w:p w14:paraId="1508FE56" w14:textId="77777777" w:rsidR="00DE5DC9" w:rsidRPr="002C121A" w:rsidRDefault="00DE5DC9" w:rsidP="00680D07">
      <w:pPr>
        <w:spacing w:after="0" w:line="276" w:lineRule="auto"/>
        <w:rPr>
          <w:rFonts w:ascii="Times New Roman" w:hAnsi="Times New Roman" w:cs="Times New Roman"/>
        </w:rPr>
      </w:pPr>
    </w:p>
    <w:p w14:paraId="4CFB982A" w14:textId="2FF58C10"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 xml:space="preserve">However, in unstable patients characterised by elevated lactate (&gt;4 mmol/L), base deficit &gt;6, hypothermia, or ongoing transfusion requirement, early definitive fixation may increase inflammatory burden and risk of MOF [26,45]. In such scenarios, damage control orthopaedics (DCO) with temporary stabilisation reduces second-hit </w:t>
      </w:r>
      <w:r w:rsidR="00680D07" w:rsidRPr="002C121A">
        <w:rPr>
          <w:rFonts w:ascii="Times New Roman" w:hAnsi="Times New Roman" w:cs="Times New Roman"/>
        </w:rPr>
        <w:t>risk. The</w:t>
      </w:r>
      <w:r w:rsidRPr="002C121A">
        <w:rPr>
          <w:rFonts w:ascii="Times New Roman" w:hAnsi="Times New Roman" w:cs="Times New Roman"/>
        </w:rPr>
        <w:t xml:space="preserve"> principle is not rigid timing but alignment with systemic physiology.</w:t>
      </w:r>
    </w:p>
    <w:p w14:paraId="1205663D" w14:textId="77777777" w:rsidR="00680D07" w:rsidRDefault="00680D07" w:rsidP="00680D07">
      <w:pPr>
        <w:spacing w:after="0" w:line="276" w:lineRule="auto"/>
        <w:rPr>
          <w:rFonts w:ascii="Times New Roman" w:hAnsi="Times New Roman" w:cs="Times New Roman"/>
          <w:b/>
          <w:bCs/>
        </w:rPr>
      </w:pPr>
    </w:p>
    <w:p w14:paraId="6B0971B3" w14:textId="36CDD8DD"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Timely Antimicrobial Prophylaxis</w:t>
      </w:r>
    </w:p>
    <w:p w14:paraId="645BD630"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Administration of prophylactic antibiotics within 60 minutes prior to incision has been associated with 40–60% reductions in surgical site infection rates across surgical populations [95,96]. In open fractures, early antibiotic administration is correlated with reduced deep infection and implant-related complications [35].</w:t>
      </w:r>
    </w:p>
    <w:p w14:paraId="3234DA83"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In polytrauma, infection risk spans abdominal contamination and orthopaedic implantation. Adherence to antibiotic timing is therefore foundational rather than optional.</w:t>
      </w:r>
    </w:p>
    <w:p w14:paraId="536BF7A6" w14:textId="77777777" w:rsidR="00DE5DC9" w:rsidRDefault="00DE5DC9" w:rsidP="00680D07">
      <w:pPr>
        <w:spacing w:after="0" w:line="276" w:lineRule="auto"/>
        <w:rPr>
          <w:rFonts w:ascii="Times New Roman" w:hAnsi="Times New Roman" w:cs="Times New Roman"/>
          <w:b/>
          <w:bCs/>
        </w:rPr>
      </w:pPr>
    </w:p>
    <w:p w14:paraId="30AF9CB9" w14:textId="14D89229"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Early Mobilisation and VTE Prophylaxis</w:t>
      </w:r>
    </w:p>
    <w:p w14:paraId="5C1C2379"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Early mobilisation, when physiologically and mechanically feasible, reduces ICU-acquired weakness by approximately 25–35% and shortens ICU length of stay in selected populations [100]. Pharmacologic thromboprophylaxis reduces deep vein thrombosis incidence by 40–60% in trauma patients when initiated appropriately after haemorrhage control [72,73].</w:t>
      </w:r>
    </w:p>
    <w:p w14:paraId="11A7E56A" w14:textId="77777777" w:rsidR="00DE5DC9" w:rsidRPr="002C121A" w:rsidRDefault="00DE5DC9" w:rsidP="00680D07">
      <w:pPr>
        <w:spacing w:after="0" w:line="276" w:lineRule="auto"/>
        <w:rPr>
          <w:rFonts w:ascii="Times New Roman" w:hAnsi="Times New Roman" w:cs="Times New Roman"/>
        </w:rPr>
      </w:pPr>
    </w:p>
    <w:p w14:paraId="3E89B0A0"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Mobilisation is dependent upon fracture stability, pain control, and coordinated multidisciplinary planning. It cannot be isolated from orthopaedic decision-making.</w:t>
      </w:r>
    </w:p>
    <w:p w14:paraId="6F607BA8" w14:textId="77777777" w:rsidR="00DE5DC9" w:rsidRDefault="00DE5DC9" w:rsidP="00680D07">
      <w:pPr>
        <w:spacing w:after="0" w:line="276" w:lineRule="auto"/>
        <w:rPr>
          <w:rFonts w:ascii="Times New Roman" w:hAnsi="Times New Roman" w:cs="Times New Roman"/>
          <w:b/>
          <w:bCs/>
        </w:rPr>
      </w:pPr>
    </w:p>
    <w:p w14:paraId="4349B188" w14:textId="2F29BDBB"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Device Burden Reduction</w:t>
      </w:r>
    </w:p>
    <w:p w14:paraId="7D2C8C37"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Structured device review programs have demonstrated reductions of up to 60–70% in central line-associated bloodstream infections in ICU settings [90]. While polytrauma-specific data are limited, similar principles apply: daily review of urinary catheters, central lines, and drains reduces infection exposure.</w:t>
      </w:r>
    </w:p>
    <w:p w14:paraId="310C03B5" w14:textId="6374DC3B" w:rsidR="002C121A" w:rsidRDefault="002C121A" w:rsidP="00680D07">
      <w:pPr>
        <w:spacing w:after="0" w:line="276" w:lineRule="auto"/>
        <w:rPr>
          <w:rFonts w:ascii="Times New Roman" w:hAnsi="Times New Roman" w:cs="Times New Roman"/>
        </w:rPr>
      </w:pPr>
    </w:p>
    <w:p w14:paraId="6F632F7F" w14:textId="77777777" w:rsidR="00AD3E9D" w:rsidRPr="00F36343" w:rsidRDefault="00AD3E9D" w:rsidP="00680D07">
      <w:pPr>
        <w:spacing w:after="0" w:line="276" w:lineRule="auto"/>
        <w:rPr>
          <w:rFonts w:ascii="Times New Roman" w:hAnsi="Times New Roman" w:cs="Times New Roman"/>
          <w:b/>
          <w:bCs/>
        </w:rPr>
      </w:pPr>
      <w:r w:rsidRPr="00F36343">
        <w:rPr>
          <w:rFonts w:ascii="Times New Roman" w:hAnsi="Times New Roman" w:cs="Times New Roman"/>
          <w:b/>
          <w:bCs/>
        </w:rPr>
        <w:t>Avoiding Recovery Iatrogenesis</w:t>
      </w:r>
    </w:p>
    <w:p w14:paraId="4B2202FD" w14:textId="77777777" w:rsidR="00AD3E9D" w:rsidRPr="002C121A" w:rsidRDefault="00AD3E9D" w:rsidP="00680D07">
      <w:pPr>
        <w:spacing w:after="0" w:line="276" w:lineRule="auto"/>
        <w:rPr>
          <w:rFonts w:ascii="Times New Roman" w:hAnsi="Times New Roman" w:cs="Times New Roman"/>
        </w:rPr>
      </w:pPr>
      <w:r w:rsidRPr="00F36343">
        <w:rPr>
          <w:rFonts w:ascii="Times New Roman" w:hAnsi="Times New Roman" w:cs="Times New Roman"/>
        </w:rPr>
        <w:t xml:space="preserve">Although structured recovery pathways improve adherence and consistency [89,93], rigid protocolisation may introduce unintended harm if physiological context is ignored. Overly aggressive early feeding in the presence of bowel ischaemia, under-resuscitation driven by strict fluid restriction, or premature definitive fixation </w:t>
      </w:r>
      <w:r w:rsidRPr="00F36343">
        <w:rPr>
          <w:rFonts w:ascii="Times New Roman" w:hAnsi="Times New Roman" w:cs="Times New Roman"/>
        </w:rPr>
        <w:lastRenderedPageBreak/>
        <w:t>during persistent shock may amplify rather than attenuate inflammatory burden [26,45,98]. The second-hit literature underscores the risk of major operative stress during ongoing systemic activation [26,45]. Accordingly, recovery optimisation requires dynamic reassessment rather than fixed timelines. The goal is physiological stewardship, not protocol compliance in isolation.</w:t>
      </w:r>
    </w:p>
    <w:p w14:paraId="33B7E774" w14:textId="77777777" w:rsidR="002C121A" w:rsidRPr="00680D07" w:rsidRDefault="002C121A" w:rsidP="00680D07">
      <w:pPr>
        <w:spacing w:after="0" w:line="276" w:lineRule="auto"/>
        <w:rPr>
          <w:rFonts w:ascii="Times New Roman" w:hAnsi="Times New Roman" w:cs="Times New Roman"/>
          <w:b/>
          <w:bCs/>
        </w:rPr>
      </w:pPr>
    </w:p>
    <w:p w14:paraId="71F71F19" w14:textId="77777777" w:rsidR="00717547" w:rsidRPr="00030269" w:rsidRDefault="00717547" w:rsidP="00717547">
      <w:pPr>
        <w:spacing w:after="0" w:line="276" w:lineRule="auto"/>
        <w:rPr>
          <w:rFonts w:ascii="Times New Roman" w:hAnsi="Times New Roman" w:cs="Times New Roman"/>
          <w:b/>
          <w:bCs/>
        </w:rPr>
      </w:pPr>
      <w:r w:rsidRPr="00030269">
        <w:rPr>
          <w:rFonts w:ascii="Times New Roman" w:hAnsi="Times New Roman" w:cs="Times New Roman"/>
          <w:b/>
          <w:bCs/>
        </w:rPr>
        <w:t>TABLE 3</w:t>
      </w:r>
      <w:r w:rsidRPr="00680D07">
        <w:rPr>
          <w:rFonts w:ascii="Times New Roman" w:hAnsi="Times New Roman" w:cs="Times New Roman"/>
          <w:b/>
          <w:bCs/>
        </w:rPr>
        <w:t xml:space="preserve">: </w:t>
      </w:r>
      <w:r w:rsidRPr="00030269">
        <w:rPr>
          <w:rFonts w:ascii="Times New Roman" w:hAnsi="Times New Roman" w:cs="Times New Roman"/>
          <w:b/>
          <w:bCs/>
        </w:rPr>
        <w:t>Tier 1 Recovery Interventions: Quantitative Effect Sizes and Clinical Impact in Trauma &amp; Emergency Surgery</w:t>
      </w:r>
    </w:p>
    <w:p w14:paraId="3070EAFC" w14:textId="77777777" w:rsidR="00717547" w:rsidRPr="00680D07" w:rsidRDefault="00717547" w:rsidP="00717547">
      <w:pPr>
        <w:spacing w:after="0" w:line="276" w:lineRule="auto"/>
        <w:rPr>
          <w:rFonts w:ascii="Times New Roman" w:hAnsi="Times New Roman" w:cs="Times New Roman"/>
        </w:rPr>
      </w:pPr>
    </w:p>
    <w:tbl>
      <w:tblPr>
        <w:tblStyle w:val="TableGrid"/>
        <w:tblW w:w="0" w:type="auto"/>
        <w:tblLook w:val="04A0" w:firstRow="1" w:lastRow="0" w:firstColumn="1" w:lastColumn="0" w:noHBand="0" w:noVBand="1"/>
      </w:tblPr>
      <w:tblGrid>
        <w:gridCol w:w="1541"/>
        <w:gridCol w:w="1365"/>
        <w:gridCol w:w="1435"/>
        <w:gridCol w:w="1459"/>
        <w:gridCol w:w="1845"/>
        <w:gridCol w:w="1400"/>
        <w:gridCol w:w="691"/>
      </w:tblGrid>
      <w:tr w:rsidR="00717547" w:rsidRPr="00030269" w14:paraId="5FFDFE64" w14:textId="77777777" w:rsidTr="00FA527B">
        <w:tc>
          <w:tcPr>
            <w:tcW w:w="0" w:type="auto"/>
            <w:hideMark/>
          </w:tcPr>
          <w:p w14:paraId="76F38469"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Intervention</w:t>
            </w:r>
          </w:p>
        </w:tc>
        <w:tc>
          <w:tcPr>
            <w:tcW w:w="0" w:type="auto"/>
            <w:hideMark/>
          </w:tcPr>
          <w:p w14:paraId="772B9931"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Study Context</w:t>
            </w:r>
          </w:p>
        </w:tc>
        <w:tc>
          <w:tcPr>
            <w:tcW w:w="0" w:type="auto"/>
            <w:hideMark/>
          </w:tcPr>
          <w:p w14:paraId="5EA0E01D"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Quantified Effect Size</w:t>
            </w:r>
          </w:p>
        </w:tc>
        <w:tc>
          <w:tcPr>
            <w:tcW w:w="0" w:type="auto"/>
            <w:hideMark/>
          </w:tcPr>
          <w:p w14:paraId="5CC2A75A"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Absolute Outcome Change</w:t>
            </w:r>
          </w:p>
        </w:tc>
        <w:tc>
          <w:tcPr>
            <w:tcW w:w="0" w:type="auto"/>
            <w:hideMark/>
          </w:tcPr>
          <w:p w14:paraId="329B1A56"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Mechanistic Target</w:t>
            </w:r>
          </w:p>
        </w:tc>
        <w:tc>
          <w:tcPr>
            <w:tcW w:w="0" w:type="auto"/>
            <w:hideMark/>
          </w:tcPr>
          <w:p w14:paraId="034E2BA3"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Level of Evidence</w:t>
            </w:r>
          </w:p>
        </w:tc>
        <w:tc>
          <w:tcPr>
            <w:tcW w:w="0" w:type="auto"/>
            <w:hideMark/>
          </w:tcPr>
          <w:p w14:paraId="68ECD03F"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Key Refs</w:t>
            </w:r>
          </w:p>
        </w:tc>
      </w:tr>
      <w:tr w:rsidR="00717547" w:rsidRPr="00030269" w14:paraId="6510C1ED" w14:textId="77777777" w:rsidTr="00FA527B">
        <w:tc>
          <w:tcPr>
            <w:tcW w:w="0" w:type="auto"/>
            <w:hideMark/>
          </w:tcPr>
          <w:p w14:paraId="2E153CB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enteral nutrition (&lt;24–48h)</w:t>
            </w:r>
          </w:p>
        </w:tc>
        <w:tc>
          <w:tcPr>
            <w:tcW w:w="0" w:type="auto"/>
            <w:hideMark/>
          </w:tcPr>
          <w:p w14:paraId="7FC5F72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Critically injured patients</w:t>
            </w:r>
          </w:p>
        </w:tc>
        <w:tc>
          <w:tcPr>
            <w:tcW w:w="0" w:type="auto"/>
            <w:hideMark/>
          </w:tcPr>
          <w:p w14:paraId="68A7EE2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~30–40% relative reduction in septic complications</w:t>
            </w:r>
          </w:p>
        </w:tc>
        <w:tc>
          <w:tcPr>
            <w:tcW w:w="0" w:type="auto"/>
            <w:hideMark/>
          </w:tcPr>
          <w:p w14:paraId="0D69588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Septic complication rate reduced from ~30% to ~18–20%</w:t>
            </w:r>
          </w:p>
        </w:tc>
        <w:tc>
          <w:tcPr>
            <w:tcW w:w="0" w:type="auto"/>
            <w:hideMark/>
          </w:tcPr>
          <w:p w14:paraId="1D7598D2" w14:textId="77777777" w:rsidR="00717547" w:rsidRPr="00030269" w:rsidRDefault="00717547" w:rsidP="00FA527B">
            <w:pPr>
              <w:spacing w:line="276" w:lineRule="auto"/>
              <w:rPr>
                <w:rFonts w:ascii="Times New Roman" w:hAnsi="Times New Roman" w:cs="Times New Roman"/>
              </w:rPr>
            </w:pPr>
            <w:proofErr w:type="spellStart"/>
            <w:r w:rsidRPr="00030269">
              <w:rPr>
                <w:rFonts w:ascii="Times New Roman" w:hAnsi="Times New Roman" w:cs="Times New Roman"/>
              </w:rPr>
              <w:t>Hypercatabolism</w:t>
            </w:r>
            <w:proofErr w:type="spellEnd"/>
            <w:r w:rsidRPr="00030269">
              <w:rPr>
                <w:rFonts w:ascii="Times New Roman" w:hAnsi="Times New Roman" w:cs="Times New Roman"/>
              </w:rPr>
              <w:t>, gut barrier integrity</w:t>
            </w:r>
          </w:p>
        </w:tc>
        <w:tc>
          <w:tcPr>
            <w:tcW w:w="0" w:type="auto"/>
            <w:hideMark/>
          </w:tcPr>
          <w:p w14:paraId="4374741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RCT + Meta-analysis</w:t>
            </w:r>
          </w:p>
        </w:tc>
        <w:tc>
          <w:tcPr>
            <w:tcW w:w="0" w:type="auto"/>
            <w:hideMark/>
          </w:tcPr>
          <w:p w14:paraId="6596CBA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1,14</w:t>
            </w:r>
          </w:p>
        </w:tc>
      </w:tr>
      <w:tr w:rsidR="00717547" w:rsidRPr="00030269" w14:paraId="3C2FED70" w14:textId="77777777" w:rsidTr="00FA527B">
        <w:tc>
          <w:tcPr>
            <w:tcW w:w="0" w:type="auto"/>
            <w:hideMark/>
          </w:tcPr>
          <w:p w14:paraId="4EEC9AA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enteral feeding vs delayed feeding</w:t>
            </w:r>
          </w:p>
        </w:tc>
        <w:tc>
          <w:tcPr>
            <w:tcW w:w="0" w:type="auto"/>
            <w:hideMark/>
          </w:tcPr>
          <w:p w14:paraId="65F5042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GI surgery / trauma ICU</w:t>
            </w:r>
          </w:p>
        </w:tc>
        <w:tc>
          <w:tcPr>
            <w:tcW w:w="0" w:type="auto"/>
            <w:hideMark/>
          </w:tcPr>
          <w:p w14:paraId="03AD3B1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infectious complications (RR ~0.72)</w:t>
            </w:r>
          </w:p>
        </w:tc>
        <w:tc>
          <w:tcPr>
            <w:tcW w:w="0" w:type="auto"/>
            <w:hideMark/>
          </w:tcPr>
          <w:p w14:paraId="27BFA80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Absolute infection reduction ~8–12%</w:t>
            </w:r>
          </w:p>
        </w:tc>
        <w:tc>
          <w:tcPr>
            <w:tcW w:w="0" w:type="auto"/>
            <w:hideMark/>
          </w:tcPr>
          <w:p w14:paraId="7E9F19B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Immune support</w:t>
            </w:r>
          </w:p>
        </w:tc>
        <w:tc>
          <w:tcPr>
            <w:tcW w:w="0" w:type="auto"/>
            <w:hideMark/>
          </w:tcPr>
          <w:p w14:paraId="38AA929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Systematic review</w:t>
            </w:r>
          </w:p>
        </w:tc>
        <w:tc>
          <w:tcPr>
            <w:tcW w:w="0" w:type="auto"/>
            <w:hideMark/>
          </w:tcPr>
          <w:p w14:paraId="02C78B1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4</w:t>
            </w:r>
          </w:p>
        </w:tc>
      </w:tr>
      <w:tr w:rsidR="00717547" w:rsidRPr="00030269" w14:paraId="65A667E5" w14:textId="77777777" w:rsidTr="00FA527B">
        <w:tc>
          <w:tcPr>
            <w:tcW w:w="0" w:type="auto"/>
            <w:hideMark/>
          </w:tcPr>
          <w:p w14:paraId="15B4B3B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Restrictive fluid strategy</w:t>
            </w:r>
          </w:p>
        </w:tc>
        <w:tc>
          <w:tcPr>
            <w:tcW w:w="0" w:type="auto"/>
            <w:hideMark/>
          </w:tcPr>
          <w:p w14:paraId="5060202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Surgical populations</w:t>
            </w:r>
          </w:p>
        </w:tc>
        <w:tc>
          <w:tcPr>
            <w:tcW w:w="0" w:type="auto"/>
            <w:hideMark/>
          </w:tcPr>
          <w:p w14:paraId="12BEE88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~25–30% reduction in overall complications</w:t>
            </w:r>
          </w:p>
        </w:tc>
        <w:tc>
          <w:tcPr>
            <w:tcW w:w="0" w:type="auto"/>
            <w:hideMark/>
          </w:tcPr>
          <w:p w14:paraId="40EBC49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pulmonary and wound complications</w:t>
            </w:r>
          </w:p>
        </w:tc>
        <w:tc>
          <w:tcPr>
            <w:tcW w:w="0" w:type="auto"/>
            <w:hideMark/>
          </w:tcPr>
          <w:p w14:paraId="2FE168C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Endothelial leak, tissue oedema</w:t>
            </w:r>
          </w:p>
        </w:tc>
        <w:tc>
          <w:tcPr>
            <w:tcW w:w="0" w:type="auto"/>
            <w:hideMark/>
          </w:tcPr>
          <w:p w14:paraId="757DCCF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RCT</w:t>
            </w:r>
          </w:p>
        </w:tc>
        <w:tc>
          <w:tcPr>
            <w:tcW w:w="0" w:type="auto"/>
            <w:hideMark/>
          </w:tcPr>
          <w:p w14:paraId="762E34A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99</w:t>
            </w:r>
          </w:p>
        </w:tc>
      </w:tr>
      <w:tr w:rsidR="00717547" w:rsidRPr="00030269" w14:paraId="5219F03A" w14:textId="77777777" w:rsidTr="00FA527B">
        <w:tc>
          <w:tcPr>
            <w:tcW w:w="0" w:type="auto"/>
            <w:hideMark/>
          </w:tcPr>
          <w:p w14:paraId="3BECA0D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Balanced crystalloids vs saline</w:t>
            </w:r>
          </w:p>
        </w:tc>
        <w:tc>
          <w:tcPr>
            <w:tcW w:w="0" w:type="auto"/>
            <w:hideMark/>
          </w:tcPr>
          <w:p w14:paraId="7FE26FF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Critically ill</w:t>
            </w:r>
          </w:p>
        </w:tc>
        <w:tc>
          <w:tcPr>
            <w:tcW w:w="0" w:type="auto"/>
            <w:hideMark/>
          </w:tcPr>
          <w:p w14:paraId="2CEDD16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~1–2% absolute reduction in major adverse kidney events</w:t>
            </w:r>
          </w:p>
        </w:tc>
        <w:tc>
          <w:tcPr>
            <w:tcW w:w="0" w:type="auto"/>
            <w:hideMark/>
          </w:tcPr>
          <w:p w14:paraId="3A87870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Reduced renal complications; mortality trend </w:t>
            </w:r>
            <w:proofErr w:type="spellStart"/>
            <w:r w:rsidRPr="00030269">
              <w:rPr>
                <w:rFonts w:ascii="Times New Roman" w:hAnsi="Times New Roman" w:cs="Times New Roman"/>
              </w:rPr>
              <w:t>favorable</w:t>
            </w:r>
            <w:proofErr w:type="spellEnd"/>
          </w:p>
        </w:tc>
        <w:tc>
          <w:tcPr>
            <w:tcW w:w="0" w:type="auto"/>
            <w:hideMark/>
          </w:tcPr>
          <w:p w14:paraId="7C54083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Microcirculation, acid-base balance</w:t>
            </w:r>
          </w:p>
        </w:tc>
        <w:tc>
          <w:tcPr>
            <w:tcW w:w="0" w:type="auto"/>
            <w:hideMark/>
          </w:tcPr>
          <w:p w14:paraId="3ECCC6D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Large pragmatic RCT</w:t>
            </w:r>
          </w:p>
        </w:tc>
        <w:tc>
          <w:tcPr>
            <w:tcW w:w="0" w:type="auto"/>
            <w:hideMark/>
          </w:tcPr>
          <w:p w14:paraId="50F4958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98</w:t>
            </w:r>
          </w:p>
        </w:tc>
      </w:tr>
      <w:tr w:rsidR="00717547" w:rsidRPr="00030269" w14:paraId="1D6ACAD6" w14:textId="77777777" w:rsidTr="00FA527B">
        <w:tc>
          <w:tcPr>
            <w:tcW w:w="0" w:type="auto"/>
            <w:hideMark/>
          </w:tcPr>
          <w:p w14:paraId="4821CF2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femoral fracture fixation (&lt;24h in stable patients)</w:t>
            </w:r>
          </w:p>
        </w:tc>
        <w:tc>
          <w:tcPr>
            <w:tcW w:w="0" w:type="auto"/>
            <w:hideMark/>
          </w:tcPr>
          <w:p w14:paraId="54146B6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Polytrauma</w:t>
            </w:r>
          </w:p>
        </w:tc>
        <w:tc>
          <w:tcPr>
            <w:tcW w:w="0" w:type="auto"/>
            <w:hideMark/>
          </w:tcPr>
          <w:p w14:paraId="2E69014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Pulmonary complication reduction ~20–30%</w:t>
            </w:r>
          </w:p>
        </w:tc>
        <w:tc>
          <w:tcPr>
            <w:tcW w:w="0" w:type="auto"/>
            <w:hideMark/>
          </w:tcPr>
          <w:p w14:paraId="0D6380E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ARDS incidence reduced compared to delayed fixation</w:t>
            </w:r>
          </w:p>
        </w:tc>
        <w:tc>
          <w:tcPr>
            <w:tcW w:w="0" w:type="auto"/>
            <w:hideMark/>
          </w:tcPr>
          <w:p w14:paraId="3D54CB8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Inflammatory amplification reduction</w:t>
            </w:r>
          </w:p>
        </w:tc>
        <w:tc>
          <w:tcPr>
            <w:tcW w:w="0" w:type="auto"/>
            <w:hideMark/>
          </w:tcPr>
          <w:p w14:paraId="7911AB7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Cohort + registry</w:t>
            </w:r>
          </w:p>
        </w:tc>
        <w:tc>
          <w:tcPr>
            <w:tcW w:w="0" w:type="auto"/>
            <w:hideMark/>
          </w:tcPr>
          <w:p w14:paraId="35EB42B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31,38</w:t>
            </w:r>
          </w:p>
        </w:tc>
      </w:tr>
      <w:tr w:rsidR="00717547" w:rsidRPr="00030269" w14:paraId="7E48C4DE" w14:textId="77777777" w:rsidTr="00FA527B">
        <w:tc>
          <w:tcPr>
            <w:tcW w:w="0" w:type="auto"/>
            <w:hideMark/>
          </w:tcPr>
          <w:p w14:paraId="24F4263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Delayed fixation (&gt;48h)</w:t>
            </w:r>
          </w:p>
        </w:tc>
        <w:tc>
          <w:tcPr>
            <w:tcW w:w="0" w:type="auto"/>
            <w:hideMark/>
          </w:tcPr>
          <w:p w14:paraId="456C02B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Polytrauma</w:t>
            </w:r>
          </w:p>
        </w:tc>
        <w:tc>
          <w:tcPr>
            <w:tcW w:w="0" w:type="auto"/>
            <w:hideMark/>
          </w:tcPr>
          <w:p w14:paraId="5BB04F4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pulmonary complications up to 2× higher</w:t>
            </w:r>
          </w:p>
        </w:tc>
        <w:tc>
          <w:tcPr>
            <w:tcW w:w="0" w:type="auto"/>
            <w:hideMark/>
          </w:tcPr>
          <w:p w14:paraId="15DDAD1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ARDS and ventilator days increased</w:t>
            </w:r>
          </w:p>
        </w:tc>
        <w:tc>
          <w:tcPr>
            <w:tcW w:w="0" w:type="auto"/>
            <w:hideMark/>
          </w:tcPr>
          <w:p w14:paraId="7444EB9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Persistent inflammatory stimulus</w:t>
            </w:r>
          </w:p>
        </w:tc>
        <w:tc>
          <w:tcPr>
            <w:tcW w:w="0" w:type="auto"/>
            <w:hideMark/>
          </w:tcPr>
          <w:p w14:paraId="130FFE1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Observational</w:t>
            </w:r>
          </w:p>
        </w:tc>
        <w:tc>
          <w:tcPr>
            <w:tcW w:w="0" w:type="auto"/>
            <w:hideMark/>
          </w:tcPr>
          <w:p w14:paraId="67929AC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33</w:t>
            </w:r>
          </w:p>
        </w:tc>
      </w:tr>
      <w:tr w:rsidR="00717547" w:rsidRPr="00030269" w14:paraId="72EA4C0B" w14:textId="77777777" w:rsidTr="00FA527B">
        <w:tc>
          <w:tcPr>
            <w:tcW w:w="0" w:type="auto"/>
            <w:hideMark/>
          </w:tcPr>
          <w:p w14:paraId="48B56D2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Timely antimicrobial prophylaxis (within 60 min pre-incision)</w:t>
            </w:r>
          </w:p>
        </w:tc>
        <w:tc>
          <w:tcPr>
            <w:tcW w:w="0" w:type="auto"/>
            <w:hideMark/>
          </w:tcPr>
          <w:p w14:paraId="7329A91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Surgical populations</w:t>
            </w:r>
          </w:p>
        </w:tc>
        <w:tc>
          <w:tcPr>
            <w:tcW w:w="0" w:type="auto"/>
            <w:hideMark/>
          </w:tcPr>
          <w:p w14:paraId="2049BAF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SSI reduction 40–60% vs delayed administration</w:t>
            </w:r>
          </w:p>
        </w:tc>
        <w:tc>
          <w:tcPr>
            <w:tcW w:w="0" w:type="auto"/>
            <w:hideMark/>
          </w:tcPr>
          <w:p w14:paraId="4796724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Absolute SSI reduction varies 5–15% depending on baseline</w:t>
            </w:r>
          </w:p>
        </w:tc>
        <w:tc>
          <w:tcPr>
            <w:tcW w:w="0" w:type="auto"/>
            <w:hideMark/>
          </w:tcPr>
          <w:p w14:paraId="71AA810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Bacterial inoculum reduction</w:t>
            </w:r>
          </w:p>
        </w:tc>
        <w:tc>
          <w:tcPr>
            <w:tcW w:w="0" w:type="auto"/>
            <w:hideMark/>
          </w:tcPr>
          <w:p w14:paraId="3525D49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Guideline-based evidence</w:t>
            </w:r>
          </w:p>
        </w:tc>
        <w:tc>
          <w:tcPr>
            <w:tcW w:w="0" w:type="auto"/>
            <w:hideMark/>
          </w:tcPr>
          <w:p w14:paraId="0758C0D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95,96</w:t>
            </w:r>
          </w:p>
        </w:tc>
      </w:tr>
      <w:tr w:rsidR="00717547" w:rsidRPr="00030269" w14:paraId="0A9E8501" w14:textId="77777777" w:rsidTr="00FA527B">
        <w:tc>
          <w:tcPr>
            <w:tcW w:w="0" w:type="auto"/>
            <w:hideMark/>
          </w:tcPr>
          <w:p w14:paraId="217449B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Early mobilisation in ICU</w:t>
            </w:r>
          </w:p>
        </w:tc>
        <w:tc>
          <w:tcPr>
            <w:tcW w:w="0" w:type="auto"/>
            <w:hideMark/>
          </w:tcPr>
          <w:p w14:paraId="053BE35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Mechanically ventilated patients</w:t>
            </w:r>
          </w:p>
        </w:tc>
        <w:tc>
          <w:tcPr>
            <w:tcW w:w="0" w:type="auto"/>
            <w:hideMark/>
          </w:tcPr>
          <w:p w14:paraId="658D6AD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ICU-acquired weakness reduced ~25–35%</w:t>
            </w:r>
          </w:p>
        </w:tc>
        <w:tc>
          <w:tcPr>
            <w:tcW w:w="0" w:type="auto"/>
            <w:hideMark/>
          </w:tcPr>
          <w:p w14:paraId="7D491CC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Shorter ICU stay by ~1–2 days</w:t>
            </w:r>
          </w:p>
        </w:tc>
        <w:tc>
          <w:tcPr>
            <w:tcW w:w="0" w:type="auto"/>
            <w:hideMark/>
          </w:tcPr>
          <w:p w14:paraId="78E1506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Muscle preservation</w:t>
            </w:r>
          </w:p>
        </w:tc>
        <w:tc>
          <w:tcPr>
            <w:tcW w:w="0" w:type="auto"/>
            <w:hideMark/>
          </w:tcPr>
          <w:p w14:paraId="76D7AC3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RCT</w:t>
            </w:r>
          </w:p>
        </w:tc>
        <w:tc>
          <w:tcPr>
            <w:tcW w:w="0" w:type="auto"/>
            <w:hideMark/>
          </w:tcPr>
          <w:p w14:paraId="4AF741A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100</w:t>
            </w:r>
          </w:p>
        </w:tc>
      </w:tr>
      <w:tr w:rsidR="00717547" w:rsidRPr="00030269" w14:paraId="0920413E" w14:textId="77777777" w:rsidTr="00FA527B">
        <w:tc>
          <w:tcPr>
            <w:tcW w:w="0" w:type="auto"/>
            <w:hideMark/>
          </w:tcPr>
          <w:p w14:paraId="7E6128F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VTE prophylaxis (pharmacologic + mechanical)</w:t>
            </w:r>
          </w:p>
        </w:tc>
        <w:tc>
          <w:tcPr>
            <w:tcW w:w="0" w:type="auto"/>
            <w:hideMark/>
          </w:tcPr>
          <w:p w14:paraId="706D6F0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Trauma patients</w:t>
            </w:r>
          </w:p>
        </w:tc>
        <w:tc>
          <w:tcPr>
            <w:tcW w:w="0" w:type="auto"/>
            <w:hideMark/>
          </w:tcPr>
          <w:p w14:paraId="3148937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VTE reduction ~40–60%</w:t>
            </w:r>
          </w:p>
        </w:tc>
        <w:tc>
          <w:tcPr>
            <w:tcW w:w="0" w:type="auto"/>
            <w:hideMark/>
          </w:tcPr>
          <w:p w14:paraId="484F14A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DVT incidence reduced from ~15% to ~5–8%</w:t>
            </w:r>
          </w:p>
        </w:tc>
        <w:tc>
          <w:tcPr>
            <w:tcW w:w="0" w:type="auto"/>
            <w:hideMark/>
          </w:tcPr>
          <w:p w14:paraId="1CD90AC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Hypercoagulability</w:t>
            </w:r>
          </w:p>
        </w:tc>
        <w:tc>
          <w:tcPr>
            <w:tcW w:w="0" w:type="auto"/>
            <w:hideMark/>
          </w:tcPr>
          <w:p w14:paraId="4D7EB37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Guideline-based</w:t>
            </w:r>
          </w:p>
        </w:tc>
        <w:tc>
          <w:tcPr>
            <w:tcW w:w="0" w:type="auto"/>
            <w:hideMark/>
          </w:tcPr>
          <w:p w14:paraId="10B84AF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72,73</w:t>
            </w:r>
          </w:p>
        </w:tc>
      </w:tr>
      <w:tr w:rsidR="00717547" w:rsidRPr="00030269" w14:paraId="21370042" w14:textId="77777777" w:rsidTr="00FA527B">
        <w:tc>
          <w:tcPr>
            <w:tcW w:w="0" w:type="auto"/>
            <w:hideMark/>
          </w:tcPr>
          <w:p w14:paraId="3573AFC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Structured audit &amp; feedback</w:t>
            </w:r>
          </w:p>
        </w:tc>
        <w:tc>
          <w:tcPr>
            <w:tcW w:w="0" w:type="auto"/>
            <w:hideMark/>
          </w:tcPr>
          <w:p w14:paraId="322A5CD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Surgical systems</w:t>
            </w:r>
          </w:p>
        </w:tc>
        <w:tc>
          <w:tcPr>
            <w:tcW w:w="0" w:type="auto"/>
            <w:hideMark/>
          </w:tcPr>
          <w:p w14:paraId="1E38D39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Practice adherence improvement ~10–20%</w:t>
            </w:r>
          </w:p>
        </w:tc>
        <w:tc>
          <w:tcPr>
            <w:tcW w:w="0" w:type="auto"/>
            <w:hideMark/>
          </w:tcPr>
          <w:p w14:paraId="051A0AC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Associated complication reduction modest but consistent</w:t>
            </w:r>
          </w:p>
        </w:tc>
        <w:tc>
          <w:tcPr>
            <w:tcW w:w="0" w:type="auto"/>
            <w:hideMark/>
          </w:tcPr>
          <w:p w14:paraId="531BE2E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System compliance</w:t>
            </w:r>
          </w:p>
        </w:tc>
        <w:tc>
          <w:tcPr>
            <w:tcW w:w="0" w:type="auto"/>
            <w:hideMark/>
          </w:tcPr>
          <w:p w14:paraId="6FDCD91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Cochrane review</w:t>
            </w:r>
          </w:p>
        </w:tc>
        <w:tc>
          <w:tcPr>
            <w:tcW w:w="0" w:type="auto"/>
            <w:hideMark/>
          </w:tcPr>
          <w:p w14:paraId="0681160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89</w:t>
            </w:r>
          </w:p>
        </w:tc>
      </w:tr>
      <w:tr w:rsidR="00717547" w:rsidRPr="00030269" w14:paraId="509F530D" w14:textId="77777777" w:rsidTr="00FA527B">
        <w:tc>
          <w:tcPr>
            <w:tcW w:w="0" w:type="auto"/>
            <w:hideMark/>
          </w:tcPr>
          <w:p w14:paraId="5611A52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Failure-to-rescue reduction programs</w:t>
            </w:r>
          </w:p>
        </w:tc>
        <w:tc>
          <w:tcPr>
            <w:tcW w:w="0" w:type="auto"/>
            <w:hideMark/>
          </w:tcPr>
          <w:p w14:paraId="7DFA172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Multi-</w:t>
            </w:r>
            <w:proofErr w:type="spellStart"/>
            <w:r w:rsidRPr="00030269">
              <w:rPr>
                <w:rFonts w:ascii="Times New Roman" w:hAnsi="Times New Roman" w:cs="Times New Roman"/>
              </w:rPr>
              <w:t>center</w:t>
            </w:r>
            <w:proofErr w:type="spellEnd"/>
            <w:r w:rsidRPr="00030269">
              <w:rPr>
                <w:rFonts w:ascii="Times New Roman" w:hAnsi="Times New Roman" w:cs="Times New Roman"/>
              </w:rPr>
              <w:t xml:space="preserve"> surgical data</w:t>
            </w:r>
          </w:p>
        </w:tc>
        <w:tc>
          <w:tcPr>
            <w:tcW w:w="0" w:type="auto"/>
            <w:hideMark/>
          </w:tcPr>
          <w:p w14:paraId="7E56CCF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Mortality reduction 20–30% where escalation improved</w:t>
            </w:r>
          </w:p>
        </w:tc>
        <w:tc>
          <w:tcPr>
            <w:tcW w:w="0" w:type="auto"/>
            <w:hideMark/>
          </w:tcPr>
          <w:p w14:paraId="630125F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Complication rates similar but mortality lower</w:t>
            </w:r>
          </w:p>
        </w:tc>
        <w:tc>
          <w:tcPr>
            <w:tcW w:w="0" w:type="auto"/>
            <w:hideMark/>
          </w:tcPr>
          <w:p w14:paraId="3E1A950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detection &amp; escalation</w:t>
            </w:r>
          </w:p>
        </w:tc>
        <w:tc>
          <w:tcPr>
            <w:tcW w:w="0" w:type="auto"/>
            <w:hideMark/>
          </w:tcPr>
          <w:p w14:paraId="1CD30F2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Observational large datasets</w:t>
            </w:r>
          </w:p>
        </w:tc>
        <w:tc>
          <w:tcPr>
            <w:tcW w:w="0" w:type="auto"/>
            <w:hideMark/>
          </w:tcPr>
          <w:p w14:paraId="67F8D8B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91,92</w:t>
            </w:r>
          </w:p>
        </w:tc>
      </w:tr>
      <w:tr w:rsidR="00717547" w:rsidRPr="00030269" w14:paraId="19EA520E" w14:textId="77777777" w:rsidTr="00FA527B">
        <w:tc>
          <w:tcPr>
            <w:tcW w:w="0" w:type="auto"/>
            <w:hideMark/>
          </w:tcPr>
          <w:p w14:paraId="0B4200C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Trauma system implementation (structured pathway)</w:t>
            </w:r>
          </w:p>
        </w:tc>
        <w:tc>
          <w:tcPr>
            <w:tcW w:w="0" w:type="auto"/>
            <w:hideMark/>
          </w:tcPr>
          <w:p w14:paraId="7E23963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LMIC trauma </w:t>
            </w:r>
            <w:proofErr w:type="spellStart"/>
            <w:r w:rsidRPr="00030269">
              <w:rPr>
                <w:rFonts w:ascii="Times New Roman" w:hAnsi="Times New Roman" w:cs="Times New Roman"/>
              </w:rPr>
              <w:t>center</w:t>
            </w:r>
            <w:proofErr w:type="spellEnd"/>
          </w:p>
        </w:tc>
        <w:tc>
          <w:tcPr>
            <w:tcW w:w="0" w:type="auto"/>
            <w:hideMark/>
          </w:tcPr>
          <w:p w14:paraId="3646E5B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~20–35% relative mortality reduction</w:t>
            </w:r>
          </w:p>
        </w:tc>
        <w:tc>
          <w:tcPr>
            <w:tcW w:w="0" w:type="auto"/>
            <w:hideMark/>
          </w:tcPr>
          <w:p w14:paraId="58E6A12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Mortality reduced from ~17% to ~11%</w:t>
            </w:r>
          </w:p>
        </w:tc>
        <w:tc>
          <w:tcPr>
            <w:tcW w:w="0" w:type="auto"/>
            <w:hideMark/>
          </w:tcPr>
          <w:p w14:paraId="22C2081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Organised recovery coordination</w:t>
            </w:r>
          </w:p>
        </w:tc>
        <w:tc>
          <w:tcPr>
            <w:tcW w:w="0" w:type="auto"/>
            <w:hideMark/>
          </w:tcPr>
          <w:p w14:paraId="08BC9AB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Before–after studies</w:t>
            </w:r>
          </w:p>
        </w:tc>
        <w:tc>
          <w:tcPr>
            <w:tcW w:w="0" w:type="auto"/>
            <w:hideMark/>
          </w:tcPr>
          <w:p w14:paraId="46893CB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83,84</w:t>
            </w:r>
          </w:p>
        </w:tc>
      </w:tr>
    </w:tbl>
    <w:p w14:paraId="4D5AB150" w14:textId="77777777" w:rsidR="00717547" w:rsidRPr="00680D07" w:rsidRDefault="00717547" w:rsidP="00717547">
      <w:pPr>
        <w:spacing w:after="0" w:line="276" w:lineRule="auto"/>
        <w:rPr>
          <w:rFonts w:ascii="Times New Roman" w:hAnsi="Times New Roman" w:cs="Times New Roman"/>
        </w:rPr>
      </w:pPr>
    </w:p>
    <w:p w14:paraId="2B5115D1" w14:textId="77777777" w:rsidR="00717547" w:rsidRPr="00680D07" w:rsidRDefault="00717547" w:rsidP="00717547">
      <w:pPr>
        <w:spacing w:after="0" w:line="276" w:lineRule="auto"/>
        <w:rPr>
          <w:rFonts w:ascii="Times New Roman" w:hAnsi="Times New Roman" w:cs="Times New Roman"/>
          <w:b/>
          <w:bCs/>
        </w:rPr>
      </w:pPr>
    </w:p>
    <w:p w14:paraId="60BEBEE7" w14:textId="77777777" w:rsidR="00717547" w:rsidRPr="001C0AB6" w:rsidRDefault="00717547" w:rsidP="00717547">
      <w:pPr>
        <w:spacing w:after="0" w:line="276" w:lineRule="auto"/>
        <w:rPr>
          <w:rFonts w:ascii="Times New Roman" w:hAnsi="Times New Roman" w:cs="Times New Roman"/>
          <w:b/>
          <w:bCs/>
        </w:rPr>
      </w:pPr>
      <w:r w:rsidRPr="00680D07">
        <w:rPr>
          <w:rFonts w:ascii="Times New Roman" w:hAnsi="Times New Roman" w:cs="Times New Roman"/>
          <w:b/>
          <w:bCs/>
        </w:rPr>
        <w:t>Footnotes</w:t>
      </w:r>
      <w:r w:rsidRPr="001C0AB6">
        <w:rPr>
          <w:rFonts w:ascii="Times New Roman" w:hAnsi="Times New Roman" w:cs="Times New Roman"/>
          <w:b/>
          <w:bCs/>
        </w:rPr>
        <w:t>:</w:t>
      </w:r>
    </w:p>
    <w:p w14:paraId="10AE84CE" w14:textId="77777777" w:rsidR="00717547" w:rsidRPr="001C0AB6" w:rsidRDefault="00717547" w:rsidP="00717547">
      <w:pPr>
        <w:numPr>
          <w:ilvl w:val="0"/>
          <w:numId w:val="10"/>
        </w:numPr>
        <w:spacing w:after="0" w:line="276" w:lineRule="auto"/>
        <w:rPr>
          <w:rFonts w:ascii="Times New Roman" w:hAnsi="Times New Roman" w:cs="Times New Roman"/>
        </w:rPr>
      </w:pPr>
      <w:r w:rsidRPr="001C0AB6">
        <w:rPr>
          <w:rFonts w:ascii="Times New Roman" w:hAnsi="Times New Roman" w:cs="Times New Roman"/>
        </w:rPr>
        <w:t>Effect sizes represent relative risk reductions reported in randomized trials and meta-analyses where available; trauma-specific data may be limited in some domains [1,14,31,38,95,99,100].</w:t>
      </w:r>
    </w:p>
    <w:p w14:paraId="122980FF" w14:textId="77777777" w:rsidR="00717547" w:rsidRPr="001C0AB6" w:rsidRDefault="00717547" w:rsidP="00717547">
      <w:pPr>
        <w:numPr>
          <w:ilvl w:val="0"/>
          <w:numId w:val="10"/>
        </w:numPr>
        <w:spacing w:after="0" w:line="276" w:lineRule="auto"/>
        <w:rPr>
          <w:rFonts w:ascii="Times New Roman" w:hAnsi="Times New Roman" w:cs="Times New Roman"/>
        </w:rPr>
      </w:pPr>
      <w:r w:rsidRPr="001C0AB6">
        <w:rPr>
          <w:rFonts w:ascii="Times New Roman" w:hAnsi="Times New Roman" w:cs="Times New Roman"/>
        </w:rPr>
        <w:t>Absolute risk reductions depend on baseline complication rates and case mix.</w:t>
      </w:r>
    </w:p>
    <w:p w14:paraId="5D4665EA" w14:textId="77777777" w:rsidR="00717547" w:rsidRPr="001C0AB6" w:rsidRDefault="00717547" w:rsidP="00717547">
      <w:pPr>
        <w:numPr>
          <w:ilvl w:val="0"/>
          <w:numId w:val="10"/>
        </w:numPr>
        <w:spacing w:after="0" w:line="276" w:lineRule="auto"/>
        <w:rPr>
          <w:rFonts w:ascii="Times New Roman" w:hAnsi="Times New Roman" w:cs="Times New Roman"/>
        </w:rPr>
      </w:pPr>
      <w:r w:rsidRPr="001C0AB6">
        <w:rPr>
          <w:rFonts w:ascii="Times New Roman" w:hAnsi="Times New Roman" w:cs="Times New Roman"/>
        </w:rPr>
        <w:t>Early enteral nutrition timing recommendations assume haemodynamic stability.</w:t>
      </w:r>
    </w:p>
    <w:p w14:paraId="70C0B372" w14:textId="77777777" w:rsidR="00717547" w:rsidRPr="001C0AB6" w:rsidRDefault="00717547" w:rsidP="00717547">
      <w:pPr>
        <w:numPr>
          <w:ilvl w:val="0"/>
          <w:numId w:val="10"/>
        </w:numPr>
        <w:spacing w:after="0" w:line="276" w:lineRule="auto"/>
        <w:rPr>
          <w:rFonts w:ascii="Times New Roman" w:hAnsi="Times New Roman" w:cs="Times New Roman"/>
        </w:rPr>
      </w:pPr>
      <w:r w:rsidRPr="001C0AB6">
        <w:rPr>
          <w:rFonts w:ascii="Times New Roman" w:hAnsi="Times New Roman" w:cs="Times New Roman"/>
        </w:rPr>
        <w:t>Fixation timing benefits apply primarily to physiologically stable patients.</w:t>
      </w:r>
    </w:p>
    <w:p w14:paraId="2BB11CC5" w14:textId="77777777" w:rsidR="00717547" w:rsidRPr="001C0AB6" w:rsidRDefault="00717547" w:rsidP="00717547">
      <w:pPr>
        <w:numPr>
          <w:ilvl w:val="0"/>
          <w:numId w:val="10"/>
        </w:numPr>
        <w:spacing w:after="0" w:line="276" w:lineRule="auto"/>
        <w:rPr>
          <w:rFonts w:ascii="Times New Roman" w:hAnsi="Times New Roman" w:cs="Times New Roman"/>
        </w:rPr>
      </w:pPr>
      <w:r w:rsidRPr="001C0AB6">
        <w:rPr>
          <w:rFonts w:ascii="Times New Roman" w:hAnsi="Times New Roman" w:cs="Times New Roman"/>
        </w:rPr>
        <w:t>Fluid management evidence derives largely from critically ill and perioperative populations; direct polytrauma RCT data remain limited [98,99].</w:t>
      </w:r>
    </w:p>
    <w:p w14:paraId="44A96AE3" w14:textId="77777777" w:rsidR="00717547" w:rsidRPr="00680D07" w:rsidRDefault="00717547" w:rsidP="00717547">
      <w:pPr>
        <w:spacing w:after="0" w:line="276" w:lineRule="auto"/>
        <w:rPr>
          <w:rFonts w:ascii="Times New Roman" w:hAnsi="Times New Roman" w:cs="Times New Roman"/>
          <w:b/>
          <w:bCs/>
        </w:rPr>
      </w:pPr>
    </w:p>
    <w:p w14:paraId="131D6D64" w14:textId="77777777" w:rsidR="002C121A" w:rsidRPr="00680D07" w:rsidRDefault="002C121A" w:rsidP="00680D07">
      <w:pPr>
        <w:spacing w:after="0" w:line="276" w:lineRule="auto"/>
        <w:rPr>
          <w:rFonts w:ascii="Times New Roman" w:hAnsi="Times New Roman" w:cs="Times New Roman"/>
          <w:b/>
          <w:bCs/>
        </w:rPr>
      </w:pPr>
    </w:p>
    <w:p w14:paraId="2D849AA2" w14:textId="71DF005A"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ORTHOPAEDIC TIMING THRESHOLDS AND THE SECOND-HIT MODEL</w:t>
      </w:r>
    </w:p>
    <w:p w14:paraId="532CF492" w14:textId="573ED2A9" w:rsidR="002C121A" w:rsidRPr="002C121A" w:rsidRDefault="002C121A" w:rsidP="00680D07">
      <w:pPr>
        <w:spacing w:after="0" w:line="276" w:lineRule="auto"/>
        <w:rPr>
          <w:rFonts w:ascii="Times New Roman" w:hAnsi="Times New Roman" w:cs="Times New Roman"/>
        </w:rPr>
      </w:pPr>
    </w:p>
    <w:p w14:paraId="7EAF55F5" w14:textId="63EAA9E5"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Fracture stabilisation strategy in polytrauma has evolved from rigid timing doctrines toward physiology-guided decision-making. Early total care (ETC) may improve outcomes in stable patients, but definitive fixation during periods of systemic instability can exacerbate inflammatory amplification.</w:t>
      </w:r>
      <w:r w:rsidRPr="00680D07">
        <w:rPr>
          <w:rFonts w:ascii="Times New Roman" w:hAnsi="Times New Roman" w:cs="Times New Roman"/>
        </w:rPr>
        <w:t xml:space="preserve"> These thresholds reflect commonly cited clinical parameters rather than universally validated cut-offs and should be interpreted within institutional context</w:t>
      </w:r>
      <w:r w:rsidR="001C0AB6" w:rsidRPr="00680D07">
        <w:rPr>
          <w:rFonts w:ascii="Times New Roman" w:hAnsi="Times New Roman" w:cs="Times New Roman"/>
        </w:rPr>
        <w:t>.  Although the second-hit model remains conceptually debated, observational data consistently demonstrate worse outcomes when major surgery is performed during physiological instability.</w:t>
      </w:r>
    </w:p>
    <w:p w14:paraId="3C84A636" w14:textId="47E92E4C" w:rsidR="007D042B" w:rsidRDefault="007D042B" w:rsidP="00680D07">
      <w:pPr>
        <w:spacing w:after="0" w:line="276" w:lineRule="auto"/>
        <w:rPr>
          <w:rFonts w:ascii="Times New Roman" w:hAnsi="Times New Roman" w:cs="Times New Roman"/>
        </w:rPr>
      </w:pPr>
    </w:p>
    <w:p w14:paraId="57A1FACA" w14:textId="77777777" w:rsidR="007D042B" w:rsidRDefault="007D042B" w:rsidP="00680D07">
      <w:pPr>
        <w:spacing w:after="0" w:line="276" w:lineRule="auto"/>
        <w:rPr>
          <w:rFonts w:ascii="Times New Roman" w:hAnsi="Times New Roman" w:cs="Times New Roman"/>
        </w:rPr>
      </w:pPr>
    </w:p>
    <w:p w14:paraId="35B0BFEC" w14:textId="77777777" w:rsidR="00DE5DC9" w:rsidRPr="002C121A" w:rsidRDefault="00DE5DC9" w:rsidP="00680D07">
      <w:pPr>
        <w:spacing w:after="0" w:line="276" w:lineRule="auto"/>
        <w:rPr>
          <w:rFonts w:ascii="Times New Roman" w:hAnsi="Times New Roman" w:cs="Times New Roman"/>
        </w:rPr>
      </w:pPr>
    </w:p>
    <w:p w14:paraId="27819ECD" w14:textId="38E263C5"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lastRenderedPageBreak/>
        <w:t>Physiologic Parameters and Fixation Readiness</w:t>
      </w:r>
    </w:p>
    <w:p w14:paraId="32B5EF9F"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 xml:space="preserve">Several physiological indicators have been proposed to guide fixation timing. Lactate clearance remains one of the most widely used markers of systemic recovery. Lactate levels below approximately 2.5–3.0 mmol/L, absence of ongoing transfusion requirement, normothermia, and stable </w:t>
      </w:r>
      <w:proofErr w:type="spellStart"/>
      <w:r w:rsidRPr="002C121A">
        <w:rPr>
          <w:rFonts w:ascii="Times New Roman" w:hAnsi="Times New Roman" w:cs="Times New Roman"/>
        </w:rPr>
        <w:t>haemodynamics</w:t>
      </w:r>
      <w:proofErr w:type="spellEnd"/>
      <w:r w:rsidRPr="002C121A">
        <w:rPr>
          <w:rFonts w:ascii="Times New Roman" w:hAnsi="Times New Roman" w:cs="Times New Roman"/>
        </w:rPr>
        <w:t xml:space="preserve"> are frequently cited as indicators of readiness for definitive fixation [26,63].</w:t>
      </w:r>
    </w:p>
    <w:p w14:paraId="6EDEB507" w14:textId="77777777" w:rsidR="00DE5DC9" w:rsidRPr="002C121A" w:rsidRDefault="00DE5DC9" w:rsidP="00680D07">
      <w:pPr>
        <w:spacing w:after="0" w:line="276" w:lineRule="auto"/>
        <w:rPr>
          <w:rFonts w:ascii="Times New Roman" w:hAnsi="Times New Roman" w:cs="Times New Roman"/>
        </w:rPr>
      </w:pPr>
    </w:p>
    <w:p w14:paraId="08B675BD"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In contrast, lactate levels exceeding 4 mmol/L, persistent base deficit greater than 6, hypothermia, and continued vasopressor requirement suggest systemic instability. In such settings, early prolonged fixation may intensify cytokine response and increase risk of organ dysfunction [45].</w:t>
      </w:r>
    </w:p>
    <w:p w14:paraId="5ACF985E"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These thresholds are not absolute rules but physiologic guides.</w:t>
      </w:r>
    </w:p>
    <w:p w14:paraId="04C5F563" w14:textId="77777777" w:rsidR="00DE5DC9" w:rsidRPr="002C121A" w:rsidRDefault="00DE5DC9" w:rsidP="00680D07">
      <w:pPr>
        <w:spacing w:after="0" w:line="276" w:lineRule="auto"/>
        <w:rPr>
          <w:rFonts w:ascii="Times New Roman" w:hAnsi="Times New Roman" w:cs="Times New Roman"/>
        </w:rPr>
      </w:pPr>
    </w:p>
    <w:p w14:paraId="69153DA4" w14:textId="78D6755F"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Early Total Care in Stable Patients</w:t>
      </w:r>
    </w:p>
    <w:p w14:paraId="6EEAA134"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In haemodynamically stable patients, early fixation of long-bone fractures within 24 hours has been associated with reduced pulmonary complications compared with delayed fixation [31,38]. Observational data suggest reductions in pulmonary complication rates on the order of 20–30% when fixation occurs within this window.</w:t>
      </w:r>
    </w:p>
    <w:p w14:paraId="3A3745EC"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Early stabilisation may decrease ongoing inflammatory stimulus from unstable fracture sites and facilitate mobilisation, thereby reducing ventilator dependence and thromboembolic risk.</w:t>
      </w:r>
    </w:p>
    <w:p w14:paraId="558F246D" w14:textId="77777777" w:rsidR="00DE5DC9" w:rsidRPr="002C121A" w:rsidRDefault="00DE5DC9" w:rsidP="00680D07">
      <w:pPr>
        <w:spacing w:after="0" w:line="276" w:lineRule="auto"/>
        <w:rPr>
          <w:rFonts w:ascii="Times New Roman" w:hAnsi="Times New Roman" w:cs="Times New Roman"/>
        </w:rPr>
      </w:pPr>
    </w:p>
    <w:p w14:paraId="07BEAB63" w14:textId="77777777" w:rsidR="00DE5DC9" w:rsidRDefault="00DE5DC9" w:rsidP="00680D07">
      <w:pPr>
        <w:spacing w:after="0" w:line="276" w:lineRule="auto"/>
        <w:rPr>
          <w:rFonts w:ascii="Times New Roman" w:hAnsi="Times New Roman" w:cs="Times New Roman"/>
          <w:b/>
          <w:bCs/>
        </w:rPr>
      </w:pPr>
    </w:p>
    <w:p w14:paraId="7D30F8D0" w14:textId="2C1A4B12" w:rsidR="00DE5DC9"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Risks of Delayed Fixation</w:t>
      </w:r>
    </w:p>
    <w:p w14:paraId="1F69A0A2"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When fixation in stable patients is delayed beyond 48 hours, pulmonary complications—including ARDS—have been reported to increase, in some studies approaching double the rate observed with earlier fixation [33]. Delayed skeletal stabilisation prolongs pain, immobility, and inflammatory signalling.</w:t>
      </w:r>
    </w:p>
    <w:p w14:paraId="3244221F"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It is important to distinguish this scenario from deliberate delay in unstable patients. Prolonged delay due to system inefficiency differs biologically from staged fixation in unstable physiology.</w:t>
      </w:r>
    </w:p>
    <w:p w14:paraId="79B539B8" w14:textId="77777777" w:rsidR="00DE5DC9" w:rsidRPr="002C121A" w:rsidRDefault="00DE5DC9" w:rsidP="00680D07">
      <w:pPr>
        <w:spacing w:after="0" w:line="276" w:lineRule="auto"/>
        <w:rPr>
          <w:rFonts w:ascii="Times New Roman" w:hAnsi="Times New Roman" w:cs="Times New Roman"/>
        </w:rPr>
      </w:pPr>
    </w:p>
    <w:p w14:paraId="20091020" w14:textId="77777777" w:rsidR="00DE5DC9" w:rsidRDefault="00DE5DC9" w:rsidP="00680D07">
      <w:pPr>
        <w:spacing w:after="0" w:line="276" w:lineRule="auto"/>
        <w:rPr>
          <w:rFonts w:ascii="Times New Roman" w:hAnsi="Times New Roman" w:cs="Times New Roman"/>
          <w:b/>
          <w:bCs/>
        </w:rPr>
      </w:pPr>
    </w:p>
    <w:p w14:paraId="7ADDCCBC" w14:textId="6700AD66"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Damage Control Orthopaedics and the Second-Hit Phenomenon</w:t>
      </w:r>
    </w:p>
    <w:p w14:paraId="2A044175"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The second-hit model describes exacerbation of systemic inflammation following major operative stress during an already activated inflammatory state [26,45]. In unstable polytrauma patients, definitive fixation may trigger disproportionate cytokine release and contribute to MOF, which accounts for approximately 20–30% of late trauma deaths [61].</w:t>
      </w:r>
    </w:p>
    <w:p w14:paraId="55F91327" w14:textId="77777777" w:rsidR="00DE5DC9" w:rsidRPr="002C121A" w:rsidRDefault="00DE5DC9" w:rsidP="00680D07">
      <w:pPr>
        <w:spacing w:after="0" w:line="276" w:lineRule="auto"/>
        <w:rPr>
          <w:rFonts w:ascii="Times New Roman" w:hAnsi="Times New Roman" w:cs="Times New Roman"/>
        </w:rPr>
      </w:pPr>
    </w:p>
    <w:p w14:paraId="165FF786" w14:textId="27D1C4DC"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Damage control orthopaedics (DCO) aims to mitigate this risk through temporary stabilisation—often external fixation—followed by delayed definitive repair once physiological parameters normalise.</w:t>
      </w:r>
      <w:r w:rsidR="00DE5DC9">
        <w:rPr>
          <w:rFonts w:ascii="Times New Roman" w:hAnsi="Times New Roman" w:cs="Times New Roman"/>
        </w:rPr>
        <w:t xml:space="preserve"> </w:t>
      </w:r>
      <w:r w:rsidRPr="002C121A">
        <w:rPr>
          <w:rFonts w:ascii="Times New Roman" w:hAnsi="Times New Roman" w:cs="Times New Roman"/>
        </w:rPr>
        <w:t>The decision is therefore not binary (early vs late) but contingent upon biological readiness.</w:t>
      </w:r>
    </w:p>
    <w:p w14:paraId="49C63D49" w14:textId="77777777" w:rsidR="00DE5DC9" w:rsidRPr="002C121A" w:rsidRDefault="00DE5DC9" w:rsidP="00680D07">
      <w:pPr>
        <w:spacing w:after="0" w:line="276" w:lineRule="auto"/>
        <w:rPr>
          <w:rFonts w:ascii="Times New Roman" w:hAnsi="Times New Roman" w:cs="Times New Roman"/>
        </w:rPr>
      </w:pPr>
    </w:p>
    <w:p w14:paraId="7AA79CEE" w14:textId="0589CFF4"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Interaction with Pulmonary Outcomes</w:t>
      </w:r>
    </w:p>
    <w:p w14:paraId="22CC88F7" w14:textId="7C1F07C6"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Pulmonary vulnerability is central in fixation timing. ARDS develops in approximately 10–20% of severely injured patients, with mortality reported between 30–46% depending on severity and system capacity [61,107,108]. Studies examining fixation timing demonstrate that stable patients benefit from early stabilisation, while unstable patients may experience increased pulmonary complications if subjected to aggressive early surgery [33,38].</w:t>
      </w:r>
      <w:r w:rsidR="00DE5DC9">
        <w:rPr>
          <w:rFonts w:ascii="Times New Roman" w:hAnsi="Times New Roman" w:cs="Times New Roman"/>
        </w:rPr>
        <w:t xml:space="preserve"> </w:t>
      </w:r>
      <w:r w:rsidRPr="002C121A">
        <w:rPr>
          <w:rFonts w:ascii="Times New Roman" w:hAnsi="Times New Roman" w:cs="Times New Roman"/>
        </w:rPr>
        <w:t>Thus, orthopaedic timing functions as a recovery intervention rather than merely a mechanical correction.</w:t>
      </w:r>
    </w:p>
    <w:p w14:paraId="4D7A2274" w14:textId="618888CA" w:rsidR="007D042B" w:rsidRDefault="007D042B" w:rsidP="00680D07">
      <w:pPr>
        <w:spacing w:after="0" w:line="276" w:lineRule="auto"/>
        <w:rPr>
          <w:rFonts w:ascii="Times New Roman" w:hAnsi="Times New Roman" w:cs="Times New Roman"/>
        </w:rPr>
      </w:pPr>
    </w:p>
    <w:p w14:paraId="4DF4A69E" w14:textId="77777777" w:rsidR="007D042B" w:rsidRPr="002C121A" w:rsidRDefault="007D042B" w:rsidP="00680D07">
      <w:pPr>
        <w:spacing w:after="0" w:line="276" w:lineRule="auto"/>
        <w:rPr>
          <w:rFonts w:ascii="Times New Roman" w:hAnsi="Times New Roman" w:cs="Times New Roman"/>
        </w:rPr>
      </w:pPr>
    </w:p>
    <w:p w14:paraId="1BAF3982" w14:textId="76D8F9A9" w:rsidR="002C121A" w:rsidRPr="002C121A" w:rsidRDefault="002C121A" w:rsidP="00680D07">
      <w:pPr>
        <w:spacing w:after="0" w:line="276" w:lineRule="auto"/>
        <w:rPr>
          <w:rFonts w:ascii="Times New Roman" w:hAnsi="Times New Roman" w:cs="Times New Roman"/>
        </w:rPr>
      </w:pPr>
    </w:p>
    <w:p w14:paraId="60745E1C" w14:textId="77777777" w:rsid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lastRenderedPageBreak/>
        <w:t>Table 4. Orthopaedic Timing Thresholds in Polytrauma: Physiologic Parameters, Fixation Windows, and Organ Failure Risk</w:t>
      </w:r>
    </w:p>
    <w:p w14:paraId="3DEB135B" w14:textId="77777777" w:rsidR="00717547" w:rsidRPr="00680D07" w:rsidRDefault="00717547" w:rsidP="00717547">
      <w:pPr>
        <w:spacing w:after="0" w:line="276" w:lineRule="auto"/>
        <w:rPr>
          <w:rFonts w:ascii="Times New Roman" w:hAnsi="Times New Roman" w:cs="Times New Roman"/>
        </w:rPr>
      </w:pPr>
    </w:p>
    <w:tbl>
      <w:tblPr>
        <w:tblStyle w:val="TableGrid"/>
        <w:tblW w:w="0" w:type="auto"/>
        <w:tblLook w:val="04A0" w:firstRow="1" w:lastRow="0" w:firstColumn="1" w:lastColumn="0" w:noHBand="0" w:noVBand="1"/>
      </w:tblPr>
      <w:tblGrid>
        <w:gridCol w:w="1832"/>
        <w:gridCol w:w="1498"/>
        <w:gridCol w:w="1405"/>
        <w:gridCol w:w="1486"/>
        <w:gridCol w:w="1348"/>
        <w:gridCol w:w="1483"/>
        <w:gridCol w:w="684"/>
      </w:tblGrid>
      <w:tr w:rsidR="00717547" w:rsidRPr="00030269" w14:paraId="15BF4458" w14:textId="77777777" w:rsidTr="00FA527B">
        <w:tc>
          <w:tcPr>
            <w:tcW w:w="0" w:type="auto"/>
            <w:hideMark/>
          </w:tcPr>
          <w:p w14:paraId="7E524F5D"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Clinical Scenario</w:t>
            </w:r>
          </w:p>
        </w:tc>
        <w:tc>
          <w:tcPr>
            <w:tcW w:w="0" w:type="auto"/>
            <w:hideMark/>
          </w:tcPr>
          <w:p w14:paraId="36BBA3AA"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Physiologic Thresholds Reported</w:t>
            </w:r>
          </w:p>
        </w:tc>
        <w:tc>
          <w:tcPr>
            <w:tcW w:w="0" w:type="auto"/>
            <w:hideMark/>
          </w:tcPr>
          <w:p w14:paraId="5782746B"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Suggested Timing Strategy</w:t>
            </w:r>
          </w:p>
        </w:tc>
        <w:tc>
          <w:tcPr>
            <w:tcW w:w="0" w:type="auto"/>
            <w:hideMark/>
          </w:tcPr>
          <w:p w14:paraId="42B90789"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Quantified Outcome Data</w:t>
            </w:r>
          </w:p>
        </w:tc>
        <w:tc>
          <w:tcPr>
            <w:tcW w:w="0" w:type="auto"/>
            <w:hideMark/>
          </w:tcPr>
          <w:p w14:paraId="4F62E45E"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MOF / ARDS Impact</w:t>
            </w:r>
          </w:p>
        </w:tc>
        <w:tc>
          <w:tcPr>
            <w:tcW w:w="0" w:type="auto"/>
            <w:hideMark/>
          </w:tcPr>
          <w:p w14:paraId="1FDFBC92"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Interpretation for Recovery</w:t>
            </w:r>
          </w:p>
        </w:tc>
        <w:tc>
          <w:tcPr>
            <w:tcW w:w="0" w:type="auto"/>
            <w:hideMark/>
          </w:tcPr>
          <w:p w14:paraId="6551FF62"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Key Refs</w:t>
            </w:r>
          </w:p>
        </w:tc>
      </w:tr>
      <w:tr w:rsidR="00717547" w:rsidRPr="00030269" w14:paraId="5516DE64" w14:textId="77777777" w:rsidTr="00FA527B">
        <w:tc>
          <w:tcPr>
            <w:tcW w:w="0" w:type="auto"/>
            <w:hideMark/>
          </w:tcPr>
          <w:p w14:paraId="65ADB377"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Hemodynamically stable polytrauma</w:t>
            </w:r>
          </w:p>
        </w:tc>
        <w:tc>
          <w:tcPr>
            <w:tcW w:w="0" w:type="auto"/>
            <w:hideMark/>
          </w:tcPr>
          <w:p w14:paraId="53CAD1B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Lactate &lt;2.5–3.0 mmol/L; Base deficit &lt;5; Normothermic; No ongoing transfusion</w:t>
            </w:r>
          </w:p>
        </w:tc>
        <w:tc>
          <w:tcPr>
            <w:tcW w:w="0" w:type="auto"/>
            <w:hideMark/>
          </w:tcPr>
          <w:p w14:paraId="26DC527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Total Care (ETC) within 24h</w:t>
            </w:r>
          </w:p>
        </w:tc>
        <w:tc>
          <w:tcPr>
            <w:tcW w:w="0" w:type="auto"/>
            <w:hideMark/>
          </w:tcPr>
          <w:p w14:paraId="6D556CA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Pulmonary complication reduction ~20–30% vs delayed fixation</w:t>
            </w:r>
          </w:p>
        </w:tc>
        <w:tc>
          <w:tcPr>
            <w:tcW w:w="0" w:type="auto"/>
            <w:hideMark/>
          </w:tcPr>
          <w:p w14:paraId="013674C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Lower ARDS incidence</w:t>
            </w:r>
          </w:p>
        </w:tc>
        <w:tc>
          <w:tcPr>
            <w:tcW w:w="0" w:type="auto"/>
            <w:hideMark/>
          </w:tcPr>
          <w:p w14:paraId="212AA0A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stabilisation beneficial when physiology permissive</w:t>
            </w:r>
          </w:p>
        </w:tc>
        <w:tc>
          <w:tcPr>
            <w:tcW w:w="0" w:type="auto"/>
            <w:hideMark/>
          </w:tcPr>
          <w:p w14:paraId="7B610C0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31,38</w:t>
            </w:r>
          </w:p>
        </w:tc>
      </w:tr>
      <w:tr w:rsidR="00717547" w:rsidRPr="00030269" w14:paraId="3413CE3E" w14:textId="77777777" w:rsidTr="00FA527B">
        <w:tc>
          <w:tcPr>
            <w:tcW w:w="0" w:type="auto"/>
            <w:hideMark/>
          </w:tcPr>
          <w:p w14:paraId="695E77F8"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Borderline patient</w:t>
            </w:r>
          </w:p>
        </w:tc>
        <w:tc>
          <w:tcPr>
            <w:tcW w:w="0" w:type="auto"/>
            <w:hideMark/>
          </w:tcPr>
          <w:p w14:paraId="682D568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Lactate 2.5–4 mmol/L; Transfusion ≤4 units PRBC; Moderate chest injury</w:t>
            </w:r>
          </w:p>
        </w:tc>
        <w:tc>
          <w:tcPr>
            <w:tcW w:w="0" w:type="auto"/>
            <w:hideMark/>
          </w:tcPr>
          <w:p w14:paraId="2E5D9FC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Individualised timing (24–48h)</w:t>
            </w:r>
          </w:p>
        </w:tc>
        <w:tc>
          <w:tcPr>
            <w:tcW w:w="0" w:type="auto"/>
            <w:hideMark/>
          </w:tcPr>
          <w:p w14:paraId="58C6B51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Mixed outcomes; increased complications if fixation too early</w:t>
            </w:r>
          </w:p>
        </w:tc>
        <w:tc>
          <w:tcPr>
            <w:tcW w:w="0" w:type="auto"/>
            <w:hideMark/>
          </w:tcPr>
          <w:p w14:paraId="5A1DDE2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Increased inflammatory response if unstable</w:t>
            </w:r>
          </w:p>
        </w:tc>
        <w:tc>
          <w:tcPr>
            <w:tcW w:w="0" w:type="auto"/>
            <w:hideMark/>
          </w:tcPr>
          <w:p w14:paraId="46DFDA0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Careful reassessment required before definitive fixation</w:t>
            </w:r>
          </w:p>
        </w:tc>
        <w:tc>
          <w:tcPr>
            <w:tcW w:w="0" w:type="auto"/>
            <w:hideMark/>
          </w:tcPr>
          <w:p w14:paraId="14BD0FC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26,63</w:t>
            </w:r>
          </w:p>
        </w:tc>
      </w:tr>
      <w:tr w:rsidR="00717547" w:rsidRPr="00030269" w14:paraId="1D30074C" w14:textId="77777777" w:rsidTr="00FA527B">
        <w:tc>
          <w:tcPr>
            <w:tcW w:w="0" w:type="auto"/>
            <w:hideMark/>
          </w:tcPr>
          <w:p w14:paraId="76DBDEC9"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Unstable patient</w:t>
            </w:r>
          </w:p>
        </w:tc>
        <w:tc>
          <w:tcPr>
            <w:tcW w:w="0" w:type="auto"/>
            <w:hideMark/>
          </w:tcPr>
          <w:p w14:paraId="6BFEC30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Lactate &gt;4 mmol/L; Base deficit &gt;6; Ongoing transfusion; Hypothermia</w:t>
            </w:r>
          </w:p>
        </w:tc>
        <w:tc>
          <w:tcPr>
            <w:tcW w:w="0" w:type="auto"/>
            <w:hideMark/>
          </w:tcPr>
          <w:p w14:paraId="278D914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Damage Control Orthopaedics (temporary fixation)</w:t>
            </w:r>
          </w:p>
        </w:tc>
        <w:tc>
          <w:tcPr>
            <w:tcW w:w="0" w:type="auto"/>
            <w:hideMark/>
          </w:tcPr>
          <w:p w14:paraId="7D0B3C9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definitive fixation associated with ↑ MOF rates</w:t>
            </w:r>
          </w:p>
        </w:tc>
        <w:tc>
          <w:tcPr>
            <w:tcW w:w="0" w:type="auto"/>
            <w:hideMark/>
          </w:tcPr>
          <w:p w14:paraId="33213B7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MOF incidence up to 20–30% in severe inflammatory states</w:t>
            </w:r>
          </w:p>
        </w:tc>
        <w:tc>
          <w:tcPr>
            <w:tcW w:w="0" w:type="auto"/>
            <w:hideMark/>
          </w:tcPr>
          <w:p w14:paraId="1CF3E5F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Avoid second-hit phenomenon</w:t>
            </w:r>
          </w:p>
        </w:tc>
        <w:tc>
          <w:tcPr>
            <w:tcW w:w="0" w:type="auto"/>
            <w:hideMark/>
          </w:tcPr>
          <w:p w14:paraId="53CA912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26,45</w:t>
            </w:r>
          </w:p>
        </w:tc>
      </w:tr>
      <w:tr w:rsidR="00717547" w:rsidRPr="00030269" w14:paraId="45BC327A" w14:textId="77777777" w:rsidTr="00FA527B">
        <w:tc>
          <w:tcPr>
            <w:tcW w:w="0" w:type="auto"/>
            <w:hideMark/>
          </w:tcPr>
          <w:p w14:paraId="5694BEEE"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Femoral shaft fracture (stable)</w:t>
            </w:r>
          </w:p>
        </w:tc>
        <w:tc>
          <w:tcPr>
            <w:tcW w:w="0" w:type="auto"/>
            <w:hideMark/>
          </w:tcPr>
          <w:p w14:paraId="236DA5E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No vasopressor requirement; Lactate clearing</w:t>
            </w:r>
          </w:p>
        </w:tc>
        <w:tc>
          <w:tcPr>
            <w:tcW w:w="0" w:type="auto"/>
            <w:hideMark/>
          </w:tcPr>
          <w:p w14:paraId="40814E0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Fixation &lt;24h preferred</w:t>
            </w:r>
          </w:p>
        </w:tc>
        <w:tc>
          <w:tcPr>
            <w:tcW w:w="0" w:type="auto"/>
            <w:hideMark/>
          </w:tcPr>
          <w:p w14:paraId="3B9C341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ventilator days; ↓ pulmonary complications</w:t>
            </w:r>
          </w:p>
        </w:tc>
        <w:tc>
          <w:tcPr>
            <w:tcW w:w="0" w:type="auto"/>
            <w:hideMark/>
          </w:tcPr>
          <w:p w14:paraId="728761B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ARDS incidence lower vs &gt;48h delay</w:t>
            </w:r>
          </w:p>
        </w:tc>
        <w:tc>
          <w:tcPr>
            <w:tcW w:w="0" w:type="auto"/>
            <w:hideMark/>
          </w:tcPr>
          <w:p w14:paraId="4EBCCA5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fixation reduces lung inflammatory burden</w:t>
            </w:r>
          </w:p>
        </w:tc>
        <w:tc>
          <w:tcPr>
            <w:tcW w:w="0" w:type="auto"/>
            <w:hideMark/>
          </w:tcPr>
          <w:p w14:paraId="3BABB7E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31,38</w:t>
            </w:r>
          </w:p>
        </w:tc>
      </w:tr>
      <w:tr w:rsidR="00717547" w:rsidRPr="00030269" w14:paraId="7D4D63C3" w14:textId="77777777" w:rsidTr="00FA527B">
        <w:tc>
          <w:tcPr>
            <w:tcW w:w="0" w:type="auto"/>
            <w:hideMark/>
          </w:tcPr>
          <w:p w14:paraId="5FE94650"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Femoral fracture (delayed &gt;48h)</w:t>
            </w:r>
          </w:p>
        </w:tc>
        <w:tc>
          <w:tcPr>
            <w:tcW w:w="0" w:type="auto"/>
            <w:hideMark/>
          </w:tcPr>
          <w:p w14:paraId="133B5CA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Persistent systemic inflammation</w:t>
            </w:r>
          </w:p>
        </w:tc>
        <w:tc>
          <w:tcPr>
            <w:tcW w:w="0" w:type="auto"/>
            <w:hideMark/>
          </w:tcPr>
          <w:p w14:paraId="675E5A9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Delayed fixation &gt;48–72h</w:t>
            </w:r>
          </w:p>
        </w:tc>
        <w:tc>
          <w:tcPr>
            <w:tcW w:w="0" w:type="auto"/>
            <w:hideMark/>
          </w:tcPr>
          <w:p w14:paraId="29C6509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Up to 2× increase in pulmonary complications</w:t>
            </w:r>
          </w:p>
        </w:tc>
        <w:tc>
          <w:tcPr>
            <w:tcW w:w="0" w:type="auto"/>
            <w:hideMark/>
          </w:tcPr>
          <w:p w14:paraId="380E5C6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Increased ARDS risk</w:t>
            </w:r>
          </w:p>
        </w:tc>
        <w:tc>
          <w:tcPr>
            <w:tcW w:w="0" w:type="auto"/>
            <w:hideMark/>
          </w:tcPr>
          <w:p w14:paraId="19FB304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Prolonged instability increases inflammatory load</w:t>
            </w:r>
          </w:p>
        </w:tc>
        <w:tc>
          <w:tcPr>
            <w:tcW w:w="0" w:type="auto"/>
            <w:hideMark/>
          </w:tcPr>
          <w:p w14:paraId="54773C3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33</w:t>
            </w:r>
          </w:p>
        </w:tc>
      </w:tr>
      <w:tr w:rsidR="00717547" w:rsidRPr="00030269" w14:paraId="6D2FC707" w14:textId="77777777" w:rsidTr="00FA527B">
        <w:tc>
          <w:tcPr>
            <w:tcW w:w="0" w:type="auto"/>
            <w:hideMark/>
          </w:tcPr>
          <w:p w14:paraId="1CF93DFB"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Bilateral femur fractures</w:t>
            </w:r>
          </w:p>
        </w:tc>
        <w:tc>
          <w:tcPr>
            <w:tcW w:w="0" w:type="auto"/>
            <w:hideMark/>
          </w:tcPr>
          <w:p w14:paraId="20CB8FB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Physiologic stability critical</w:t>
            </w:r>
          </w:p>
        </w:tc>
        <w:tc>
          <w:tcPr>
            <w:tcW w:w="0" w:type="auto"/>
            <w:hideMark/>
          </w:tcPr>
          <w:p w14:paraId="3C54340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Staged fixation if borderline</w:t>
            </w:r>
          </w:p>
        </w:tc>
        <w:tc>
          <w:tcPr>
            <w:tcW w:w="0" w:type="auto"/>
            <w:hideMark/>
          </w:tcPr>
          <w:p w14:paraId="055D736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Higher complication rates when aggressive early fixation in unstable pts</w:t>
            </w:r>
          </w:p>
        </w:tc>
        <w:tc>
          <w:tcPr>
            <w:tcW w:w="0" w:type="auto"/>
            <w:hideMark/>
          </w:tcPr>
          <w:p w14:paraId="6D21BF8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Increased MOF risk</w:t>
            </w:r>
          </w:p>
        </w:tc>
        <w:tc>
          <w:tcPr>
            <w:tcW w:w="0" w:type="auto"/>
            <w:hideMark/>
          </w:tcPr>
          <w:p w14:paraId="42BCF72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Staging reduces systemic stress</w:t>
            </w:r>
          </w:p>
        </w:tc>
        <w:tc>
          <w:tcPr>
            <w:tcW w:w="0" w:type="auto"/>
            <w:hideMark/>
          </w:tcPr>
          <w:p w14:paraId="6662890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22</w:t>
            </w:r>
          </w:p>
        </w:tc>
      </w:tr>
      <w:tr w:rsidR="00717547" w:rsidRPr="00030269" w14:paraId="6AEFE759" w14:textId="77777777" w:rsidTr="00FA527B">
        <w:tc>
          <w:tcPr>
            <w:tcW w:w="0" w:type="auto"/>
            <w:hideMark/>
          </w:tcPr>
          <w:p w14:paraId="5CF3508D"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 xml:space="preserve">Pelvic instability with </w:t>
            </w:r>
            <w:proofErr w:type="spellStart"/>
            <w:r w:rsidRPr="00030269">
              <w:rPr>
                <w:rFonts w:ascii="Times New Roman" w:hAnsi="Times New Roman" w:cs="Times New Roman"/>
                <w:b/>
                <w:bCs/>
              </w:rPr>
              <w:t>hemorrhage</w:t>
            </w:r>
            <w:proofErr w:type="spellEnd"/>
          </w:p>
        </w:tc>
        <w:tc>
          <w:tcPr>
            <w:tcW w:w="0" w:type="auto"/>
            <w:hideMark/>
          </w:tcPr>
          <w:p w14:paraId="7D66188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SBP &lt;90 mmHg; Active bleeding</w:t>
            </w:r>
          </w:p>
        </w:tc>
        <w:tc>
          <w:tcPr>
            <w:tcW w:w="0" w:type="auto"/>
            <w:hideMark/>
          </w:tcPr>
          <w:p w14:paraId="50C89F3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temporary stabilisation</w:t>
            </w:r>
          </w:p>
        </w:tc>
        <w:tc>
          <w:tcPr>
            <w:tcW w:w="0" w:type="auto"/>
            <w:hideMark/>
          </w:tcPr>
          <w:p w14:paraId="3B9080E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Reduced transfusion </w:t>
            </w:r>
            <w:proofErr w:type="gramStart"/>
            <w:r w:rsidRPr="00030269">
              <w:rPr>
                <w:rFonts w:ascii="Times New Roman" w:hAnsi="Times New Roman" w:cs="Times New Roman"/>
              </w:rPr>
              <w:t>need</w:t>
            </w:r>
            <w:proofErr w:type="gramEnd"/>
            <w:r w:rsidRPr="00030269">
              <w:rPr>
                <w:rFonts w:ascii="Times New Roman" w:hAnsi="Times New Roman" w:cs="Times New Roman"/>
              </w:rPr>
              <w:t xml:space="preserve">; improved </w:t>
            </w:r>
            <w:r w:rsidRPr="00030269">
              <w:rPr>
                <w:rFonts w:ascii="Times New Roman" w:hAnsi="Times New Roman" w:cs="Times New Roman"/>
              </w:rPr>
              <w:lastRenderedPageBreak/>
              <w:t>haemodynamic control</w:t>
            </w:r>
          </w:p>
        </w:tc>
        <w:tc>
          <w:tcPr>
            <w:tcW w:w="0" w:type="auto"/>
            <w:hideMark/>
          </w:tcPr>
          <w:p w14:paraId="31AE172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Indirect reduction in MOF</w:t>
            </w:r>
          </w:p>
        </w:tc>
        <w:tc>
          <w:tcPr>
            <w:tcW w:w="0" w:type="auto"/>
            <w:hideMark/>
          </w:tcPr>
          <w:p w14:paraId="7EBB08F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Haemorrhage control precedes </w:t>
            </w:r>
            <w:r w:rsidRPr="00030269">
              <w:rPr>
                <w:rFonts w:ascii="Times New Roman" w:hAnsi="Times New Roman" w:cs="Times New Roman"/>
              </w:rPr>
              <w:lastRenderedPageBreak/>
              <w:t>definitive fixation</w:t>
            </w:r>
          </w:p>
        </w:tc>
        <w:tc>
          <w:tcPr>
            <w:tcW w:w="0" w:type="auto"/>
            <w:hideMark/>
          </w:tcPr>
          <w:p w14:paraId="68539E6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43</w:t>
            </w:r>
          </w:p>
        </w:tc>
      </w:tr>
      <w:tr w:rsidR="00717547" w:rsidRPr="00030269" w14:paraId="3D3C2081" w14:textId="77777777" w:rsidTr="00FA527B">
        <w:tc>
          <w:tcPr>
            <w:tcW w:w="0" w:type="auto"/>
            <w:hideMark/>
          </w:tcPr>
          <w:p w14:paraId="108B21B1"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Spine fracture with respiratory compromise</w:t>
            </w:r>
          </w:p>
        </w:tc>
        <w:tc>
          <w:tcPr>
            <w:tcW w:w="0" w:type="auto"/>
            <w:hideMark/>
          </w:tcPr>
          <w:p w14:paraId="44984D8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Ventilatory dependence; Chest injury</w:t>
            </w:r>
          </w:p>
        </w:tc>
        <w:tc>
          <w:tcPr>
            <w:tcW w:w="0" w:type="auto"/>
            <w:hideMark/>
          </w:tcPr>
          <w:p w14:paraId="21E41AA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stabilisation if stable</w:t>
            </w:r>
          </w:p>
        </w:tc>
        <w:tc>
          <w:tcPr>
            <w:tcW w:w="0" w:type="auto"/>
            <w:hideMark/>
          </w:tcPr>
          <w:p w14:paraId="46DF38E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Shorter ICU stay; improved pulmonary mechanics</w:t>
            </w:r>
          </w:p>
        </w:tc>
        <w:tc>
          <w:tcPr>
            <w:tcW w:w="0" w:type="auto"/>
            <w:hideMark/>
          </w:tcPr>
          <w:p w14:paraId="7C96032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Lower pneumonia rates</w:t>
            </w:r>
          </w:p>
        </w:tc>
        <w:tc>
          <w:tcPr>
            <w:tcW w:w="0" w:type="auto"/>
            <w:hideMark/>
          </w:tcPr>
          <w:p w14:paraId="2202D85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Stabilisation facilitates mobilisation</w:t>
            </w:r>
          </w:p>
        </w:tc>
        <w:tc>
          <w:tcPr>
            <w:tcW w:w="0" w:type="auto"/>
            <w:hideMark/>
          </w:tcPr>
          <w:p w14:paraId="623242D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44</w:t>
            </w:r>
          </w:p>
        </w:tc>
      </w:tr>
      <w:tr w:rsidR="00717547" w:rsidRPr="00030269" w14:paraId="7AC8AF67" w14:textId="77777777" w:rsidTr="00FA527B">
        <w:tc>
          <w:tcPr>
            <w:tcW w:w="0" w:type="auto"/>
            <w:hideMark/>
          </w:tcPr>
          <w:p w14:paraId="46B7D73E"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Second-hit phenomenon risk</w:t>
            </w:r>
          </w:p>
        </w:tc>
        <w:tc>
          <w:tcPr>
            <w:tcW w:w="0" w:type="auto"/>
            <w:hideMark/>
          </w:tcPr>
          <w:p w14:paraId="15C9525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High IL-6 levels; Persistent shock markers</w:t>
            </w:r>
          </w:p>
        </w:tc>
        <w:tc>
          <w:tcPr>
            <w:tcW w:w="0" w:type="auto"/>
            <w:hideMark/>
          </w:tcPr>
          <w:p w14:paraId="6767E3B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 definitive fixation until resuscitated</w:t>
            </w:r>
          </w:p>
        </w:tc>
        <w:tc>
          <w:tcPr>
            <w:tcW w:w="0" w:type="auto"/>
            <w:hideMark/>
          </w:tcPr>
          <w:p w14:paraId="17989C3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Elevated MOF when surgery during inflammatory peak</w:t>
            </w:r>
          </w:p>
        </w:tc>
        <w:tc>
          <w:tcPr>
            <w:tcW w:w="0" w:type="auto"/>
            <w:hideMark/>
          </w:tcPr>
          <w:p w14:paraId="54AE63B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MOF ~20–30% late deaths</w:t>
            </w:r>
          </w:p>
        </w:tc>
        <w:tc>
          <w:tcPr>
            <w:tcW w:w="0" w:type="auto"/>
            <w:hideMark/>
          </w:tcPr>
          <w:p w14:paraId="41344CF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Timing must follow physiologic recovery</w:t>
            </w:r>
          </w:p>
        </w:tc>
        <w:tc>
          <w:tcPr>
            <w:tcW w:w="0" w:type="auto"/>
            <w:hideMark/>
          </w:tcPr>
          <w:p w14:paraId="0E7A096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45,61</w:t>
            </w:r>
          </w:p>
        </w:tc>
      </w:tr>
      <w:tr w:rsidR="00717547" w:rsidRPr="00030269" w14:paraId="7C5BF4CF" w14:textId="77777777" w:rsidTr="00FA527B">
        <w:tc>
          <w:tcPr>
            <w:tcW w:w="0" w:type="auto"/>
            <w:hideMark/>
          </w:tcPr>
          <w:p w14:paraId="7FFDF894"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Compartment risk with aggressive resuscitation</w:t>
            </w:r>
          </w:p>
        </w:tc>
        <w:tc>
          <w:tcPr>
            <w:tcW w:w="0" w:type="auto"/>
            <w:hideMark/>
          </w:tcPr>
          <w:p w14:paraId="4D3630D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Positive fluid balance &gt;3L; Swollen compartments</w:t>
            </w:r>
          </w:p>
        </w:tc>
        <w:tc>
          <w:tcPr>
            <w:tcW w:w="0" w:type="auto"/>
            <w:hideMark/>
          </w:tcPr>
          <w:p w14:paraId="32FC715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Monitor; fasciotomy if needed</w:t>
            </w:r>
          </w:p>
        </w:tc>
        <w:tc>
          <w:tcPr>
            <w:tcW w:w="0" w:type="auto"/>
            <w:hideMark/>
          </w:tcPr>
          <w:p w14:paraId="1993CF4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Increased fasciotomy rates with high-volume fluids</w:t>
            </w:r>
          </w:p>
        </w:tc>
        <w:tc>
          <w:tcPr>
            <w:tcW w:w="0" w:type="auto"/>
            <w:hideMark/>
          </w:tcPr>
          <w:p w14:paraId="56846A2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Limb morbidity</w:t>
            </w:r>
          </w:p>
        </w:tc>
        <w:tc>
          <w:tcPr>
            <w:tcW w:w="0" w:type="auto"/>
            <w:hideMark/>
          </w:tcPr>
          <w:p w14:paraId="30E9485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Fluid discipline influences orthopaedic outcome</w:t>
            </w:r>
          </w:p>
        </w:tc>
        <w:tc>
          <w:tcPr>
            <w:tcW w:w="0" w:type="auto"/>
            <w:hideMark/>
          </w:tcPr>
          <w:p w14:paraId="0087FF5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62,98</w:t>
            </w:r>
          </w:p>
        </w:tc>
      </w:tr>
    </w:tbl>
    <w:p w14:paraId="6ECBB696" w14:textId="77777777" w:rsidR="00717547" w:rsidRPr="00680D07" w:rsidRDefault="00717547" w:rsidP="00717547">
      <w:pPr>
        <w:spacing w:after="0" w:line="276" w:lineRule="auto"/>
        <w:rPr>
          <w:rFonts w:ascii="Times New Roman" w:hAnsi="Times New Roman" w:cs="Times New Roman"/>
        </w:rPr>
      </w:pPr>
    </w:p>
    <w:p w14:paraId="18289AF2" w14:textId="77777777" w:rsidR="00717547" w:rsidRPr="00680D07" w:rsidRDefault="00717547" w:rsidP="00717547">
      <w:pPr>
        <w:spacing w:after="0" w:line="276" w:lineRule="auto"/>
        <w:rPr>
          <w:rFonts w:ascii="Times New Roman" w:hAnsi="Times New Roman" w:cs="Times New Roman"/>
        </w:rPr>
      </w:pPr>
    </w:p>
    <w:p w14:paraId="68CCF287" w14:textId="77777777" w:rsidR="00717547" w:rsidRPr="001C0AB6" w:rsidRDefault="00717547" w:rsidP="00717547">
      <w:pPr>
        <w:spacing w:after="0" w:line="276" w:lineRule="auto"/>
        <w:rPr>
          <w:rFonts w:ascii="Times New Roman" w:hAnsi="Times New Roman" w:cs="Times New Roman"/>
          <w:b/>
          <w:bCs/>
        </w:rPr>
      </w:pPr>
      <w:r w:rsidRPr="001C0AB6">
        <w:rPr>
          <w:rFonts w:ascii="Times New Roman" w:hAnsi="Times New Roman" w:cs="Times New Roman"/>
          <w:b/>
          <w:bCs/>
        </w:rPr>
        <w:t>Footnotes:</w:t>
      </w:r>
    </w:p>
    <w:p w14:paraId="1981233A" w14:textId="77777777" w:rsidR="00717547" w:rsidRPr="001C0AB6" w:rsidRDefault="00717547" w:rsidP="00717547">
      <w:pPr>
        <w:numPr>
          <w:ilvl w:val="0"/>
          <w:numId w:val="11"/>
        </w:numPr>
        <w:spacing w:after="0" w:line="276" w:lineRule="auto"/>
        <w:rPr>
          <w:rFonts w:ascii="Times New Roman" w:hAnsi="Times New Roman" w:cs="Times New Roman"/>
        </w:rPr>
      </w:pPr>
      <w:r w:rsidRPr="001C0AB6">
        <w:rPr>
          <w:rFonts w:ascii="Times New Roman" w:hAnsi="Times New Roman" w:cs="Times New Roman"/>
        </w:rPr>
        <w:t>Lactate and base deficit thresholds reflect commonly cited clinical guidance rather than universally validated cut-offs [26,63].</w:t>
      </w:r>
    </w:p>
    <w:p w14:paraId="0A31170E" w14:textId="77777777" w:rsidR="00717547" w:rsidRPr="001C0AB6" w:rsidRDefault="00717547" w:rsidP="00717547">
      <w:pPr>
        <w:numPr>
          <w:ilvl w:val="0"/>
          <w:numId w:val="11"/>
        </w:numPr>
        <w:spacing w:after="0" w:line="276" w:lineRule="auto"/>
        <w:rPr>
          <w:rFonts w:ascii="Times New Roman" w:hAnsi="Times New Roman" w:cs="Times New Roman"/>
        </w:rPr>
      </w:pPr>
      <w:r w:rsidRPr="001C0AB6">
        <w:rPr>
          <w:rFonts w:ascii="Times New Roman" w:hAnsi="Times New Roman" w:cs="Times New Roman"/>
        </w:rPr>
        <w:t>Early total care (ETC) and damage control orthopaedics (DCO) decisions should be individualized based on physiological trajectory.</w:t>
      </w:r>
    </w:p>
    <w:p w14:paraId="184E234B" w14:textId="77777777" w:rsidR="00717547" w:rsidRPr="001C0AB6" w:rsidRDefault="00717547" w:rsidP="00717547">
      <w:pPr>
        <w:numPr>
          <w:ilvl w:val="0"/>
          <w:numId w:val="11"/>
        </w:numPr>
        <w:spacing w:after="0" w:line="276" w:lineRule="auto"/>
        <w:rPr>
          <w:rFonts w:ascii="Times New Roman" w:hAnsi="Times New Roman" w:cs="Times New Roman"/>
        </w:rPr>
      </w:pPr>
      <w:r w:rsidRPr="001C0AB6">
        <w:rPr>
          <w:rFonts w:ascii="Times New Roman" w:hAnsi="Times New Roman" w:cs="Times New Roman"/>
        </w:rPr>
        <w:t>Observational studies of fixation timing are subject to selection bias.</w:t>
      </w:r>
    </w:p>
    <w:p w14:paraId="08ACB85C" w14:textId="77777777" w:rsidR="00717547" w:rsidRPr="001C0AB6" w:rsidRDefault="00717547" w:rsidP="00717547">
      <w:pPr>
        <w:numPr>
          <w:ilvl w:val="0"/>
          <w:numId w:val="11"/>
        </w:numPr>
        <w:spacing w:after="0" w:line="276" w:lineRule="auto"/>
        <w:rPr>
          <w:rFonts w:ascii="Times New Roman" w:hAnsi="Times New Roman" w:cs="Times New Roman"/>
        </w:rPr>
      </w:pPr>
      <w:r w:rsidRPr="001C0AB6">
        <w:rPr>
          <w:rFonts w:ascii="Times New Roman" w:hAnsi="Times New Roman" w:cs="Times New Roman"/>
        </w:rPr>
        <w:t>Pulmonary complication rates may be influenced by associated chest injury severity.</w:t>
      </w:r>
    </w:p>
    <w:p w14:paraId="6529592B" w14:textId="77777777" w:rsidR="00717547" w:rsidRPr="001C0AB6" w:rsidRDefault="00717547" w:rsidP="00717547">
      <w:pPr>
        <w:numPr>
          <w:ilvl w:val="0"/>
          <w:numId w:val="11"/>
        </w:numPr>
        <w:spacing w:after="0" w:line="276" w:lineRule="auto"/>
        <w:rPr>
          <w:rFonts w:ascii="Times New Roman" w:hAnsi="Times New Roman" w:cs="Times New Roman"/>
        </w:rPr>
      </w:pPr>
      <w:r w:rsidRPr="001C0AB6">
        <w:rPr>
          <w:rFonts w:ascii="Times New Roman" w:hAnsi="Times New Roman" w:cs="Times New Roman"/>
        </w:rPr>
        <w:t>MOF incidence reflects registry-based late mortality patterns [61].</w:t>
      </w:r>
    </w:p>
    <w:p w14:paraId="05891435" w14:textId="77777777" w:rsidR="00DE5DC9" w:rsidRPr="00680D07" w:rsidRDefault="00DE5DC9" w:rsidP="00680D07">
      <w:pPr>
        <w:spacing w:after="0" w:line="276" w:lineRule="auto"/>
        <w:rPr>
          <w:rFonts w:ascii="Times New Roman" w:hAnsi="Times New Roman" w:cs="Times New Roman"/>
          <w:b/>
          <w:bCs/>
        </w:rPr>
      </w:pPr>
    </w:p>
    <w:p w14:paraId="50C4FB7A" w14:textId="77777777" w:rsidR="002C121A" w:rsidRPr="00680D07" w:rsidRDefault="002C121A" w:rsidP="00680D07">
      <w:pPr>
        <w:spacing w:after="0" w:line="276" w:lineRule="auto"/>
        <w:rPr>
          <w:rFonts w:ascii="Times New Roman" w:hAnsi="Times New Roman" w:cs="Times New Roman"/>
          <w:b/>
          <w:bCs/>
        </w:rPr>
      </w:pPr>
    </w:p>
    <w:p w14:paraId="6B0FBD2F" w14:textId="77777777"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TIER 2 AND TIER 3 IMPLEMENTATION STRATEGIES</w:t>
      </w:r>
    </w:p>
    <w:p w14:paraId="55D9B686" w14:textId="7CEEC260" w:rsidR="002C121A" w:rsidRPr="002C121A" w:rsidRDefault="002C121A" w:rsidP="00680D07">
      <w:pPr>
        <w:spacing w:after="0" w:line="276" w:lineRule="auto"/>
        <w:rPr>
          <w:rFonts w:ascii="Times New Roman" w:hAnsi="Times New Roman" w:cs="Times New Roman"/>
          <w:b/>
          <w:bCs/>
        </w:rPr>
      </w:pPr>
    </w:p>
    <w:p w14:paraId="1C3C15AA"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While Tier 1 measures target biological amplification directly, system-level organisation determines whether these measures are applied consistently. Compliance variability, delayed escalation, and absence of structured review frequently undermine otherwise sound clinical decisions.</w:t>
      </w:r>
    </w:p>
    <w:p w14:paraId="43EE8DB4" w14:textId="77777777" w:rsidR="00DE5DC9" w:rsidRPr="002C121A" w:rsidRDefault="00DE5DC9" w:rsidP="00680D07">
      <w:pPr>
        <w:spacing w:after="0" w:line="276" w:lineRule="auto"/>
        <w:rPr>
          <w:rFonts w:ascii="Times New Roman" w:hAnsi="Times New Roman" w:cs="Times New Roman"/>
        </w:rPr>
      </w:pPr>
    </w:p>
    <w:p w14:paraId="4817CC36" w14:textId="0FDFE29E"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Compliance and Dose–Response Effect</w:t>
      </w:r>
    </w:p>
    <w:p w14:paraId="540208F6"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Evidence from enhanced recovery pathways demonstrates a dose–response relationship between protocol adherence and clinical outcomes. In multicentre analyses, complication rates decrease progressively as overall pathway compliance increases. Each 10% increase in compliance has been associated with incremental reductions in postoperative complications, often in the range of 5–10% relative improvement [93].</w:t>
      </w:r>
    </w:p>
    <w:p w14:paraId="0AE5BB67" w14:textId="77777777" w:rsidR="00717547" w:rsidRPr="002C121A" w:rsidRDefault="00717547" w:rsidP="00680D07">
      <w:pPr>
        <w:spacing w:after="0" w:line="276" w:lineRule="auto"/>
        <w:rPr>
          <w:rFonts w:ascii="Times New Roman" w:hAnsi="Times New Roman" w:cs="Times New Roman"/>
        </w:rPr>
      </w:pPr>
    </w:p>
    <w:p w14:paraId="4A2AAD4C" w14:textId="537529A0"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When compliance reaches 70–80%, overall complication reduction of approximately 20–30% has been reported compared with lower adherence levels [93,94]. Mortality reductions are generally modest in absolute terms but become meaningful in high-risk populations.</w:t>
      </w:r>
      <w:r w:rsidR="00717547">
        <w:rPr>
          <w:rFonts w:ascii="Times New Roman" w:hAnsi="Times New Roman" w:cs="Times New Roman"/>
        </w:rPr>
        <w:t xml:space="preserve"> </w:t>
      </w:r>
      <w:r w:rsidRPr="002C121A">
        <w:rPr>
          <w:rFonts w:ascii="Times New Roman" w:hAnsi="Times New Roman" w:cs="Times New Roman"/>
        </w:rPr>
        <w:t>The implication for polytrauma care is straightforward: consistency matters. Even biologically sound interventions fail to produce benefit if applied inconsistently.</w:t>
      </w:r>
    </w:p>
    <w:p w14:paraId="0D43409A" w14:textId="77777777" w:rsidR="00717547" w:rsidRPr="002C121A" w:rsidRDefault="00717547" w:rsidP="00680D07">
      <w:pPr>
        <w:spacing w:after="0" w:line="276" w:lineRule="auto"/>
        <w:rPr>
          <w:rFonts w:ascii="Times New Roman" w:hAnsi="Times New Roman" w:cs="Times New Roman"/>
        </w:rPr>
      </w:pPr>
    </w:p>
    <w:p w14:paraId="62471ACB" w14:textId="774C7568"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Audit and Feedback Mechanisms</w:t>
      </w:r>
    </w:p>
    <w:p w14:paraId="5CDBC3F2"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Structured audit-and-feedback interventions have been shown to improve adherence to evidence-based practices by approximately 10–20% across various surgical settings [89]. Although the absolute mortality effect may be indirect, improved adherence to antibiotic timing, VTE prophylaxis, or mobilisation protocols contributes cumulatively to complication reduction.</w:t>
      </w:r>
    </w:p>
    <w:p w14:paraId="1B385201" w14:textId="77777777" w:rsidR="00717547" w:rsidRPr="002C121A" w:rsidRDefault="00717547" w:rsidP="00680D07">
      <w:pPr>
        <w:spacing w:after="0" w:line="276" w:lineRule="auto"/>
        <w:rPr>
          <w:rFonts w:ascii="Times New Roman" w:hAnsi="Times New Roman" w:cs="Times New Roman"/>
        </w:rPr>
      </w:pPr>
    </w:p>
    <w:p w14:paraId="75F911D3"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Trauma registry implementation further strengthens system learning. Comparative analyses between centres with mature registries and those without demonstrate improved benchmarking capability and progressive outcome improvement over time [109].</w:t>
      </w:r>
    </w:p>
    <w:p w14:paraId="795D1A70" w14:textId="77777777" w:rsidR="00717547" w:rsidRPr="002C121A" w:rsidRDefault="00717547" w:rsidP="00680D07">
      <w:pPr>
        <w:spacing w:after="0" w:line="276" w:lineRule="auto"/>
        <w:rPr>
          <w:rFonts w:ascii="Times New Roman" w:hAnsi="Times New Roman" w:cs="Times New Roman"/>
        </w:rPr>
      </w:pPr>
    </w:p>
    <w:p w14:paraId="6F2DAF9B" w14:textId="3C9D293F"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Failure-to-Rescue and Escalation Capacity</w:t>
      </w:r>
    </w:p>
    <w:p w14:paraId="46B6B323"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Mortality variation across hospitals often reflects differences in failure-to-rescue rather than complication incidence [91]. In large multi-centre datasets, hospitals with similar complication rates demonstrated two- to three-fold differences in mortality attributable to differences in early recognition and escalation of care.</w:t>
      </w:r>
    </w:p>
    <w:p w14:paraId="7494BF02" w14:textId="77777777" w:rsidR="00717547" w:rsidRPr="002C121A" w:rsidRDefault="00717547" w:rsidP="00680D07">
      <w:pPr>
        <w:spacing w:after="0" w:line="276" w:lineRule="auto"/>
        <w:rPr>
          <w:rFonts w:ascii="Times New Roman" w:hAnsi="Times New Roman" w:cs="Times New Roman"/>
        </w:rPr>
      </w:pPr>
    </w:p>
    <w:p w14:paraId="6A0319DB"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Structured rapid response systems and defined escalation pathways have been associated with relative mortality reductions in emergency surgical populations [92]. The ability to detect respiratory deterioration, sepsis, or haemodynamic instability early is particularly relevant in polytrauma patients at risk for ARDS and MOF.</w:t>
      </w:r>
    </w:p>
    <w:p w14:paraId="44678035" w14:textId="77777777" w:rsidR="00717547" w:rsidRPr="002C121A" w:rsidRDefault="00717547" w:rsidP="00680D07">
      <w:pPr>
        <w:spacing w:after="0" w:line="276" w:lineRule="auto"/>
        <w:rPr>
          <w:rFonts w:ascii="Times New Roman" w:hAnsi="Times New Roman" w:cs="Times New Roman"/>
        </w:rPr>
      </w:pPr>
    </w:p>
    <w:p w14:paraId="1403E617" w14:textId="329CC4DC"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Trauma System Implementation in Resource-Limited Settings</w:t>
      </w:r>
    </w:p>
    <w:p w14:paraId="0845F9F8" w14:textId="63F7E5D6"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Evidence from LMIC trauma centres demonstrates measurable mortality reduction following introduction of structured trauma pathways and workforce training. One centre reported reduction in mortality from 17% to 11% after structured trauma education and process reorganisation, representing approximately 35% relative mortality reduction [83]. Another centre demonstrated approximately 20% relative mortality reduction following protocolisation of trauma care [84].</w:t>
      </w:r>
      <w:r w:rsidR="00717547">
        <w:rPr>
          <w:rFonts w:ascii="Times New Roman" w:hAnsi="Times New Roman" w:cs="Times New Roman"/>
        </w:rPr>
        <w:t xml:space="preserve"> </w:t>
      </w:r>
      <w:r w:rsidRPr="002C121A">
        <w:rPr>
          <w:rFonts w:ascii="Times New Roman" w:hAnsi="Times New Roman" w:cs="Times New Roman"/>
        </w:rPr>
        <w:t>These findings suggest that organised coordination, rather than advanced technology alone, can meaningfully influence survival.</w:t>
      </w:r>
    </w:p>
    <w:p w14:paraId="0DB5F60C" w14:textId="77777777" w:rsidR="00717547" w:rsidRPr="002C121A" w:rsidRDefault="00717547" w:rsidP="00680D07">
      <w:pPr>
        <w:spacing w:after="0" w:line="276" w:lineRule="auto"/>
        <w:rPr>
          <w:rFonts w:ascii="Times New Roman" w:hAnsi="Times New Roman" w:cs="Times New Roman"/>
        </w:rPr>
      </w:pPr>
    </w:p>
    <w:p w14:paraId="7F934395" w14:textId="7D1507A6"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Risk Stratification and Monitoring</w:t>
      </w:r>
    </w:p>
    <w:p w14:paraId="4F949693"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Risk scoring tools for pulmonary complications and organ dysfunction facilitate earlier ICU triage and targeted monitoring [97]. While not a substitute for clinical judgement, structured risk assessment reduces the likelihood that high-risk patients remain under-monitored during the vulnerable postoperative period.</w:t>
      </w:r>
    </w:p>
    <w:p w14:paraId="12617187" w14:textId="6EA3D1FC" w:rsidR="002C121A" w:rsidRPr="002C121A" w:rsidRDefault="002C121A" w:rsidP="00680D07">
      <w:pPr>
        <w:spacing w:after="0" w:line="276" w:lineRule="auto"/>
        <w:rPr>
          <w:rFonts w:ascii="Times New Roman" w:hAnsi="Times New Roman" w:cs="Times New Roman"/>
          <w:b/>
          <w:bCs/>
        </w:rPr>
      </w:pPr>
    </w:p>
    <w:p w14:paraId="07F807E1" w14:textId="77777777"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Table 5. Quantified Impact of Structured Implementation, Compliance, and Rescue Capacity on Surgical and Trauma Outcomes</w:t>
      </w:r>
    </w:p>
    <w:p w14:paraId="26438D18" w14:textId="77777777" w:rsidR="00717547" w:rsidRPr="00680D07" w:rsidRDefault="00717547" w:rsidP="00717547">
      <w:pPr>
        <w:spacing w:after="0" w:line="276" w:lineRule="auto"/>
        <w:rPr>
          <w:rFonts w:ascii="Times New Roman" w:hAnsi="Times New Roman" w:cs="Times New Roman"/>
          <w:b/>
          <w:bCs/>
        </w:rPr>
      </w:pPr>
    </w:p>
    <w:p w14:paraId="08889515" w14:textId="77777777" w:rsidR="00717547" w:rsidRPr="00030269" w:rsidRDefault="00717547" w:rsidP="00717547">
      <w:pPr>
        <w:spacing w:after="0" w:line="276" w:lineRule="auto"/>
        <w:rPr>
          <w:rFonts w:ascii="Times New Roman" w:hAnsi="Times New Roman" w:cs="Times New Roman"/>
          <w:b/>
          <w:bCs/>
        </w:rPr>
      </w:pPr>
    </w:p>
    <w:tbl>
      <w:tblPr>
        <w:tblStyle w:val="TableGrid"/>
        <w:tblW w:w="0" w:type="auto"/>
        <w:tblLook w:val="04A0" w:firstRow="1" w:lastRow="0" w:firstColumn="1" w:lastColumn="0" w:noHBand="0" w:noVBand="1"/>
      </w:tblPr>
      <w:tblGrid>
        <w:gridCol w:w="1096"/>
        <w:gridCol w:w="1124"/>
        <w:gridCol w:w="942"/>
        <w:gridCol w:w="1110"/>
        <w:gridCol w:w="994"/>
        <w:gridCol w:w="914"/>
        <w:gridCol w:w="914"/>
        <w:gridCol w:w="1008"/>
        <w:gridCol w:w="1124"/>
        <w:gridCol w:w="510"/>
      </w:tblGrid>
      <w:tr w:rsidR="00717547" w:rsidRPr="00030269" w14:paraId="16B8FD74" w14:textId="77777777" w:rsidTr="00FA527B">
        <w:tc>
          <w:tcPr>
            <w:tcW w:w="0" w:type="auto"/>
            <w:hideMark/>
          </w:tcPr>
          <w:p w14:paraId="7ACC056A"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Strategy</w:t>
            </w:r>
          </w:p>
        </w:tc>
        <w:tc>
          <w:tcPr>
            <w:tcW w:w="0" w:type="auto"/>
            <w:hideMark/>
          </w:tcPr>
          <w:p w14:paraId="7FF8BBF3"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Setting</w:t>
            </w:r>
          </w:p>
        </w:tc>
        <w:tc>
          <w:tcPr>
            <w:tcW w:w="0" w:type="auto"/>
            <w:hideMark/>
          </w:tcPr>
          <w:p w14:paraId="044F50A4"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Baseline Performance</w:t>
            </w:r>
          </w:p>
        </w:tc>
        <w:tc>
          <w:tcPr>
            <w:tcW w:w="0" w:type="auto"/>
            <w:hideMark/>
          </w:tcPr>
          <w:p w14:paraId="71D564B0"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Post-Implementation Performance</w:t>
            </w:r>
          </w:p>
        </w:tc>
        <w:tc>
          <w:tcPr>
            <w:tcW w:w="0" w:type="auto"/>
            <w:hideMark/>
          </w:tcPr>
          <w:p w14:paraId="2284AE39"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Relative Effect</w:t>
            </w:r>
          </w:p>
        </w:tc>
        <w:tc>
          <w:tcPr>
            <w:tcW w:w="0" w:type="auto"/>
            <w:hideMark/>
          </w:tcPr>
          <w:p w14:paraId="571C84F7"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Absolute Effect</w:t>
            </w:r>
          </w:p>
        </w:tc>
        <w:tc>
          <w:tcPr>
            <w:tcW w:w="0" w:type="auto"/>
            <w:hideMark/>
          </w:tcPr>
          <w:p w14:paraId="7C25E3C6"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Mortality Impact</w:t>
            </w:r>
          </w:p>
        </w:tc>
        <w:tc>
          <w:tcPr>
            <w:tcW w:w="0" w:type="auto"/>
            <w:hideMark/>
          </w:tcPr>
          <w:p w14:paraId="54A02049"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Mechanism of Improvement</w:t>
            </w:r>
          </w:p>
        </w:tc>
        <w:tc>
          <w:tcPr>
            <w:tcW w:w="0" w:type="auto"/>
            <w:hideMark/>
          </w:tcPr>
          <w:p w14:paraId="1E036604"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System Requirement</w:t>
            </w:r>
          </w:p>
        </w:tc>
        <w:tc>
          <w:tcPr>
            <w:tcW w:w="0" w:type="auto"/>
            <w:hideMark/>
          </w:tcPr>
          <w:p w14:paraId="036D6499"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Key Refs</w:t>
            </w:r>
          </w:p>
        </w:tc>
      </w:tr>
      <w:tr w:rsidR="00717547" w:rsidRPr="00030269" w14:paraId="7278BEDE" w14:textId="77777777" w:rsidTr="00FA527B">
        <w:tc>
          <w:tcPr>
            <w:tcW w:w="0" w:type="auto"/>
            <w:hideMark/>
          </w:tcPr>
          <w:p w14:paraId="51E003A3"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ERAS compliance ≥70–80%</w:t>
            </w:r>
          </w:p>
        </w:tc>
        <w:tc>
          <w:tcPr>
            <w:tcW w:w="0" w:type="auto"/>
            <w:hideMark/>
          </w:tcPr>
          <w:p w14:paraId="19F85C68" w14:textId="77777777" w:rsidR="00717547" w:rsidRPr="00030269" w:rsidRDefault="00717547" w:rsidP="00FA527B">
            <w:pPr>
              <w:spacing w:line="276" w:lineRule="auto"/>
              <w:rPr>
                <w:rFonts w:ascii="Times New Roman" w:hAnsi="Times New Roman" w:cs="Times New Roman"/>
              </w:rPr>
            </w:pPr>
            <w:proofErr w:type="spellStart"/>
            <w:r w:rsidRPr="00030269">
              <w:rPr>
                <w:rFonts w:ascii="Times New Roman" w:hAnsi="Times New Roman" w:cs="Times New Roman"/>
              </w:rPr>
              <w:t>Multicenter</w:t>
            </w:r>
            <w:proofErr w:type="spellEnd"/>
            <w:r w:rsidRPr="00030269">
              <w:rPr>
                <w:rFonts w:ascii="Times New Roman" w:hAnsi="Times New Roman" w:cs="Times New Roman"/>
              </w:rPr>
              <w:t xml:space="preserve"> surgical cohorts</w:t>
            </w:r>
          </w:p>
        </w:tc>
        <w:tc>
          <w:tcPr>
            <w:tcW w:w="0" w:type="auto"/>
            <w:hideMark/>
          </w:tcPr>
          <w:p w14:paraId="67FDD39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Compliance ~50–60%</w:t>
            </w:r>
          </w:p>
        </w:tc>
        <w:tc>
          <w:tcPr>
            <w:tcW w:w="0" w:type="auto"/>
            <w:hideMark/>
          </w:tcPr>
          <w:p w14:paraId="0FABA24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≥75–85% adherence</w:t>
            </w:r>
          </w:p>
        </w:tc>
        <w:tc>
          <w:tcPr>
            <w:tcW w:w="0" w:type="auto"/>
            <w:hideMark/>
          </w:tcPr>
          <w:p w14:paraId="467D1D6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Complication reductio</w:t>
            </w:r>
            <w:r w:rsidRPr="00030269">
              <w:rPr>
                <w:rFonts w:ascii="Times New Roman" w:hAnsi="Times New Roman" w:cs="Times New Roman"/>
              </w:rPr>
              <w:lastRenderedPageBreak/>
              <w:t>n ~20–30%</w:t>
            </w:r>
          </w:p>
        </w:tc>
        <w:tc>
          <w:tcPr>
            <w:tcW w:w="0" w:type="auto"/>
            <w:hideMark/>
          </w:tcPr>
          <w:p w14:paraId="48DE380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 xml:space="preserve">~5–15% absolute </w:t>
            </w:r>
            <w:r w:rsidRPr="00030269">
              <w:rPr>
                <w:rFonts w:ascii="Times New Roman" w:hAnsi="Times New Roman" w:cs="Times New Roman"/>
              </w:rPr>
              <w:lastRenderedPageBreak/>
              <w:t>complication reduction</w:t>
            </w:r>
          </w:p>
        </w:tc>
        <w:tc>
          <w:tcPr>
            <w:tcW w:w="0" w:type="auto"/>
            <w:hideMark/>
          </w:tcPr>
          <w:p w14:paraId="1017900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1–3% absolute mortalit</w:t>
            </w:r>
            <w:r w:rsidRPr="00030269">
              <w:rPr>
                <w:rFonts w:ascii="Times New Roman" w:hAnsi="Times New Roman" w:cs="Times New Roman"/>
              </w:rPr>
              <w:lastRenderedPageBreak/>
              <w:t>y reduction in high-risk groups</w:t>
            </w:r>
          </w:p>
        </w:tc>
        <w:tc>
          <w:tcPr>
            <w:tcW w:w="0" w:type="auto"/>
            <w:hideMark/>
          </w:tcPr>
          <w:p w14:paraId="72FD143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 xml:space="preserve">Reduced physiologic stress &amp; </w:t>
            </w:r>
            <w:r w:rsidRPr="00030269">
              <w:rPr>
                <w:rFonts w:ascii="Times New Roman" w:hAnsi="Times New Roman" w:cs="Times New Roman"/>
              </w:rPr>
              <w:lastRenderedPageBreak/>
              <w:t>complication cascade</w:t>
            </w:r>
          </w:p>
        </w:tc>
        <w:tc>
          <w:tcPr>
            <w:tcW w:w="0" w:type="auto"/>
            <w:hideMark/>
          </w:tcPr>
          <w:p w14:paraId="71FD5A3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Multidisciplinary coordination</w:t>
            </w:r>
          </w:p>
        </w:tc>
        <w:tc>
          <w:tcPr>
            <w:tcW w:w="0" w:type="auto"/>
            <w:hideMark/>
          </w:tcPr>
          <w:p w14:paraId="1F7BFBD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93,94</w:t>
            </w:r>
          </w:p>
        </w:tc>
      </w:tr>
      <w:tr w:rsidR="00717547" w:rsidRPr="00030269" w14:paraId="0284A065" w14:textId="77777777" w:rsidTr="00FA527B">
        <w:tc>
          <w:tcPr>
            <w:tcW w:w="0" w:type="auto"/>
            <w:hideMark/>
          </w:tcPr>
          <w:p w14:paraId="1D3F3619"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ERAS dose-response relationship</w:t>
            </w:r>
          </w:p>
        </w:tc>
        <w:tc>
          <w:tcPr>
            <w:tcW w:w="0" w:type="auto"/>
            <w:hideMark/>
          </w:tcPr>
          <w:p w14:paraId="1D0B22D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Multi-</w:t>
            </w:r>
            <w:proofErr w:type="spellStart"/>
            <w:r w:rsidRPr="00030269">
              <w:rPr>
                <w:rFonts w:ascii="Times New Roman" w:hAnsi="Times New Roman" w:cs="Times New Roman"/>
              </w:rPr>
              <w:t>center</w:t>
            </w:r>
            <w:proofErr w:type="spellEnd"/>
            <w:r w:rsidRPr="00030269">
              <w:rPr>
                <w:rFonts w:ascii="Times New Roman" w:hAnsi="Times New Roman" w:cs="Times New Roman"/>
              </w:rPr>
              <w:t xml:space="preserve"> ERAS analysis</w:t>
            </w:r>
          </w:p>
        </w:tc>
        <w:tc>
          <w:tcPr>
            <w:tcW w:w="0" w:type="auto"/>
            <w:hideMark/>
          </w:tcPr>
          <w:p w14:paraId="4F44701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50% compliance</w:t>
            </w:r>
          </w:p>
        </w:tc>
        <w:tc>
          <w:tcPr>
            <w:tcW w:w="0" w:type="auto"/>
            <w:hideMark/>
          </w:tcPr>
          <w:p w14:paraId="0F8C0D7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Each 10% compliance ↑</w:t>
            </w:r>
          </w:p>
        </w:tc>
        <w:tc>
          <w:tcPr>
            <w:tcW w:w="0" w:type="auto"/>
            <w:hideMark/>
          </w:tcPr>
          <w:p w14:paraId="0AEDB7D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~5–10% incremental complication reduction per 10% compliance increase</w:t>
            </w:r>
          </w:p>
        </w:tc>
        <w:tc>
          <w:tcPr>
            <w:tcW w:w="0" w:type="auto"/>
            <w:hideMark/>
          </w:tcPr>
          <w:p w14:paraId="5CB3A27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Dose-dependent improvement</w:t>
            </w:r>
          </w:p>
        </w:tc>
        <w:tc>
          <w:tcPr>
            <w:tcW w:w="0" w:type="auto"/>
            <w:hideMark/>
          </w:tcPr>
          <w:p w14:paraId="726D128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Lower mortality at higher adherence</w:t>
            </w:r>
          </w:p>
        </w:tc>
        <w:tc>
          <w:tcPr>
            <w:tcW w:w="0" w:type="auto"/>
            <w:hideMark/>
          </w:tcPr>
          <w:p w14:paraId="5D6DFBE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Consistency of perioperative practices</w:t>
            </w:r>
          </w:p>
        </w:tc>
        <w:tc>
          <w:tcPr>
            <w:tcW w:w="0" w:type="auto"/>
            <w:hideMark/>
          </w:tcPr>
          <w:p w14:paraId="5F657B7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Monitoring + reporting</w:t>
            </w:r>
          </w:p>
        </w:tc>
        <w:tc>
          <w:tcPr>
            <w:tcW w:w="0" w:type="auto"/>
            <w:hideMark/>
          </w:tcPr>
          <w:p w14:paraId="533DBCE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93</w:t>
            </w:r>
          </w:p>
        </w:tc>
      </w:tr>
      <w:tr w:rsidR="00717547" w:rsidRPr="00030269" w14:paraId="114DCDCA" w14:textId="77777777" w:rsidTr="00FA527B">
        <w:tc>
          <w:tcPr>
            <w:tcW w:w="0" w:type="auto"/>
            <w:hideMark/>
          </w:tcPr>
          <w:p w14:paraId="3509F831"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Audit &amp; feedback programs</w:t>
            </w:r>
          </w:p>
        </w:tc>
        <w:tc>
          <w:tcPr>
            <w:tcW w:w="0" w:type="auto"/>
            <w:hideMark/>
          </w:tcPr>
          <w:p w14:paraId="5A833DC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Mixed surgical settings</w:t>
            </w:r>
          </w:p>
        </w:tc>
        <w:tc>
          <w:tcPr>
            <w:tcW w:w="0" w:type="auto"/>
            <w:hideMark/>
          </w:tcPr>
          <w:p w14:paraId="77E6D5A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Variable adherence</w:t>
            </w:r>
          </w:p>
        </w:tc>
        <w:tc>
          <w:tcPr>
            <w:tcW w:w="0" w:type="auto"/>
            <w:hideMark/>
          </w:tcPr>
          <w:p w14:paraId="6DA0903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10–20% improvement in key process metrics</w:t>
            </w:r>
          </w:p>
        </w:tc>
        <w:tc>
          <w:tcPr>
            <w:tcW w:w="0" w:type="auto"/>
            <w:hideMark/>
          </w:tcPr>
          <w:p w14:paraId="43C9485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10–20% practice change</w:t>
            </w:r>
          </w:p>
        </w:tc>
        <w:tc>
          <w:tcPr>
            <w:tcW w:w="0" w:type="auto"/>
            <w:hideMark/>
          </w:tcPr>
          <w:p w14:paraId="1BE96B5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Modest but consistent complication reduction</w:t>
            </w:r>
          </w:p>
        </w:tc>
        <w:tc>
          <w:tcPr>
            <w:tcW w:w="0" w:type="auto"/>
            <w:hideMark/>
          </w:tcPr>
          <w:p w14:paraId="64C8408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Indirect mortality reduction</w:t>
            </w:r>
          </w:p>
        </w:tc>
        <w:tc>
          <w:tcPr>
            <w:tcW w:w="0" w:type="auto"/>
            <w:hideMark/>
          </w:tcPr>
          <w:p w14:paraId="7161276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Visibility + accountability</w:t>
            </w:r>
          </w:p>
        </w:tc>
        <w:tc>
          <w:tcPr>
            <w:tcW w:w="0" w:type="auto"/>
            <w:hideMark/>
          </w:tcPr>
          <w:p w14:paraId="3732885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Leadership + data reporting</w:t>
            </w:r>
          </w:p>
        </w:tc>
        <w:tc>
          <w:tcPr>
            <w:tcW w:w="0" w:type="auto"/>
            <w:hideMark/>
          </w:tcPr>
          <w:p w14:paraId="28A65D1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89</w:t>
            </w:r>
          </w:p>
        </w:tc>
      </w:tr>
      <w:tr w:rsidR="00717547" w:rsidRPr="00030269" w14:paraId="265BC534" w14:textId="77777777" w:rsidTr="00FA527B">
        <w:tc>
          <w:tcPr>
            <w:tcW w:w="0" w:type="auto"/>
            <w:hideMark/>
          </w:tcPr>
          <w:p w14:paraId="70DC8C15"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Central line infection bundle</w:t>
            </w:r>
          </w:p>
        </w:tc>
        <w:tc>
          <w:tcPr>
            <w:tcW w:w="0" w:type="auto"/>
            <w:hideMark/>
          </w:tcPr>
          <w:p w14:paraId="57F6E95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 populations</w:t>
            </w:r>
          </w:p>
        </w:tc>
        <w:tc>
          <w:tcPr>
            <w:tcW w:w="0" w:type="auto"/>
            <w:hideMark/>
          </w:tcPr>
          <w:p w14:paraId="3662245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CLABSI 7–8 per 1,000 line days</w:t>
            </w:r>
          </w:p>
        </w:tc>
        <w:tc>
          <w:tcPr>
            <w:tcW w:w="0" w:type="auto"/>
            <w:hideMark/>
          </w:tcPr>
          <w:p w14:paraId="6E18FBD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&lt;2 per 1,000 line days</w:t>
            </w:r>
          </w:p>
        </w:tc>
        <w:tc>
          <w:tcPr>
            <w:tcW w:w="0" w:type="auto"/>
            <w:hideMark/>
          </w:tcPr>
          <w:p w14:paraId="4F833A7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~60–70% infection reduction</w:t>
            </w:r>
          </w:p>
        </w:tc>
        <w:tc>
          <w:tcPr>
            <w:tcW w:w="0" w:type="auto"/>
            <w:hideMark/>
          </w:tcPr>
          <w:p w14:paraId="7866670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5–6 infections prevented per 1,000 line days</w:t>
            </w:r>
          </w:p>
        </w:tc>
        <w:tc>
          <w:tcPr>
            <w:tcW w:w="0" w:type="auto"/>
            <w:hideMark/>
          </w:tcPr>
          <w:p w14:paraId="0B8A7CA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sepsis-associated mortality</w:t>
            </w:r>
          </w:p>
        </w:tc>
        <w:tc>
          <w:tcPr>
            <w:tcW w:w="0" w:type="auto"/>
            <w:hideMark/>
          </w:tcPr>
          <w:p w14:paraId="5ADD3D6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Checklist compliance</w:t>
            </w:r>
          </w:p>
        </w:tc>
        <w:tc>
          <w:tcPr>
            <w:tcW w:w="0" w:type="auto"/>
            <w:hideMark/>
          </w:tcPr>
          <w:p w14:paraId="748A7D3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Basic ICU structure</w:t>
            </w:r>
          </w:p>
        </w:tc>
        <w:tc>
          <w:tcPr>
            <w:tcW w:w="0" w:type="auto"/>
            <w:hideMark/>
          </w:tcPr>
          <w:p w14:paraId="7FF2F2D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90</w:t>
            </w:r>
          </w:p>
        </w:tc>
      </w:tr>
      <w:tr w:rsidR="00717547" w:rsidRPr="00030269" w14:paraId="39C71E84" w14:textId="77777777" w:rsidTr="00FA527B">
        <w:tc>
          <w:tcPr>
            <w:tcW w:w="0" w:type="auto"/>
            <w:hideMark/>
          </w:tcPr>
          <w:p w14:paraId="29A9294B"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Failure-to-rescue capacity (high vs low)</w:t>
            </w:r>
          </w:p>
        </w:tc>
        <w:tc>
          <w:tcPr>
            <w:tcW w:w="0" w:type="auto"/>
            <w:hideMark/>
          </w:tcPr>
          <w:p w14:paraId="59A1EE1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US multi-</w:t>
            </w:r>
            <w:proofErr w:type="spellStart"/>
            <w:r w:rsidRPr="00030269">
              <w:rPr>
                <w:rFonts w:ascii="Times New Roman" w:hAnsi="Times New Roman" w:cs="Times New Roman"/>
              </w:rPr>
              <w:t>center</w:t>
            </w:r>
            <w:proofErr w:type="spellEnd"/>
            <w:r w:rsidRPr="00030269">
              <w:rPr>
                <w:rFonts w:ascii="Times New Roman" w:hAnsi="Times New Roman" w:cs="Times New Roman"/>
              </w:rPr>
              <w:t xml:space="preserve"> data</w:t>
            </w:r>
          </w:p>
        </w:tc>
        <w:tc>
          <w:tcPr>
            <w:tcW w:w="0" w:type="auto"/>
            <w:hideMark/>
          </w:tcPr>
          <w:p w14:paraId="343721D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Similar complication rate</w:t>
            </w:r>
          </w:p>
        </w:tc>
        <w:tc>
          <w:tcPr>
            <w:tcW w:w="0" w:type="auto"/>
            <w:hideMark/>
          </w:tcPr>
          <w:p w14:paraId="421A5E9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Mortality 2–3× lower in high-rescue </w:t>
            </w:r>
            <w:proofErr w:type="spellStart"/>
            <w:r w:rsidRPr="00030269">
              <w:rPr>
                <w:rFonts w:ascii="Times New Roman" w:hAnsi="Times New Roman" w:cs="Times New Roman"/>
              </w:rPr>
              <w:t>centers</w:t>
            </w:r>
            <w:proofErr w:type="spellEnd"/>
          </w:p>
        </w:tc>
        <w:tc>
          <w:tcPr>
            <w:tcW w:w="0" w:type="auto"/>
            <w:hideMark/>
          </w:tcPr>
          <w:p w14:paraId="08ABC21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Mortality variation 200–300%</w:t>
            </w:r>
          </w:p>
        </w:tc>
        <w:tc>
          <w:tcPr>
            <w:tcW w:w="0" w:type="auto"/>
            <w:hideMark/>
          </w:tcPr>
          <w:p w14:paraId="4042A4A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Absolute mortality difference up to 5–10%</w:t>
            </w:r>
          </w:p>
        </w:tc>
        <w:tc>
          <w:tcPr>
            <w:tcW w:w="0" w:type="auto"/>
            <w:hideMark/>
          </w:tcPr>
          <w:p w14:paraId="57B39DD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Major determinant of overall mortality</w:t>
            </w:r>
          </w:p>
        </w:tc>
        <w:tc>
          <w:tcPr>
            <w:tcW w:w="0" w:type="auto"/>
            <w:hideMark/>
          </w:tcPr>
          <w:p w14:paraId="20BC298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detection + escalation</w:t>
            </w:r>
          </w:p>
        </w:tc>
        <w:tc>
          <w:tcPr>
            <w:tcW w:w="0" w:type="auto"/>
            <w:hideMark/>
          </w:tcPr>
          <w:p w14:paraId="6D91549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 + escalation chain</w:t>
            </w:r>
          </w:p>
        </w:tc>
        <w:tc>
          <w:tcPr>
            <w:tcW w:w="0" w:type="auto"/>
            <w:hideMark/>
          </w:tcPr>
          <w:p w14:paraId="7B67021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91</w:t>
            </w:r>
          </w:p>
        </w:tc>
      </w:tr>
      <w:tr w:rsidR="00717547" w:rsidRPr="00030269" w14:paraId="6F4E7E96" w14:textId="77777777" w:rsidTr="00FA527B">
        <w:tc>
          <w:tcPr>
            <w:tcW w:w="0" w:type="auto"/>
            <w:hideMark/>
          </w:tcPr>
          <w:p w14:paraId="26EA8DCA"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Emergency surgery rescue programs</w:t>
            </w:r>
          </w:p>
        </w:tc>
        <w:tc>
          <w:tcPr>
            <w:tcW w:w="0" w:type="auto"/>
            <w:hideMark/>
          </w:tcPr>
          <w:p w14:paraId="0F4E3E1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UK emergency surgery</w:t>
            </w:r>
          </w:p>
        </w:tc>
        <w:tc>
          <w:tcPr>
            <w:tcW w:w="0" w:type="auto"/>
            <w:hideMark/>
          </w:tcPr>
          <w:p w14:paraId="47B0218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Delayed escalation common</w:t>
            </w:r>
          </w:p>
        </w:tc>
        <w:tc>
          <w:tcPr>
            <w:tcW w:w="0" w:type="auto"/>
            <w:hideMark/>
          </w:tcPr>
          <w:p w14:paraId="4B028AC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Rapid response pathway introduced</w:t>
            </w:r>
          </w:p>
        </w:tc>
        <w:tc>
          <w:tcPr>
            <w:tcW w:w="0" w:type="auto"/>
            <w:hideMark/>
          </w:tcPr>
          <w:p w14:paraId="3B9325F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late mortality</w:t>
            </w:r>
          </w:p>
        </w:tc>
        <w:tc>
          <w:tcPr>
            <w:tcW w:w="0" w:type="auto"/>
            <w:hideMark/>
          </w:tcPr>
          <w:p w14:paraId="1723A87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10–20% relative mortality reduction</w:t>
            </w:r>
          </w:p>
        </w:tc>
        <w:tc>
          <w:tcPr>
            <w:tcW w:w="0" w:type="auto"/>
            <w:hideMark/>
          </w:tcPr>
          <w:p w14:paraId="4E02476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Improved complication survival</w:t>
            </w:r>
          </w:p>
        </w:tc>
        <w:tc>
          <w:tcPr>
            <w:tcW w:w="0" w:type="auto"/>
            <w:hideMark/>
          </w:tcPr>
          <w:p w14:paraId="487AFFE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escalation protocols</w:t>
            </w:r>
          </w:p>
        </w:tc>
        <w:tc>
          <w:tcPr>
            <w:tcW w:w="0" w:type="auto"/>
            <w:hideMark/>
          </w:tcPr>
          <w:p w14:paraId="31B842E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Escalation structure</w:t>
            </w:r>
          </w:p>
        </w:tc>
        <w:tc>
          <w:tcPr>
            <w:tcW w:w="0" w:type="auto"/>
            <w:hideMark/>
          </w:tcPr>
          <w:p w14:paraId="04EC10D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92</w:t>
            </w:r>
          </w:p>
        </w:tc>
      </w:tr>
      <w:tr w:rsidR="00717547" w:rsidRPr="00030269" w14:paraId="05249EA2" w14:textId="77777777" w:rsidTr="00FA527B">
        <w:tc>
          <w:tcPr>
            <w:tcW w:w="0" w:type="auto"/>
            <w:hideMark/>
          </w:tcPr>
          <w:p w14:paraId="315B3E13"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lastRenderedPageBreak/>
              <w:t>Trauma training implementation (LMIC)</w:t>
            </w:r>
          </w:p>
        </w:tc>
        <w:tc>
          <w:tcPr>
            <w:tcW w:w="0" w:type="auto"/>
            <w:hideMark/>
          </w:tcPr>
          <w:p w14:paraId="146922D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Uganda trauma </w:t>
            </w:r>
            <w:proofErr w:type="spellStart"/>
            <w:r w:rsidRPr="00030269">
              <w:rPr>
                <w:rFonts w:ascii="Times New Roman" w:hAnsi="Times New Roman" w:cs="Times New Roman"/>
              </w:rPr>
              <w:t>center</w:t>
            </w:r>
            <w:proofErr w:type="spellEnd"/>
          </w:p>
        </w:tc>
        <w:tc>
          <w:tcPr>
            <w:tcW w:w="0" w:type="auto"/>
            <w:hideMark/>
          </w:tcPr>
          <w:p w14:paraId="206B487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Mortality 17%</w:t>
            </w:r>
          </w:p>
        </w:tc>
        <w:tc>
          <w:tcPr>
            <w:tcW w:w="0" w:type="auto"/>
            <w:hideMark/>
          </w:tcPr>
          <w:p w14:paraId="4EC797F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11% after structured trauma training</w:t>
            </w:r>
          </w:p>
        </w:tc>
        <w:tc>
          <w:tcPr>
            <w:tcW w:w="0" w:type="auto"/>
            <w:hideMark/>
          </w:tcPr>
          <w:p w14:paraId="5A1E4C1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35% relative mortality reduction</w:t>
            </w:r>
          </w:p>
        </w:tc>
        <w:tc>
          <w:tcPr>
            <w:tcW w:w="0" w:type="auto"/>
            <w:hideMark/>
          </w:tcPr>
          <w:p w14:paraId="575A6C1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6% absolute mortality reduction</w:t>
            </w:r>
          </w:p>
        </w:tc>
        <w:tc>
          <w:tcPr>
            <w:tcW w:w="0" w:type="auto"/>
            <w:hideMark/>
          </w:tcPr>
          <w:p w14:paraId="42F0B43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Improved early complication management</w:t>
            </w:r>
          </w:p>
        </w:tc>
        <w:tc>
          <w:tcPr>
            <w:tcW w:w="0" w:type="auto"/>
            <w:hideMark/>
          </w:tcPr>
          <w:p w14:paraId="273EC5B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Structured team training</w:t>
            </w:r>
          </w:p>
        </w:tc>
        <w:tc>
          <w:tcPr>
            <w:tcW w:w="0" w:type="auto"/>
            <w:hideMark/>
          </w:tcPr>
          <w:p w14:paraId="2E33397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Workforce training</w:t>
            </w:r>
          </w:p>
        </w:tc>
        <w:tc>
          <w:tcPr>
            <w:tcW w:w="0" w:type="auto"/>
            <w:hideMark/>
          </w:tcPr>
          <w:p w14:paraId="7E2FA6F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83</w:t>
            </w:r>
          </w:p>
        </w:tc>
      </w:tr>
      <w:tr w:rsidR="00717547" w:rsidRPr="00030269" w14:paraId="1B49A98E" w14:textId="77777777" w:rsidTr="00FA527B">
        <w:tc>
          <w:tcPr>
            <w:tcW w:w="0" w:type="auto"/>
            <w:hideMark/>
          </w:tcPr>
          <w:p w14:paraId="68E6651F"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Structured trauma pathway (LMIC hospital)</w:t>
            </w:r>
          </w:p>
        </w:tc>
        <w:tc>
          <w:tcPr>
            <w:tcW w:w="0" w:type="auto"/>
            <w:hideMark/>
          </w:tcPr>
          <w:p w14:paraId="69C23FE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LMIC before–after</w:t>
            </w:r>
          </w:p>
        </w:tc>
        <w:tc>
          <w:tcPr>
            <w:tcW w:w="0" w:type="auto"/>
            <w:hideMark/>
          </w:tcPr>
          <w:p w14:paraId="5C1AABD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Delayed operative care</w:t>
            </w:r>
          </w:p>
        </w:tc>
        <w:tc>
          <w:tcPr>
            <w:tcW w:w="0" w:type="auto"/>
            <w:hideMark/>
          </w:tcPr>
          <w:p w14:paraId="063ECA3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time-to-intervention</w:t>
            </w:r>
          </w:p>
        </w:tc>
        <w:tc>
          <w:tcPr>
            <w:tcW w:w="0" w:type="auto"/>
            <w:hideMark/>
          </w:tcPr>
          <w:p w14:paraId="31E096E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~20% relative mortality reduction</w:t>
            </w:r>
          </w:p>
        </w:tc>
        <w:tc>
          <w:tcPr>
            <w:tcW w:w="0" w:type="auto"/>
            <w:hideMark/>
          </w:tcPr>
          <w:p w14:paraId="10098CC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~3–5% absolute mortality reduction</w:t>
            </w:r>
          </w:p>
        </w:tc>
        <w:tc>
          <w:tcPr>
            <w:tcW w:w="0" w:type="auto"/>
            <w:hideMark/>
          </w:tcPr>
          <w:p w14:paraId="596ABA5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preventable deaths</w:t>
            </w:r>
          </w:p>
        </w:tc>
        <w:tc>
          <w:tcPr>
            <w:tcW w:w="0" w:type="auto"/>
            <w:hideMark/>
          </w:tcPr>
          <w:p w14:paraId="6E7B3B5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Protocolisation of care</w:t>
            </w:r>
          </w:p>
        </w:tc>
        <w:tc>
          <w:tcPr>
            <w:tcW w:w="0" w:type="auto"/>
            <w:hideMark/>
          </w:tcPr>
          <w:p w14:paraId="08A1AC5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Organised trauma team</w:t>
            </w:r>
          </w:p>
        </w:tc>
        <w:tc>
          <w:tcPr>
            <w:tcW w:w="0" w:type="auto"/>
            <w:hideMark/>
          </w:tcPr>
          <w:p w14:paraId="3D5C5C3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84</w:t>
            </w:r>
          </w:p>
        </w:tc>
      </w:tr>
      <w:tr w:rsidR="00717547" w:rsidRPr="00030269" w14:paraId="414D4DCB" w14:textId="77777777" w:rsidTr="00FA527B">
        <w:tc>
          <w:tcPr>
            <w:tcW w:w="0" w:type="auto"/>
            <w:hideMark/>
          </w:tcPr>
          <w:p w14:paraId="73FA79AF"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Trauma registry maturation</w:t>
            </w:r>
          </w:p>
        </w:tc>
        <w:tc>
          <w:tcPr>
            <w:tcW w:w="0" w:type="auto"/>
            <w:hideMark/>
          </w:tcPr>
          <w:p w14:paraId="6B1B2B4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Middle-income settings</w:t>
            </w:r>
          </w:p>
        </w:tc>
        <w:tc>
          <w:tcPr>
            <w:tcW w:w="0" w:type="auto"/>
            <w:hideMark/>
          </w:tcPr>
          <w:p w14:paraId="0C57400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Incomplete complication tracking</w:t>
            </w:r>
          </w:p>
        </w:tc>
        <w:tc>
          <w:tcPr>
            <w:tcW w:w="0" w:type="auto"/>
            <w:hideMark/>
          </w:tcPr>
          <w:p w14:paraId="0A40C15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Structured registry adoption</w:t>
            </w:r>
          </w:p>
        </w:tc>
        <w:tc>
          <w:tcPr>
            <w:tcW w:w="0" w:type="auto"/>
            <w:hideMark/>
          </w:tcPr>
          <w:p w14:paraId="7145C3D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Improved complication documentation &amp; benchmarking</w:t>
            </w:r>
          </w:p>
        </w:tc>
        <w:tc>
          <w:tcPr>
            <w:tcW w:w="0" w:type="auto"/>
            <w:hideMark/>
          </w:tcPr>
          <w:p w14:paraId="1C766FB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Mortality trends improved over time</w:t>
            </w:r>
          </w:p>
        </w:tc>
        <w:tc>
          <w:tcPr>
            <w:tcW w:w="0" w:type="auto"/>
            <w:hideMark/>
          </w:tcPr>
          <w:p w14:paraId="06A86EE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System learning effect</w:t>
            </w:r>
          </w:p>
        </w:tc>
        <w:tc>
          <w:tcPr>
            <w:tcW w:w="0" w:type="auto"/>
            <w:hideMark/>
          </w:tcPr>
          <w:p w14:paraId="06B3B9A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Data-driven governance</w:t>
            </w:r>
          </w:p>
        </w:tc>
        <w:tc>
          <w:tcPr>
            <w:tcW w:w="0" w:type="auto"/>
            <w:hideMark/>
          </w:tcPr>
          <w:p w14:paraId="37E65A2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Data infrastructure</w:t>
            </w:r>
          </w:p>
        </w:tc>
        <w:tc>
          <w:tcPr>
            <w:tcW w:w="0" w:type="auto"/>
            <w:hideMark/>
          </w:tcPr>
          <w:p w14:paraId="1B1CF77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109</w:t>
            </w:r>
          </w:p>
        </w:tc>
      </w:tr>
      <w:tr w:rsidR="00717547" w:rsidRPr="00030269" w14:paraId="7BDEB83C" w14:textId="77777777" w:rsidTr="00FA527B">
        <w:tc>
          <w:tcPr>
            <w:tcW w:w="0" w:type="auto"/>
            <w:hideMark/>
          </w:tcPr>
          <w:p w14:paraId="4DAE30DF"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Preventable death audit programs</w:t>
            </w:r>
          </w:p>
        </w:tc>
        <w:tc>
          <w:tcPr>
            <w:tcW w:w="0" w:type="auto"/>
            <w:hideMark/>
          </w:tcPr>
          <w:p w14:paraId="2E95C9D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Trauma systems review</w:t>
            </w:r>
          </w:p>
        </w:tc>
        <w:tc>
          <w:tcPr>
            <w:tcW w:w="0" w:type="auto"/>
            <w:hideMark/>
          </w:tcPr>
          <w:p w14:paraId="436CBCA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Preventable death 20–30% in immature systems</w:t>
            </w:r>
          </w:p>
        </w:tc>
        <w:tc>
          <w:tcPr>
            <w:tcW w:w="0" w:type="auto"/>
            <w:hideMark/>
          </w:tcPr>
          <w:p w14:paraId="3D8E4F6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preventable death over time</w:t>
            </w:r>
          </w:p>
        </w:tc>
        <w:tc>
          <w:tcPr>
            <w:tcW w:w="0" w:type="auto"/>
            <w:hideMark/>
          </w:tcPr>
          <w:p w14:paraId="1789CCA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20–30% reduction in preventable mortality proportion</w:t>
            </w:r>
          </w:p>
        </w:tc>
        <w:tc>
          <w:tcPr>
            <w:tcW w:w="0" w:type="auto"/>
            <w:hideMark/>
          </w:tcPr>
          <w:p w14:paraId="1C7C39F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Absolute preventable mortality decline variable</w:t>
            </w:r>
          </w:p>
        </w:tc>
        <w:tc>
          <w:tcPr>
            <w:tcW w:w="0" w:type="auto"/>
            <w:hideMark/>
          </w:tcPr>
          <w:p w14:paraId="64C9A8A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Structured case review improves survival</w:t>
            </w:r>
          </w:p>
        </w:tc>
        <w:tc>
          <w:tcPr>
            <w:tcW w:w="0" w:type="auto"/>
            <w:hideMark/>
          </w:tcPr>
          <w:p w14:paraId="2756FCC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Governance + morbidity review</w:t>
            </w:r>
          </w:p>
        </w:tc>
        <w:tc>
          <w:tcPr>
            <w:tcW w:w="0" w:type="auto"/>
            <w:hideMark/>
          </w:tcPr>
          <w:p w14:paraId="4F2C6BC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Mature oversight system</w:t>
            </w:r>
          </w:p>
        </w:tc>
        <w:tc>
          <w:tcPr>
            <w:tcW w:w="0" w:type="auto"/>
            <w:hideMark/>
          </w:tcPr>
          <w:p w14:paraId="762EC8E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110</w:t>
            </w:r>
          </w:p>
        </w:tc>
      </w:tr>
      <w:tr w:rsidR="00717547" w:rsidRPr="00030269" w14:paraId="77ABC168" w14:textId="77777777" w:rsidTr="00FA527B">
        <w:tc>
          <w:tcPr>
            <w:tcW w:w="0" w:type="auto"/>
            <w:hideMark/>
          </w:tcPr>
          <w:p w14:paraId="2A4EC01F"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Risk stratification protocols</w:t>
            </w:r>
          </w:p>
        </w:tc>
        <w:tc>
          <w:tcPr>
            <w:tcW w:w="0" w:type="auto"/>
            <w:hideMark/>
          </w:tcPr>
          <w:p w14:paraId="2A2D358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Surgical risk scoring</w:t>
            </w:r>
          </w:p>
        </w:tc>
        <w:tc>
          <w:tcPr>
            <w:tcW w:w="0" w:type="auto"/>
            <w:hideMark/>
          </w:tcPr>
          <w:p w14:paraId="236AAAA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Delayed ICU triage</w:t>
            </w:r>
          </w:p>
        </w:tc>
        <w:tc>
          <w:tcPr>
            <w:tcW w:w="0" w:type="auto"/>
            <w:hideMark/>
          </w:tcPr>
          <w:p w14:paraId="4E22584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Earlier high-risk identification</w:t>
            </w:r>
          </w:p>
        </w:tc>
        <w:tc>
          <w:tcPr>
            <w:tcW w:w="0" w:type="auto"/>
            <w:hideMark/>
          </w:tcPr>
          <w:p w14:paraId="16A1AD2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Earlier intervention</w:t>
            </w:r>
          </w:p>
        </w:tc>
        <w:tc>
          <w:tcPr>
            <w:tcW w:w="0" w:type="auto"/>
            <w:hideMark/>
          </w:tcPr>
          <w:p w14:paraId="537C99B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pulmonary complication rates</w:t>
            </w:r>
          </w:p>
        </w:tc>
        <w:tc>
          <w:tcPr>
            <w:tcW w:w="0" w:type="auto"/>
            <w:hideMark/>
          </w:tcPr>
          <w:p w14:paraId="6E21040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Mortality improved in high-risk cohort</w:t>
            </w:r>
          </w:p>
        </w:tc>
        <w:tc>
          <w:tcPr>
            <w:tcW w:w="0" w:type="auto"/>
            <w:hideMark/>
          </w:tcPr>
          <w:p w14:paraId="03A53E0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Proactive escalation</w:t>
            </w:r>
          </w:p>
        </w:tc>
        <w:tc>
          <w:tcPr>
            <w:tcW w:w="0" w:type="auto"/>
            <w:hideMark/>
          </w:tcPr>
          <w:p w14:paraId="7548EA7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Monitoring capability</w:t>
            </w:r>
          </w:p>
        </w:tc>
        <w:tc>
          <w:tcPr>
            <w:tcW w:w="0" w:type="auto"/>
            <w:hideMark/>
          </w:tcPr>
          <w:p w14:paraId="09575D8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97</w:t>
            </w:r>
          </w:p>
        </w:tc>
      </w:tr>
      <w:tr w:rsidR="00717547" w:rsidRPr="00030269" w14:paraId="2702C940" w14:textId="77777777" w:rsidTr="00FA527B">
        <w:tc>
          <w:tcPr>
            <w:tcW w:w="0" w:type="auto"/>
            <w:hideMark/>
          </w:tcPr>
          <w:p w14:paraId="1327A9EC"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Early warning score implementation</w:t>
            </w:r>
          </w:p>
        </w:tc>
        <w:tc>
          <w:tcPr>
            <w:tcW w:w="0" w:type="auto"/>
            <w:hideMark/>
          </w:tcPr>
          <w:p w14:paraId="73AE6F0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Hospital ward systems</w:t>
            </w:r>
          </w:p>
        </w:tc>
        <w:tc>
          <w:tcPr>
            <w:tcW w:w="0" w:type="auto"/>
            <w:hideMark/>
          </w:tcPr>
          <w:p w14:paraId="05E5D3B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Unrecognised deterioration</w:t>
            </w:r>
          </w:p>
        </w:tc>
        <w:tc>
          <w:tcPr>
            <w:tcW w:w="0" w:type="auto"/>
            <w:hideMark/>
          </w:tcPr>
          <w:p w14:paraId="5CF785E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Rapid response triggers</w:t>
            </w:r>
          </w:p>
        </w:tc>
        <w:tc>
          <w:tcPr>
            <w:tcW w:w="0" w:type="auto"/>
            <w:hideMark/>
          </w:tcPr>
          <w:p w14:paraId="1ED966E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unexpected ICU transfers</w:t>
            </w:r>
          </w:p>
        </w:tc>
        <w:tc>
          <w:tcPr>
            <w:tcW w:w="0" w:type="auto"/>
            <w:hideMark/>
          </w:tcPr>
          <w:p w14:paraId="154E9B2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late deterioration mortality</w:t>
            </w:r>
          </w:p>
        </w:tc>
        <w:tc>
          <w:tcPr>
            <w:tcW w:w="0" w:type="auto"/>
            <w:hideMark/>
          </w:tcPr>
          <w:p w14:paraId="03A2966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Mortality reduction reported in multiple </w:t>
            </w:r>
            <w:r w:rsidRPr="00030269">
              <w:rPr>
                <w:rFonts w:ascii="Times New Roman" w:hAnsi="Times New Roman" w:cs="Times New Roman"/>
              </w:rPr>
              <w:lastRenderedPageBreak/>
              <w:t>cohorts (~10–20%)</w:t>
            </w:r>
          </w:p>
        </w:tc>
        <w:tc>
          <w:tcPr>
            <w:tcW w:w="0" w:type="auto"/>
            <w:hideMark/>
          </w:tcPr>
          <w:p w14:paraId="0F70136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lastRenderedPageBreak/>
              <w:t>Early physiological recognition</w:t>
            </w:r>
          </w:p>
        </w:tc>
        <w:tc>
          <w:tcPr>
            <w:tcW w:w="0" w:type="auto"/>
            <w:hideMark/>
          </w:tcPr>
          <w:p w14:paraId="59A6370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Ward monitoring</w:t>
            </w:r>
          </w:p>
        </w:tc>
        <w:tc>
          <w:tcPr>
            <w:tcW w:w="0" w:type="auto"/>
            <w:hideMark/>
          </w:tcPr>
          <w:p w14:paraId="589A001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91,92</w:t>
            </w:r>
          </w:p>
        </w:tc>
      </w:tr>
      <w:tr w:rsidR="00717547" w:rsidRPr="00030269" w14:paraId="4C0C8005" w14:textId="77777777" w:rsidTr="00FA527B">
        <w:tc>
          <w:tcPr>
            <w:tcW w:w="0" w:type="auto"/>
            <w:hideMark/>
          </w:tcPr>
          <w:p w14:paraId="30EF73FE"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Compliance-driven SSI prevention</w:t>
            </w:r>
          </w:p>
        </w:tc>
        <w:tc>
          <w:tcPr>
            <w:tcW w:w="0" w:type="auto"/>
            <w:hideMark/>
          </w:tcPr>
          <w:p w14:paraId="6D41A5A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Multidisciplinary surgical units</w:t>
            </w:r>
          </w:p>
        </w:tc>
        <w:tc>
          <w:tcPr>
            <w:tcW w:w="0" w:type="auto"/>
            <w:hideMark/>
          </w:tcPr>
          <w:p w14:paraId="0A7CAAF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SSI rates 10–20%</w:t>
            </w:r>
          </w:p>
        </w:tc>
        <w:tc>
          <w:tcPr>
            <w:tcW w:w="0" w:type="auto"/>
            <w:hideMark/>
          </w:tcPr>
          <w:p w14:paraId="6BB8BC7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to 5–10%</w:t>
            </w:r>
          </w:p>
        </w:tc>
        <w:tc>
          <w:tcPr>
            <w:tcW w:w="0" w:type="auto"/>
            <w:hideMark/>
          </w:tcPr>
          <w:p w14:paraId="29224A0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~40–50% reduction</w:t>
            </w:r>
          </w:p>
        </w:tc>
        <w:tc>
          <w:tcPr>
            <w:tcW w:w="0" w:type="auto"/>
            <w:hideMark/>
          </w:tcPr>
          <w:p w14:paraId="237E44C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5–10% absolute SSI reduction</w:t>
            </w:r>
          </w:p>
        </w:tc>
        <w:tc>
          <w:tcPr>
            <w:tcW w:w="0" w:type="auto"/>
            <w:hideMark/>
          </w:tcPr>
          <w:p w14:paraId="3E228C5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infection-related mortality</w:t>
            </w:r>
          </w:p>
        </w:tc>
        <w:tc>
          <w:tcPr>
            <w:tcW w:w="0" w:type="auto"/>
            <w:hideMark/>
          </w:tcPr>
          <w:p w14:paraId="4E6FE3D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Timely antibiotic + sterile protocol</w:t>
            </w:r>
          </w:p>
        </w:tc>
        <w:tc>
          <w:tcPr>
            <w:tcW w:w="0" w:type="auto"/>
            <w:hideMark/>
          </w:tcPr>
          <w:p w14:paraId="3583917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Standardisation</w:t>
            </w:r>
          </w:p>
        </w:tc>
        <w:tc>
          <w:tcPr>
            <w:tcW w:w="0" w:type="auto"/>
            <w:hideMark/>
          </w:tcPr>
          <w:p w14:paraId="137008C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95,96</w:t>
            </w:r>
          </w:p>
        </w:tc>
      </w:tr>
      <w:tr w:rsidR="00717547" w:rsidRPr="00030269" w14:paraId="73C12C55" w14:textId="77777777" w:rsidTr="00FA527B">
        <w:tc>
          <w:tcPr>
            <w:tcW w:w="0" w:type="auto"/>
            <w:hideMark/>
          </w:tcPr>
          <w:p w14:paraId="16982A98"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Time-to-laparotomy monitoring</w:t>
            </w:r>
          </w:p>
        </w:tc>
        <w:tc>
          <w:tcPr>
            <w:tcW w:w="0" w:type="auto"/>
            <w:hideMark/>
          </w:tcPr>
          <w:p w14:paraId="66A6B67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Trauma </w:t>
            </w:r>
            <w:proofErr w:type="spellStart"/>
            <w:r w:rsidRPr="00030269">
              <w:rPr>
                <w:rFonts w:ascii="Times New Roman" w:hAnsi="Times New Roman" w:cs="Times New Roman"/>
              </w:rPr>
              <w:t>centers</w:t>
            </w:r>
            <w:proofErr w:type="spellEnd"/>
          </w:p>
        </w:tc>
        <w:tc>
          <w:tcPr>
            <w:tcW w:w="0" w:type="auto"/>
            <w:hideMark/>
          </w:tcPr>
          <w:p w14:paraId="24B3351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&gt;3h delay associated with ↑ mortality</w:t>
            </w:r>
          </w:p>
        </w:tc>
        <w:tc>
          <w:tcPr>
            <w:tcW w:w="0" w:type="auto"/>
            <w:hideMark/>
          </w:tcPr>
          <w:p w14:paraId="0A07C9B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Early activation protocol</w:t>
            </w:r>
          </w:p>
        </w:tc>
        <w:tc>
          <w:tcPr>
            <w:tcW w:w="0" w:type="auto"/>
            <w:hideMark/>
          </w:tcPr>
          <w:p w14:paraId="67D1FA3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Reduced operative delay</w:t>
            </w:r>
          </w:p>
        </w:tc>
        <w:tc>
          <w:tcPr>
            <w:tcW w:w="0" w:type="auto"/>
            <w:hideMark/>
          </w:tcPr>
          <w:p w14:paraId="7D7A266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Improved survival when &lt;3h</w:t>
            </w:r>
          </w:p>
        </w:tc>
        <w:tc>
          <w:tcPr>
            <w:tcW w:w="0" w:type="auto"/>
            <w:hideMark/>
          </w:tcPr>
          <w:p w14:paraId="521FAC8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Mortality increases significantly beyond 3h delay</w:t>
            </w:r>
          </w:p>
        </w:tc>
        <w:tc>
          <w:tcPr>
            <w:tcW w:w="0" w:type="auto"/>
            <w:hideMark/>
          </w:tcPr>
          <w:p w14:paraId="242BC8E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Time-sensitive response</w:t>
            </w:r>
          </w:p>
        </w:tc>
        <w:tc>
          <w:tcPr>
            <w:tcW w:w="0" w:type="auto"/>
            <w:hideMark/>
          </w:tcPr>
          <w:p w14:paraId="3EC6654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Rapid OR access</w:t>
            </w:r>
          </w:p>
        </w:tc>
        <w:tc>
          <w:tcPr>
            <w:tcW w:w="0" w:type="auto"/>
            <w:hideMark/>
          </w:tcPr>
          <w:p w14:paraId="5C27890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105</w:t>
            </w:r>
          </w:p>
        </w:tc>
      </w:tr>
      <w:tr w:rsidR="00717547" w:rsidRPr="00030269" w14:paraId="23DB8183" w14:textId="77777777" w:rsidTr="00FA527B">
        <w:tc>
          <w:tcPr>
            <w:tcW w:w="0" w:type="auto"/>
            <w:hideMark/>
          </w:tcPr>
          <w:p w14:paraId="54CEA1B4"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Early fixation compliance program</w:t>
            </w:r>
          </w:p>
        </w:tc>
        <w:tc>
          <w:tcPr>
            <w:tcW w:w="0" w:type="auto"/>
            <w:hideMark/>
          </w:tcPr>
          <w:p w14:paraId="161E54B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Polytrauma</w:t>
            </w:r>
          </w:p>
        </w:tc>
        <w:tc>
          <w:tcPr>
            <w:tcW w:w="0" w:type="auto"/>
            <w:hideMark/>
          </w:tcPr>
          <w:p w14:paraId="24A5315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Fixation &gt;48h common</w:t>
            </w:r>
          </w:p>
        </w:tc>
        <w:tc>
          <w:tcPr>
            <w:tcW w:w="0" w:type="auto"/>
            <w:hideMark/>
          </w:tcPr>
          <w:p w14:paraId="7062EBA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Increased fixation &lt;24–48h</w:t>
            </w:r>
          </w:p>
        </w:tc>
        <w:tc>
          <w:tcPr>
            <w:tcW w:w="0" w:type="auto"/>
            <w:hideMark/>
          </w:tcPr>
          <w:p w14:paraId="1DF6B0E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Pulmonary complication reduction ~20–30%</w:t>
            </w:r>
          </w:p>
        </w:tc>
        <w:tc>
          <w:tcPr>
            <w:tcW w:w="0" w:type="auto"/>
            <w:hideMark/>
          </w:tcPr>
          <w:p w14:paraId="1BEE060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Absolute pulmonary reduction ~5–10%</w:t>
            </w:r>
          </w:p>
        </w:tc>
        <w:tc>
          <w:tcPr>
            <w:tcW w:w="0" w:type="auto"/>
            <w:hideMark/>
          </w:tcPr>
          <w:p w14:paraId="15693E0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Indirect mortality improvement via ARDS reduction</w:t>
            </w:r>
          </w:p>
        </w:tc>
        <w:tc>
          <w:tcPr>
            <w:tcW w:w="0" w:type="auto"/>
            <w:hideMark/>
          </w:tcPr>
          <w:p w14:paraId="017CD74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Timed orthopaedic strategy</w:t>
            </w:r>
          </w:p>
        </w:tc>
        <w:tc>
          <w:tcPr>
            <w:tcW w:w="0" w:type="auto"/>
            <w:hideMark/>
          </w:tcPr>
          <w:p w14:paraId="2D5B7EA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Orthopaedic availability</w:t>
            </w:r>
          </w:p>
        </w:tc>
        <w:tc>
          <w:tcPr>
            <w:tcW w:w="0" w:type="auto"/>
            <w:hideMark/>
          </w:tcPr>
          <w:p w14:paraId="2A15DD6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31,38</w:t>
            </w:r>
          </w:p>
        </w:tc>
      </w:tr>
    </w:tbl>
    <w:p w14:paraId="37044C8E" w14:textId="77777777" w:rsidR="00717547" w:rsidRPr="00680D07" w:rsidRDefault="00717547" w:rsidP="00717547">
      <w:pPr>
        <w:spacing w:after="0" w:line="276" w:lineRule="auto"/>
        <w:rPr>
          <w:rFonts w:ascii="Times New Roman" w:hAnsi="Times New Roman" w:cs="Times New Roman"/>
        </w:rPr>
      </w:pPr>
    </w:p>
    <w:p w14:paraId="3AF9AA22" w14:textId="77777777" w:rsidR="00717547" w:rsidRPr="00680D07" w:rsidRDefault="00717547" w:rsidP="00717547">
      <w:pPr>
        <w:spacing w:after="0" w:line="276" w:lineRule="auto"/>
        <w:rPr>
          <w:rFonts w:ascii="Times New Roman" w:hAnsi="Times New Roman" w:cs="Times New Roman"/>
        </w:rPr>
      </w:pPr>
    </w:p>
    <w:p w14:paraId="1700A189" w14:textId="77777777" w:rsidR="00717547" w:rsidRPr="00680D07" w:rsidRDefault="00717547" w:rsidP="00717547">
      <w:pPr>
        <w:spacing w:after="0" w:line="276" w:lineRule="auto"/>
        <w:rPr>
          <w:rFonts w:ascii="Times New Roman" w:hAnsi="Times New Roman" w:cs="Times New Roman"/>
        </w:rPr>
      </w:pPr>
    </w:p>
    <w:p w14:paraId="0E41CDAE" w14:textId="77777777" w:rsidR="00717547" w:rsidRPr="00680D07" w:rsidRDefault="00717547" w:rsidP="00717547">
      <w:pPr>
        <w:spacing w:after="0" w:line="276" w:lineRule="auto"/>
        <w:rPr>
          <w:rFonts w:ascii="Times New Roman" w:hAnsi="Times New Roman" w:cs="Times New Roman"/>
        </w:rPr>
      </w:pPr>
    </w:p>
    <w:p w14:paraId="0D7C3593" w14:textId="77777777" w:rsidR="00717547" w:rsidRPr="00680D07" w:rsidRDefault="00717547" w:rsidP="00717547">
      <w:pPr>
        <w:spacing w:after="0" w:line="276" w:lineRule="auto"/>
        <w:rPr>
          <w:rFonts w:ascii="Times New Roman" w:hAnsi="Times New Roman" w:cs="Times New Roman"/>
        </w:rPr>
      </w:pPr>
    </w:p>
    <w:p w14:paraId="71200611" w14:textId="77777777" w:rsidR="00717547" w:rsidRPr="001C0AB6" w:rsidRDefault="00717547" w:rsidP="00717547">
      <w:pPr>
        <w:spacing w:after="0" w:line="276" w:lineRule="auto"/>
        <w:rPr>
          <w:rFonts w:ascii="Times New Roman" w:hAnsi="Times New Roman" w:cs="Times New Roman"/>
        </w:rPr>
      </w:pPr>
      <w:r w:rsidRPr="001C0AB6">
        <w:rPr>
          <w:rFonts w:ascii="Times New Roman" w:hAnsi="Times New Roman" w:cs="Times New Roman"/>
          <w:b/>
          <w:bCs/>
        </w:rPr>
        <w:t>Footnotes:</w:t>
      </w:r>
    </w:p>
    <w:p w14:paraId="7495A6D2" w14:textId="77777777" w:rsidR="00717547" w:rsidRPr="001C0AB6" w:rsidRDefault="00717547" w:rsidP="00717547">
      <w:pPr>
        <w:numPr>
          <w:ilvl w:val="0"/>
          <w:numId w:val="12"/>
        </w:numPr>
        <w:spacing w:after="0" w:line="276" w:lineRule="auto"/>
        <w:rPr>
          <w:rFonts w:ascii="Times New Roman" w:hAnsi="Times New Roman" w:cs="Times New Roman"/>
        </w:rPr>
      </w:pPr>
      <w:r w:rsidRPr="001C0AB6">
        <w:rPr>
          <w:rFonts w:ascii="Times New Roman" w:hAnsi="Times New Roman" w:cs="Times New Roman"/>
        </w:rPr>
        <w:t>Compliance–outcome relationships are derived from enhanced recovery and implementation studies; extrapolation to polytrauma populations should be interpreted cautiously [89,93,94].</w:t>
      </w:r>
    </w:p>
    <w:p w14:paraId="2C2DAED1" w14:textId="77777777" w:rsidR="00717547" w:rsidRPr="001C0AB6" w:rsidRDefault="00717547" w:rsidP="00717547">
      <w:pPr>
        <w:numPr>
          <w:ilvl w:val="0"/>
          <w:numId w:val="12"/>
        </w:numPr>
        <w:spacing w:after="0" w:line="276" w:lineRule="auto"/>
        <w:rPr>
          <w:rFonts w:ascii="Times New Roman" w:hAnsi="Times New Roman" w:cs="Times New Roman"/>
        </w:rPr>
      </w:pPr>
      <w:r w:rsidRPr="001C0AB6">
        <w:rPr>
          <w:rFonts w:ascii="Times New Roman" w:hAnsi="Times New Roman" w:cs="Times New Roman"/>
        </w:rPr>
        <w:t>Mortality reductions reported in LMIC trauma system studies are context-specific and influenced by baseline system maturity [83,84].</w:t>
      </w:r>
    </w:p>
    <w:p w14:paraId="6F984A62" w14:textId="77777777" w:rsidR="00717547" w:rsidRPr="001C0AB6" w:rsidRDefault="00717547" w:rsidP="00717547">
      <w:pPr>
        <w:numPr>
          <w:ilvl w:val="0"/>
          <w:numId w:val="12"/>
        </w:numPr>
        <w:spacing w:after="0" w:line="276" w:lineRule="auto"/>
        <w:rPr>
          <w:rFonts w:ascii="Times New Roman" w:hAnsi="Times New Roman" w:cs="Times New Roman"/>
        </w:rPr>
      </w:pPr>
      <w:r w:rsidRPr="001C0AB6">
        <w:rPr>
          <w:rFonts w:ascii="Times New Roman" w:hAnsi="Times New Roman" w:cs="Times New Roman"/>
        </w:rPr>
        <w:t>Failure-to-rescue variation reflects institutional differences in detection and escalation capacity rather than complication incidence alone [91].</w:t>
      </w:r>
    </w:p>
    <w:p w14:paraId="406A963A" w14:textId="77777777" w:rsidR="00717547" w:rsidRPr="001C0AB6" w:rsidRDefault="00717547" w:rsidP="00717547">
      <w:pPr>
        <w:numPr>
          <w:ilvl w:val="0"/>
          <w:numId w:val="12"/>
        </w:numPr>
        <w:spacing w:after="0" w:line="276" w:lineRule="auto"/>
        <w:rPr>
          <w:rFonts w:ascii="Times New Roman" w:hAnsi="Times New Roman" w:cs="Times New Roman"/>
        </w:rPr>
      </w:pPr>
      <w:r w:rsidRPr="001C0AB6">
        <w:rPr>
          <w:rFonts w:ascii="Times New Roman" w:hAnsi="Times New Roman" w:cs="Times New Roman"/>
        </w:rPr>
        <w:t>Registry-based benchmarking requires adequate data completeness to ensure reliability [109].</w:t>
      </w:r>
    </w:p>
    <w:p w14:paraId="15F79A80" w14:textId="77777777" w:rsidR="00717547" w:rsidRPr="00680D07" w:rsidRDefault="00717547" w:rsidP="00680D07">
      <w:pPr>
        <w:spacing w:after="0" w:line="276" w:lineRule="auto"/>
        <w:rPr>
          <w:rFonts w:ascii="Times New Roman" w:hAnsi="Times New Roman" w:cs="Times New Roman"/>
        </w:rPr>
      </w:pPr>
    </w:p>
    <w:p w14:paraId="567E6849" w14:textId="77777777" w:rsidR="002C121A" w:rsidRPr="00680D07" w:rsidRDefault="002C121A" w:rsidP="00680D07">
      <w:pPr>
        <w:spacing w:after="0" w:line="276" w:lineRule="auto"/>
        <w:rPr>
          <w:rFonts w:ascii="Times New Roman" w:hAnsi="Times New Roman" w:cs="Times New Roman"/>
          <w:b/>
          <w:bCs/>
        </w:rPr>
      </w:pPr>
    </w:p>
    <w:p w14:paraId="3920BFAD" w14:textId="77777777"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PHASED IMPLEMENTATION IN RESOURCE-CONSTRAINED TRAUMA SYSTEMS</w:t>
      </w:r>
    </w:p>
    <w:p w14:paraId="38662F88" w14:textId="689E8F30" w:rsidR="002C121A" w:rsidRPr="002C121A" w:rsidRDefault="002C121A" w:rsidP="00680D07">
      <w:pPr>
        <w:spacing w:after="0" w:line="276" w:lineRule="auto"/>
        <w:rPr>
          <w:rFonts w:ascii="Times New Roman" w:hAnsi="Times New Roman" w:cs="Times New Roman"/>
        </w:rPr>
      </w:pPr>
    </w:p>
    <w:p w14:paraId="433A4C86"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lastRenderedPageBreak/>
        <w:t>Recovery optimisation cannot assume uniform infrastructure. Workforce density, ICU capacity, monitoring capability, and operating theatre access vary widely across trauma systems [77,101–103]. A rigid, one-size-fits-all protocol risks either being ignored or overwhelming limited systems.</w:t>
      </w:r>
    </w:p>
    <w:p w14:paraId="2E967B89"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A phased implementation model allows progression according to institutional maturity.</w:t>
      </w:r>
    </w:p>
    <w:p w14:paraId="04F7B1B5" w14:textId="77777777" w:rsidR="00717547" w:rsidRDefault="00717547" w:rsidP="00680D07">
      <w:pPr>
        <w:spacing w:after="0" w:line="276" w:lineRule="auto"/>
        <w:rPr>
          <w:rFonts w:ascii="Times New Roman" w:hAnsi="Times New Roman" w:cs="Times New Roman"/>
          <w:b/>
          <w:bCs/>
        </w:rPr>
      </w:pPr>
    </w:p>
    <w:p w14:paraId="5E0DFBDA" w14:textId="407C8B45"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Phase I — Foundational Stabilisation</w:t>
      </w:r>
    </w:p>
    <w:p w14:paraId="5983C62A"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Phase I focuses on biologically high-impact, low-resource measures:</w:t>
      </w:r>
    </w:p>
    <w:p w14:paraId="2F562FA5" w14:textId="77777777" w:rsidR="002C121A" w:rsidRPr="002C121A" w:rsidRDefault="002C121A" w:rsidP="00680D07">
      <w:pPr>
        <w:numPr>
          <w:ilvl w:val="0"/>
          <w:numId w:val="4"/>
        </w:numPr>
        <w:spacing w:after="0" w:line="276" w:lineRule="auto"/>
        <w:rPr>
          <w:rFonts w:ascii="Times New Roman" w:hAnsi="Times New Roman" w:cs="Times New Roman"/>
        </w:rPr>
      </w:pPr>
      <w:r w:rsidRPr="002C121A">
        <w:rPr>
          <w:rFonts w:ascii="Times New Roman" w:hAnsi="Times New Roman" w:cs="Times New Roman"/>
        </w:rPr>
        <w:t>Timely antibiotic administration</w:t>
      </w:r>
    </w:p>
    <w:p w14:paraId="186EA67C" w14:textId="77777777" w:rsidR="002C121A" w:rsidRPr="002C121A" w:rsidRDefault="002C121A" w:rsidP="00680D07">
      <w:pPr>
        <w:numPr>
          <w:ilvl w:val="0"/>
          <w:numId w:val="4"/>
        </w:numPr>
        <w:spacing w:after="0" w:line="276" w:lineRule="auto"/>
        <w:rPr>
          <w:rFonts w:ascii="Times New Roman" w:hAnsi="Times New Roman" w:cs="Times New Roman"/>
        </w:rPr>
      </w:pPr>
      <w:r w:rsidRPr="002C121A">
        <w:rPr>
          <w:rFonts w:ascii="Times New Roman" w:hAnsi="Times New Roman" w:cs="Times New Roman"/>
        </w:rPr>
        <w:t>Avoidance of excessive positive fluid balance</w:t>
      </w:r>
    </w:p>
    <w:p w14:paraId="67F598D8" w14:textId="77777777" w:rsidR="002C121A" w:rsidRPr="002C121A" w:rsidRDefault="002C121A" w:rsidP="00680D07">
      <w:pPr>
        <w:numPr>
          <w:ilvl w:val="0"/>
          <w:numId w:val="4"/>
        </w:numPr>
        <w:spacing w:after="0" w:line="276" w:lineRule="auto"/>
        <w:rPr>
          <w:rFonts w:ascii="Times New Roman" w:hAnsi="Times New Roman" w:cs="Times New Roman"/>
        </w:rPr>
      </w:pPr>
      <w:r w:rsidRPr="002C121A">
        <w:rPr>
          <w:rFonts w:ascii="Times New Roman" w:hAnsi="Times New Roman" w:cs="Times New Roman"/>
        </w:rPr>
        <w:t>Early enteral feeding once stable</w:t>
      </w:r>
    </w:p>
    <w:p w14:paraId="53F58057" w14:textId="77777777" w:rsidR="002C121A" w:rsidRPr="002C121A" w:rsidRDefault="002C121A" w:rsidP="00680D07">
      <w:pPr>
        <w:numPr>
          <w:ilvl w:val="0"/>
          <w:numId w:val="4"/>
        </w:numPr>
        <w:spacing w:after="0" w:line="276" w:lineRule="auto"/>
        <w:rPr>
          <w:rFonts w:ascii="Times New Roman" w:hAnsi="Times New Roman" w:cs="Times New Roman"/>
        </w:rPr>
      </w:pPr>
      <w:r w:rsidRPr="002C121A">
        <w:rPr>
          <w:rFonts w:ascii="Times New Roman" w:hAnsi="Times New Roman" w:cs="Times New Roman"/>
        </w:rPr>
        <w:t>Physiologically guided fixation decisions</w:t>
      </w:r>
    </w:p>
    <w:p w14:paraId="0C497CB3" w14:textId="77777777" w:rsidR="002C121A" w:rsidRPr="002C121A" w:rsidRDefault="002C121A" w:rsidP="00680D07">
      <w:pPr>
        <w:numPr>
          <w:ilvl w:val="0"/>
          <w:numId w:val="4"/>
        </w:numPr>
        <w:spacing w:after="0" w:line="276" w:lineRule="auto"/>
        <w:rPr>
          <w:rFonts w:ascii="Times New Roman" w:hAnsi="Times New Roman" w:cs="Times New Roman"/>
        </w:rPr>
      </w:pPr>
      <w:r w:rsidRPr="002C121A">
        <w:rPr>
          <w:rFonts w:ascii="Times New Roman" w:hAnsi="Times New Roman" w:cs="Times New Roman"/>
        </w:rPr>
        <w:t>Basic mobilisation protocols</w:t>
      </w:r>
    </w:p>
    <w:p w14:paraId="7A419280" w14:textId="77777777" w:rsidR="002C121A" w:rsidRPr="002C121A" w:rsidRDefault="002C121A" w:rsidP="00680D07">
      <w:pPr>
        <w:numPr>
          <w:ilvl w:val="0"/>
          <w:numId w:val="4"/>
        </w:numPr>
        <w:spacing w:after="0" w:line="276" w:lineRule="auto"/>
        <w:rPr>
          <w:rFonts w:ascii="Times New Roman" w:hAnsi="Times New Roman" w:cs="Times New Roman"/>
        </w:rPr>
      </w:pPr>
      <w:r w:rsidRPr="002C121A">
        <w:rPr>
          <w:rFonts w:ascii="Times New Roman" w:hAnsi="Times New Roman" w:cs="Times New Roman"/>
        </w:rPr>
        <w:t>Daily device review</w:t>
      </w:r>
    </w:p>
    <w:p w14:paraId="0FB8D150" w14:textId="3469B99C"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These measures require coordination but minimal advanced infrastructure. Even in systems with limited ICU access, these interventions can be implemented.</w:t>
      </w:r>
      <w:r w:rsidR="00717547">
        <w:rPr>
          <w:rFonts w:ascii="Times New Roman" w:hAnsi="Times New Roman" w:cs="Times New Roman"/>
        </w:rPr>
        <w:t xml:space="preserve"> T</w:t>
      </w:r>
      <w:r w:rsidRPr="002C121A">
        <w:rPr>
          <w:rFonts w:ascii="Times New Roman" w:hAnsi="Times New Roman" w:cs="Times New Roman"/>
        </w:rPr>
        <w:t>he goal in Phase I is not perfection but reliability.</w:t>
      </w:r>
    </w:p>
    <w:p w14:paraId="7D520FD5" w14:textId="77777777" w:rsidR="00717547" w:rsidRDefault="00717547" w:rsidP="00680D07">
      <w:pPr>
        <w:spacing w:after="0" w:line="276" w:lineRule="auto"/>
        <w:rPr>
          <w:rFonts w:ascii="Times New Roman" w:hAnsi="Times New Roman" w:cs="Times New Roman"/>
          <w:b/>
          <w:bCs/>
        </w:rPr>
      </w:pPr>
    </w:p>
    <w:p w14:paraId="40429FDC" w14:textId="6AFCBFAC"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Phase II — Structured Monitoring and Compliance</w:t>
      </w:r>
    </w:p>
    <w:p w14:paraId="56FBA4CB"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Once foundational measures are functioning consistently, Phase II introduces structured monitoring:</w:t>
      </w:r>
    </w:p>
    <w:p w14:paraId="0EEDF2D7" w14:textId="77777777" w:rsidR="002C121A" w:rsidRPr="002C121A" w:rsidRDefault="002C121A" w:rsidP="00680D07">
      <w:pPr>
        <w:numPr>
          <w:ilvl w:val="0"/>
          <w:numId w:val="5"/>
        </w:numPr>
        <w:spacing w:after="0" w:line="276" w:lineRule="auto"/>
        <w:rPr>
          <w:rFonts w:ascii="Times New Roman" w:hAnsi="Times New Roman" w:cs="Times New Roman"/>
        </w:rPr>
      </w:pPr>
      <w:r w:rsidRPr="002C121A">
        <w:rPr>
          <w:rFonts w:ascii="Times New Roman" w:hAnsi="Times New Roman" w:cs="Times New Roman"/>
        </w:rPr>
        <w:t>Compliance tracking (e.g., % antibiotics within 60 minutes)</w:t>
      </w:r>
    </w:p>
    <w:p w14:paraId="5989D594" w14:textId="77777777" w:rsidR="002C121A" w:rsidRPr="002C121A" w:rsidRDefault="002C121A" w:rsidP="00680D07">
      <w:pPr>
        <w:numPr>
          <w:ilvl w:val="0"/>
          <w:numId w:val="5"/>
        </w:numPr>
        <w:spacing w:after="0" w:line="276" w:lineRule="auto"/>
        <w:rPr>
          <w:rFonts w:ascii="Times New Roman" w:hAnsi="Times New Roman" w:cs="Times New Roman"/>
        </w:rPr>
      </w:pPr>
      <w:r w:rsidRPr="002C121A">
        <w:rPr>
          <w:rFonts w:ascii="Times New Roman" w:hAnsi="Times New Roman" w:cs="Times New Roman"/>
        </w:rPr>
        <w:t>Time-to-fixation reporting</w:t>
      </w:r>
    </w:p>
    <w:p w14:paraId="17D386CE" w14:textId="77777777" w:rsidR="002C121A" w:rsidRPr="002C121A" w:rsidRDefault="002C121A" w:rsidP="00680D07">
      <w:pPr>
        <w:numPr>
          <w:ilvl w:val="0"/>
          <w:numId w:val="5"/>
        </w:numPr>
        <w:spacing w:after="0" w:line="276" w:lineRule="auto"/>
        <w:rPr>
          <w:rFonts w:ascii="Times New Roman" w:hAnsi="Times New Roman" w:cs="Times New Roman"/>
        </w:rPr>
      </w:pPr>
      <w:r w:rsidRPr="002C121A">
        <w:rPr>
          <w:rFonts w:ascii="Times New Roman" w:hAnsi="Times New Roman" w:cs="Times New Roman"/>
        </w:rPr>
        <w:t>Fluid balance audits</w:t>
      </w:r>
    </w:p>
    <w:p w14:paraId="28E73FDD" w14:textId="77777777" w:rsidR="002C121A" w:rsidRPr="002C121A" w:rsidRDefault="002C121A" w:rsidP="00680D07">
      <w:pPr>
        <w:numPr>
          <w:ilvl w:val="0"/>
          <w:numId w:val="5"/>
        </w:numPr>
        <w:spacing w:after="0" w:line="276" w:lineRule="auto"/>
        <w:rPr>
          <w:rFonts w:ascii="Times New Roman" w:hAnsi="Times New Roman" w:cs="Times New Roman"/>
        </w:rPr>
      </w:pPr>
      <w:r w:rsidRPr="002C121A">
        <w:rPr>
          <w:rFonts w:ascii="Times New Roman" w:hAnsi="Times New Roman" w:cs="Times New Roman"/>
        </w:rPr>
        <w:t>VTE prophylaxis adherence</w:t>
      </w:r>
    </w:p>
    <w:p w14:paraId="4A89CF83" w14:textId="77777777" w:rsidR="002C121A" w:rsidRPr="002C121A" w:rsidRDefault="002C121A" w:rsidP="00680D07">
      <w:pPr>
        <w:numPr>
          <w:ilvl w:val="0"/>
          <w:numId w:val="5"/>
        </w:numPr>
        <w:spacing w:after="0" w:line="276" w:lineRule="auto"/>
        <w:rPr>
          <w:rFonts w:ascii="Times New Roman" w:hAnsi="Times New Roman" w:cs="Times New Roman"/>
        </w:rPr>
      </w:pPr>
      <w:r w:rsidRPr="002C121A">
        <w:rPr>
          <w:rFonts w:ascii="Times New Roman" w:hAnsi="Times New Roman" w:cs="Times New Roman"/>
        </w:rPr>
        <w:t>Basic complication tracking</w:t>
      </w:r>
    </w:p>
    <w:p w14:paraId="7B161BF1" w14:textId="134AF362"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Audit and feedback mechanisms improve adherence by approximately 10–20% in many surgical settings [89], and higher compliance levels correlate with measurable complication reduction [93].</w:t>
      </w:r>
      <w:r w:rsidR="00717547">
        <w:rPr>
          <w:rFonts w:ascii="Times New Roman" w:hAnsi="Times New Roman" w:cs="Times New Roman"/>
        </w:rPr>
        <w:t xml:space="preserve"> </w:t>
      </w:r>
      <w:r w:rsidRPr="002C121A">
        <w:rPr>
          <w:rFonts w:ascii="Times New Roman" w:hAnsi="Times New Roman" w:cs="Times New Roman"/>
        </w:rPr>
        <w:t>Phase II requires modest data collection infrastructure and leadership commitment.</w:t>
      </w:r>
    </w:p>
    <w:p w14:paraId="372264F9" w14:textId="77777777" w:rsidR="00717547" w:rsidRDefault="00717547" w:rsidP="00680D07">
      <w:pPr>
        <w:spacing w:after="0" w:line="276" w:lineRule="auto"/>
        <w:rPr>
          <w:rFonts w:ascii="Times New Roman" w:hAnsi="Times New Roman" w:cs="Times New Roman"/>
          <w:b/>
          <w:bCs/>
        </w:rPr>
      </w:pPr>
    </w:p>
    <w:p w14:paraId="1A3AF3CD" w14:textId="351664B6"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Phase III — Advanced Maturity and Rescue Optimisation</w:t>
      </w:r>
    </w:p>
    <w:p w14:paraId="62A7ADB4"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Phase III involves system-level refinement:</w:t>
      </w:r>
    </w:p>
    <w:p w14:paraId="55BFAF00" w14:textId="77777777" w:rsidR="002C121A" w:rsidRPr="002C121A" w:rsidRDefault="002C121A" w:rsidP="00680D07">
      <w:pPr>
        <w:numPr>
          <w:ilvl w:val="0"/>
          <w:numId w:val="6"/>
        </w:numPr>
        <w:spacing w:after="0" w:line="276" w:lineRule="auto"/>
        <w:rPr>
          <w:rFonts w:ascii="Times New Roman" w:hAnsi="Times New Roman" w:cs="Times New Roman"/>
        </w:rPr>
      </w:pPr>
      <w:r w:rsidRPr="002C121A">
        <w:rPr>
          <w:rFonts w:ascii="Times New Roman" w:hAnsi="Times New Roman" w:cs="Times New Roman"/>
        </w:rPr>
        <w:t>Formal failure-to-rescue pathways</w:t>
      </w:r>
    </w:p>
    <w:p w14:paraId="35A98052" w14:textId="77777777" w:rsidR="002C121A" w:rsidRPr="002C121A" w:rsidRDefault="002C121A" w:rsidP="00680D07">
      <w:pPr>
        <w:numPr>
          <w:ilvl w:val="0"/>
          <w:numId w:val="6"/>
        </w:numPr>
        <w:spacing w:after="0" w:line="276" w:lineRule="auto"/>
        <w:rPr>
          <w:rFonts w:ascii="Times New Roman" w:hAnsi="Times New Roman" w:cs="Times New Roman"/>
        </w:rPr>
      </w:pPr>
      <w:r w:rsidRPr="002C121A">
        <w:rPr>
          <w:rFonts w:ascii="Times New Roman" w:hAnsi="Times New Roman" w:cs="Times New Roman"/>
        </w:rPr>
        <w:t>Rapid response activation time targets</w:t>
      </w:r>
    </w:p>
    <w:p w14:paraId="42ACA427" w14:textId="77777777" w:rsidR="002C121A" w:rsidRPr="002C121A" w:rsidRDefault="002C121A" w:rsidP="00680D07">
      <w:pPr>
        <w:numPr>
          <w:ilvl w:val="0"/>
          <w:numId w:val="6"/>
        </w:numPr>
        <w:spacing w:after="0" w:line="276" w:lineRule="auto"/>
        <w:rPr>
          <w:rFonts w:ascii="Times New Roman" w:hAnsi="Times New Roman" w:cs="Times New Roman"/>
        </w:rPr>
      </w:pPr>
      <w:r w:rsidRPr="002C121A">
        <w:rPr>
          <w:rFonts w:ascii="Times New Roman" w:hAnsi="Times New Roman" w:cs="Times New Roman"/>
        </w:rPr>
        <w:t>Risk-adjusted mortality review</w:t>
      </w:r>
    </w:p>
    <w:p w14:paraId="74224841" w14:textId="77777777" w:rsidR="002C121A" w:rsidRPr="002C121A" w:rsidRDefault="002C121A" w:rsidP="00680D07">
      <w:pPr>
        <w:numPr>
          <w:ilvl w:val="0"/>
          <w:numId w:val="6"/>
        </w:numPr>
        <w:spacing w:after="0" w:line="276" w:lineRule="auto"/>
        <w:rPr>
          <w:rFonts w:ascii="Times New Roman" w:hAnsi="Times New Roman" w:cs="Times New Roman"/>
        </w:rPr>
      </w:pPr>
      <w:r w:rsidRPr="002C121A">
        <w:rPr>
          <w:rFonts w:ascii="Times New Roman" w:hAnsi="Times New Roman" w:cs="Times New Roman"/>
        </w:rPr>
        <w:t>Registry benchmarking</w:t>
      </w:r>
    </w:p>
    <w:p w14:paraId="623AC884" w14:textId="77777777" w:rsidR="002C121A" w:rsidRDefault="002C121A" w:rsidP="00680D07">
      <w:pPr>
        <w:numPr>
          <w:ilvl w:val="0"/>
          <w:numId w:val="6"/>
        </w:numPr>
        <w:spacing w:after="0" w:line="276" w:lineRule="auto"/>
        <w:rPr>
          <w:rFonts w:ascii="Times New Roman" w:hAnsi="Times New Roman" w:cs="Times New Roman"/>
        </w:rPr>
      </w:pPr>
      <w:r w:rsidRPr="002C121A">
        <w:rPr>
          <w:rFonts w:ascii="Times New Roman" w:hAnsi="Times New Roman" w:cs="Times New Roman"/>
        </w:rPr>
        <w:t>Escalation protocols with defined time thresholds</w:t>
      </w:r>
    </w:p>
    <w:p w14:paraId="38B83767" w14:textId="77777777" w:rsidR="00717547" w:rsidRPr="002C121A" w:rsidRDefault="00717547" w:rsidP="00680D07">
      <w:pPr>
        <w:numPr>
          <w:ilvl w:val="0"/>
          <w:numId w:val="6"/>
        </w:numPr>
        <w:spacing w:after="0" w:line="276" w:lineRule="auto"/>
        <w:rPr>
          <w:rFonts w:ascii="Times New Roman" w:hAnsi="Times New Roman" w:cs="Times New Roman"/>
        </w:rPr>
      </w:pPr>
    </w:p>
    <w:p w14:paraId="10218FBA" w14:textId="311C888F"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Hospitals with stronger rescue capacity demonstrate mortality rates up to two- to three-fold lower than those with weaker escalation systems, even when complication rates are similar [91]. Preventable death audits further strengthen governance and may reduce avoidable mortality over time [110].</w:t>
      </w:r>
      <w:r w:rsidR="00717547">
        <w:rPr>
          <w:rFonts w:ascii="Times New Roman" w:hAnsi="Times New Roman" w:cs="Times New Roman"/>
        </w:rPr>
        <w:t xml:space="preserve"> </w:t>
      </w:r>
      <w:r w:rsidRPr="002C121A">
        <w:rPr>
          <w:rFonts w:ascii="Times New Roman" w:hAnsi="Times New Roman" w:cs="Times New Roman"/>
        </w:rPr>
        <w:t>Phase III typically requires mature ICU capacity and institutional governance.</w:t>
      </w:r>
      <w:r w:rsidR="001C0AB6" w:rsidRPr="00680D07">
        <w:rPr>
          <w:rFonts w:ascii="Times New Roman" w:hAnsi="Times New Roman" w:cs="Times New Roman"/>
        </w:rPr>
        <w:t xml:space="preserve"> Phase III benchmarks are aspirational and should not be interpreted as minimum standards in resource-constrained environments.</w:t>
      </w:r>
    </w:p>
    <w:p w14:paraId="72938166" w14:textId="2EAFA24D" w:rsidR="002C121A" w:rsidRPr="002C121A" w:rsidRDefault="002C121A" w:rsidP="00680D07">
      <w:pPr>
        <w:spacing w:after="0" w:line="276" w:lineRule="auto"/>
        <w:rPr>
          <w:rFonts w:ascii="Times New Roman" w:hAnsi="Times New Roman" w:cs="Times New Roman"/>
        </w:rPr>
      </w:pPr>
    </w:p>
    <w:p w14:paraId="65057FB5" w14:textId="77777777" w:rsidR="00717547"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Figure 2. Phased Implementation Model for Polytrauma Recovery Optimisation.</w:t>
      </w:r>
    </w:p>
    <w:p w14:paraId="3F860313" w14:textId="7CC3A9D4" w:rsidR="002C121A" w:rsidRPr="002C121A" w:rsidRDefault="00345357" w:rsidP="00680D07">
      <w:pPr>
        <w:spacing w:after="0" w:line="276" w:lineRule="auto"/>
        <w:rPr>
          <w:rFonts w:ascii="Times New Roman" w:hAnsi="Times New Roman" w:cs="Times New Roman"/>
        </w:rPr>
      </w:pPr>
      <w:r>
        <w:rPr>
          <w:noProof/>
        </w:rPr>
        <w:lastRenderedPageBreak/>
        <w:drawing>
          <wp:inline distT="0" distB="0" distL="0" distR="0" wp14:anchorId="7957128A" wp14:editId="50A34D3B">
            <wp:extent cx="6188710" cy="3252470"/>
            <wp:effectExtent l="0" t="0" r="2540" b="5080"/>
            <wp:docPr id="953225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25518" name=""/>
                    <pic:cNvPicPr/>
                  </pic:nvPicPr>
                  <pic:blipFill>
                    <a:blip r:embed="rId8"/>
                    <a:stretch>
                      <a:fillRect/>
                    </a:stretch>
                  </pic:blipFill>
                  <pic:spPr>
                    <a:xfrm>
                      <a:off x="0" y="0"/>
                      <a:ext cx="6188710" cy="3252470"/>
                    </a:xfrm>
                    <a:prstGeom prst="rect">
                      <a:avLst/>
                    </a:prstGeom>
                  </pic:spPr>
                </pic:pic>
              </a:graphicData>
            </a:graphic>
          </wp:inline>
        </w:drawing>
      </w:r>
      <w:r w:rsidR="002C121A" w:rsidRPr="002C121A">
        <w:rPr>
          <w:rFonts w:ascii="Times New Roman" w:hAnsi="Times New Roman" w:cs="Times New Roman"/>
        </w:rPr>
        <w:br/>
        <w:t>This diagram illustrates a three-phase progression from foundational biological interventions (Phase I) to structured compliance monitoring (Phase II) and advanced rescue governance (Phase III). Arrows depict iterative feedback loops linking complication monitoring to system refinement.</w:t>
      </w:r>
    </w:p>
    <w:p w14:paraId="1330CD44" w14:textId="08EC0305" w:rsidR="002C121A" w:rsidRPr="002C121A" w:rsidRDefault="002C121A" w:rsidP="00680D07">
      <w:pPr>
        <w:spacing w:after="0" w:line="276" w:lineRule="auto"/>
        <w:rPr>
          <w:rFonts w:ascii="Times New Roman" w:hAnsi="Times New Roman" w:cs="Times New Roman"/>
        </w:rPr>
      </w:pPr>
    </w:p>
    <w:p w14:paraId="523F699E" w14:textId="77777777"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10.4 Quantified Performance Benchmarks</w:t>
      </w:r>
    </w:p>
    <w:p w14:paraId="65C3A9EA"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Implementation benefits from clearly defined targets. These targets must be realistic, adaptable, and progressively ambitious.</w:t>
      </w:r>
    </w:p>
    <w:p w14:paraId="1E5A55D8"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For example:</w:t>
      </w:r>
    </w:p>
    <w:p w14:paraId="0A9BFF29" w14:textId="77777777" w:rsidR="002C121A" w:rsidRPr="002C121A" w:rsidRDefault="002C121A" w:rsidP="00680D07">
      <w:pPr>
        <w:numPr>
          <w:ilvl w:val="0"/>
          <w:numId w:val="7"/>
        </w:numPr>
        <w:spacing w:after="0" w:line="276" w:lineRule="auto"/>
        <w:rPr>
          <w:rFonts w:ascii="Times New Roman" w:hAnsi="Times New Roman" w:cs="Times New Roman"/>
        </w:rPr>
      </w:pPr>
      <w:r w:rsidRPr="002C121A">
        <w:rPr>
          <w:rFonts w:ascii="Times New Roman" w:hAnsi="Times New Roman" w:cs="Times New Roman"/>
        </w:rPr>
        <w:t>Feeding within 48 hours in ≥60% of eligible patients (Phase I), progressing to ≥85% within 24 hours (Phase III) [1,14].</w:t>
      </w:r>
    </w:p>
    <w:p w14:paraId="1D988A82" w14:textId="77777777" w:rsidR="002C121A" w:rsidRPr="002C121A" w:rsidRDefault="002C121A" w:rsidP="00680D07">
      <w:pPr>
        <w:numPr>
          <w:ilvl w:val="0"/>
          <w:numId w:val="7"/>
        </w:numPr>
        <w:spacing w:after="0" w:line="276" w:lineRule="auto"/>
        <w:rPr>
          <w:rFonts w:ascii="Times New Roman" w:hAnsi="Times New Roman" w:cs="Times New Roman"/>
        </w:rPr>
      </w:pPr>
      <w:r w:rsidRPr="002C121A">
        <w:rPr>
          <w:rFonts w:ascii="Times New Roman" w:hAnsi="Times New Roman" w:cs="Times New Roman"/>
        </w:rPr>
        <w:t>Definitive fixation within 24–48 hours in stable patients, progressing to ≥80–85% compliance in advanced systems [31,38].</w:t>
      </w:r>
    </w:p>
    <w:p w14:paraId="00066310" w14:textId="77777777" w:rsidR="002C121A" w:rsidRPr="002C121A" w:rsidRDefault="002C121A" w:rsidP="00680D07">
      <w:pPr>
        <w:numPr>
          <w:ilvl w:val="0"/>
          <w:numId w:val="7"/>
        </w:numPr>
        <w:spacing w:after="0" w:line="276" w:lineRule="auto"/>
        <w:rPr>
          <w:rFonts w:ascii="Times New Roman" w:hAnsi="Times New Roman" w:cs="Times New Roman"/>
        </w:rPr>
      </w:pPr>
      <w:r w:rsidRPr="002C121A">
        <w:rPr>
          <w:rFonts w:ascii="Times New Roman" w:hAnsi="Times New Roman" w:cs="Times New Roman"/>
        </w:rPr>
        <w:t>Door-to-laparotomy median time below three hours, progressing toward two hours in mature centres [105].</w:t>
      </w:r>
    </w:p>
    <w:p w14:paraId="10131B62" w14:textId="77777777" w:rsidR="002C121A" w:rsidRPr="002C121A" w:rsidRDefault="002C121A" w:rsidP="00680D07">
      <w:pPr>
        <w:numPr>
          <w:ilvl w:val="0"/>
          <w:numId w:val="7"/>
        </w:numPr>
        <w:spacing w:after="0" w:line="276" w:lineRule="auto"/>
        <w:rPr>
          <w:rFonts w:ascii="Times New Roman" w:hAnsi="Times New Roman" w:cs="Times New Roman"/>
        </w:rPr>
      </w:pPr>
      <w:r w:rsidRPr="002C121A">
        <w:rPr>
          <w:rFonts w:ascii="Times New Roman" w:hAnsi="Times New Roman" w:cs="Times New Roman"/>
        </w:rPr>
        <w:t>Device review compliance ≥70% initially, progressing to ≥95% in advanced systems [90].</w:t>
      </w:r>
    </w:p>
    <w:p w14:paraId="480E256A"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Such metrics provide visibility without imposing unrealistic expectations.</w:t>
      </w:r>
    </w:p>
    <w:p w14:paraId="61BE3E73" w14:textId="613C8472" w:rsidR="002C121A" w:rsidRPr="002C121A" w:rsidRDefault="002C121A" w:rsidP="00680D07">
      <w:pPr>
        <w:spacing w:after="0" w:line="276" w:lineRule="auto"/>
        <w:rPr>
          <w:rFonts w:ascii="Times New Roman" w:hAnsi="Times New Roman" w:cs="Times New Roman"/>
        </w:rPr>
      </w:pPr>
    </w:p>
    <w:p w14:paraId="604F0E54" w14:textId="77777777" w:rsidR="002C121A"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b/>
          <w:bCs/>
        </w:rPr>
        <w:t>Table 6. Phased, Quantified Recovery Performance Matrix for Polytrauma Systems</w:t>
      </w:r>
    </w:p>
    <w:p w14:paraId="6C83FB69" w14:textId="77777777" w:rsidR="00717547" w:rsidRPr="00680D07" w:rsidRDefault="00717547" w:rsidP="00717547">
      <w:pPr>
        <w:spacing w:after="0" w:line="276" w:lineRule="auto"/>
        <w:rPr>
          <w:rFonts w:ascii="Times New Roman" w:hAnsi="Times New Roman" w:cs="Times New Roman"/>
        </w:rPr>
      </w:pPr>
    </w:p>
    <w:tbl>
      <w:tblPr>
        <w:tblStyle w:val="TableGrid"/>
        <w:tblW w:w="0" w:type="auto"/>
        <w:tblLook w:val="04A0" w:firstRow="1" w:lastRow="0" w:firstColumn="1" w:lastColumn="0" w:noHBand="0" w:noVBand="1"/>
      </w:tblPr>
      <w:tblGrid>
        <w:gridCol w:w="1131"/>
        <w:gridCol w:w="1509"/>
        <w:gridCol w:w="1167"/>
        <w:gridCol w:w="1302"/>
        <w:gridCol w:w="1062"/>
        <w:gridCol w:w="1188"/>
        <w:gridCol w:w="1339"/>
        <w:gridCol w:w="1038"/>
      </w:tblGrid>
      <w:tr w:rsidR="00717547" w:rsidRPr="00030269" w14:paraId="20EF04C2" w14:textId="77777777" w:rsidTr="00FA527B">
        <w:tc>
          <w:tcPr>
            <w:tcW w:w="0" w:type="auto"/>
            <w:hideMark/>
          </w:tcPr>
          <w:p w14:paraId="1E50DC5D"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Domain</w:t>
            </w:r>
          </w:p>
        </w:tc>
        <w:tc>
          <w:tcPr>
            <w:tcW w:w="0" w:type="auto"/>
            <w:hideMark/>
          </w:tcPr>
          <w:p w14:paraId="1F22A0F2"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Metric</w:t>
            </w:r>
          </w:p>
        </w:tc>
        <w:tc>
          <w:tcPr>
            <w:tcW w:w="0" w:type="auto"/>
            <w:hideMark/>
          </w:tcPr>
          <w:p w14:paraId="0E85307E"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Baseline Data Requirement</w:t>
            </w:r>
          </w:p>
        </w:tc>
        <w:tc>
          <w:tcPr>
            <w:tcW w:w="0" w:type="auto"/>
            <w:hideMark/>
          </w:tcPr>
          <w:p w14:paraId="26A21DAD"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Phase I Target (Foundational)</w:t>
            </w:r>
          </w:p>
        </w:tc>
        <w:tc>
          <w:tcPr>
            <w:tcW w:w="0" w:type="auto"/>
            <w:hideMark/>
          </w:tcPr>
          <w:p w14:paraId="34594FC3"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Phase II Target (Structured System)</w:t>
            </w:r>
          </w:p>
        </w:tc>
        <w:tc>
          <w:tcPr>
            <w:tcW w:w="0" w:type="auto"/>
            <w:hideMark/>
          </w:tcPr>
          <w:p w14:paraId="6155C47A"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Phase III Target (Advanced Maturity)</w:t>
            </w:r>
          </w:p>
        </w:tc>
        <w:tc>
          <w:tcPr>
            <w:tcW w:w="0" w:type="auto"/>
            <w:hideMark/>
          </w:tcPr>
          <w:p w14:paraId="325F77F4"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Outcome Impact</w:t>
            </w:r>
          </w:p>
        </w:tc>
        <w:tc>
          <w:tcPr>
            <w:tcW w:w="0" w:type="auto"/>
            <w:hideMark/>
          </w:tcPr>
          <w:p w14:paraId="13899A3E" w14:textId="77777777" w:rsidR="00717547" w:rsidRPr="00030269" w:rsidRDefault="00717547" w:rsidP="00FA527B">
            <w:pPr>
              <w:spacing w:line="276" w:lineRule="auto"/>
              <w:rPr>
                <w:rFonts w:ascii="Times New Roman" w:hAnsi="Times New Roman" w:cs="Times New Roman"/>
                <w:b/>
                <w:bCs/>
              </w:rPr>
            </w:pPr>
            <w:r w:rsidRPr="00030269">
              <w:rPr>
                <w:rFonts w:ascii="Times New Roman" w:hAnsi="Times New Roman" w:cs="Times New Roman"/>
                <w:b/>
                <w:bCs/>
              </w:rPr>
              <w:t>Supporting Refs</w:t>
            </w:r>
          </w:p>
        </w:tc>
      </w:tr>
      <w:tr w:rsidR="00717547" w:rsidRPr="00680D07" w14:paraId="06840746" w14:textId="77777777" w:rsidTr="00FA527B">
        <w:tc>
          <w:tcPr>
            <w:tcW w:w="0" w:type="auto"/>
            <w:vMerge w:val="restart"/>
            <w:hideMark/>
          </w:tcPr>
          <w:p w14:paraId="0C963DD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b/>
                <w:bCs/>
              </w:rPr>
              <w:t>Nutrition</w:t>
            </w:r>
          </w:p>
        </w:tc>
        <w:tc>
          <w:tcPr>
            <w:tcW w:w="0" w:type="auto"/>
            <w:hideMark/>
          </w:tcPr>
          <w:p w14:paraId="7ACF909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Time to enteral feeding</w:t>
            </w:r>
          </w:p>
        </w:tc>
        <w:tc>
          <w:tcPr>
            <w:tcW w:w="0" w:type="auto"/>
            <w:hideMark/>
          </w:tcPr>
          <w:p w14:paraId="07EAB3C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fed within 48h</w:t>
            </w:r>
          </w:p>
        </w:tc>
        <w:tc>
          <w:tcPr>
            <w:tcW w:w="0" w:type="auto"/>
            <w:hideMark/>
          </w:tcPr>
          <w:p w14:paraId="51FF47F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≥60% eligible pts fed ≤48h</w:t>
            </w:r>
          </w:p>
        </w:tc>
        <w:tc>
          <w:tcPr>
            <w:tcW w:w="0" w:type="auto"/>
            <w:hideMark/>
          </w:tcPr>
          <w:p w14:paraId="497969F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≥75% ≤36h</w:t>
            </w:r>
          </w:p>
        </w:tc>
        <w:tc>
          <w:tcPr>
            <w:tcW w:w="0" w:type="auto"/>
            <w:hideMark/>
          </w:tcPr>
          <w:p w14:paraId="51E2CCE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≥85% ≤24h</w:t>
            </w:r>
          </w:p>
        </w:tc>
        <w:tc>
          <w:tcPr>
            <w:tcW w:w="0" w:type="auto"/>
            <w:hideMark/>
          </w:tcPr>
          <w:p w14:paraId="04DC495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30–40% reduction septic complications</w:t>
            </w:r>
          </w:p>
        </w:tc>
        <w:tc>
          <w:tcPr>
            <w:tcW w:w="0" w:type="auto"/>
            <w:hideMark/>
          </w:tcPr>
          <w:p w14:paraId="11F531C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1,14</w:t>
            </w:r>
          </w:p>
        </w:tc>
      </w:tr>
      <w:tr w:rsidR="00717547" w:rsidRPr="00680D07" w14:paraId="43F0DC22" w14:textId="77777777" w:rsidTr="00FA527B">
        <w:tc>
          <w:tcPr>
            <w:tcW w:w="0" w:type="auto"/>
            <w:vMerge/>
            <w:hideMark/>
          </w:tcPr>
          <w:p w14:paraId="1217C9B2" w14:textId="77777777" w:rsidR="00717547" w:rsidRPr="00030269" w:rsidRDefault="00717547" w:rsidP="00FA527B">
            <w:pPr>
              <w:spacing w:line="276" w:lineRule="auto"/>
              <w:rPr>
                <w:rFonts w:ascii="Times New Roman" w:hAnsi="Times New Roman" w:cs="Times New Roman"/>
              </w:rPr>
            </w:pPr>
          </w:p>
        </w:tc>
        <w:tc>
          <w:tcPr>
            <w:tcW w:w="0" w:type="auto"/>
            <w:hideMark/>
          </w:tcPr>
          <w:p w14:paraId="35A16D2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Caloric adequacy by Day 3</w:t>
            </w:r>
          </w:p>
        </w:tc>
        <w:tc>
          <w:tcPr>
            <w:tcW w:w="0" w:type="auto"/>
            <w:hideMark/>
          </w:tcPr>
          <w:p w14:paraId="0CE579E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meeting ≥60% target kcal</w:t>
            </w:r>
          </w:p>
        </w:tc>
        <w:tc>
          <w:tcPr>
            <w:tcW w:w="0" w:type="auto"/>
            <w:hideMark/>
          </w:tcPr>
          <w:p w14:paraId="5A82CC7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≥50% patients</w:t>
            </w:r>
          </w:p>
        </w:tc>
        <w:tc>
          <w:tcPr>
            <w:tcW w:w="0" w:type="auto"/>
            <w:hideMark/>
          </w:tcPr>
          <w:p w14:paraId="66E9DAF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≥70% patients</w:t>
            </w:r>
          </w:p>
        </w:tc>
        <w:tc>
          <w:tcPr>
            <w:tcW w:w="0" w:type="auto"/>
            <w:hideMark/>
          </w:tcPr>
          <w:p w14:paraId="3483619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≥85% patients</w:t>
            </w:r>
          </w:p>
        </w:tc>
        <w:tc>
          <w:tcPr>
            <w:tcW w:w="0" w:type="auto"/>
            <w:hideMark/>
          </w:tcPr>
          <w:p w14:paraId="2F42FE5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Mitigates </w:t>
            </w:r>
            <w:proofErr w:type="spellStart"/>
            <w:r w:rsidRPr="00030269">
              <w:rPr>
                <w:rFonts w:ascii="Times New Roman" w:hAnsi="Times New Roman" w:cs="Times New Roman"/>
              </w:rPr>
              <w:t>hypercatabolism</w:t>
            </w:r>
            <w:proofErr w:type="spellEnd"/>
          </w:p>
        </w:tc>
        <w:tc>
          <w:tcPr>
            <w:tcW w:w="0" w:type="auto"/>
            <w:hideMark/>
          </w:tcPr>
          <w:p w14:paraId="3823794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67–69</w:t>
            </w:r>
          </w:p>
        </w:tc>
      </w:tr>
      <w:tr w:rsidR="00717547" w:rsidRPr="00680D07" w14:paraId="4FF11B28" w14:textId="77777777" w:rsidTr="00FA527B">
        <w:tc>
          <w:tcPr>
            <w:tcW w:w="0" w:type="auto"/>
            <w:vMerge w:val="restart"/>
            <w:hideMark/>
          </w:tcPr>
          <w:p w14:paraId="0A39CC7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b/>
                <w:bCs/>
              </w:rPr>
              <w:t>Fluid Balance</w:t>
            </w:r>
          </w:p>
        </w:tc>
        <w:tc>
          <w:tcPr>
            <w:tcW w:w="0" w:type="auto"/>
            <w:hideMark/>
          </w:tcPr>
          <w:p w14:paraId="66648E1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Net balance first 24h</w:t>
            </w:r>
          </w:p>
        </w:tc>
        <w:tc>
          <w:tcPr>
            <w:tcW w:w="0" w:type="auto"/>
            <w:hideMark/>
          </w:tcPr>
          <w:p w14:paraId="3AAD264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Median +L balance</w:t>
            </w:r>
          </w:p>
        </w:tc>
        <w:tc>
          <w:tcPr>
            <w:tcW w:w="0" w:type="auto"/>
            <w:hideMark/>
          </w:tcPr>
          <w:p w14:paraId="1FA19A8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Avoid &gt;+3L median</w:t>
            </w:r>
          </w:p>
        </w:tc>
        <w:tc>
          <w:tcPr>
            <w:tcW w:w="0" w:type="auto"/>
            <w:hideMark/>
          </w:tcPr>
          <w:p w14:paraId="15B1094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≤+2L median</w:t>
            </w:r>
          </w:p>
        </w:tc>
        <w:tc>
          <w:tcPr>
            <w:tcW w:w="0" w:type="auto"/>
            <w:hideMark/>
          </w:tcPr>
          <w:p w14:paraId="43BCB38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≤+1L median</w:t>
            </w:r>
          </w:p>
        </w:tc>
        <w:tc>
          <w:tcPr>
            <w:tcW w:w="0" w:type="auto"/>
            <w:hideMark/>
          </w:tcPr>
          <w:p w14:paraId="3940A66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pulmonary complications</w:t>
            </w:r>
          </w:p>
        </w:tc>
        <w:tc>
          <w:tcPr>
            <w:tcW w:w="0" w:type="auto"/>
            <w:hideMark/>
          </w:tcPr>
          <w:p w14:paraId="003D6FA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98,99</w:t>
            </w:r>
          </w:p>
        </w:tc>
      </w:tr>
      <w:tr w:rsidR="00717547" w:rsidRPr="00680D07" w14:paraId="7D46C607" w14:textId="77777777" w:rsidTr="00FA527B">
        <w:tc>
          <w:tcPr>
            <w:tcW w:w="0" w:type="auto"/>
            <w:vMerge/>
            <w:hideMark/>
          </w:tcPr>
          <w:p w14:paraId="6FAB9DEE" w14:textId="77777777" w:rsidR="00717547" w:rsidRPr="00030269" w:rsidRDefault="00717547" w:rsidP="00FA527B">
            <w:pPr>
              <w:spacing w:line="276" w:lineRule="auto"/>
              <w:rPr>
                <w:rFonts w:ascii="Times New Roman" w:hAnsi="Times New Roman" w:cs="Times New Roman"/>
              </w:rPr>
            </w:pPr>
          </w:p>
        </w:tc>
        <w:tc>
          <w:tcPr>
            <w:tcW w:w="0" w:type="auto"/>
            <w:hideMark/>
          </w:tcPr>
          <w:p w14:paraId="25D697D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48h cumulative balance</w:t>
            </w:r>
          </w:p>
        </w:tc>
        <w:tc>
          <w:tcPr>
            <w:tcW w:w="0" w:type="auto"/>
            <w:hideMark/>
          </w:tcPr>
          <w:p w14:paraId="348CE26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&gt;+5L</w:t>
            </w:r>
          </w:p>
        </w:tc>
        <w:tc>
          <w:tcPr>
            <w:tcW w:w="0" w:type="auto"/>
            <w:hideMark/>
          </w:tcPr>
          <w:p w14:paraId="1BD6A9E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&lt;40% patients</w:t>
            </w:r>
          </w:p>
        </w:tc>
        <w:tc>
          <w:tcPr>
            <w:tcW w:w="0" w:type="auto"/>
            <w:hideMark/>
          </w:tcPr>
          <w:p w14:paraId="154152B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&lt;25% patients</w:t>
            </w:r>
          </w:p>
        </w:tc>
        <w:tc>
          <w:tcPr>
            <w:tcW w:w="0" w:type="auto"/>
            <w:hideMark/>
          </w:tcPr>
          <w:p w14:paraId="060E449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&lt;15% patients</w:t>
            </w:r>
          </w:p>
        </w:tc>
        <w:tc>
          <w:tcPr>
            <w:tcW w:w="0" w:type="auto"/>
            <w:hideMark/>
          </w:tcPr>
          <w:p w14:paraId="6C6A2B1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ARDS incidence</w:t>
            </w:r>
          </w:p>
        </w:tc>
        <w:tc>
          <w:tcPr>
            <w:tcW w:w="0" w:type="auto"/>
            <w:hideMark/>
          </w:tcPr>
          <w:p w14:paraId="40043A8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98</w:t>
            </w:r>
          </w:p>
        </w:tc>
      </w:tr>
      <w:tr w:rsidR="00717547" w:rsidRPr="00680D07" w14:paraId="41751C63" w14:textId="77777777" w:rsidTr="00FA527B">
        <w:tc>
          <w:tcPr>
            <w:tcW w:w="0" w:type="auto"/>
            <w:vMerge w:val="restart"/>
            <w:hideMark/>
          </w:tcPr>
          <w:p w14:paraId="1F27EB1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b/>
                <w:bCs/>
              </w:rPr>
              <w:t>Orthopaedic Timing</w:t>
            </w:r>
          </w:p>
        </w:tc>
        <w:tc>
          <w:tcPr>
            <w:tcW w:w="0" w:type="auto"/>
            <w:hideMark/>
          </w:tcPr>
          <w:p w14:paraId="59727E3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Stable pts fixed ≤24h</w:t>
            </w:r>
          </w:p>
        </w:tc>
        <w:tc>
          <w:tcPr>
            <w:tcW w:w="0" w:type="auto"/>
            <w:hideMark/>
          </w:tcPr>
          <w:p w14:paraId="1861BC6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eligible pts</w:t>
            </w:r>
          </w:p>
        </w:tc>
        <w:tc>
          <w:tcPr>
            <w:tcW w:w="0" w:type="auto"/>
            <w:hideMark/>
          </w:tcPr>
          <w:p w14:paraId="7886B2B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≥50%</w:t>
            </w:r>
          </w:p>
        </w:tc>
        <w:tc>
          <w:tcPr>
            <w:tcW w:w="0" w:type="auto"/>
            <w:hideMark/>
          </w:tcPr>
          <w:p w14:paraId="6283A9E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≥70%</w:t>
            </w:r>
          </w:p>
        </w:tc>
        <w:tc>
          <w:tcPr>
            <w:tcW w:w="0" w:type="auto"/>
            <w:hideMark/>
          </w:tcPr>
          <w:p w14:paraId="701A6B1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≥85%</w:t>
            </w:r>
          </w:p>
        </w:tc>
        <w:tc>
          <w:tcPr>
            <w:tcW w:w="0" w:type="auto"/>
            <w:hideMark/>
          </w:tcPr>
          <w:p w14:paraId="408C5A6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20–30% ↓ pulmonary complications</w:t>
            </w:r>
          </w:p>
        </w:tc>
        <w:tc>
          <w:tcPr>
            <w:tcW w:w="0" w:type="auto"/>
            <w:hideMark/>
          </w:tcPr>
          <w:p w14:paraId="6376039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31,38</w:t>
            </w:r>
          </w:p>
        </w:tc>
      </w:tr>
      <w:tr w:rsidR="00717547" w:rsidRPr="00680D07" w14:paraId="58324B50" w14:textId="77777777" w:rsidTr="00FA527B">
        <w:tc>
          <w:tcPr>
            <w:tcW w:w="0" w:type="auto"/>
            <w:vMerge/>
            <w:hideMark/>
          </w:tcPr>
          <w:p w14:paraId="44CEDBF4" w14:textId="77777777" w:rsidR="00717547" w:rsidRPr="00030269" w:rsidRDefault="00717547" w:rsidP="00FA527B">
            <w:pPr>
              <w:spacing w:line="276" w:lineRule="auto"/>
              <w:rPr>
                <w:rFonts w:ascii="Times New Roman" w:hAnsi="Times New Roman" w:cs="Times New Roman"/>
              </w:rPr>
            </w:pPr>
          </w:p>
        </w:tc>
        <w:tc>
          <w:tcPr>
            <w:tcW w:w="0" w:type="auto"/>
            <w:hideMark/>
          </w:tcPr>
          <w:p w14:paraId="4ED8FF4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Fixation delay &gt;48h</w:t>
            </w:r>
          </w:p>
        </w:tc>
        <w:tc>
          <w:tcPr>
            <w:tcW w:w="0" w:type="auto"/>
            <w:hideMark/>
          </w:tcPr>
          <w:p w14:paraId="75C50B6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stable pts delayed</w:t>
            </w:r>
          </w:p>
        </w:tc>
        <w:tc>
          <w:tcPr>
            <w:tcW w:w="0" w:type="auto"/>
            <w:hideMark/>
          </w:tcPr>
          <w:p w14:paraId="2353170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&lt;30%</w:t>
            </w:r>
          </w:p>
        </w:tc>
        <w:tc>
          <w:tcPr>
            <w:tcW w:w="0" w:type="auto"/>
            <w:hideMark/>
          </w:tcPr>
          <w:p w14:paraId="45A752C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&lt;15%</w:t>
            </w:r>
          </w:p>
        </w:tc>
        <w:tc>
          <w:tcPr>
            <w:tcW w:w="0" w:type="auto"/>
            <w:hideMark/>
          </w:tcPr>
          <w:p w14:paraId="3F1F004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&lt;10%</w:t>
            </w:r>
          </w:p>
        </w:tc>
        <w:tc>
          <w:tcPr>
            <w:tcW w:w="0" w:type="auto"/>
            <w:hideMark/>
          </w:tcPr>
          <w:p w14:paraId="235A337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ARDS &amp; ventilator days</w:t>
            </w:r>
          </w:p>
        </w:tc>
        <w:tc>
          <w:tcPr>
            <w:tcW w:w="0" w:type="auto"/>
            <w:hideMark/>
          </w:tcPr>
          <w:p w14:paraId="5674C18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33</w:t>
            </w:r>
          </w:p>
        </w:tc>
      </w:tr>
      <w:tr w:rsidR="00717547" w:rsidRPr="00680D07" w14:paraId="70D3E9AB" w14:textId="77777777" w:rsidTr="00FA527B">
        <w:tc>
          <w:tcPr>
            <w:tcW w:w="0" w:type="auto"/>
            <w:vMerge/>
            <w:hideMark/>
          </w:tcPr>
          <w:p w14:paraId="1C801707" w14:textId="77777777" w:rsidR="00717547" w:rsidRPr="00030269" w:rsidRDefault="00717547" w:rsidP="00FA527B">
            <w:pPr>
              <w:spacing w:line="276" w:lineRule="auto"/>
              <w:rPr>
                <w:rFonts w:ascii="Times New Roman" w:hAnsi="Times New Roman" w:cs="Times New Roman"/>
              </w:rPr>
            </w:pPr>
          </w:p>
        </w:tc>
        <w:tc>
          <w:tcPr>
            <w:tcW w:w="0" w:type="auto"/>
            <w:hideMark/>
          </w:tcPr>
          <w:p w14:paraId="79002EA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Lactate prior to fixation</w:t>
            </w:r>
          </w:p>
        </w:tc>
        <w:tc>
          <w:tcPr>
            <w:tcW w:w="0" w:type="auto"/>
            <w:hideMark/>
          </w:tcPr>
          <w:p w14:paraId="170A7E9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Median pre-op lactate</w:t>
            </w:r>
          </w:p>
        </w:tc>
        <w:tc>
          <w:tcPr>
            <w:tcW w:w="0" w:type="auto"/>
            <w:hideMark/>
          </w:tcPr>
          <w:p w14:paraId="08A7D42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&lt;3 mmol/L median</w:t>
            </w:r>
          </w:p>
        </w:tc>
        <w:tc>
          <w:tcPr>
            <w:tcW w:w="0" w:type="auto"/>
            <w:hideMark/>
          </w:tcPr>
          <w:p w14:paraId="2982BFD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&lt;2.5 mmol/L median</w:t>
            </w:r>
          </w:p>
        </w:tc>
        <w:tc>
          <w:tcPr>
            <w:tcW w:w="0" w:type="auto"/>
            <w:hideMark/>
          </w:tcPr>
          <w:p w14:paraId="1805CB7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Physiologic protocolised threshold</w:t>
            </w:r>
          </w:p>
        </w:tc>
        <w:tc>
          <w:tcPr>
            <w:tcW w:w="0" w:type="auto"/>
            <w:hideMark/>
          </w:tcPr>
          <w:p w14:paraId="315B1E1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second-hit risk</w:t>
            </w:r>
          </w:p>
        </w:tc>
        <w:tc>
          <w:tcPr>
            <w:tcW w:w="0" w:type="auto"/>
            <w:hideMark/>
          </w:tcPr>
          <w:p w14:paraId="0F9F643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26,63</w:t>
            </w:r>
          </w:p>
        </w:tc>
      </w:tr>
      <w:tr w:rsidR="00717547" w:rsidRPr="00680D07" w14:paraId="2412F15A" w14:textId="77777777" w:rsidTr="00FA527B">
        <w:tc>
          <w:tcPr>
            <w:tcW w:w="0" w:type="auto"/>
            <w:vMerge w:val="restart"/>
            <w:hideMark/>
          </w:tcPr>
          <w:p w14:paraId="0CB8299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b/>
                <w:bCs/>
              </w:rPr>
              <w:t>Antibiotic Prophylaxis</w:t>
            </w:r>
          </w:p>
        </w:tc>
        <w:tc>
          <w:tcPr>
            <w:tcW w:w="0" w:type="auto"/>
            <w:hideMark/>
          </w:tcPr>
          <w:p w14:paraId="1020C2C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Timing ≤60 min pre-incision</w:t>
            </w:r>
          </w:p>
        </w:tc>
        <w:tc>
          <w:tcPr>
            <w:tcW w:w="0" w:type="auto"/>
            <w:hideMark/>
          </w:tcPr>
          <w:p w14:paraId="53DC165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Compliance rate</w:t>
            </w:r>
          </w:p>
        </w:tc>
        <w:tc>
          <w:tcPr>
            <w:tcW w:w="0" w:type="auto"/>
            <w:hideMark/>
          </w:tcPr>
          <w:p w14:paraId="3D52ED1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≥70%</w:t>
            </w:r>
          </w:p>
        </w:tc>
        <w:tc>
          <w:tcPr>
            <w:tcW w:w="0" w:type="auto"/>
            <w:hideMark/>
          </w:tcPr>
          <w:p w14:paraId="315E562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≥85%</w:t>
            </w:r>
          </w:p>
        </w:tc>
        <w:tc>
          <w:tcPr>
            <w:tcW w:w="0" w:type="auto"/>
            <w:hideMark/>
          </w:tcPr>
          <w:p w14:paraId="0B1B3AD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≥95%</w:t>
            </w:r>
          </w:p>
        </w:tc>
        <w:tc>
          <w:tcPr>
            <w:tcW w:w="0" w:type="auto"/>
            <w:hideMark/>
          </w:tcPr>
          <w:p w14:paraId="2EACC71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40–60% ↓ SSI</w:t>
            </w:r>
          </w:p>
        </w:tc>
        <w:tc>
          <w:tcPr>
            <w:tcW w:w="0" w:type="auto"/>
            <w:hideMark/>
          </w:tcPr>
          <w:p w14:paraId="355F4CD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95,96</w:t>
            </w:r>
          </w:p>
        </w:tc>
      </w:tr>
      <w:tr w:rsidR="00717547" w:rsidRPr="00680D07" w14:paraId="043CCE24" w14:textId="77777777" w:rsidTr="00FA527B">
        <w:tc>
          <w:tcPr>
            <w:tcW w:w="0" w:type="auto"/>
            <w:vMerge/>
            <w:hideMark/>
          </w:tcPr>
          <w:p w14:paraId="05C1D41A" w14:textId="77777777" w:rsidR="00717547" w:rsidRPr="00030269" w:rsidRDefault="00717547" w:rsidP="00FA527B">
            <w:pPr>
              <w:spacing w:line="276" w:lineRule="auto"/>
              <w:rPr>
                <w:rFonts w:ascii="Times New Roman" w:hAnsi="Times New Roman" w:cs="Times New Roman"/>
              </w:rPr>
            </w:pPr>
          </w:p>
        </w:tc>
        <w:tc>
          <w:tcPr>
            <w:tcW w:w="0" w:type="auto"/>
            <w:hideMark/>
          </w:tcPr>
          <w:p w14:paraId="77F2AB1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Open fracture antibiotics ≤1h</w:t>
            </w:r>
          </w:p>
        </w:tc>
        <w:tc>
          <w:tcPr>
            <w:tcW w:w="0" w:type="auto"/>
            <w:hideMark/>
          </w:tcPr>
          <w:p w14:paraId="339A22F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cases</w:t>
            </w:r>
          </w:p>
        </w:tc>
        <w:tc>
          <w:tcPr>
            <w:tcW w:w="0" w:type="auto"/>
            <w:hideMark/>
          </w:tcPr>
          <w:p w14:paraId="3B3C2B9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≥70%</w:t>
            </w:r>
          </w:p>
        </w:tc>
        <w:tc>
          <w:tcPr>
            <w:tcW w:w="0" w:type="auto"/>
            <w:hideMark/>
          </w:tcPr>
          <w:p w14:paraId="0E60C26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≥85%</w:t>
            </w:r>
          </w:p>
        </w:tc>
        <w:tc>
          <w:tcPr>
            <w:tcW w:w="0" w:type="auto"/>
            <w:hideMark/>
          </w:tcPr>
          <w:p w14:paraId="310ECA0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≥95%</w:t>
            </w:r>
          </w:p>
        </w:tc>
        <w:tc>
          <w:tcPr>
            <w:tcW w:w="0" w:type="auto"/>
            <w:hideMark/>
          </w:tcPr>
          <w:p w14:paraId="1F68410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implant infection</w:t>
            </w:r>
          </w:p>
        </w:tc>
        <w:tc>
          <w:tcPr>
            <w:tcW w:w="0" w:type="auto"/>
            <w:hideMark/>
          </w:tcPr>
          <w:p w14:paraId="7D92CFD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35</w:t>
            </w:r>
          </w:p>
        </w:tc>
      </w:tr>
      <w:tr w:rsidR="00717547" w:rsidRPr="00680D07" w14:paraId="402EF4EA" w14:textId="77777777" w:rsidTr="00FA527B">
        <w:tc>
          <w:tcPr>
            <w:tcW w:w="0" w:type="auto"/>
            <w:vMerge w:val="restart"/>
            <w:hideMark/>
          </w:tcPr>
          <w:p w14:paraId="2BBCFCF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b/>
                <w:bCs/>
              </w:rPr>
              <w:t>Mobilisation</w:t>
            </w:r>
          </w:p>
        </w:tc>
        <w:tc>
          <w:tcPr>
            <w:tcW w:w="0" w:type="auto"/>
            <w:hideMark/>
          </w:tcPr>
          <w:p w14:paraId="0C40766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First mobilisation attempt</w:t>
            </w:r>
          </w:p>
        </w:tc>
        <w:tc>
          <w:tcPr>
            <w:tcW w:w="0" w:type="auto"/>
            <w:hideMark/>
          </w:tcPr>
          <w:p w14:paraId="200C1B6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Median time</w:t>
            </w:r>
          </w:p>
        </w:tc>
        <w:tc>
          <w:tcPr>
            <w:tcW w:w="0" w:type="auto"/>
            <w:hideMark/>
          </w:tcPr>
          <w:p w14:paraId="0B82FB4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≤72h</w:t>
            </w:r>
          </w:p>
        </w:tc>
        <w:tc>
          <w:tcPr>
            <w:tcW w:w="0" w:type="auto"/>
            <w:hideMark/>
          </w:tcPr>
          <w:p w14:paraId="3AEFB97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≤48h</w:t>
            </w:r>
          </w:p>
        </w:tc>
        <w:tc>
          <w:tcPr>
            <w:tcW w:w="0" w:type="auto"/>
            <w:hideMark/>
          </w:tcPr>
          <w:p w14:paraId="19AB448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≤36h</w:t>
            </w:r>
          </w:p>
        </w:tc>
        <w:tc>
          <w:tcPr>
            <w:tcW w:w="0" w:type="auto"/>
            <w:hideMark/>
          </w:tcPr>
          <w:p w14:paraId="5A6FD1C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ICU weakness 25–35%</w:t>
            </w:r>
          </w:p>
        </w:tc>
        <w:tc>
          <w:tcPr>
            <w:tcW w:w="0" w:type="auto"/>
            <w:hideMark/>
          </w:tcPr>
          <w:p w14:paraId="0ECF424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100</w:t>
            </w:r>
          </w:p>
        </w:tc>
      </w:tr>
      <w:tr w:rsidR="00717547" w:rsidRPr="00680D07" w14:paraId="45750A25" w14:textId="77777777" w:rsidTr="00FA527B">
        <w:tc>
          <w:tcPr>
            <w:tcW w:w="0" w:type="auto"/>
            <w:vMerge/>
            <w:hideMark/>
          </w:tcPr>
          <w:p w14:paraId="64767B4A" w14:textId="77777777" w:rsidR="00717547" w:rsidRPr="00030269" w:rsidRDefault="00717547" w:rsidP="00FA527B">
            <w:pPr>
              <w:spacing w:line="276" w:lineRule="auto"/>
              <w:rPr>
                <w:rFonts w:ascii="Times New Roman" w:hAnsi="Times New Roman" w:cs="Times New Roman"/>
              </w:rPr>
            </w:pPr>
          </w:p>
        </w:tc>
        <w:tc>
          <w:tcPr>
            <w:tcW w:w="0" w:type="auto"/>
            <w:hideMark/>
          </w:tcPr>
          <w:p w14:paraId="3064AE4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ICU pts mobilised by Day 3</w:t>
            </w:r>
          </w:p>
        </w:tc>
        <w:tc>
          <w:tcPr>
            <w:tcW w:w="0" w:type="auto"/>
            <w:hideMark/>
          </w:tcPr>
          <w:p w14:paraId="217DF4C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eligible</w:t>
            </w:r>
          </w:p>
        </w:tc>
        <w:tc>
          <w:tcPr>
            <w:tcW w:w="0" w:type="auto"/>
            <w:hideMark/>
          </w:tcPr>
          <w:p w14:paraId="7824C8E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≥50%</w:t>
            </w:r>
          </w:p>
        </w:tc>
        <w:tc>
          <w:tcPr>
            <w:tcW w:w="0" w:type="auto"/>
            <w:hideMark/>
          </w:tcPr>
          <w:p w14:paraId="363CA98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≥70%</w:t>
            </w:r>
          </w:p>
        </w:tc>
        <w:tc>
          <w:tcPr>
            <w:tcW w:w="0" w:type="auto"/>
            <w:hideMark/>
          </w:tcPr>
          <w:p w14:paraId="5041597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≥85%</w:t>
            </w:r>
          </w:p>
        </w:tc>
        <w:tc>
          <w:tcPr>
            <w:tcW w:w="0" w:type="auto"/>
            <w:hideMark/>
          </w:tcPr>
          <w:p w14:paraId="761222D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ventilator days</w:t>
            </w:r>
          </w:p>
        </w:tc>
        <w:tc>
          <w:tcPr>
            <w:tcW w:w="0" w:type="auto"/>
            <w:hideMark/>
          </w:tcPr>
          <w:p w14:paraId="30D0630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100</w:t>
            </w:r>
          </w:p>
        </w:tc>
      </w:tr>
      <w:tr w:rsidR="00717547" w:rsidRPr="00680D07" w14:paraId="0C26E166" w14:textId="77777777" w:rsidTr="00FA527B">
        <w:tc>
          <w:tcPr>
            <w:tcW w:w="0" w:type="auto"/>
            <w:vMerge w:val="restart"/>
            <w:hideMark/>
          </w:tcPr>
          <w:p w14:paraId="3613032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b/>
                <w:bCs/>
              </w:rPr>
              <w:t>VTE Prevention</w:t>
            </w:r>
          </w:p>
        </w:tc>
        <w:tc>
          <w:tcPr>
            <w:tcW w:w="0" w:type="auto"/>
            <w:hideMark/>
          </w:tcPr>
          <w:p w14:paraId="126D0DF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Chemoprophylaxis ≤48h</w:t>
            </w:r>
          </w:p>
        </w:tc>
        <w:tc>
          <w:tcPr>
            <w:tcW w:w="0" w:type="auto"/>
            <w:hideMark/>
          </w:tcPr>
          <w:p w14:paraId="7CBCAC6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eligible pts</w:t>
            </w:r>
          </w:p>
        </w:tc>
        <w:tc>
          <w:tcPr>
            <w:tcW w:w="0" w:type="auto"/>
            <w:hideMark/>
          </w:tcPr>
          <w:p w14:paraId="6D2F64D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≥70%</w:t>
            </w:r>
          </w:p>
        </w:tc>
        <w:tc>
          <w:tcPr>
            <w:tcW w:w="0" w:type="auto"/>
            <w:hideMark/>
          </w:tcPr>
          <w:p w14:paraId="4E3CF34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≥85%</w:t>
            </w:r>
          </w:p>
        </w:tc>
        <w:tc>
          <w:tcPr>
            <w:tcW w:w="0" w:type="auto"/>
            <w:hideMark/>
          </w:tcPr>
          <w:p w14:paraId="134D12C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≥95%</w:t>
            </w:r>
          </w:p>
        </w:tc>
        <w:tc>
          <w:tcPr>
            <w:tcW w:w="0" w:type="auto"/>
            <w:hideMark/>
          </w:tcPr>
          <w:p w14:paraId="0ED53F8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40–60% ↓ DVT</w:t>
            </w:r>
          </w:p>
        </w:tc>
        <w:tc>
          <w:tcPr>
            <w:tcW w:w="0" w:type="auto"/>
            <w:hideMark/>
          </w:tcPr>
          <w:p w14:paraId="25F391A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72,73</w:t>
            </w:r>
          </w:p>
        </w:tc>
      </w:tr>
      <w:tr w:rsidR="00717547" w:rsidRPr="00680D07" w14:paraId="025BED23" w14:textId="77777777" w:rsidTr="00FA527B">
        <w:tc>
          <w:tcPr>
            <w:tcW w:w="0" w:type="auto"/>
            <w:vMerge/>
            <w:hideMark/>
          </w:tcPr>
          <w:p w14:paraId="4AA1CEF6" w14:textId="77777777" w:rsidR="00717547" w:rsidRPr="00030269" w:rsidRDefault="00717547" w:rsidP="00FA527B">
            <w:pPr>
              <w:spacing w:line="276" w:lineRule="auto"/>
              <w:rPr>
                <w:rFonts w:ascii="Times New Roman" w:hAnsi="Times New Roman" w:cs="Times New Roman"/>
              </w:rPr>
            </w:pPr>
          </w:p>
        </w:tc>
        <w:tc>
          <w:tcPr>
            <w:tcW w:w="0" w:type="auto"/>
            <w:hideMark/>
          </w:tcPr>
          <w:p w14:paraId="3C8D831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Documented VTE rate</w:t>
            </w:r>
          </w:p>
        </w:tc>
        <w:tc>
          <w:tcPr>
            <w:tcW w:w="0" w:type="auto"/>
            <w:hideMark/>
          </w:tcPr>
          <w:p w14:paraId="1BEAED6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Annual institutional rate</w:t>
            </w:r>
          </w:p>
        </w:tc>
        <w:tc>
          <w:tcPr>
            <w:tcW w:w="0" w:type="auto"/>
            <w:hideMark/>
          </w:tcPr>
          <w:p w14:paraId="1EA1B54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Baseline measured</w:t>
            </w:r>
          </w:p>
        </w:tc>
        <w:tc>
          <w:tcPr>
            <w:tcW w:w="0" w:type="auto"/>
            <w:hideMark/>
          </w:tcPr>
          <w:p w14:paraId="3CB31A4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&lt;10% trauma cohort</w:t>
            </w:r>
          </w:p>
        </w:tc>
        <w:tc>
          <w:tcPr>
            <w:tcW w:w="0" w:type="auto"/>
            <w:hideMark/>
          </w:tcPr>
          <w:p w14:paraId="3E03572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&lt;5–8%</w:t>
            </w:r>
          </w:p>
        </w:tc>
        <w:tc>
          <w:tcPr>
            <w:tcW w:w="0" w:type="auto"/>
            <w:hideMark/>
          </w:tcPr>
          <w:p w14:paraId="213352B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PE &amp; ICU LOS</w:t>
            </w:r>
          </w:p>
        </w:tc>
        <w:tc>
          <w:tcPr>
            <w:tcW w:w="0" w:type="auto"/>
            <w:hideMark/>
          </w:tcPr>
          <w:p w14:paraId="48F88D9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72</w:t>
            </w:r>
          </w:p>
        </w:tc>
      </w:tr>
      <w:tr w:rsidR="00717547" w:rsidRPr="00680D07" w14:paraId="68D98E2B" w14:textId="77777777" w:rsidTr="00FA527B">
        <w:tc>
          <w:tcPr>
            <w:tcW w:w="0" w:type="auto"/>
            <w:vMerge w:val="restart"/>
            <w:hideMark/>
          </w:tcPr>
          <w:p w14:paraId="1BA51C0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b/>
                <w:bCs/>
              </w:rPr>
              <w:t>Pulmonary Monitoring</w:t>
            </w:r>
          </w:p>
        </w:tc>
        <w:tc>
          <w:tcPr>
            <w:tcW w:w="0" w:type="auto"/>
            <w:hideMark/>
          </w:tcPr>
          <w:p w14:paraId="2831EB6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ARDS incidence tracked</w:t>
            </w:r>
          </w:p>
        </w:tc>
        <w:tc>
          <w:tcPr>
            <w:tcW w:w="0" w:type="auto"/>
            <w:hideMark/>
          </w:tcPr>
          <w:p w14:paraId="1E1FABC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Yes/No</w:t>
            </w:r>
          </w:p>
        </w:tc>
        <w:tc>
          <w:tcPr>
            <w:tcW w:w="0" w:type="auto"/>
            <w:hideMark/>
          </w:tcPr>
          <w:p w14:paraId="400CB17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Annual tracking</w:t>
            </w:r>
          </w:p>
        </w:tc>
        <w:tc>
          <w:tcPr>
            <w:tcW w:w="0" w:type="auto"/>
            <w:hideMark/>
          </w:tcPr>
          <w:p w14:paraId="42016F2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Risk stratified reporting</w:t>
            </w:r>
          </w:p>
        </w:tc>
        <w:tc>
          <w:tcPr>
            <w:tcW w:w="0" w:type="auto"/>
            <w:hideMark/>
          </w:tcPr>
          <w:p w14:paraId="4C12499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Benchmark vs registry</w:t>
            </w:r>
          </w:p>
        </w:tc>
        <w:tc>
          <w:tcPr>
            <w:tcW w:w="0" w:type="auto"/>
            <w:hideMark/>
          </w:tcPr>
          <w:p w14:paraId="749D191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ARDS 10–20% severe trauma</w:t>
            </w:r>
          </w:p>
        </w:tc>
        <w:tc>
          <w:tcPr>
            <w:tcW w:w="0" w:type="auto"/>
            <w:hideMark/>
          </w:tcPr>
          <w:p w14:paraId="49D76F6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61,107</w:t>
            </w:r>
          </w:p>
        </w:tc>
      </w:tr>
      <w:tr w:rsidR="00717547" w:rsidRPr="00680D07" w14:paraId="31B43B76" w14:textId="77777777" w:rsidTr="00FA527B">
        <w:tc>
          <w:tcPr>
            <w:tcW w:w="0" w:type="auto"/>
            <w:vMerge/>
            <w:hideMark/>
          </w:tcPr>
          <w:p w14:paraId="7D2FF9F5" w14:textId="77777777" w:rsidR="00717547" w:rsidRPr="00030269" w:rsidRDefault="00717547" w:rsidP="00FA527B">
            <w:pPr>
              <w:spacing w:line="276" w:lineRule="auto"/>
              <w:rPr>
                <w:rFonts w:ascii="Times New Roman" w:hAnsi="Times New Roman" w:cs="Times New Roman"/>
              </w:rPr>
            </w:pPr>
          </w:p>
        </w:tc>
        <w:tc>
          <w:tcPr>
            <w:tcW w:w="0" w:type="auto"/>
            <w:hideMark/>
          </w:tcPr>
          <w:p w14:paraId="3495334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ARDS mortality</w:t>
            </w:r>
          </w:p>
        </w:tc>
        <w:tc>
          <w:tcPr>
            <w:tcW w:w="0" w:type="auto"/>
            <w:hideMark/>
          </w:tcPr>
          <w:p w14:paraId="5ADBF2D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Institutional %</w:t>
            </w:r>
          </w:p>
        </w:tc>
        <w:tc>
          <w:tcPr>
            <w:tcW w:w="0" w:type="auto"/>
            <w:hideMark/>
          </w:tcPr>
          <w:p w14:paraId="4300251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Baseline documented</w:t>
            </w:r>
          </w:p>
        </w:tc>
        <w:tc>
          <w:tcPr>
            <w:tcW w:w="0" w:type="auto"/>
            <w:hideMark/>
          </w:tcPr>
          <w:p w14:paraId="779B5D9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≤40%</w:t>
            </w:r>
          </w:p>
        </w:tc>
        <w:tc>
          <w:tcPr>
            <w:tcW w:w="0" w:type="auto"/>
            <w:hideMark/>
          </w:tcPr>
          <w:p w14:paraId="1E621DD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≤30%</w:t>
            </w:r>
          </w:p>
        </w:tc>
        <w:tc>
          <w:tcPr>
            <w:tcW w:w="0" w:type="auto"/>
            <w:hideMark/>
          </w:tcPr>
          <w:p w14:paraId="352036C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Global ARDS mortality 30–46%</w:t>
            </w:r>
          </w:p>
        </w:tc>
        <w:tc>
          <w:tcPr>
            <w:tcW w:w="0" w:type="auto"/>
            <w:hideMark/>
          </w:tcPr>
          <w:p w14:paraId="2FE2FA9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107,108</w:t>
            </w:r>
          </w:p>
        </w:tc>
      </w:tr>
      <w:tr w:rsidR="00717547" w:rsidRPr="00680D07" w14:paraId="3C5DC252" w14:textId="77777777" w:rsidTr="00FA527B">
        <w:tc>
          <w:tcPr>
            <w:tcW w:w="0" w:type="auto"/>
            <w:vMerge w:val="restart"/>
            <w:hideMark/>
          </w:tcPr>
          <w:p w14:paraId="6A59F81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b/>
                <w:bCs/>
              </w:rPr>
              <w:t>Time-to-Laparotomy</w:t>
            </w:r>
          </w:p>
        </w:tc>
        <w:tc>
          <w:tcPr>
            <w:tcW w:w="0" w:type="auto"/>
            <w:hideMark/>
          </w:tcPr>
          <w:p w14:paraId="188F0BC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Median door-to-OR time</w:t>
            </w:r>
          </w:p>
        </w:tc>
        <w:tc>
          <w:tcPr>
            <w:tcW w:w="0" w:type="auto"/>
            <w:hideMark/>
          </w:tcPr>
          <w:p w14:paraId="42C3BC7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Recorded</w:t>
            </w:r>
          </w:p>
        </w:tc>
        <w:tc>
          <w:tcPr>
            <w:tcW w:w="0" w:type="auto"/>
            <w:hideMark/>
          </w:tcPr>
          <w:p w14:paraId="6A210B2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&lt;4h</w:t>
            </w:r>
          </w:p>
        </w:tc>
        <w:tc>
          <w:tcPr>
            <w:tcW w:w="0" w:type="auto"/>
            <w:hideMark/>
          </w:tcPr>
          <w:p w14:paraId="10B5915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&lt;3h</w:t>
            </w:r>
          </w:p>
        </w:tc>
        <w:tc>
          <w:tcPr>
            <w:tcW w:w="0" w:type="auto"/>
            <w:hideMark/>
          </w:tcPr>
          <w:p w14:paraId="2094821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&lt;2h</w:t>
            </w:r>
          </w:p>
        </w:tc>
        <w:tc>
          <w:tcPr>
            <w:tcW w:w="0" w:type="auto"/>
            <w:hideMark/>
          </w:tcPr>
          <w:p w14:paraId="7C5009B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Mortality ↑ if &gt;3h</w:t>
            </w:r>
          </w:p>
        </w:tc>
        <w:tc>
          <w:tcPr>
            <w:tcW w:w="0" w:type="auto"/>
            <w:hideMark/>
          </w:tcPr>
          <w:p w14:paraId="2590BAD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105</w:t>
            </w:r>
          </w:p>
        </w:tc>
      </w:tr>
      <w:tr w:rsidR="00717547" w:rsidRPr="00680D07" w14:paraId="623672E2" w14:textId="77777777" w:rsidTr="00FA527B">
        <w:tc>
          <w:tcPr>
            <w:tcW w:w="0" w:type="auto"/>
            <w:vMerge/>
            <w:hideMark/>
          </w:tcPr>
          <w:p w14:paraId="73F49E4D" w14:textId="77777777" w:rsidR="00717547" w:rsidRPr="00030269" w:rsidRDefault="00717547" w:rsidP="00FA527B">
            <w:pPr>
              <w:spacing w:line="276" w:lineRule="auto"/>
              <w:rPr>
                <w:rFonts w:ascii="Times New Roman" w:hAnsi="Times New Roman" w:cs="Times New Roman"/>
              </w:rPr>
            </w:pPr>
          </w:p>
        </w:tc>
        <w:tc>
          <w:tcPr>
            <w:tcW w:w="0" w:type="auto"/>
            <w:hideMark/>
          </w:tcPr>
          <w:p w14:paraId="0A69DA0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xml:space="preserve">% </w:t>
            </w:r>
            <w:proofErr w:type="spellStart"/>
            <w:r w:rsidRPr="00030269">
              <w:rPr>
                <w:rFonts w:ascii="Times New Roman" w:hAnsi="Times New Roman" w:cs="Times New Roman"/>
              </w:rPr>
              <w:t>hemorrhage</w:t>
            </w:r>
            <w:proofErr w:type="spellEnd"/>
            <w:r w:rsidRPr="00030269">
              <w:rPr>
                <w:rFonts w:ascii="Times New Roman" w:hAnsi="Times New Roman" w:cs="Times New Roman"/>
              </w:rPr>
              <w:t xml:space="preserve"> laparotomy ≤3h</w:t>
            </w:r>
          </w:p>
        </w:tc>
        <w:tc>
          <w:tcPr>
            <w:tcW w:w="0" w:type="auto"/>
            <w:hideMark/>
          </w:tcPr>
          <w:p w14:paraId="19DCE66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cases</w:t>
            </w:r>
          </w:p>
        </w:tc>
        <w:tc>
          <w:tcPr>
            <w:tcW w:w="0" w:type="auto"/>
            <w:hideMark/>
          </w:tcPr>
          <w:p w14:paraId="4A7EC97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≥60%</w:t>
            </w:r>
          </w:p>
        </w:tc>
        <w:tc>
          <w:tcPr>
            <w:tcW w:w="0" w:type="auto"/>
            <w:hideMark/>
          </w:tcPr>
          <w:p w14:paraId="7D02C25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≥75%</w:t>
            </w:r>
          </w:p>
        </w:tc>
        <w:tc>
          <w:tcPr>
            <w:tcW w:w="0" w:type="auto"/>
            <w:hideMark/>
          </w:tcPr>
          <w:p w14:paraId="6DE6C96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≥90%</w:t>
            </w:r>
          </w:p>
        </w:tc>
        <w:tc>
          <w:tcPr>
            <w:tcW w:w="0" w:type="auto"/>
            <w:hideMark/>
          </w:tcPr>
          <w:p w14:paraId="49C9D5B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early mortality</w:t>
            </w:r>
          </w:p>
        </w:tc>
        <w:tc>
          <w:tcPr>
            <w:tcW w:w="0" w:type="auto"/>
            <w:hideMark/>
          </w:tcPr>
          <w:p w14:paraId="5F1921E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105</w:t>
            </w:r>
          </w:p>
        </w:tc>
      </w:tr>
      <w:tr w:rsidR="00717547" w:rsidRPr="00680D07" w14:paraId="3F678F84" w14:textId="77777777" w:rsidTr="00FA527B">
        <w:tc>
          <w:tcPr>
            <w:tcW w:w="0" w:type="auto"/>
            <w:vMerge w:val="restart"/>
            <w:hideMark/>
          </w:tcPr>
          <w:p w14:paraId="5DE22B6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b/>
                <w:bCs/>
              </w:rPr>
              <w:t>Device Burden</w:t>
            </w:r>
          </w:p>
        </w:tc>
        <w:tc>
          <w:tcPr>
            <w:tcW w:w="0" w:type="auto"/>
            <w:hideMark/>
          </w:tcPr>
          <w:p w14:paraId="48A71BE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Daily device review compliance</w:t>
            </w:r>
          </w:p>
        </w:tc>
        <w:tc>
          <w:tcPr>
            <w:tcW w:w="0" w:type="auto"/>
            <w:hideMark/>
          </w:tcPr>
          <w:p w14:paraId="4DE73E5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documented</w:t>
            </w:r>
          </w:p>
        </w:tc>
        <w:tc>
          <w:tcPr>
            <w:tcW w:w="0" w:type="auto"/>
            <w:hideMark/>
          </w:tcPr>
          <w:p w14:paraId="3B4EA6D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≥70%</w:t>
            </w:r>
          </w:p>
        </w:tc>
        <w:tc>
          <w:tcPr>
            <w:tcW w:w="0" w:type="auto"/>
            <w:hideMark/>
          </w:tcPr>
          <w:p w14:paraId="5363FBF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≥85%</w:t>
            </w:r>
          </w:p>
        </w:tc>
        <w:tc>
          <w:tcPr>
            <w:tcW w:w="0" w:type="auto"/>
            <w:hideMark/>
          </w:tcPr>
          <w:p w14:paraId="3DC54B5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≥95%</w:t>
            </w:r>
          </w:p>
        </w:tc>
        <w:tc>
          <w:tcPr>
            <w:tcW w:w="0" w:type="auto"/>
            <w:hideMark/>
          </w:tcPr>
          <w:p w14:paraId="54E7BC3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CLABSI 60–70%</w:t>
            </w:r>
          </w:p>
        </w:tc>
        <w:tc>
          <w:tcPr>
            <w:tcW w:w="0" w:type="auto"/>
            <w:hideMark/>
          </w:tcPr>
          <w:p w14:paraId="592D717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90</w:t>
            </w:r>
          </w:p>
        </w:tc>
      </w:tr>
      <w:tr w:rsidR="00717547" w:rsidRPr="00680D07" w14:paraId="663D93A5" w14:textId="77777777" w:rsidTr="00FA527B">
        <w:tc>
          <w:tcPr>
            <w:tcW w:w="0" w:type="auto"/>
            <w:vMerge/>
            <w:hideMark/>
          </w:tcPr>
          <w:p w14:paraId="02F9A342" w14:textId="77777777" w:rsidR="00717547" w:rsidRPr="00030269" w:rsidRDefault="00717547" w:rsidP="00FA527B">
            <w:pPr>
              <w:spacing w:line="276" w:lineRule="auto"/>
              <w:rPr>
                <w:rFonts w:ascii="Times New Roman" w:hAnsi="Times New Roman" w:cs="Times New Roman"/>
              </w:rPr>
            </w:pPr>
          </w:p>
        </w:tc>
        <w:tc>
          <w:tcPr>
            <w:tcW w:w="0" w:type="auto"/>
            <w:hideMark/>
          </w:tcPr>
          <w:p w14:paraId="3DF8C87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Catheter days per patient</w:t>
            </w:r>
          </w:p>
        </w:tc>
        <w:tc>
          <w:tcPr>
            <w:tcW w:w="0" w:type="auto"/>
            <w:hideMark/>
          </w:tcPr>
          <w:p w14:paraId="0C2F142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Median days</w:t>
            </w:r>
          </w:p>
        </w:tc>
        <w:tc>
          <w:tcPr>
            <w:tcW w:w="0" w:type="auto"/>
            <w:hideMark/>
          </w:tcPr>
          <w:p w14:paraId="052549B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≤5 days</w:t>
            </w:r>
          </w:p>
        </w:tc>
        <w:tc>
          <w:tcPr>
            <w:tcW w:w="0" w:type="auto"/>
            <w:hideMark/>
          </w:tcPr>
          <w:p w14:paraId="02894BF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≤4 days</w:t>
            </w:r>
          </w:p>
        </w:tc>
        <w:tc>
          <w:tcPr>
            <w:tcW w:w="0" w:type="auto"/>
            <w:hideMark/>
          </w:tcPr>
          <w:p w14:paraId="6833365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 days</w:t>
            </w:r>
          </w:p>
        </w:tc>
        <w:tc>
          <w:tcPr>
            <w:tcW w:w="0" w:type="auto"/>
            <w:hideMark/>
          </w:tcPr>
          <w:p w14:paraId="0FB78C2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infection risk</w:t>
            </w:r>
          </w:p>
        </w:tc>
        <w:tc>
          <w:tcPr>
            <w:tcW w:w="0" w:type="auto"/>
            <w:hideMark/>
          </w:tcPr>
          <w:p w14:paraId="0F87C28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90</w:t>
            </w:r>
          </w:p>
        </w:tc>
      </w:tr>
      <w:tr w:rsidR="00717547" w:rsidRPr="00680D07" w14:paraId="03DC064B" w14:textId="77777777" w:rsidTr="00FA527B">
        <w:tc>
          <w:tcPr>
            <w:tcW w:w="0" w:type="auto"/>
            <w:vMerge w:val="restart"/>
            <w:hideMark/>
          </w:tcPr>
          <w:p w14:paraId="6356176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b/>
                <w:bCs/>
              </w:rPr>
              <w:t>Failure-to-Rescue</w:t>
            </w:r>
          </w:p>
        </w:tc>
        <w:tc>
          <w:tcPr>
            <w:tcW w:w="0" w:type="auto"/>
            <w:hideMark/>
          </w:tcPr>
          <w:p w14:paraId="78CCAAE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Time-to-escalation</w:t>
            </w:r>
          </w:p>
        </w:tc>
        <w:tc>
          <w:tcPr>
            <w:tcW w:w="0" w:type="auto"/>
            <w:hideMark/>
          </w:tcPr>
          <w:p w14:paraId="5EC61E2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Median time</w:t>
            </w:r>
          </w:p>
        </w:tc>
        <w:tc>
          <w:tcPr>
            <w:tcW w:w="0" w:type="auto"/>
            <w:hideMark/>
          </w:tcPr>
          <w:p w14:paraId="717F0F0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&lt;90 min</w:t>
            </w:r>
          </w:p>
        </w:tc>
        <w:tc>
          <w:tcPr>
            <w:tcW w:w="0" w:type="auto"/>
            <w:hideMark/>
          </w:tcPr>
          <w:p w14:paraId="3270C2CF"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&lt;60 min</w:t>
            </w:r>
          </w:p>
        </w:tc>
        <w:tc>
          <w:tcPr>
            <w:tcW w:w="0" w:type="auto"/>
            <w:hideMark/>
          </w:tcPr>
          <w:p w14:paraId="2AEE407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&lt;30 min</w:t>
            </w:r>
          </w:p>
        </w:tc>
        <w:tc>
          <w:tcPr>
            <w:tcW w:w="0" w:type="auto"/>
            <w:hideMark/>
          </w:tcPr>
          <w:p w14:paraId="112BD0B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Mortality varies 2–3× by rescue capacity</w:t>
            </w:r>
          </w:p>
        </w:tc>
        <w:tc>
          <w:tcPr>
            <w:tcW w:w="0" w:type="auto"/>
            <w:hideMark/>
          </w:tcPr>
          <w:p w14:paraId="58F32B9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91</w:t>
            </w:r>
          </w:p>
        </w:tc>
      </w:tr>
      <w:tr w:rsidR="00717547" w:rsidRPr="00680D07" w14:paraId="314E3E21" w14:textId="77777777" w:rsidTr="00FA527B">
        <w:tc>
          <w:tcPr>
            <w:tcW w:w="0" w:type="auto"/>
            <w:vMerge/>
            <w:hideMark/>
          </w:tcPr>
          <w:p w14:paraId="2AEA14D5" w14:textId="77777777" w:rsidR="00717547" w:rsidRPr="00030269" w:rsidRDefault="00717547" w:rsidP="00FA527B">
            <w:pPr>
              <w:spacing w:line="276" w:lineRule="auto"/>
              <w:rPr>
                <w:rFonts w:ascii="Times New Roman" w:hAnsi="Times New Roman" w:cs="Times New Roman"/>
              </w:rPr>
            </w:pPr>
          </w:p>
        </w:tc>
        <w:tc>
          <w:tcPr>
            <w:tcW w:w="0" w:type="auto"/>
            <w:hideMark/>
          </w:tcPr>
          <w:p w14:paraId="712E01F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Rapid response activation compliance</w:t>
            </w:r>
          </w:p>
        </w:tc>
        <w:tc>
          <w:tcPr>
            <w:tcW w:w="0" w:type="auto"/>
            <w:hideMark/>
          </w:tcPr>
          <w:p w14:paraId="0D0DA79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deterioration events escalated</w:t>
            </w:r>
          </w:p>
        </w:tc>
        <w:tc>
          <w:tcPr>
            <w:tcW w:w="0" w:type="auto"/>
            <w:hideMark/>
          </w:tcPr>
          <w:p w14:paraId="5FE20286"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≥70%</w:t>
            </w:r>
          </w:p>
        </w:tc>
        <w:tc>
          <w:tcPr>
            <w:tcW w:w="0" w:type="auto"/>
            <w:hideMark/>
          </w:tcPr>
          <w:p w14:paraId="7C87A5E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≥85%</w:t>
            </w:r>
          </w:p>
        </w:tc>
        <w:tc>
          <w:tcPr>
            <w:tcW w:w="0" w:type="auto"/>
            <w:hideMark/>
          </w:tcPr>
          <w:p w14:paraId="7AF42C8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≥95%</w:t>
            </w:r>
          </w:p>
        </w:tc>
        <w:tc>
          <w:tcPr>
            <w:tcW w:w="0" w:type="auto"/>
            <w:hideMark/>
          </w:tcPr>
          <w:p w14:paraId="045C943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late mortality</w:t>
            </w:r>
          </w:p>
        </w:tc>
        <w:tc>
          <w:tcPr>
            <w:tcW w:w="0" w:type="auto"/>
            <w:hideMark/>
          </w:tcPr>
          <w:p w14:paraId="6EAE570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91,92</w:t>
            </w:r>
          </w:p>
        </w:tc>
      </w:tr>
      <w:tr w:rsidR="00717547" w:rsidRPr="00680D07" w14:paraId="39045E8E" w14:textId="77777777" w:rsidTr="00FA527B">
        <w:tc>
          <w:tcPr>
            <w:tcW w:w="0" w:type="auto"/>
            <w:vMerge w:val="restart"/>
            <w:hideMark/>
          </w:tcPr>
          <w:p w14:paraId="21B238A7"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b/>
                <w:bCs/>
              </w:rPr>
              <w:t>Mortality Review</w:t>
            </w:r>
          </w:p>
        </w:tc>
        <w:tc>
          <w:tcPr>
            <w:tcW w:w="0" w:type="auto"/>
            <w:hideMark/>
          </w:tcPr>
          <w:p w14:paraId="4D342F2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30-day trauma mortality</w:t>
            </w:r>
          </w:p>
        </w:tc>
        <w:tc>
          <w:tcPr>
            <w:tcW w:w="0" w:type="auto"/>
            <w:hideMark/>
          </w:tcPr>
          <w:p w14:paraId="66015510"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Risk-adjusted annual rate</w:t>
            </w:r>
          </w:p>
        </w:tc>
        <w:tc>
          <w:tcPr>
            <w:tcW w:w="0" w:type="auto"/>
            <w:hideMark/>
          </w:tcPr>
          <w:p w14:paraId="5C29309C"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Baseline documented</w:t>
            </w:r>
          </w:p>
        </w:tc>
        <w:tc>
          <w:tcPr>
            <w:tcW w:w="0" w:type="auto"/>
            <w:hideMark/>
          </w:tcPr>
          <w:p w14:paraId="333ABCC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Quarterly review</w:t>
            </w:r>
          </w:p>
        </w:tc>
        <w:tc>
          <w:tcPr>
            <w:tcW w:w="0" w:type="auto"/>
            <w:hideMark/>
          </w:tcPr>
          <w:p w14:paraId="6F6995B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External benchmarking</w:t>
            </w:r>
          </w:p>
        </w:tc>
        <w:tc>
          <w:tcPr>
            <w:tcW w:w="0" w:type="auto"/>
            <w:hideMark/>
          </w:tcPr>
          <w:p w14:paraId="40A1120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Preventable death 20–30% immature systems</w:t>
            </w:r>
          </w:p>
        </w:tc>
        <w:tc>
          <w:tcPr>
            <w:tcW w:w="0" w:type="auto"/>
            <w:hideMark/>
          </w:tcPr>
          <w:p w14:paraId="7E3E59B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110</w:t>
            </w:r>
          </w:p>
        </w:tc>
      </w:tr>
      <w:tr w:rsidR="00717547" w:rsidRPr="00680D07" w14:paraId="744418FB" w14:textId="77777777" w:rsidTr="00FA527B">
        <w:tc>
          <w:tcPr>
            <w:tcW w:w="0" w:type="auto"/>
            <w:vMerge/>
            <w:hideMark/>
          </w:tcPr>
          <w:p w14:paraId="77AC3357" w14:textId="77777777" w:rsidR="00717547" w:rsidRPr="00030269" w:rsidRDefault="00717547" w:rsidP="00FA527B">
            <w:pPr>
              <w:spacing w:line="276" w:lineRule="auto"/>
              <w:rPr>
                <w:rFonts w:ascii="Times New Roman" w:hAnsi="Times New Roman" w:cs="Times New Roman"/>
              </w:rPr>
            </w:pPr>
          </w:p>
        </w:tc>
        <w:tc>
          <w:tcPr>
            <w:tcW w:w="0" w:type="auto"/>
            <w:hideMark/>
          </w:tcPr>
          <w:p w14:paraId="243A94EE"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Preventable death audit coverage</w:t>
            </w:r>
          </w:p>
        </w:tc>
        <w:tc>
          <w:tcPr>
            <w:tcW w:w="0" w:type="auto"/>
            <w:hideMark/>
          </w:tcPr>
          <w:p w14:paraId="76703FE8"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deaths reviewed</w:t>
            </w:r>
          </w:p>
        </w:tc>
        <w:tc>
          <w:tcPr>
            <w:tcW w:w="0" w:type="auto"/>
            <w:hideMark/>
          </w:tcPr>
          <w:p w14:paraId="4B50922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≥50%</w:t>
            </w:r>
          </w:p>
        </w:tc>
        <w:tc>
          <w:tcPr>
            <w:tcW w:w="0" w:type="auto"/>
            <w:hideMark/>
          </w:tcPr>
          <w:p w14:paraId="6D02D6B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≥75%</w:t>
            </w:r>
          </w:p>
        </w:tc>
        <w:tc>
          <w:tcPr>
            <w:tcW w:w="0" w:type="auto"/>
            <w:hideMark/>
          </w:tcPr>
          <w:p w14:paraId="20F4762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≥95%</w:t>
            </w:r>
          </w:p>
        </w:tc>
        <w:tc>
          <w:tcPr>
            <w:tcW w:w="0" w:type="auto"/>
            <w:hideMark/>
          </w:tcPr>
          <w:p w14:paraId="5D64EB2A"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preventable mortality</w:t>
            </w:r>
          </w:p>
        </w:tc>
        <w:tc>
          <w:tcPr>
            <w:tcW w:w="0" w:type="auto"/>
            <w:hideMark/>
          </w:tcPr>
          <w:p w14:paraId="039E8AE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110</w:t>
            </w:r>
          </w:p>
        </w:tc>
      </w:tr>
      <w:tr w:rsidR="00717547" w:rsidRPr="00680D07" w14:paraId="57377B1D" w14:textId="77777777" w:rsidTr="00FA527B">
        <w:tc>
          <w:tcPr>
            <w:tcW w:w="0" w:type="auto"/>
            <w:vMerge w:val="restart"/>
            <w:hideMark/>
          </w:tcPr>
          <w:p w14:paraId="737F5D8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b/>
                <w:bCs/>
              </w:rPr>
              <w:t>System Learning</w:t>
            </w:r>
          </w:p>
        </w:tc>
        <w:tc>
          <w:tcPr>
            <w:tcW w:w="0" w:type="auto"/>
            <w:hideMark/>
          </w:tcPr>
          <w:p w14:paraId="7834DA89"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Registry completeness</w:t>
            </w:r>
          </w:p>
        </w:tc>
        <w:tc>
          <w:tcPr>
            <w:tcW w:w="0" w:type="auto"/>
            <w:hideMark/>
          </w:tcPr>
          <w:p w14:paraId="1EB0C4C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 data fields complete</w:t>
            </w:r>
          </w:p>
        </w:tc>
        <w:tc>
          <w:tcPr>
            <w:tcW w:w="0" w:type="auto"/>
            <w:hideMark/>
          </w:tcPr>
          <w:p w14:paraId="7E79449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≥70%</w:t>
            </w:r>
          </w:p>
        </w:tc>
        <w:tc>
          <w:tcPr>
            <w:tcW w:w="0" w:type="auto"/>
            <w:hideMark/>
          </w:tcPr>
          <w:p w14:paraId="0D48D682"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≥85%</w:t>
            </w:r>
          </w:p>
        </w:tc>
        <w:tc>
          <w:tcPr>
            <w:tcW w:w="0" w:type="auto"/>
            <w:hideMark/>
          </w:tcPr>
          <w:p w14:paraId="3E59ECB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≥95%</w:t>
            </w:r>
          </w:p>
        </w:tc>
        <w:tc>
          <w:tcPr>
            <w:tcW w:w="0" w:type="auto"/>
            <w:hideMark/>
          </w:tcPr>
          <w:p w14:paraId="1ADA871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Enables complication tracking</w:t>
            </w:r>
          </w:p>
        </w:tc>
        <w:tc>
          <w:tcPr>
            <w:tcW w:w="0" w:type="auto"/>
            <w:hideMark/>
          </w:tcPr>
          <w:p w14:paraId="4C7C4A34"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109</w:t>
            </w:r>
          </w:p>
        </w:tc>
      </w:tr>
      <w:tr w:rsidR="00717547" w:rsidRPr="00680D07" w14:paraId="7F6E584B" w14:textId="77777777" w:rsidTr="00FA527B">
        <w:tc>
          <w:tcPr>
            <w:tcW w:w="0" w:type="auto"/>
            <w:vMerge/>
            <w:hideMark/>
          </w:tcPr>
          <w:p w14:paraId="067AF9A8" w14:textId="77777777" w:rsidR="00717547" w:rsidRPr="00030269" w:rsidRDefault="00717547" w:rsidP="00FA527B">
            <w:pPr>
              <w:spacing w:line="276" w:lineRule="auto"/>
              <w:rPr>
                <w:rFonts w:ascii="Times New Roman" w:hAnsi="Times New Roman" w:cs="Times New Roman"/>
              </w:rPr>
            </w:pPr>
          </w:p>
        </w:tc>
        <w:tc>
          <w:tcPr>
            <w:tcW w:w="0" w:type="auto"/>
            <w:hideMark/>
          </w:tcPr>
          <w:p w14:paraId="36C847A5"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Complication review frequency</w:t>
            </w:r>
          </w:p>
        </w:tc>
        <w:tc>
          <w:tcPr>
            <w:tcW w:w="0" w:type="auto"/>
            <w:hideMark/>
          </w:tcPr>
          <w:p w14:paraId="3C7165D3"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Per year</w:t>
            </w:r>
          </w:p>
        </w:tc>
        <w:tc>
          <w:tcPr>
            <w:tcW w:w="0" w:type="auto"/>
            <w:hideMark/>
          </w:tcPr>
          <w:p w14:paraId="655C242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≥2 formal reviews</w:t>
            </w:r>
          </w:p>
        </w:tc>
        <w:tc>
          <w:tcPr>
            <w:tcW w:w="0" w:type="auto"/>
            <w:hideMark/>
          </w:tcPr>
          <w:p w14:paraId="1AE481A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Quarterly</w:t>
            </w:r>
          </w:p>
        </w:tc>
        <w:tc>
          <w:tcPr>
            <w:tcW w:w="0" w:type="auto"/>
            <w:hideMark/>
          </w:tcPr>
          <w:p w14:paraId="4B4DC891"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Monthly</w:t>
            </w:r>
          </w:p>
        </w:tc>
        <w:tc>
          <w:tcPr>
            <w:tcW w:w="0" w:type="auto"/>
            <w:hideMark/>
          </w:tcPr>
          <w:p w14:paraId="02143CAB"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Continuous system improvement</w:t>
            </w:r>
          </w:p>
        </w:tc>
        <w:tc>
          <w:tcPr>
            <w:tcW w:w="0" w:type="auto"/>
            <w:hideMark/>
          </w:tcPr>
          <w:p w14:paraId="5D68255D" w14:textId="77777777" w:rsidR="00717547" w:rsidRPr="00030269" w:rsidRDefault="00717547" w:rsidP="00FA527B">
            <w:pPr>
              <w:spacing w:line="276" w:lineRule="auto"/>
              <w:rPr>
                <w:rFonts w:ascii="Times New Roman" w:hAnsi="Times New Roman" w:cs="Times New Roman"/>
              </w:rPr>
            </w:pPr>
            <w:r w:rsidRPr="00030269">
              <w:rPr>
                <w:rFonts w:ascii="Times New Roman" w:hAnsi="Times New Roman" w:cs="Times New Roman"/>
              </w:rPr>
              <w:t>89</w:t>
            </w:r>
          </w:p>
        </w:tc>
      </w:tr>
    </w:tbl>
    <w:p w14:paraId="473E4196" w14:textId="77777777" w:rsidR="00717547" w:rsidRPr="00680D07" w:rsidRDefault="00717547" w:rsidP="00717547">
      <w:pPr>
        <w:spacing w:after="0" w:line="276" w:lineRule="auto"/>
        <w:rPr>
          <w:rFonts w:ascii="Times New Roman" w:hAnsi="Times New Roman" w:cs="Times New Roman"/>
        </w:rPr>
      </w:pPr>
    </w:p>
    <w:p w14:paraId="3A66F993" w14:textId="77777777" w:rsidR="00717547" w:rsidRPr="001C0AB6" w:rsidRDefault="00717547" w:rsidP="00717547">
      <w:pPr>
        <w:spacing w:after="0" w:line="276" w:lineRule="auto"/>
        <w:rPr>
          <w:rFonts w:ascii="Times New Roman" w:hAnsi="Times New Roman" w:cs="Times New Roman"/>
        </w:rPr>
      </w:pPr>
      <w:r w:rsidRPr="001C0AB6">
        <w:rPr>
          <w:rFonts w:ascii="Times New Roman" w:hAnsi="Times New Roman" w:cs="Times New Roman"/>
          <w:b/>
          <w:bCs/>
        </w:rPr>
        <w:t>Footnotes:</w:t>
      </w:r>
    </w:p>
    <w:p w14:paraId="1B814D54" w14:textId="77777777" w:rsidR="00717547" w:rsidRPr="001C0AB6" w:rsidRDefault="00717547" w:rsidP="00717547">
      <w:pPr>
        <w:numPr>
          <w:ilvl w:val="0"/>
          <w:numId w:val="13"/>
        </w:numPr>
        <w:spacing w:after="0" w:line="276" w:lineRule="auto"/>
        <w:rPr>
          <w:rFonts w:ascii="Times New Roman" w:hAnsi="Times New Roman" w:cs="Times New Roman"/>
        </w:rPr>
      </w:pPr>
      <w:r w:rsidRPr="001C0AB6">
        <w:rPr>
          <w:rFonts w:ascii="Times New Roman" w:hAnsi="Times New Roman" w:cs="Times New Roman"/>
        </w:rPr>
        <w:t>Benchmark targets represent proposed performance ranges rather than mandatory standards.</w:t>
      </w:r>
    </w:p>
    <w:p w14:paraId="4A804996" w14:textId="77777777" w:rsidR="00717547" w:rsidRPr="001C0AB6" w:rsidRDefault="00717547" w:rsidP="00717547">
      <w:pPr>
        <w:numPr>
          <w:ilvl w:val="0"/>
          <w:numId w:val="13"/>
        </w:numPr>
        <w:spacing w:after="0" w:line="276" w:lineRule="auto"/>
        <w:rPr>
          <w:rFonts w:ascii="Times New Roman" w:hAnsi="Times New Roman" w:cs="Times New Roman"/>
        </w:rPr>
      </w:pPr>
      <w:r w:rsidRPr="001C0AB6">
        <w:rPr>
          <w:rFonts w:ascii="Times New Roman" w:hAnsi="Times New Roman" w:cs="Times New Roman"/>
        </w:rPr>
        <w:t>Phase progression is intended to reflect system maturation rather than hierarchical superiority.</w:t>
      </w:r>
    </w:p>
    <w:p w14:paraId="3693D091" w14:textId="77777777" w:rsidR="00717547" w:rsidRPr="001C0AB6" w:rsidRDefault="00717547" w:rsidP="00717547">
      <w:pPr>
        <w:numPr>
          <w:ilvl w:val="0"/>
          <w:numId w:val="13"/>
        </w:numPr>
        <w:spacing w:after="0" w:line="276" w:lineRule="auto"/>
        <w:rPr>
          <w:rFonts w:ascii="Times New Roman" w:hAnsi="Times New Roman" w:cs="Times New Roman"/>
        </w:rPr>
      </w:pPr>
      <w:r w:rsidRPr="001C0AB6">
        <w:rPr>
          <w:rFonts w:ascii="Times New Roman" w:hAnsi="Times New Roman" w:cs="Times New Roman"/>
        </w:rPr>
        <w:t>Targets should be adapted to institutional context and resource availability.</w:t>
      </w:r>
    </w:p>
    <w:p w14:paraId="5FB512AE" w14:textId="77777777" w:rsidR="00717547" w:rsidRPr="001C0AB6" w:rsidRDefault="00717547" w:rsidP="00717547">
      <w:pPr>
        <w:numPr>
          <w:ilvl w:val="0"/>
          <w:numId w:val="13"/>
        </w:numPr>
        <w:spacing w:after="0" w:line="276" w:lineRule="auto"/>
        <w:rPr>
          <w:rFonts w:ascii="Times New Roman" w:hAnsi="Times New Roman" w:cs="Times New Roman"/>
        </w:rPr>
      </w:pPr>
      <w:r w:rsidRPr="001C0AB6">
        <w:rPr>
          <w:rFonts w:ascii="Times New Roman" w:hAnsi="Times New Roman" w:cs="Times New Roman"/>
        </w:rPr>
        <w:t>Compliance percentages are based on ranges reported in perioperative implementation studies [93,94].</w:t>
      </w:r>
    </w:p>
    <w:p w14:paraId="409A8C68" w14:textId="77777777" w:rsidR="00717547" w:rsidRPr="001C0AB6" w:rsidRDefault="00717547" w:rsidP="00717547">
      <w:pPr>
        <w:numPr>
          <w:ilvl w:val="0"/>
          <w:numId w:val="13"/>
        </w:numPr>
        <w:spacing w:after="0" w:line="276" w:lineRule="auto"/>
        <w:rPr>
          <w:rFonts w:ascii="Times New Roman" w:hAnsi="Times New Roman" w:cs="Times New Roman"/>
        </w:rPr>
      </w:pPr>
      <w:r w:rsidRPr="001C0AB6">
        <w:rPr>
          <w:rFonts w:ascii="Times New Roman" w:hAnsi="Times New Roman" w:cs="Times New Roman"/>
        </w:rPr>
        <w:t>Escalation time targets are illustrative and should align with local operational capacity.</w:t>
      </w:r>
    </w:p>
    <w:p w14:paraId="04093A8A" w14:textId="77777777" w:rsidR="00717547" w:rsidRPr="00680D07" w:rsidRDefault="00717547" w:rsidP="00717547">
      <w:pPr>
        <w:spacing w:after="0" w:line="276" w:lineRule="auto"/>
        <w:rPr>
          <w:rFonts w:ascii="Times New Roman" w:hAnsi="Times New Roman" w:cs="Times New Roman"/>
        </w:rPr>
      </w:pPr>
    </w:p>
    <w:p w14:paraId="4F581E5E" w14:textId="77777777" w:rsidR="002C121A" w:rsidRPr="002C121A" w:rsidRDefault="002C121A" w:rsidP="00680D07">
      <w:pPr>
        <w:spacing w:after="0" w:line="276" w:lineRule="auto"/>
        <w:rPr>
          <w:rFonts w:ascii="Times New Roman" w:hAnsi="Times New Roman" w:cs="Times New Roman"/>
        </w:rPr>
      </w:pPr>
    </w:p>
    <w:p w14:paraId="52D6DE1F" w14:textId="77777777" w:rsidR="002C121A" w:rsidRPr="00680D07" w:rsidRDefault="002C121A" w:rsidP="00680D07">
      <w:pPr>
        <w:spacing w:after="0" w:line="276" w:lineRule="auto"/>
        <w:rPr>
          <w:rFonts w:ascii="Times New Roman" w:hAnsi="Times New Roman" w:cs="Times New Roman"/>
        </w:rPr>
      </w:pPr>
    </w:p>
    <w:p w14:paraId="0A02CCFB" w14:textId="19E47225" w:rsidR="002C121A" w:rsidRPr="002C121A" w:rsidRDefault="002C121A" w:rsidP="00680D07">
      <w:pPr>
        <w:spacing w:after="0" w:line="276" w:lineRule="auto"/>
        <w:rPr>
          <w:rFonts w:ascii="Times New Roman" w:hAnsi="Times New Roman" w:cs="Times New Roman"/>
        </w:rPr>
      </w:pPr>
    </w:p>
    <w:p w14:paraId="287E749A" w14:textId="3326A4B0" w:rsidR="002C121A" w:rsidRPr="002C121A" w:rsidRDefault="002C121A" w:rsidP="00680D07">
      <w:pPr>
        <w:spacing w:after="0" w:line="276" w:lineRule="auto"/>
        <w:rPr>
          <w:rFonts w:ascii="Times New Roman" w:hAnsi="Times New Roman" w:cs="Times New Roman"/>
          <w:b/>
          <w:bCs/>
        </w:rPr>
      </w:pPr>
      <w:r w:rsidRPr="002C121A">
        <w:rPr>
          <w:rFonts w:ascii="Times New Roman" w:hAnsi="Times New Roman" w:cs="Times New Roman"/>
          <w:b/>
          <w:bCs/>
        </w:rPr>
        <w:t>CONCLUSION</w:t>
      </w:r>
    </w:p>
    <w:p w14:paraId="164C135C" w14:textId="6BFBA2C5" w:rsidR="002C121A" w:rsidRPr="002C121A" w:rsidRDefault="002C121A" w:rsidP="00680D07">
      <w:pPr>
        <w:spacing w:after="0" w:line="276" w:lineRule="auto"/>
        <w:rPr>
          <w:rFonts w:ascii="Times New Roman" w:hAnsi="Times New Roman" w:cs="Times New Roman"/>
        </w:rPr>
      </w:pPr>
    </w:p>
    <w:p w14:paraId="7F8F7AF9"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Polytrauma recovery is determined by more than operative technique. It reflects the cumulative interaction of inflammatory amplification, endothelial dysfunction, metabolic stress, fixation timing, infection control, and system responsiveness.</w:t>
      </w:r>
    </w:p>
    <w:p w14:paraId="546B3E12" w14:textId="77777777" w:rsidR="00717547" w:rsidRPr="002C121A" w:rsidRDefault="00717547" w:rsidP="00680D07">
      <w:pPr>
        <w:spacing w:after="0" w:line="276" w:lineRule="auto"/>
        <w:rPr>
          <w:rFonts w:ascii="Times New Roman" w:hAnsi="Times New Roman" w:cs="Times New Roman"/>
        </w:rPr>
      </w:pPr>
    </w:p>
    <w:p w14:paraId="3E6D9865"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 xml:space="preserve">Biological amplifiers—cytokine surge, capillary leak, </w:t>
      </w:r>
      <w:proofErr w:type="spellStart"/>
      <w:r w:rsidRPr="002C121A">
        <w:rPr>
          <w:rFonts w:ascii="Times New Roman" w:hAnsi="Times New Roman" w:cs="Times New Roman"/>
        </w:rPr>
        <w:t>hypercatabolism</w:t>
      </w:r>
      <w:proofErr w:type="spellEnd"/>
      <w:r w:rsidRPr="002C121A">
        <w:rPr>
          <w:rFonts w:ascii="Times New Roman" w:hAnsi="Times New Roman" w:cs="Times New Roman"/>
        </w:rPr>
        <w:t>, and pulmonary vulnerability—interact across abdominal and orthopaedic domains [54–61]. Decisions regarding fluid balance, nutrition, fracture stabilisation, and mobilisation influence downstream risk of ARDS, sepsis, and multiple organ failure [31,38,61,98].</w:t>
      </w:r>
    </w:p>
    <w:p w14:paraId="78574451" w14:textId="77777777" w:rsidR="00717547" w:rsidRPr="002C121A" w:rsidRDefault="00717547" w:rsidP="00680D07">
      <w:pPr>
        <w:spacing w:after="0" w:line="276" w:lineRule="auto"/>
        <w:rPr>
          <w:rFonts w:ascii="Times New Roman" w:hAnsi="Times New Roman" w:cs="Times New Roman"/>
        </w:rPr>
      </w:pPr>
    </w:p>
    <w:p w14:paraId="53B852AA" w14:textId="5D731AD8" w:rsidR="00717547" w:rsidRP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Mortality variation across trauma systems underscores the importance of organisational capacity. Workforce density, ICU availability, time-to-intervention thresholds, and failure-to-rescue capability substantially influence survival independent of injury severity [77,91,110].</w:t>
      </w:r>
    </w:p>
    <w:p w14:paraId="706E1D48"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A physiology-anchored, tiered framework allows prioritisation of high-impact, feasible interventions before progression to structured monitoring and advanced rescue systems. Quantified performance benchmarks provide direction while accommodating institutional variability.</w:t>
      </w:r>
    </w:p>
    <w:p w14:paraId="5F46871D" w14:textId="77777777" w:rsidR="00D25BDC" w:rsidRDefault="00D25BDC" w:rsidP="00680D07">
      <w:pPr>
        <w:spacing w:after="0" w:line="276" w:lineRule="auto"/>
        <w:rPr>
          <w:rFonts w:ascii="Times New Roman" w:hAnsi="Times New Roman" w:cs="Times New Roman"/>
        </w:rPr>
      </w:pPr>
    </w:p>
    <w:p w14:paraId="199D1D59" w14:textId="3B7B9C06" w:rsidR="00D25BDC" w:rsidRDefault="00D25BDC" w:rsidP="00680D07">
      <w:pPr>
        <w:spacing w:after="0" w:line="276" w:lineRule="auto"/>
        <w:rPr>
          <w:rFonts w:ascii="Times New Roman" w:hAnsi="Times New Roman" w:cs="Times New Roman"/>
        </w:rPr>
      </w:pPr>
      <w:r w:rsidRPr="00F36343">
        <w:rPr>
          <w:rFonts w:ascii="Times New Roman" w:hAnsi="Times New Roman" w:cs="Times New Roman"/>
        </w:rPr>
        <w:t>Prospective evaluation of this tiered recovery framework should extend beyond mortality endpoints. Given the established association between systemic inflammation and organ failure [54,61], future studies could assess complication density, time-to-escalation, inflammatory marker trajectories, and 90-day functional recovery. Validation across trauma systems with varying rescue capacity [91,110] would clarify whether structured physiological sequencing reduces cumulative organ burden and improves durable outcomes.</w:t>
      </w:r>
    </w:p>
    <w:p w14:paraId="7102A363" w14:textId="77777777" w:rsidR="00717547" w:rsidRPr="002C121A" w:rsidRDefault="00717547" w:rsidP="00680D07">
      <w:pPr>
        <w:spacing w:after="0" w:line="276" w:lineRule="auto"/>
        <w:rPr>
          <w:rFonts w:ascii="Times New Roman" w:hAnsi="Times New Roman" w:cs="Times New Roman"/>
        </w:rPr>
      </w:pPr>
    </w:p>
    <w:p w14:paraId="4B6658E7" w14:textId="77777777" w:rsidR="002C121A" w:rsidRDefault="002C121A" w:rsidP="00680D07">
      <w:pPr>
        <w:spacing w:after="0" w:line="276" w:lineRule="auto"/>
        <w:rPr>
          <w:rFonts w:ascii="Times New Roman" w:hAnsi="Times New Roman" w:cs="Times New Roman"/>
        </w:rPr>
      </w:pPr>
      <w:r w:rsidRPr="002C121A">
        <w:rPr>
          <w:rFonts w:ascii="Times New Roman" w:hAnsi="Times New Roman" w:cs="Times New Roman"/>
        </w:rPr>
        <w:t>Recovery in polytrauma is not a discrete phase following surgery; it begins with the first physiological decision and continues through coordinated multidisciplinary care. When abdominal and orthopaedic strategies align rather than compete, the cumulative burden of injury can be moderated—even in resource-constrained environments.</w:t>
      </w:r>
    </w:p>
    <w:p w14:paraId="4A100CF4" w14:textId="77777777" w:rsidR="00900F1B" w:rsidRDefault="00900F1B" w:rsidP="00680D07">
      <w:pPr>
        <w:spacing w:after="0" w:line="276" w:lineRule="auto"/>
        <w:rPr>
          <w:rFonts w:ascii="Times New Roman" w:hAnsi="Times New Roman" w:cs="Times New Roman"/>
        </w:rPr>
      </w:pPr>
    </w:p>
    <w:p w14:paraId="4347653F" w14:textId="77777777" w:rsidR="00900F1B" w:rsidRDefault="00900F1B" w:rsidP="00680D07">
      <w:pPr>
        <w:spacing w:after="0" w:line="276" w:lineRule="auto"/>
        <w:rPr>
          <w:rFonts w:ascii="Times New Roman" w:hAnsi="Times New Roman" w:cs="Times New Roman"/>
        </w:rPr>
      </w:pPr>
    </w:p>
    <w:p w14:paraId="24DFC01D" w14:textId="77777777" w:rsidR="00900F1B" w:rsidRPr="002C121A" w:rsidRDefault="00900F1B" w:rsidP="00680D07">
      <w:pPr>
        <w:spacing w:after="0" w:line="276" w:lineRule="auto"/>
        <w:rPr>
          <w:rFonts w:ascii="Times New Roman" w:hAnsi="Times New Roman" w:cs="Times New Roman"/>
        </w:rPr>
      </w:pPr>
      <w:bookmarkStart w:id="0" w:name="_GoBack"/>
      <w:bookmarkEnd w:id="0"/>
    </w:p>
    <w:p w14:paraId="6B7B2AFA" w14:textId="77777777" w:rsidR="00717547" w:rsidRDefault="00717547" w:rsidP="00680D07">
      <w:pPr>
        <w:spacing w:after="0" w:line="276" w:lineRule="auto"/>
        <w:rPr>
          <w:rFonts w:ascii="Times New Roman" w:hAnsi="Times New Roman" w:cs="Times New Roman"/>
        </w:rPr>
      </w:pPr>
    </w:p>
    <w:p w14:paraId="160BBA19" w14:textId="37DE6FFE" w:rsidR="00F5490C" w:rsidRPr="00717547" w:rsidRDefault="00030269" w:rsidP="00680D07">
      <w:pPr>
        <w:spacing w:after="0" w:line="276" w:lineRule="auto"/>
        <w:rPr>
          <w:rFonts w:ascii="Times New Roman" w:hAnsi="Times New Roman" w:cs="Times New Roman"/>
          <w:b/>
          <w:bCs/>
        </w:rPr>
      </w:pPr>
      <w:r w:rsidRPr="00717547">
        <w:rPr>
          <w:rFonts w:ascii="Times New Roman" w:hAnsi="Times New Roman" w:cs="Times New Roman"/>
          <w:b/>
          <w:bCs/>
        </w:rPr>
        <w:t>References</w:t>
      </w:r>
    </w:p>
    <w:p w14:paraId="6625DE50" w14:textId="77777777" w:rsidR="00F5490C" w:rsidRPr="00680D07" w:rsidRDefault="00F5490C" w:rsidP="00680D07">
      <w:pPr>
        <w:spacing w:after="0" w:line="276" w:lineRule="auto"/>
        <w:rPr>
          <w:rFonts w:ascii="Times New Roman" w:hAnsi="Times New Roman" w:cs="Times New Roman"/>
        </w:rPr>
      </w:pPr>
    </w:p>
    <w:p w14:paraId="5ADF79DB" w14:textId="37ECE4A1"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Moore FA, Feliciano DV, Andrassy RJ, McArdle AH, Booth FV, Morgenstein-Wagner TB, et al. Early enteral feeding, compared with parenteral, reduces postoperative septic complications: results of a meta-analysis. Ann Surg. 1992;216(2):172-83. doi:10.1097/00000658-199208000-00008</w:t>
      </w:r>
    </w:p>
    <w:p w14:paraId="4A529D07" w14:textId="77777777" w:rsidR="00F5490C" w:rsidRPr="00680D07" w:rsidRDefault="00F5490C" w:rsidP="00680D07">
      <w:pPr>
        <w:spacing w:after="0" w:line="276" w:lineRule="auto"/>
        <w:rPr>
          <w:rFonts w:ascii="Times New Roman" w:hAnsi="Times New Roman" w:cs="Times New Roman"/>
        </w:rPr>
      </w:pPr>
    </w:p>
    <w:p w14:paraId="5E5EE08B"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Lee HS, Shim HJ, Lee HS, Lee JG, Kim KS. Early feeding is feasible after emergency gastrointestinal surgery. Yonsei Med J. 2014;55(2):395-401. doi:10.3349/ymj.2014.55.2.395</w:t>
      </w:r>
    </w:p>
    <w:p w14:paraId="78D92DE0" w14:textId="77777777" w:rsidR="00F5490C" w:rsidRPr="00680D07" w:rsidRDefault="00F5490C" w:rsidP="00680D07">
      <w:pPr>
        <w:spacing w:after="0" w:line="276" w:lineRule="auto"/>
        <w:rPr>
          <w:rFonts w:ascii="Times New Roman" w:hAnsi="Times New Roman" w:cs="Times New Roman"/>
        </w:rPr>
      </w:pPr>
    </w:p>
    <w:p w14:paraId="3EC1F478"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Weimann A, Braga M, Carli F, et al. ESPEN practical guideline: clinical nutrition in surgery. Clin </w:t>
      </w:r>
      <w:proofErr w:type="spellStart"/>
      <w:r w:rsidRPr="00680D07">
        <w:rPr>
          <w:rFonts w:ascii="Times New Roman" w:hAnsi="Times New Roman" w:cs="Times New Roman"/>
        </w:rPr>
        <w:t>Nutr</w:t>
      </w:r>
      <w:proofErr w:type="spellEnd"/>
      <w:r w:rsidRPr="00680D07">
        <w:rPr>
          <w:rFonts w:ascii="Times New Roman" w:hAnsi="Times New Roman" w:cs="Times New Roman"/>
        </w:rPr>
        <w:t>. 2021;40(6):4745-4761. (ESPEN guideline – early enteral nutrition recommendation)</w:t>
      </w:r>
    </w:p>
    <w:p w14:paraId="31CC7071" w14:textId="77777777" w:rsidR="00F5490C" w:rsidRPr="00680D07" w:rsidRDefault="00F5490C" w:rsidP="00680D07">
      <w:pPr>
        <w:spacing w:after="0" w:line="276" w:lineRule="auto"/>
        <w:rPr>
          <w:rFonts w:ascii="Times New Roman" w:hAnsi="Times New Roman" w:cs="Times New Roman"/>
        </w:rPr>
      </w:pPr>
    </w:p>
    <w:p w14:paraId="0B027885"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Lewis SJ, Egger M, Sylvester PA, Thomas S. Early enteral feeding versus “nil by mouth” after gastrointestinal surgery: systematic review and meta-analysis of controlled trials. BMJ. 2001;323(7316):773-776. doi:10.1136/bmj.323.7316.773</w:t>
      </w:r>
    </w:p>
    <w:p w14:paraId="78D63525" w14:textId="77777777" w:rsidR="00F5490C" w:rsidRPr="00680D07" w:rsidRDefault="00F5490C" w:rsidP="00680D07">
      <w:pPr>
        <w:spacing w:after="0" w:line="276" w:lineRule="auto"/>
        <w:rPr>
          <w:rFonts w:ascii="Times New Roman" w:hAnsi="Times New Roman" w:cs="Times New Roman"/>
        </w:rPr>
      </w:pPr>
    </w:p>
    <w:p w14:paraId="4CC1BA70"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Braga M, </w:t>
      </w:r>
      <w:proofErr w:type="spellStart"/>
      <w:r w:rsidRPr="00680D07">
        <w:rPr>
          <w:rFonts w:ascii="Times New Roman" w:hAnsi="Times New Roman" w:cs="Times New Roman"/>
        </w:rPr>
        <w:t>Ljungqvist</w:t>
      </w:r>
      <w:proofErr w:type="spellEnd"/>
      <w:r w:rsidRPr="00680D07">
        <w:rPr>
          <w:rFonts w:ascii="Times New Roman" w:hAnsi="Times New Roman" w:cs="Times New Roman"/>
        </w:rPr>
        <w:t xml:space="preserve"> O, </w:t>
      </w:r>
      <w:proofErr w:type="spellStart"/>
      <w:r w:rsidRPr="00680D07">
        <w:rPr>
          <w:rFonts w:ascii="Times New Roman" w:hAnsi="Times New Roman" w:cs="Times New Roman"/>
        </w:rPr>
        <w:t>Soeters</w:t>
      </w:r>
      <w:proofErr w:type="spellEnd"/>
      <w:r w:rsidRPr="00680D07">
        <w:rPr>
          <w:rFonts w:ascii="Times New Roman" w:hAnsi="Times New Roman" w:cs="Times New Roman"/>
        </w:rPr>
        <w:t xml:space="preserve"> P, Fearon K, Weimann A, Bozzetti F, et al. ESPEN guideline on parenteral nutrition: surgery. Clin </w:t>
      </w:r>
      <w:proofErr w:type="spellStart"/>
      <w:r w:rsidRPr="00680D07">
        <w:rPr>
          <w:rFonts w:ascii="Times New Roman" w:hAnsi="Times New Roman" w:cs="Times New Roman"/>
        </w:rPr>
        <w:t>Nutr</w:t>
      </w:r>
      <w:proofErr w:type="spellEnd"/>
      <w:r w:rsidRPr="00680D07">
        <w:rPr>
          <w:rFonts w:ascii="Times New Roman" w:hAnsi="Times New Roman" w:cs="Times New Roman"/>
        </w:rPr>
        <w:t xml:space="preserve">. 2009;28(4):378-386. </w:t>
      </w:r>
      <w:proofErr w:type="gramStart"/>
      <w:r w:rsidRPr="00680D07">
        <w:rPr>
          <w:rFonts w:ascii="Times New Roman" w:hAnsi="Times New Roman" w:cs="Times New Roman"/>
        </w:rPr>
        <w:t>doi:10.1016/j.clnu</w:t>
      </w:r>
      <w:proofErr w:type="gramEnd"/>
      <w:r w:rsidRPr="00680D07">
        <w:rPr>
          <w:rFonts w:ascii="Times New Roman" w:hAnsi="Times New Roman" w:cs="Times New Roman"/>
        </w:rPr>
        <w:t>.2009.03.007</w:t>
      </w:r>
    </w:p>
    <w:p w14:paraId="3F1A270A" w14:textId="77777777" w:rsidR="00F5490C" w:rsidRPr="00680D07" w:rsidRDefault="00F5490C" w:rsidP="00680D07">
      <w:pPr>
        <w:spacing w:after="0" w:line="276" w:lineRule="auto"/>
        <w:rPr>
          <w:rFonts w:ascii="Times New Roman" w:hAnsi="Times New Roman" w:cs="Times New Roman"/>
        </w:rPr>
      </w:pPr>
    </w:p>
    <w:p w14:paraId="695887FE"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lastRenderedPageBreak/>
        <w:t xml:space="preserve">O’Keefe SJ, Buchman AL, Fishbein TM, Jeejeebhoy KN, Jeppesen PB, Shaffer J. Short bowel syndrome and intestinal failure: consensus definitions and overview. Clin Gastroenterol Hepatol. 2006;4(1):6-10. </w:t>
      </w:r>
      <w:proofErr w:type="gramStart"/>
      <w:r w:rsidRPr="00680D07">
        <w:rPr>
          <w:rFonts w:ascii="Times New Roman" w:hAnsi="Times New Roman" w:cs="Times New Roman"/>
        </w:rPr>
        <w:t>doi:10.1016/j.cgh</w:t>
      </w:r>
      <w:proofErr w:type="gramEnd"/>
      <w:r w:rsidRPr="00680D07">
        <w:rPr>
          <w:rFonts w:ascii="Times New Roman" w:hAnsi="Times New Roman" w:cs="Times New Roman"/>
        </w:rPr>
        <w:t>.2005.09.026</w:t>
      </w:r>
    </w:p>
    <w:p w14:paraId="0466018E" w14:textId="77777777" w:rsidR="00F5490C" w:rsidRPr="00680D07" w:rsidRDefault="00F5490C" w:rsidP="00680D07">
      <w:pPr>
        <w:spacing w:after="0" w:line="276" w:lineRule="auto"/>
        <w:rPr>
          <w:rFonts w:ascii="Times New Roman" w:hAnsi="Times New Roman" w:cs="Times New Roman"/>
        </w:rPr>
      </w:pPr>
    </w:p>
    <w:p w14:paraId="585655BD"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Kehlet H. Multimodal approach to control postoperative pathophysiology and rehabilitation. Br J Anaesth. 1997;78(5):606-617. doi:10.1093/</w:t>
      </w:r>
      <w:proofErr w:type="spellStart"/>
      <w:r w:rsidRPr="00680D07">
        <w:rPr>
          <w:rFonts w:ascii="Times New Roman" w:hAnsi="Times New Roman" w:cs="Times New Roman"/>
        </w:rPr>
        <w:t>bja</w:t>
      </w:r>
      <w:proofErr w:type="spellEnd"/>
      <w:r w:rsidRPr="00680D07">
        <w:rPr>
          <w:rFonts w:ascii="Times New Roman" w:hAnsi="Times New Roman" w:cs="Times New Roman"/>
        </w:rPr>
        <w:t>/78.5.606</w:t>
      </w:r>
    </w:p>
    <w:p w14:paraId="0324137F" w14:textId="77777777" w:rsidR="00F5490C" w:rsidRPr="00680D07" w:rsidRDefault="00F5490C" w:rsidP="00680D07">
      <w:pPr>
        <w:spacing w:after="0" w:line="276" w:lineRule="auto"/>
        <w:rPr>
          <w:rFonts w:ascii="Times New Roman" w:hAnsi="Times New Roman" w:cs="Times New Roman"/>
        </w:rPr>
      </w:pPr>
    </w:p>
    <w:p w14:paraId="1A0CAED4"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Desborough JP. The stress response to trauma and surgery. Br J Anaesth. 2000;85(1):109-117. doi:10.1093/</w:t>
      </w:r>
      <w:proofErr w:type="spellStart"/>
      <w:r w:rsidRPr="00680D07">
        <w:rPr>
          <w:rFonts w:ascii="Times New Roman" w:hAnsi="Times New Roman" w:cs="Times New Roman"/>
        </w:rPr>
        <w:t>bja</w:t>
      </w:r>
      <w:proofErr w:type="spellEnd"/>
      <w:r w:rsidRPr="00680D07">
        <w:rPr>
          <w:rFonts w:ascii="Times New Roman" w:hAnsi="Times New Roman" w:cs="Times New Roman"/>
        </w:rPr>
        <w:t>/85.1.109</w:t>
      </w:r>
    </w:p>
    <w:p w14:paraId="739BBDA0" w14:textId="77777777" w:rsidR="00F5490C" w:rsidRPr="00680D07" w:rsidRDefault="00F5490C" w:rsidP="00680D07">
      <w:pPr>
        <w:spacing w:after="0" w:line="276" w:lineRule="auto"/>
        <w:rPr>
          <w:rFonts w:ascii="Times New Roman" w:hAnsi="Times New Roman" w:cs="Times New Roman"/>
        </w:rPr>
      </w:pPr>
    </w:p>
    <w:p w14:paraId="38C6A653"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Lenz A-G, Faller H, Schmidt LG. Systemic inflammation after trauma — clinical implications and mechanisms. Injury. 2007;38(9):1114-1122. </w:t>
      </w:r>
      <w:proofErr w:type="gramStart"/>
      <w:r w:rsidRPr="00680D07">
        <w:rPr>
          <w:rFonts w:ascii="Times New Roman" w:hAnsi="Times New Roman" w:cs="Times New Roman"/>
        </w:rPr>
        <w:t>doi:10.1016/j.injury</w:t>
      </w:r>
      <w:proofErr w:type="gramEnd"/>
      <w:r w:rsidRPr="00680D07">
        <w:rPr>
          <w:rFonts w:ascii="Times New Roman" w:hAnsi="Times New Roman" w:cs="Times New Roman"/>
        </w:rPr>
        <w:t>.2007.06.016</w:t>
      </w:r>
    </w:p>
    <w:p w14:paraId="37E79A17" w14:textId="77777777" w:rsidR="00F5490C" w:rsidRPr="00680D07" w:rsidRDefault="00F5490C" w:rsidP="00680D07">
      <w:pPr>
        <w:spacing w:after="0" w:line="276" w:lineRule="auto"/>
        <w:rPr>
          <w:rFonts w:ascii="Times New Roman" w:hAnsi="Times New Roman" w:cs="Times New Roman"/>
        </w:rPr>
      </w:pPr>
    </w:p>
    <w:p w14:paraId="4B0F3953"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Jaffer U, Wade RG, Gourlay T. Cytokines in the systemic inflammatory response syndrome: a review. Clin Exp Immunol. 2010;161(1):1-9. doi:10.1111/j.1365-2249.</w:t>
      </w:r>
      <w:proofErr w:type="gramStart"/>
      <w:r w:rsidRPr="00680D07">
        <w:rPr>
          <w:rFonts w:ascii="Times New Roman" w:hAnsi="Times New Roman" w:cs="Times New Roman"/>
        </w:rPr>
        <w:t>2010.04116.x</w:t>
      </w:r>
      <w:proofErr w:type="gramEnd"/>
    </w:p>
    <w:p w14:paraId="2216FE3F" w14:textId="77777777" w:rsidR="00F5490C" w:rsidRPr="00680D07" w:rsidRDefault="00F5490C" w:rsidP="00680D07">
      <w:pPr>
        <w:spacing w:after="0" w:line="276" w:lineRule="auto"/>
        <w:rPr>
          <w:rFonts w:ascii="Times New Roman" w:hAnsi="Times New Roman" w:cs="Times New Roman"/>
        </w:rPr>
      </w:pPr>
    </w:p>
    <w:p w14:paraId="6724693D"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Rahbar E, Cardenas JC, </w:t>
      </w:r>
      <w:proofErr w:type="spellStart"/>
      <w:r w:rsidRPr="00680D07">
        <w:rPr>
          <w:rFonts w:ascii="Times New Roman" w:hAnsi="Times New Roman" w:cs="Times New Roman"/>
        </w:rPr>
        <w:t>Baimukanova</w:t>
      </w:r>
      <w:proofErr w:type="spellEnd"/>
      <w:r w:rsidRPr="00680D07">
        <w:rPr>
          <w:rFonts w:ascii="Times New Roman" w:hAnsi="Times New Roman" w:cs="Times New Roman"/>
        </w:rPr>
        <w:t xml:space="preserve"> G, et al. Endothelial glycocalyx shedding and vascular permeability in severely injured trauma patients. J </w:t>
      </w:r>
      <w:proofErr w:type="spellStart"/>
      <w:r w:rsidRPr="00680D07">
        <w:rPr>
          <w:rFonts w:ascii="Times New Roman" w:hAnsi="Times New Roman" w:cs="Times New Roman"/>
        </w:rPr>
        <w:t>Transl</w:t>
      </w:r>
      <w:proofErr w:type="spellEnd"/>
      <w:r w:rsidRPr="00680D07">
        <w:rPr>
          <w:rFonts w:ascii="Times New Roman" w:hAnsi="Times New Roman" w:cs="Times New Roman"/>
        </w:rPr>
        <w:t xml:space="preserve"> Med. </w:t>
      </w:r>
      <w:proofErr w:type="gramStart"/>
      <w:r w:rsidRPr="00680D07">
        <w:rPr>
          <w:rFonts w:ascii="Times New Roman" w:hAnsi="Times New Roman" w:cs="Times New Roman"/>
        </w:rPr>
        <w:t>2015;13:117</w:t>
      </w:r>
      <w:proofErr w:type="gramEnd"/>
      <w:r w:rsidRPr="00680D07">
        <w:rPr>
          <w:rFonts w:ascii="Times New Roman" w:hAnsi="Times New Roman" w:cs="Times New Roman"/>
        </w:rPr>
        <w:t>. doi:10.1186/s12967-015-0481-5</w:t>
      </w:r>
    </w:p>
    <w:p w14:paraId="7AE62565" w14:textId="77777777" w:rsidR="00F5490C" w:rsidRPr="00680D07" w:rsidRDefault="00F5490C" w:rsidP="00680D07">
      <w:pPr>
        <w:spacing w:after="0" w:line="276" w:lineRule="auto"/>
        <w:rPr>
          <w:rFonts w:ascii="Times New Roman" w:hAnsi="Times New Roman" w:cs="Times New Roman"/>
        </w:rPr>
      </w:pPr>
    </w:p>
    <w:p w14:paraId="6A358488"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Tuma M, </w:t>
      </w:r>
      <w:proofErr w:type="spellStart"/>
      <w:r w:rsidRPr="00680D07">
        <w:rPr>
          <w:rFonts w:ascii="Times New Roman" w:hAnsi="Times New Roman" w:cs="Times New Roman"/>
        </w:rPr>
        <w:t>Canestrini</w:t>
      </w:r>
      <w:proofErr w:type="spellEnd"/>
      <w:r w:rsidRPr="00680D07">
        <w:rPr>
          <w:rFonts w:ascii="Times New Roman" w:hAnsi="Times New Roman" w:cs="Times New Roman"/>
        </w:rPr>
        <w:t xml:space="preserve"> S, </w:t>
      </w:r>
      <w:proofErr w:type="spellStart"/>
      <w:r w:rsidRPr="00680D07">
        <w:rPr>
          <w:rFonts w:ascii="Times New Roman" w:hAnsi="Times New Roman" w:cs="Times New Roman"/>
        </w:rPr>
        <w:t>Alwahab</w:t>
      </w:r>
      <w:proofErr w:type="spellEnd"/>
      <w:r w:rsidRPr="00680D07">
        <w:rPr>
          <w:rFonts w:ascii="Times New Roman" w:hAnsi="Times New Roman" w:cs="Times New Roman"/>
        </w:rPr>
        <w:t xml:space="preserve"> Z, Marshall J. Trauma and endothelial glycocalyx: microcirculation perspective. Shock. 2016;46(4):352-357. doi:10.1097/SHK.0000000000000635</w:t>
      </w:r>
    </w:p>
    <w:p w14:paraId="222A4487" w14:textId="77777777" w:rsidR="00F5490C" w:rsidRPr="00680D07" w:rsidRDefault="00F5490C" w:rsidP="00680D07">
      <w:pPr>
        <w:spacing w:after="0" w:line="276" w:lineRule="auto"/>
        <w:rPr>
          <w:rFonts w:ascii="Times New Roman" w:hAnsi="Times New Roman" w:cs="Times New Roman"/>
        </w:rPr>
      </w:pPr>
    </w:p>
    <w:p w14:paraId="4A93B0D4"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Elke G, et al. Enteral versus parenteral nutrition in critically ill patients: meta-analysis and systematic review. Crit Care. </w:t>
      </w:r>
      <w:proofErr w:type="gramStart"/>
      <w:r w:rsidRPr="00680D07">
        <w:rPr>
          <w:rFonts w:ascii="Times New Roman" w:hAnsi="Times New Roman" w:cs="Times New Roman"/>
        </w:rPr>
        <w:t>2016;20:117</w:t>
      </w:r>
      <w:proofErr w:type="gramEnd"/>
      <w:r w:rsidRPr="00680D07">
        <w:rPr>
          <w:rFonts w:ascii="Times New Roman" w:hAnsi="Times New Roman" w:cs="Times New Roman"/>
        </w:rPr>
        <w:t>. doi:10.1186/s13054-016-1297-3</w:t>
      </w:r>
    </w:p>
    <w:p w14:paraId="1EF3A14A" w14:textId="77777777" w:rsidR="00F5490C" w:rsidRPr="00680D07" w:rsidRDefault="00F5490C" w:rsidP="00680D07">
      <w:pPr>
        <w:spacing w:after="0" w:line="276" w:lineRule="auto"/>
        <w:rPr>
          <w:rFonts w:ascii="Times New Roman" w:hAnsi="Times New Roman" w:cs="Times New Roman"/>
        </w:rPr>
      </w:pPr>
    </w:p>
    <w:p w14:paraId="037F596C"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Doig GS, Simpson F, Sweetman EA, et al. Early enteral nutrition in critically ill patients: meta-analysis of randomized trials. Intensive Care Med. 2009;35(12):2018-2027. doi:10.1007/s00134-009-1664-y</w:t>
      </w:r>
    </w:p>
    <w:p w14:paraId="479626ED" w14:textId="77777777" w:rsidR="00F5490C" w:rsidRPr="00680D07" w:rsidRDefault="00F5490C" w:rsidP="00680D07">
      <w:pPr>
        <w:spacing w:after="0" w:line="276" w:lineRule="auto"/>
        <w:rPr>
          <w:rFonts w:ascii="Times New Roman" w:hAnsi="Times New Roman" w:cs="Times New Roman"/>
        </w:rPr>
      </w:pPr>
    </w:p>
    <w:p w14:paraId="66602FC2"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McClave SA, Taylor BE, Martindale RG, et al. Guidelines for the provision and assessment of nutrition support therapy in the adult critically ill patient. JPEN J </w:t>
      </w:r>
      <w:proofErr w:type="spellStart"/>
      <w:r w:rsidRPr="00680D07">
        <w:rPr>
          <w:rFonts w:ascii="Times New Roman" w:hAnsi="Times New Roman" w:cs="Times New Roman"/>
        </w:rPr>
        <w:t>Parenter</w:t>
      </w:r>
      <w:proofErr w:type="spellEnd"/>
      <w:r w:rsidRPr="00680D07">
        <w:rPr>
          <w:rFonts w:ascii="Times New Roman" w:hAnsi="Times New Roman" w:cs="Times New Roman"/>
        </w:rPr>
        <w:t xml:space="preserve"> Enteral </w:t>
      </w:r>
      <w:proofErr w:type="spellStart"/>
      <w:r w:rsidRPr="00680D07">
        <w:rPr>
          <w:rFonts w:ascii="Times New Roman" w:hAnsi="Times New Roman" w:cs="Times New Roman"/>
        </w:rPr>
        <w:t>Nutr</w:t>
      </w:r>
      <w:proofErr w:type="spellEnd"/>
      <w:r w:rsidRPr="00680D07">
        <w:rPr>
          <w:rFonts w:ascii="Times New Roman" w:hAnsi="Times New Roman" w:cs="Times New Roman"/>
        </w:rPr>
        <w:t>. 2016;40(2):159-211. doi:10.1177/0148607115621863</w:t>
      </w:r>
    </w:p>
    <w:p w14:paraId="13150144" w14:textId="77777777" w:rsidR="00F5490C" w:rsidRPr="00680D07" w:rsidRDefault="00F5490C" w:rsidP="00680D07">
      <w:pPr>
        <w:spacing w:after="0" w:line="276" w:lineRule="auto"/>
        <w:rPr>
          <w:rFonts w:ascii="Times New Roman" w:hAnsi="Times New Roman" w:cs="Times New Roman"/>
        </w:rPr>
      </w:pPr>
    </w:p>
    <w:p w14:paraId="27DE54BD"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Hartwell JL, Cotton A, </w:t>
      </w:r>
      <w:proofErr w:type="spellStart"/>
      <w:r w:rsidRPr="00680D07">
        <w:rPr>
          <w:rFonts w:ascii="Times New Roman" w:hAnsi="Times New Roman" w:cs="Times New Roman"/>
        </w:rPr>
        <w:t>Wenos</w:t>
      </w:r>
      <w:proofErr w:type="spellEnd"/>
      <w:r w:rsidRPr="00680D07">
        <w:rPr>
          <w:rFonts w:ascii="Times New Roman" w:hAnsi="Times New Roman" w:cs="Times New Roman"/>
        </w:rPr>
        <w:t xml:space="preserve"> CD, et al. Early achievement of enteral nutrition goals is associated with fewer complications in critically injured adults. Ann Surg. 2021;274(6</w:t>
      </w:r>
      <w:proofErr w:type="gramStart"/>
      <w:r w:rsidRPr="00680D07">
        <w:rPr>
          <w:rFonts w:ascii="Times New Roman" w:hAnsi="Times New Roman" w:cs="Times New Roman"/>
        </w:rPr>
        <w:t>):e</w:t>
      </w:r>
      <w:proofErr w:type="gramEnd"/>
      <w:r w:rsidRPr="00680D07">
        <w:rPr>
          <w:rFonts w:ascii="Times New Roman" w:hAnsi="Times New Roman" w:cs="Times New Roman"/>
        </w:rPr>
        <w:t>988-e994. doi:10.1097/SLA.0000000000004829</w:t>
      </w:r>
    </w:p>
    <w:p w14:paraId="176591A2" w14:textId="77777777" w:rsidR="00F5490C" w:rsidRPr="00680D07" w:rsidRDefault="00F5490C" w:rsidP="00680D07">
      <w:pPr>
        <w:spacing w:after="0" w:line="276" w:lineRule="auto"/>
        <w:rPr>
          <w:rFonts w:ascii="Times New Roman" w:hAnsi="Times New Roman" w:cs="Times New Roman"/>
        </w:rPr>
      </w:pPr>
    </w:p>
    <w:p w14:paraId="2E90A575"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Azim A, Haider AA, Rhee P, et al. Enteral nutrition in traumatic brain injury: early feedings vs traditional. J Trauma Acute Care Surg. 2016;81(3):520-524. doi:10.1097/TA.0000000000000965</w:t>
      </w:r>
    </w:p>
    <w:p w14:paraId="7E28366B" w14:textId="77777777" w:rsidR="00F5490C" w:rsidRPr="00680D07" w:rsidRDefault="00F5490C" w:rsidP="00680D07">
      <w:pPr>
        <w:spacing w:after="0" w:line="276" w:lineRule="auto"/>
        <w:rPr>
          <w:rFonts w:ascii="Times New Roman" w:hAnsi="Times New Roman" w:cs="Times New Roman"/>
        </w:rPr>
      </w:pPr>
    </w:p>
    <w:p w14:paraId="67BC9A8F"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Giannoudis</w:t>
      </w:r>
      <w:proofErr w:type="spellEnd"/>
      <w:r w:rsidRPr="00680D07">
        <w:rPr>
          <w:rFonts w:ascii="Times New Roman" w:hAnsi="Times New Roman" w:cs="Times New Roman"/>
        </w:rPr>
        <w:t xml:space="preserve"> VP, et al. Management of severely injured patients: current strategies. EFORT Open Rev. 2023;8(5):289-307. doi:10.1302/2058-5241.8.230005</w:t>
      </w:r>
    </w:p>
    <w:p w14:paraId="49824B2C" w14:textId="77777777" w:rsidR="00F5490C" w:rsidRPr="00680D07" w:rsidRDefault="00F5490C" w:rsidP="00680D07">
      <w:pPr>
        <w:spacing w:after="0" w:line="276" w:lineRule="auto"/>
        <w:rPr>
          <w:rFonts w:ascii="Times New Roman" w:hAnsi="Times New Roman" w:cs="Times New Roman"/>
        </w:rPr>
      </w:pPr>
    </w:p>
    <w:p w14:paraId="268AAE0E"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Caba-Doussoux</w:t>
      </w:r>
      <w:proofErr w:type="spellEnd"/>
      <w:r w:rsidRPr="00680D07">
        <w:rPr>
          <w:rFonts w:ascii="Times New Roman" w:hAnsi="Times New Roman" w:cs="Times New Roman"/>
        </w:rPr>
        <w:t xml:space="preserve"> P, Leon-</w:t>
      </w:r>
      <w:proofErr w:type="spellStart"/>
      <w:r w:rsidRPr="00680D07">
        <w:rPr>
          <w:rFonts w:ascii="Times New Roman" w:hAnsi="Times New Roman" w:cs="Times New Roman"/>
        </w:rPr>
        <w:t>Baltasar</w:t>
      </w:r>
      <w:proofErr w:type="spellEnd"/>
      <w:r w:rsidRPr="00680D07">
        <w:rPr>
          <w:rFonts w:ascii="Times New Roman" w:hAnsi="Times New Roman" w:cs="Times New Roman"/>
        </w:rPr>
        <w:t xml:space="preserve"> JL, Garcia-Fuentes C, </w:t>
      </w:r>
      <w:proofErr w:type="spellStart"/>
      <w:r w:rsidRPr="00680D07">
        <w:rPr>
          <w:rFonts w:ascii="Times New Roman" w:hAnsi="Times New Roman" w:cs="Times New Roman"/>
        </w:rPr>
        <w:t>Resines-Erasun</w:t>
      </w:r>
      <w:proofErr w:type="spellEnd"/>
      <w:r w:rsidRPr="00680D07">
        <w:rPr>
          <w:rFonts w:ascii="Times New Roman" w:hAnsi="Times New Roman" w:cs="Times New Roman"/>
        </w:rPr>
        <w:t xml:space="preserve"> C. Damage control orthopaedics in severe polytrauma with femur fracture. Injury. 2012;43(</w:t>
      </w:r>
      <w:proofErr w:type="spellStart"/>
      <w:r w:rsidRPr="00680D07">
        <w:rPr>
          <w:rFonts w:ascii="Times New Roman" w:hAnsi="Times New Roman" w:cs="Times New Roman"/>
        </w:rPr>
        <w:t>Suppl</w:t>
      </w:r>
      <w:proofErr w:type="spellEnd"/>
      <w:r w:rsidRPr="00680D07">
        <w:rPr>
          <w:rFonts w:ascii="Times New Roman" w:hAnsi="Times New Roman" w:cs="Times New Roman"/>
        </w:rPr>
        <w:t xml:space="preserve"> 2</w:t>
      </w:r>
      <w:proofErr w:type="gramStart"/>
      <w:r w:rsidRPr="00680D07">
        <w:rPr>
          <w:rFonts w:ascii="Times New Roman" w:hAnsi="Times New Roman" w:cs="Times New Roman"/>
        </w:rPr>
        <w:t>):S</w:t>
      </w:r>
      <w:proofErr w:type="gramEnd"/>
      <w:r w:rsidRPr="00680D07">
        <w:rPr>
          <w:rFonts w:ascii="Times New Roman" w:hAnsi="Times New Roman" w:cs="Times New Roman"/>
        </w:rPr>
        <w:t xml:space="preserve">42-S46. </w:t>
      </w:r>
      <w:proofErr w:type="gramStart"/>
      <w:r w:rsidRPr="00680D07">
        <w:rPr>
          <w:rFonts w:ascii="Times New Roman" w:hAnsi="Times New Roman" w:cs="Times New Roman"/>
        </w:rPr>
        <w:t>doi:10.1016/j.injury</w:t>
      </w:r>
      <w:proofErr w:type="gramEnd"/>
      <w:r w:rsidRPr="00680D07">
        <w:rPr>
          <w:rFonts w:ascii="Times New Roman" w:hAnsi="Times New Roman" w:cs="Times New Roman"/>
        </w:rPr>
        <w:t>.2012.09.004</w:t>
      </w:r>
    </w:p>
    <w:p w14:paraId="3144051C" w14:textId="77777777" w:rsidR="00F5490C" w:rsidRPr="00680D07" w:rsidRDefault="00F5490C" w:rsidP="00680D07">
      <w:pPr>
        <w:spacing w:after="0" w:line="276" w:lineRule="auto"/>
        <w:rPr>
          <w:rFonts w:ascii="Times New Roman" w:hAnsi="Times New Roman" w:cs="Times New Roman"/>
        </w:rPr>
      </w:pPr>
    </w:p>
    <w:p w14:paraId="1984DB97"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lastRenderedPageBreak/>
        <w:t xml:space="preserve">Henley MB, et al. </w:t>
      </w:r>
      <w:proofErr w:type="spellStart"/>
      <w:r w:rsidRPr="00680D07">
        <w:rPr>
          <w:rFonts w:ascii="Times New Roman" w:hAnsi="Times New Roman" w:cs="Times New Roman"/>
        </w:rPr>
        <w:t>Unreamed</w:t>
      </w:r>
      <w:proofErr w:type="spellEnd"/>
      <w:r w:rsidRPr="00680D07">
        <w:rPr>
          <w:rFonts w:ascii="Times New Roman" w:hAnsi="Times New Roman" w:cs="Times New Roman"/>
        </w:rPr>
        <w:t xml:space="preserve"> intramedullary nailing vs external fixation in open tibial shaft fractures. J </w:t>
      </w:r>
      <w:proofErr w:type="spellStart"/>
      <w:r w:rsidRPr="00680D07">
        <w:rPr>
          <w:rFonts w:ascii="Times New Roman" w:hAnsi="Times New Roman" w:cs="Times New Roman"/>
        </w:rPr>
        <w:t>Orthop</w:t>
      </w:r>
      <w:proofErr w:type="spellEnd"/>
      <w:r w:rsidRPr="00680D07">
        <w:rPr>
          <w:rFonts w:ascii="Times New Roman" w:hAnsi="Times New Roman" w:cs="Times New Roman"/>
        </w:rPr>
        <w:t xml:space="preserve"> Trauma. 1998;12(1):1-7. doi:10.1097/00005131-199801000-00001</w:t>
      </w:r>
    </w:p>
    <w:p w14:paraId="18E8F039" w14:textId="77777777" w:rsidR="00F5490C" w:rsidRPr="00680D07" w:rsidRDefault="00F5490C" w:rsidP="00680D07">
      <w:pPr>
        <w:spacing w:after="0" w:line="276" w:lineRule="auto"/>
        <w:rPr>
          <w:rFonts w:ascii="Times New Roman" w:hAnsi="Times New Roman" w:cs="Times New Roman"/>
        </w:rPr>
      </w:pPr>
    </w:p>
    <w:p w14:paraId="3B546F4F"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Gustilo RB, Anderson JT. Prevention of infection in treatment of open long-bone fractures: analysis of 1025 fractures. J Bone Joint </w:t>
      </w:r>
      <w:proofErr w:type="spellStart"/>
      <w:r w:rsidRPr="00680D07">
        <w:rPr>
          <w:rFonts w:ascii="Times New Roman" w:hAnsi="Times New Roman" w:cs="Times New Roman"/>
        </w:rPr>
        <w:t>Surg</w:t>
      </w:r>
      <w:proofErr w:type="spellEnd"/>
      <w:r w:rsidRPr="00680D07">
        <w:rPr>
          <w:rFonts w:ascii="Times New Roman" w:hAnsi="Times New Roman" w:cs="Times New Roman"/>
        </w:rPr>
        <w:t xml:space="preserve"> Am. 1976;58(4):453-458. doi:10.2106/00004623-197658040-00004</w:t>
      </w:r>
    </w:p>
    <w:p w14:paraId="313EF0CF" w14:textId="77777777" w:rsidR="00F5490C" w:rsidRPr="00680D07" w:rsidRDefault="00F5490C" w:rsidP="00680D07">
      <w:pPr>
        <w:spacing w:after="0" w:line="276" w:lineRule="auto"/>
        <w:rPr>
          <w:rFonts w:ascii="Times New Roman" w:hAnsi="Times New Roman" w:cs="Times New Roman"/>
        </w:rPr>
      </w:pPr>
    </w:p>
    <w:p w14:paraId="56A8F723"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Steinhausen</w:t>
      </w:r>
      <w:proofErr w:type="spellEnd"/>
      <w:r w:rsidRPr="00680D07">
        <w:rPr>
          <w:rFonts w:ascii="Times New Roman" w:hAnsi="Times New Roman" w:cs="Times New Roman"/>
        </w:rPr>
        <w:t xml:space="preserve"> E, </w:t>
      </w:r>
      <w:proofErr w:type="spellStart"/>
      <w:r w:rsidRPr="00680D07">
        <w:rPr>
          <w:rFonts w:ascii="Times New Roman" w:hAnsi="Times New Roman" w:cs="Times New Roman"/>
        </w:rPr>
        <w:t>Lefering</w:t>
      </w:r>
      <w:proofErr w:type="spellEnd"/>
      <w:r w:rsidRPr="00680D07">
        <w:rPr>
          <w:rFonts w:ascii="Times New Roman" w:hAnsi="Times New Roman" w:cs="Times New Roman"/>
        </w:rPr>
        <w:t xml:space="preserve"> R, </w:t>
      </w:r>
      <w:proofErr w:type="spellStart"/>
      <w:r w:rsidRPr="00680D07">
        <w:rPr>
          <w:rFonts w:ascii="Times New Roman" w:hAnsi="Times New Roman" w:cs="Times New Roman"/>
        </w:rPr>
        <w:t>Tjardes</w:t>
      </w:r>
      <w:proofErr w:type="spellEnd"/>
      <w:r w:rsidRPr="00680D07">
        <w:rPr>
          <w:rFonts w:ascii="Times New Roman" w:hAnsi="Times New Roman" w:cs="Times New Roman"/>
        </w:rPr>
        <w:t xml:space="preserve"> T, Neugebauer EA, Bouillon B, Rixen D. Risk-adapted approach beneficial in bilateral femoral shaft fractures. J Trauma Acute Care Surg. 2014;76(5):1288-1293. doi:10.1097/TA.0000000000000192</w:t>
      </w:r>
    </w:p>
    <w:p w14:paraId="2B1DCD90" w14:textId="77777777" w:rsidR="00F5490C" w:rsidRPr="00680D07" w:rsidRDefault="00F5490C" w:rsidP="00680D07">
      <w:pPr>
        <w:spacing w:after="0" w:line="276" w:lineRule="auto"/>
        <w:rPr>
          <w:rFonts w:ascii="Times New Roman" w:hAnsi="Times New Roman" w:cs="Times New Roman"/>
        </w:rPr>
      </w:pPr>
    </w:p>
    <w:p w14:paraId="3163CA9B"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Park KC, Park YS, Seo WS, Moon JK, Kim BH. Early stabilization of spine fractures in polytrauma patients. J Crit Care. 2014;29(4</w:t>
      </w:r>
      <w:proofErr w:type="gramStart"/>
      <w:r w:rsidRPr="00680D07">
        <w:rPr>
          <w:rFonts w:ascii="Times New Roman" w:hAnsi="Times New Roman" w:cs="Times New Roman"/>
        </w:rPr>
        <w:t>):694.e</w:t>
      </w:r>
      <w:proofErr w:type="gramEnd"/>
      <w:r w:rsidRPr="00680D07">
        <w:rPr>
          <w:rFonts w:ascii="Times New Roman" w:hAnsi="Times New Roman" w:cs="Times New Roman"/>
        </w:rPr>
        <w:t xml:space="preserve">7-694.e9. </w:t>
      </w:r>
      <w:proofErr w:type="gramStart"/>
      <w:r w:rsidRPr="00680D07">
        <w:rPr>
          <w:rFonts w:ascii="Times New Roman" w:hAnsi="Times New Roman" w:cs="Times New Roman"/>
        </w:rPr>
        <w:t>doi:10.1016/j.jcrc</w:t>
      </w:r>
      <w:proofErr w:type="gramEnd"/>
      <w:r w:rsidRPr="00680D07">
        <w:rPr>
          <w:rFonts w:ascii="Times New Roman" w:hAnsi="Times New Roman" w:cs="Times New Roman"/>
        </w:rPr>
        <w:t>.2014.01.029</w:t>
      </w:r>
    </w:p>
    <w:p w14:paraId="5C60661D" w14:textId="77777777" w:rsidR="00F5490C" w:rsidRPr="00680D07" w:rsidRDefault="00F5490C" w:rsidP="00680D07">
      <w:pPr>
        <w:spacing w:after="0" w:line="276" w:lineRule="auto"/>
        <w:rPr>
          <w:rFonts w:ascii="Times New Roman" w:hAnsi="Times New Roman" w:cs="Times New Roman"/>
        </w:rPr>
      </w:pPr>
    </w:p>
    <w:p w14:paraId="793A3D26"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Bliemel</w:t>
      </w:r>
      <w:proofErr w:type="spellEnd"/>
      <w:r w:rsidRPr="00680D07">
        <w:rPr>
          <w:rFonts w:ascii="Times New Roman" w:hAnsi="Times New Roman" w:cs="Times New Roman"/>
        </w:rPr>
        <w:t xml:space="preserve"> C, </w:t>
      </w:r>
      <w:proofErr w:type="spellStart"/>
      <w:r w:rsidRPr="00680D07">
        <w:rPr>
          <w:rFonts w:ascii="Times New Roman" w:hAnsi="Times New Roman" w:cs="Times New Roman"/>
        </w:rPr>
        <w:t>Lefering</w:t>
      </w:r>
      <w:proofErr w:type="spellEnd"/>
      <w:r w:rsidRPr="00680D07">
        <w:rPr>
          <w:rFonts w:ascii="Times New Roman" w:hAnsi="Times New Roman" w:cs="Times New Roman"/>
        </w:rPr>
        <w:t xml:space="preserve"> R, </w:t>
      </w:r>
      <w:proofErr w:type="spellStart"/>
      <w:r w:rsidRPr="00680D07">
        <w:rPr>
          <w:rFonts w:ascii="Times New Roman" w:hAnsi="Times New Roman" w:cs="Times New Roman"/>
        </w:rPr>
        <w:t>Buecking</w:t>
      </w:r>
      <w:proofErr w:type="spellEnd"/>
      <w:r w:rsidRPr="00680D07">
        <w:rPr>
          <w:rFonts w:ascii="Times New Roman" w:hAnsi="Times New Roman" w:cs="Times New Roman"/>
        </w:rPr>
        <w:t xml:space="preserve"> B, et al. Early vs delayed stabilization in polytrauma spinal fractures: </w:t>
      </w:r>
      <w:proofErr w:type="spellStart"/>
      <w:r w:rsidRPr="00680D07">
        <w:rPr>
          <w:rFonts w:ascii="Times New Roman" w:hAnsi="Times New Roman" w:cs="Times New Roman"/>
        </w:rPr>
        <w:t>TraumaRegister</w:t>
      </w:r>
      <w:proofErr w:type="spellEnd"/>
      <w:r w:rsidRPr="00680D07">
        <w:rPr>
          <w:rFonts w:ascii="Times New Roman" w:hAnsi="Times New Roman" w:cs="Times New Roman"/>
        </w:rPr>
        <w:t xml:space="preserve"> DGU analysis. J Trauma Acute Care Surg. 2014;76(2):366-373. doi:10.1097/TA.0000000000000152</w:t>
      </w:r>
    </w:p>
    <w:p w14:paraId="4A48DA1C" w14:textId="77777777" w:rsidR="00F5490C" w:rsidRPr="00680D07" w:rsidRDefault="00F5490C" w:rsidP="00680D07">
      <w:pPr>
        <w:spacing w:after="0" w:line="276" w:lineRule="auto"/>
        <w:rPr>
          <w:rFonts w:ascii="Times New Roman" w:hAnsi="Times New Roman" w:cs="Times New Roman"/>
        </w:rPr>
      </w:pPr>
    </w:p>
    <w:p w14:paraId="3EDB479E" w14:textId="67E42F06" w:rsidR="0023019A"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Kucukdurmaz</w:t>
      </w:r>
      <w:proofErr w:type="spellEnd"/>
      <w:r w:rsidRPr="00680D07">
        <w:rPr>
          <w:rFonts w:ascii="Times New Roman" w:hAnsi="Times New Roman" w:cs="Times New Roman"/>
        </w:rPr>
        <w:t xml:space="preserve"> F, et al. Current concepts in </w:t>
      </w:r>
      <w:proofErr w:type="spellStart"/>
      <w:r w:rsidRPr="00680D07">
        <w:rPr>
          <w:rFonts w:ascii="Times New Roman" w:hAnsi="Times New Roman" w:cs="Times New Roman"/>
        </w:rPr>
        <w:t>orthopedic</w:t>
      </w:r>
      <w:proofErr w:type="spellEnd"/>
      <w:r w:rsidRPr="00680D07">
        <w:rPr>
          <w:rFonts w:ascii="Times New Roman" w:hAnsi="Times New Roman" w:cs="Times New Roman"/>
        </w:rPr>
        <w:t xml:space="preserve"> management of multiple trauma patients. Open </w:t>
      </w:r>
      <w:proofErr w:type="spellStart"/>
      <w:r w:rsidRPr="00680D07">
        <w:rPr>
          <w:rFonts w:ascii="Times New Roman" w:hAnsi="Times New Roman" w:cs="Times New Roman"/>
        </w:rPr>
        <w:t>Orthop</w:t>
      </w:r>
      <w:proofErr w:type="spellEnd"/>
      <w:r w:rsidRPr="00680D07">
        <w:rPr>
          <w:rFonts w:ascii="Times New Roman" w:hAnsi="Times New Roman" w:cs="Times New Roman"/>
        </w:rPr>
        <w:t xml:space="preserve"> J. </w:t>
      </w:r>
      <w:proofErr w:type="gramStart"/>
      <w:r w:rsidRPr="00680D07">
        <w:rPr>
          <w:rFonts w:ascii="Times New Roman" w:hAnsi="Times New Roman" w:cs="Times New Roman"/>
        </w:rPr>
        <w:t>2015;9:275</w:t>
      </w:r>
      <w:proofErr w:type="gramEnd"/>
      <w:r w:rsidRPr="00680D07">
        <w:rPr>
          <w:rFonts w:ascii="Times New Roman" w:hAnsi="Times New Roman" w:cs="Times New Roman"/>
        </w:rPr>
        <w:t>-284. doi:10.2174/1874325001509010275</w:t>
      </w:r>
    </w:p>
    <w:p w14:paraId="73153C7A" w14:textId="77777777" w:rsidR="00F5490C" w:rsidRPr="00680D07" w:rsidRDefault="00F5490C" w:rsidP="00680D07">
      <w:pPr>
        <w:spacing w:after="0" w:line="276" w:lineRule="auto"/>
        <w:rPr>
          <w:rFonts w:ascii="Times New Roman" w:hAnsi="Times New Roman" w:cs="Times New Roman"/>
        </w:rPr>
      </w:pPr>
    </w:p>
    <w:p w14:paraId="1E973288"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Pape HC, </w:t>
      </w:r>
      <w:proofErr w:type="spellStart"/>
      <w:r w:rsidRPr="00680D07">
        <w:rPr>
          <w:rFonts w:ascii="Times New Roman" w:hAnsi="Times New Roman" w:cs="Times New Roman"/>
        </w:rPr>
        <w:t>Giannoudis</w:t>
      </w:r>
      <w:proofErr w:type="spellEnd"/>
      <w:r w:rsidRPr="00680D07">
        <w:rPr>
          <w:rFonts w:ascii="Times New Roman" w:hAnsi="Times New Roman" w:cs="Times New Roman"/>
        </w:rPr>
        <w:t xml:space="preserve"> PV, </w:t>
      </w:r>
      <w:proofErr w:type="spellStart"/>
      <w:r w:rsidRPr="00680D07">
        <w:rPr>
          <w:rFonts w:ascii="Times New Roman" w:hAnsi="Times New Roman" w:cs="Times New Roman"/>
        </w:rPr>
        <w:t>Krettek</w:t>
      </w:r>
      <w:proofErr w:type="spellEnd"/>
      <w:r w:rsidRPr="00680D07">
        <w:rPr>
          <w:rFonts w:ascii="Times New Roman" w:hAnsi="Times New Roman" w:cs="Times New Roman"/>
        </w:rPr>
        <w:t xml:space="preserve"> C. The timing of fracture treatment in polytrauma patients: relevance of damage control orthopaedics. Am J Surg. 2002;183(6):622-629. doi:10.1016/S0002-9610(02)00865-6</w:t>
      </w:r>
    </w:p>
    <w:p w14:paraId="297A4780" w14:textId="77777777" w:rsidR="00F5490C" w:rsidRPr="00680D07" w:rsidRDefault="00F5490C" w:rsidP="00680D07">
      <w:pPr>
        <w:spacing w:after="0" w:line="276" w:lineRule="auto"/>
        <w:rPr>
          <w:rFonts w:ascii="Times New Roman" w:hAnsi="Times New Roman" w:cs="Times New Roman"/>
        </w:rPr>
      </w:pPr>
    </w:p>
    <w:p w14:paraId="5315C6E6"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Giannoudis</w:t>
      </w:r>
      <w:proofErr w:type="spellEnd"/>
      <w:r w:rsidRPr="00680D07">
        <w:rPr>
          <w:rFonts w:ascii="Times New Roman" w:hAnsi="Times New Roman" w:cs="Times New Roman"/>
        </w:rPr>
        <w:t xml:space="preserve"> PV, Hildebrand F, Pape HC. Inflammatory serum markers in patients with multiple trauma: effects of early total care and damage control surgery. J Bone Joint </w:t>
      </w:r>
      <w:proofErr w:type="spellStart"/>
      <w:r w:rsidRPr="00680D07">
        <w:rPr>
          <w:rFonts w:ascii="Times New Roman" w:hAnsi="Times New Roman" w:cs="Times New Roman"/>
        </w:rPr>
        <w:t>Surg</w:t>
      </w:r>
      <w:proofErr w:type="spellEnd"/>
      <w:r w:rsidRPr="00680D07">
        <w:rPr>
          <w:rFonts w:ascii="Times New Roman" w:hAnsi="Times New Roman" w:cs="Times New Roman"/>
        </w:rPr>
        <w:t xml:space="preserve"> Br. 2003;85(3):415-420. doi:10.1302/0301-620X.85B3.13748</w:t>
      </w:r>
    </w:p>
    <w:p w14:paraId="057C57C0" w14:textId="77777777" w:rsidR="00F5490C" w:rsidRPr="00680D07" w:rsidRDefault="00F5490C" w:rsidP="00680D07">
      <w:pPr>
        <w:spacing w:after="0" w:line="276" w:lineRule="auto"/>
        <w:rPr>
          <w:rFonts w:ascii="Times New Roman" w:hAnsi="Times New Roman" w:cs="Times New Roman"/>
        </w:rPr>
      </w:pPr>
    </w:p>
    <w:p w14:paraId="0E3F0D56"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Pape HC, </w:t>
      </w:r>
      <w:proofErr w:type="spellStart"/>
      <w:r w:rsidRPr="00680D07">
        <w:rPr>
          <w:rFonts w:ascii="Times New Roman" w:hAnsi="Times New Roman" w:cs="Times New Roman"/>
        </w:rPr>
        <w:t>Grimme</w:t>
      </w:r>
      <w:proofErr w:type="spellEnd"/>
      <w:r w:rsidRPr="00680D07">
        <w:rPr>
          <w:rFonts w:ascii="Times New Roman" w:hAnsi="Times New Roman" w:cs="Times New Roman"/>
        </w:rPr>
        <w:t xml:space="preserve"> K, van </w:t>
      </w:r>
      <w:proofErr w:type="spellStart"/>
      <w:r w:rsidRPr="00680D07">
        <w:rPr>
          <w:rFonts w:ascii="Times New Roman" w:hAnsi="Times New Roman" w:cs="Times New Roman"/>
        </w:rPr>
        <w:t>Griensven</w:t>
      </w:r>
      <w:proofErr w:type="spellEnd"/>
      <w:r w:rsidRPr="00680D07">
        <w:rPr>
          <w:rFonts w:ascii="Times New Roman" w:hAnsi="Times New Roman" w:cs="Times New Roman"/>
        </w:rPr>
        <w:t xml:space="preserve"> M, et al. Impact of intramedullary instrumentation on systemic inflammation in trauma patients. J </w:t>
      </w:r>
      <w:proofErr w:type="spellStart"/>
      <w:r w:rsidRPr="00680D07">
        <w:rPr>
          <w:rFonts w:ascii="Times New Roman" w:hAnsi="Times New Roman" w:cs="Times New Roman"/>
        </w:rPr>
        <w:t>Orthop</w:t>
      </w:r>
      <w:proofErr w:type="spellEnd"/>
      <w:r w:rsidRPr="00680D07">
        <w:rPr>
          <w:rFonts w:ascii="Times New Roman" w:hAnsi="Times New Roman" w:cs="Times New Roman"/>
        </w:rPr>
        <w:t xml:space="preserve"> Trauma. 2002;16(5):317-323. doi:10.1097/00005131-200205000-00002</w:t>
      </w:r>
    </w:p>
    <w:p w14:paraId="23EF52A4" w14:textId="77777777" w:rsidR="00F5490C" w:rsidRPr="00680D07" w:rsidRDefault="00F5490C" w:rsidP="00680D07">
      <w:pPr>
        <w:spacing w:after="0" w:line="276" w:lineRule="auto"/>
        <w:rPr>
          <w:rFonts w:ascii="Times New Roman" w:hAnsi="Times New Roman" w:cs="Times New Roman"/>
        </w:rPr>
      </w:pPr>
    </w:p>
    <w:p w14:paraId="2F423279"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Pape HC, et al. Early versus delayed stabilization of femoral fractures in patients with multiple injuries. J Trauma. 1999;46(3):448-455. doi:10.1097/00005373-199903000-00011</w:t>
      </w:r>
    </w:p>
    <w:p w14:paraId="19971E15" w14:textId="77777777" w:rsidR="00F5490C" w:rsidRPr="00680D07" w:rsidRDefault="00F5490C" w:rsidP="00680D07">
      <w:pPr>
        <w:spacing w:after="0" w:line="276" w:lineRule="auto"/>
        <w:rPr>
          <w:rFonts w:ascii="Times New Roman" w:hAnsi="Times New Roman" w:cs="Times New Roman"/>
        </w:rPr>
      </w:pPr>
    </w:p>
    <w:p w14:paraId="5569C21A"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Scalea</w:t>
      </w:r>
      <w:proofErr w:type="spellEnd"/>
      <w:r w:rsidRPr="00680D07">
        <w:rPr>
          <w:rFonts w:ascii="Times New Roman" w:hAnsi="Times New Roman" w:cs="Times New Roman"/>
        </w:rPr>
        <w:t xml:space="preserve"> TM, Boswell SA, Scott JD, et al. External fixation as a bridge to definitive intramedullary nailing in unstable patients. J Trauma. 2000;48(4):613-621. doi:10.1097/00005373-200004000-00002</w:t>
      </w:r>
    </w:p>
    <w:p w14:paraId="55483B4E" w14:textId="77777777" w:rsidR="00F5490C" w:rsidRPr="00680D07" w:rsidRDefault="00F5490C" w:rsidP="00680D07">
      <w:pPr>
        <w:spacing w:after="0" w:line="276" w:lineRule="auto"/>
        <w:rPr>
          <w:rFonts w:ascii="Times New Roman" w:hAnsi="Times New Roman" w:cs="Times New Roman"/>
        </w:rPr>
      </w:pPr>
    </w:p>
    <w:p w14:paraId="4F1813B3"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Bone LB, Johnson KD, Weigelt J, et al. Early versus delayed stabilization of femoral fractures: a prospective randomized study. J Bone Joint </w:t>
      </w:r>
      <w:proofErr w:type="spellStart"/>
      <w:r w:rsidRPr="00680D07">
        <w:rPr>
          <w:rFonts w:ascii="Times New Roman" w:hAnsi="Times New Roman" w:cs="Times New Roman"/>
        </w:rPr>
        <w:t>Surg</w:t>
      </w:r>
      <w:proofErr w:type="spellEnd"/>
      <w:r w:rsidRPr="00680D07">
        <w:rPr>
          <w:rFonts w:ascii="Times New Roman" w:hAnsi="Times New Roman" w:cs="Times New Roman"/>
        </w:rPr>
        <w:t xml:space="preserve"> Am. 1989;71(3):336-340. doi:10.2106/00004623-198971030-00003</w:t>
      </w:r>
    </w:p>
    <w:p w14:paraId="69B8973C" w14:textId="77777777" w:rsidR="00F5490C" w:rsidRPr="00680D07" w:rsidRDefault="00F5490C" w:rsidP="00680D07">
      <w:pPr>
        <w:spacing w:after="0" w:line="276" w:lineRule="auto"/>
        <w:rPr>
          <w:rFonts w:ascii="Times New Roman" w:hAnsi="Times New Roman" w:cs="Times New Roman"/>
        </w:rPr>
      </w:pPr>
    </w:p>
    <w:p w14:paraId="698ED780"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Charash</w:t>
      </w:r>
      <w:proofErr w:type="spellEnd"/>
      <w:r w:rsidRPr="00680D07">
        <w:rPr>
          <w:rFonts w:ascii="Times New Roman" w:hAnsi="Times New Roman" w:cs="Times New Roman"/>
        </w:rPr>
        <w:t xml:space="preserve"> WE, Fabian TC, Croce MA. Delayed stabilization of femur fractures increases pulmonary complications. J Trauma. 1994;37(3): 421-429. doi:10.1097/00005373-199409000-00014</w:t>
      </w:r>
    </w:p>
    <w:p w14:paraId="27EE2943" w14:textId="77777777" w:rsidR="00F5490C" w:rsidRPr="00680D07" w:rsidRDefault="00F5490C" w:rsidP="00680D07">
      <w:pPr>
        <w:spacing w:after="0" w:line="276" w:lineRule="auto"/>
        <w:rPr>
          <w:rFonts w:ascii="Times New Roman" w:hAnsi="Times New Roman" w:cs="Times New Roman"/>
        </w:rPr>
      </w:pPr>
    </w:p>
    <w:p w14:paraId="76B1A80F"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Brundage SI, et al. Timing of femur fracture fixation in polytrauma patients and pulmonary complications. J Trauma. 2002;52(2):299-307. doi:10.1097/00005373-200202000-00018</w:t>
      </w:r>
    </w:p>
    <w:p w14:paraId="1889348C" w14:textId="77777777" w:rsidR="00F5490C" w:rsidRPr="00680D07" w:rsidRDefault="00F5490C" w:rsidP="00680D07">
      <w:pPr>
        <w:spacing w:after="0" w:line="276" w:lineRule="auto"/>
        <w:rPr>
          <w:rFonts w:ascii="Times New Roman" w:hAnsi="Times New Roman" w:cs="Times New Roman"/>
        </w:rPr>
      </w:pPr>
    </w:p>
    <w:p w14:paraId="62B1A451"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lastRenderedPageBreak/>
        <w:t xml:space="preserve">Pape HC, </w:t>
      </w:r>
      <w:proofErr w:type="spellStart"/>
      <w:r w:rsidRPr="00680D07">
        <w:rPr>
          <w:rFonts w:ascii="Times New Roman" w:hAnsi="Times New Roman" w:cs="Times New Roman"/>
        </w:rPr>
        <w:t>Tzioupis</w:t>
      </w:r>
      <w:proofErr w:type="spellEnd"/>
      <w:r w:rsidRPr="00680D07">
        <w:rPr>
          <w:rFonts w:ascii="Times New Roman" w:hAnsi="Times New Roman" w:cs="Times New Roman"/>
        </w:rPr>
        <w:t xml:space="preserve"> C, </w:t>
      </w:r>
      <w:proofErr w:type="spellStart"/>
      <w:r w:rsidRPr="00680D07">
        <w:rPr>
          <w:rFonts w:ascii="Times New Roman" w:hAnsi="Times New Roman" w:cs="Times New Roman"/>
        </w:rPr>
        <w:t>Giannoudis</w:t>
      </w:r>
      <w:proofErr w:type="spellEnd"/>
      <w:r w:rsidRPr="00680D07">
        <w:rPr>
          <w:rFonts w:ascii="Times New Roman" w:hAnsi="Times New Roman" w:cs="Times New Roman"/>
        </w:rPr>
        <w:t xml:space="preserve"> PV. Timing of fracture fixation in polytrauma patients: the role of early appropriate care. J </w:t>
      </w:r>
      <w:proofErr w:type="spellStart"/>
      <w:r w:rsidRPr="00680D07">
        <w:rPr>
          <w:rFonts w:ascii="Times New Roman" w:hAnsi="Times New Roman" w:cs="Times New Roman"/>
        </w:rPr>
        <w:t>Orthop</w:t>
      </w:r>
      <w:proofErr w:type="spellEnd"/>
      <w:r w:rsidRPr="00680D07">
        <w:rPr>
          <w:rFonts w:ascii="Times New Roman" w:hAnsi="Times New Roman" w:cs="Times New Roman"/>
        </w:rPr>
        <w:t xml:space="preserve"> Trauma. 2007;21(8): 551-557. doi:10.1097/BOT.0b013e31814b8360</w:t>
      </w:r>
    </w:p>
    <w:p w14:paraId="53F99FE0" w14:textId="77777777" w:rsidR="00F5490C" w:rsidRPr="00680D07" w:rsidRDefault="00F5490C" w:rsidP="00680D07">
      <w:pPr>
        <w:spacing w:after="0" w:line="276" w:lineRule="auto"/>
        <w:rPr>
          <w:rFonts w:ascii="Times New Roman" w:hAnsi="Times New Roman" w:cs="Times New Roman"/>
        </w:rPr>
      </w:pPr>
    </w:p>
    <w:p w14:paraId="2A773628"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Harwood PJ, </w:t>
      </w:r>
      <w:proofErr w:type="spellStart"/>
      <w:r w:rsidRPr="00680D07">
        <w:rPr>
          <w:rFonts w:ascii="Times New Roman" w:hAnsi="Times New Roman" w:cs="Times New Roman"/>
        </w:rPr>
        <w:t>Giannoudis</w:t>
      </w:r>
      <w:proofErr w:type="spellEnd"/>
      <w:r w:rsidRPr="00680D07">
        <w:rPr>
          <w:rFonts w:ascii="Times New Roman" w:hAnsi="Times New Roman" w:cs="Times New Roman"/>
        </w:rPr>
        <w:t xml:space="preserve"> PV. Prophylaxis and management of open fractures. Injury. 2006;37(7):669-676. </w:t>
      </w:r>
      <w:proofErr w:type="gramStart"/>
      <w:r w:rsidRPr="00680D07">
        <w:rPr>
          <w:rFonts w:ascii="Times New Roman" w:hAnsi="Times New Roman" w:cs="Times New Roman"/>
        </w:rPr>
        <w:t>doi:10.1016/j.injury</w:t>
      </w:r>
      <w:proofErr w:type="gramEnd"/>
      <w:r w:rsidRPr="00680D07">
        <w:rPr>
          <w:rFonts w:ascii="Times New Roman" w:hAnsi="Times New Roman" w:cs="Times New Roman"/>
        </w:rPr>
        <w:t>.2006.02.053</w:t>
      </w:r>
    </w:p>
    <w:p w14:paraId="3A6577F2" w14:textId="77777777" w:rsidR="00F5490C" w:rsidRPr="00680D07" w:rsidRDefault="00F5490C" w:rsidP="00680D07">
      <w:pPr>
        <w:spacing w:after="0" w:line="276" w:lineRule="auto"/>
        <w:rPr>
          <w:rFonts w:ascii="Times New Roman" w:hAnsi="Times New Roman" w:cs="Times New Roman"/>
        </w:rPr>
      </w:pPr>
    </w:p>
    <w:p w14:paraId="61B74977"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Hoff WS, </w:t>
      </w:r>
      <w:proofErr w:type="spellStart"/>
      <w:r w:rsidRPr="00680D07">
        <w:rPr>
          <w:rFonts w:ascii="Times New Roman" w:hAnsi="Times New Roman" w:cs="Times New Roman"/>
        </w:rPr>
        <w:t>Bonadies</w:t>
      </w:r>
      <w:proofErr w:type="spellEnd"/>
      <w:r w:rsidRPr="00680D07">
        <w:rPr>
          <w:rFonts w:ascii="Times New Roman" w:hAnsi="Times New Roman" w:cs="Times New Roman"/>
        </w:rPr>
        <w:t xml:space="preserve"> JA, </w:t>
      </w:r>
      <w:proofErr w:type="spellStart"/>
      <w:r w:rsidRPr="00680D07">
        <w:rPr>
          <w:rFonts w:ascii="Times New Roman" w:hAnsi="Times New Roman" w:cs="Times New Roman"/>
        </w:rPr>
        <w:t>Cachecho</w:t>
      </w:r>
      <w:proofErr w:type="spellEnd"/>
      <w:r w:rsidRPr="00680D07">
        <w:rPr>
          <w:rFonts w:ascii="Times New Roman" w:hAnsi="Times New Roman" w:cs="Times New Roman"/>
        </w:rPr>
        <w:t xml:space="preserve"> R, et al. East Practice Management Guidelines for prophylactic antibiotic use in open fractures. J Trauma. 2011;70(3):751-754. doi:10.1097/TA.0b013e31820930e5</w:t>
      </w:r>
    </w:p>
    <w:p w14:paraId="4F8A502B" w14:textId="77777777" w:rsidR="00F5490C" w:rsidRPr="00680D07" w:rsidRDefault="00F5490C" w:rsidP="00680D07">
      <w:pPr>
        <w:spacing w:after="0" w:line="276" w:lineRule="auto"/>
        <w:rPr>
          <w:rFonts w:ascii="Times New Roman" w:hAnsi="Times New Roman" w:cs="Times New Roman"/>
        </w:rPr>
      </w:pPr>
    </w:p>
    <w:p w14:paraId="083257B8"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Bhandari M, et al. Timing of debridement in open fractures: systematic review. J </w:t>
      </w:r>
      <w:proofErr w:type="spellStart"/>
      <w:r w:rsidRPr="00680D07">
        <w:rPr>
          <w:rFonts w:ascii="Times New Roman" w:hAnsi="Times New Roman" w:cs="Times New Roman"/>
        </w:rPr>
        <w:t>Orthop</w:t>
      </w:r>
      <w:proofErr w:type="spellEnd"/>
      <w:r w:rsidRPr="00680D07">
        <w:rPr>
          <w:rFonts w:ascii="Times New Roman" w:hAnsi="Times New Roman" w:cs="Times New Roman"/>
        </w:rPr>
        <w:t xml:space="preserve"> Trauma. 2012;26(7): 405-411. </w:t>
      </w:r>
      <w:proofErr w:type="gramStart"/>
      <w:r w:rsidRPr="00680D07">
        <w:rPr>
          <w:rFonts w:ascii="Times New Roman" w:hAnsi="Times New Roman" w:cs="Times New Roman"/>
        </w:rPr>
        <w:t>doi:10.1097/BOT.0b013e31822b4e8b</w:t>
      </w:r>
      <w:proofErr w:type="gramEnd"/>
    </w:p>
    <w:p w14:paraId="0E5BD602" w14:textId="77777777" w:rsidR="00F5490C" w:rsidRPr="00680D07" w:rsidRDefault="00F5490C" w:rsidP="00680D07">
      <w:pPr>
        <w:spacing w:after="0" w:line="276" w:lineRule="auto"/>
        <w:rPr>
          <w:rFonts w:ascii="Times New Roman" w:hAnsi="Times New Roman" w:cs="Times New Roman"/>
        </w:rPr>
      </w:pPr>
    </w:p>
    <w:p w14:paraId="742DCBFC"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Vallier HA, Super DM, Moore TA, et al. Complications are reduced with early fixation of femur fractures. J Trauma. 2013;74(2): 441-447. </w:t>
      </w:r>
      <w:proofErr w:type="gramStart"/>
      <w:r w:rsidRPr="00680D07">
        <w:rPr>
          <w:rFonts w:ascii="Times New Roman" w:hAnsi="Times New Roman" w:cs="Times New Roman"/>
        </w:rPr>
        <w:t>doi:10.1097/TA.0b013e3182788a5a</w:t>
      </w:r>
      <w:proofErr w:type="gramEnd"/>
    </w:p>
    <w:p w14:paraId="1BF78AC5" w14:textId="77777777" w:rsidR="00F5490C" w:rsidRPr="00680D07" w:rsidRDefault="00F5490C" w:rsidP="00680D07">
      <w:pPr>
        <w:spacing w:after="0" w:line="276" w:lineRule="auto"/>
        <w:rPr>
          <w:rFonts w:ascii="Times New Roman" w:hAnsi="Times New Roman" w:cs="Times New Roman"/>
        </w:rPr>
      </w:pPr>
    </w:p>
    <w:p w14:paraId="029363BD"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Nahm NJ, et al. Damage control orthopaedics and pulmonary outcomes. Injury. 2015;46(12): 2425-2431. </w:t>
      </w:r>
      <w:proofErr w:type="gramStart"/>
      <w:r w:rsidRPr="00680D07">
        <w:rPr>
          <w:rFonts w:ascii="Times New Roman" w:hAnsi="Times New Roman" w:cs="Times New Roman"/>
        </w:rPr>
        <w:t>doi:10.1016/j.injury</w:t>
      </w:r>
      <w:proofErr w:type="gramEnd"/>
      <w:r w:rsidRPr="00680D07">
        <w:rPr>
          <w:rFonts w:ascii="Times New Roman" w:hAnsi="Times New Roman" w:cs="Times New Roman"/>
        </w:rPr>
        <w:t>.2015.09.013</w:t>
      </w:r>
    </w:p>
    <w:p w14:paraId="6B65F7AA" w14:textId="77777777" w:rsidR="00F5490C" w:rsidRPr="00680D07" w:rsidRDefault="00F5490C" w:rsidP="00680D07">
      <w:pPr>
        <w:spacing w:after="0" w:line="276" w:lineRule="auto"/>
        <w:rPr>
          <w:rFonts w:ascii="Times New Roman" w:hAnsi="Times New Roman" w:cs="Times New Roman"/>
        </w:rPr>
      </w:pPr>
    </w:p>
    <w:p w14:paraId="41DB22D4"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Pfeifer R, et al. Current concepts in polytrauma management. Injury. 2016;47(3): 527-536. </w:t>
      </w:r>
      <w:proofErr w:type="gramStart"/>
      <w:r w:rsidRPr="00680D07">
        <w:rPr>
          <w:rFonts w:ascii="Times New Roman" w:hAnsi="Times New Roman" w:cs="Times New Roman"/>
        </w:rPr>
        <w:t>doi:10.1016/j.injury</w:t>
      </w:r>
      <w:proofErr w:type="gramEnd"/>
      <w:r w:rsidRPr="00680D07">
        <w:rPr>
          <w:rFonts w:ascii="Times New Roman" w:hAnsi="Times New Roman" w:cs="Times New Roman"/>
        </w:rPr>
        <w:t>.2015.12.006</w:t>
      </w:r>
    </w:p>
    <w:p w14:paraId="0ED40958" w14:textId="77777777" w:rsidR="00F5490C" w:rsidRPr="00680D07" w:rsidRDefault="00F5490C" w:rsidP="00680D07">
      <w:pPr>
        <w:spacing w:after="0" w:line="276" w:lineRule="auto"/>
        <w:rPr>
          <w:rFonts w:ascii="Times New Roman" w:hAnsi="Times New Roman" w:cs="Times New Roman"/>
        </w:rPr>
      </w:pPr>
    </w:p>
    <w:p w14:paraId="77771EC7"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Pfeifer R, et al. How to clear polytrauma patients for fracture fixation. Injury. 2022;53(4): 1234-1242. </w:t>
      </w:r>
      <w:proofErr w:type="gramStart"/>
      <w:r w:rsidRPr="00680D07">
        <w:rPr>
          <w:rFonts w:ascii="Times New Roman" w:hAnsi="Times New Roman" w:cs="Times New Roman"/>
        </w:rPr>
        <w:t>doi:10.1016/j.injury</w:t>
      </w:r>
      <w:proofErr w:type="gramEnd"/>
      <w:r w:rsidRPr="00680D07">
        <w:rPr>
          <w:rFonts w:ascii="Times New Roman" w:hAnsi="Times New Roman" w:cs="Times New Roman"/>
        </w:rPr>
        <w:t>.2021.12.023</w:t>
      </w:r>
    </w:p>
    <w:p w14:paraId="2FE49FC5" w14:textId="77777777" w:rsidR="00F5490C" w:rsidRPr="00680D07" w:rsidRDefault="00F5490C" w:rsidP="00680D07">
      <w:pPr>
        <w:spacing w:after="0" w:line="276" w:lineRule="auto"/>
        <w:rPr>
          <w:rFonts w:ascii="Times New Roman" w:hAnsi="Times New Roman" w:cs="Times New Roman"/>
        </w:rPr>
      </w:pPr>
    </w:p>
    <w:p w14:paraId="70D21C8F"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Stahel PF, et al. The role of early total care in polytrauma. J Am </w:t>
      </w:r>
      <w:proofErr w:type="spellStart"/>
      <w:r w:rsidRPr="00680D07">
        <w:rPr>
          <w:rFonts w:ascii="Times New Roman" w:hAnsi="Times New Roman" w:cs="Times New Roman"/>
        </w:rPr>
        <w:t>Acad</w:t>
      </w:r>
      <w:proofErr w:type="spellEnd"/>
      <w:r w:rsidRPr="00680D07">
        <w:rPr>
          <w:rFonts w:ascii="Times New Roman" w:hAnsi="Times New Roman" w:cs="Times New Roman"/>
        </w:rPr>
        <w:t xml:space="preserve"> </w:t>
      </w:r>
      <w:proofErr w:type="spellStart"/>
      <w:r w:rsidRPr="00680D07">
        <w:rPr>
          <w:rFonts w:ascii="Times New Roman" w:hAnsi="Times New Roman" w:cs="Times New Roman"/>
        </w:rPr>
        <w:t>Orthop</w:t>
      </w:r>
      <w:proofErr w:type="spellEnd"/>
      <w:r w:rsidRPr="00680D07">
        <w:rPr>
          <w:rFonts w:ascii="Times New Roman" w:hAnsi="Times New Roman" w:cs="Times New Roman"/>
        </w:rPr>
        <w:t xml:space="preserve"> Surg. 2010;18(8): 479-487. doi:10.5435/00124635-201008000-00003</w:t>
      </w:r>
    </w:p>
    <w:p w14:paraId="479E8B8A" w14:textId="77777777" w:rsidR="00F5490C" w:rsidRPr="00680D07" w:rsidRDefault="00F5490C" w:rsidP="00680D07">
      <w:pPr>
        <w:spacing w:after="0" w:line="276" w:lineRule="auto"/>
        <w:rPr>
          <w:rFonts w:ascii="Times New Roman" w:hAnsi="Times New Roman" w:cs="Times New Roman"/>
        </w:rPr>
      </w:pPr>
    </w:p>
    <w:p w14:paraId="285C150F"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Roberts CS, et al. Early stabilization of pelvic fractures reduces morbidity. J Trauma. 2003;55(4): 646-651. doi:10.1097/01.TA.0000087815.01531.31</w:t>
      </w:r>
    </w:p>
    <w:p w14:paraId="6FA0B7D0" w14:textId="77777777" w:rsidR="00F5490C" w:rsidRPr="00680D07" w:rsidRDefault="00F5490C" w:rsidP="00680D07">
      <w:pPr>
        <w:spacing w:after="0" w:line="276" w:lineRule="auto"/>
        <w:rPr>
          <w:rFonts w:ascii="Times New Roman" w:hAnsi="Times New Roman" w:cs="Times New Roman"/>
        </w:rPr>
      </w:pPr>
    </w:p>
    <w:p w14:paraId="03B89ED4"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Vallier HA, Cureton BA, Ekstein C, et al. Early operative treatment of unstable spine fractures in polytrauma. J Trauma. 2010;68(3): 682-689. </w:t>
      </w:r>
      <w:proofErr w:type="gramStart"/>
      <w:r w:rsidRPr="00680D07">
        <w:rPr>
          <w:rFonts w:ascii="Times New Roman" w:hAnsi="Times New Roman" w:cs="Times New Roman"/>
        </w:rPr>
        <w:t>doi:10.1097/TA.0b013e3181cf7ef8</w:t>
      </w:r>
      <w:proofErr w:type="gramEnd"/>
    </w:p>
    <w:p w14:paraId="5CB1CCA8" w14:textId="77777777" w:rsidR="00F5490C" w:rsidRPr="00680D07" w:rsidRDefault="00F5490C" w:rsidP="00680D07">
      <w:pPr>
        <w:spacing w:after="0" w:line="276" w:lineRule="auto"/>
        <w:rPr>
          <w:rFonts w:ascii="Times New Roman" w:hAnsi="Times New Roman" w:cs="Times New Roman"/>
        </w:rPr>
      </w:pPr>
    </w:p>
    <w:p w14:paraId="2C05383A"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Rixen D, et al. “Second hit” phenomenon in trauma surgery. Eur J Trauma. 2002;28: 63-71. doi:10.1007/s00068-002-1207-7</w:t>
      </w:r>
    </w:p>
    <w:p w14:paraId="5F4AD1D3" w14:textId="77777777" w:rsidR="00F5490C" w:rsidRPr="00680D07" w:rsidRDefault="00F5490C" w:rsidP="00680D07">
      <w:pPr>
        <w:spacing w:after="0" w:line="276" w:lineRule="auto"/>
        <w:rPr>
          <w:rFonts w:ascii="Times New Roman" w:hAnsi="Times New Roman" w:cs="Times New Roman"/>
        </w:rPr>
      </w:pPr>
    </w:p>
    <w:p w14:paraId="546073CD"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Waydhas</w:t>
      </w:r>
      <w:proofErr w:type="spellEnd"/>
      <w:r w:rsidRPr="00680D07">
        <w:rPr>
          <w:rFonts w:ascii="Times New Roman" w:hAnsi="Times New Roman" w:cs="Times New Roman"/>
        </w:rPr>
        <w:t xml:space="preserve"> C. The “second hit” in trauma surgery. Eur J Trauma. 2000;26: 139-145.</w:t>
      </w:r>
    </w:p>
    <w:p w14:paraId="13476BBF" w14:textId="77777777" w:rsidR="00F5490C" w:rsidRPr="00680D07" w:rsidRDefault="00F5490C" w:rsidP="00680D07">
      <w:pPr>
        <w:spacing w:after="0" w:line="276" w:lineRule="auto"/>
        <w:rPr>
          <w:rFonts w:ascii="Times New Roman" w:hAnsi="Times New Roman" w:cs="Times New Roman"/>
        </w:rPr>
      </w:pPr>
    </w:p>
    <w:p w14:paraId="35FD43EC"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Pape HC, et al. Damage control orthopaedics in unstable trauma patients. Injury. 2004;35(7): 678-685. </w:t>
      </w:r>
      <w:proofErr w:type="gramStart"/>
      <w:r w:rsidRPr="00680D07">
        <w:rPr>
          <w:rFonts w:ascii="Times New Roman" w:hAnsi="Times New Roman" w:cs="Times New Roman"/>
        </w:rPr>
        <w:t>doi:10.1016/j.injury</w:t>
      </w:r>
      <w:proofErr w:type="gramEnd"/>
      <w:r w:rsidRPr="00680D07">
        <w:rPr>
          <w:rFonts w:ascii="Times New Roman" w:hAnsi="Times New Roman" w:cs="Times New Roman"/>
        </w:rPr>
        <w:t>.2004.01.011</w:t>
      </w:r>
    </w:p>
    <w:p w14:paraId="50237DCA" w14:textId="77777777" w:rsidR="00F5490C" w:rsidRPr="00680D07" w:rsidRDefault="00F5490C" w:rsidP="00680D07">
      <w:pPr>
        <w:spacing w:after="0" w:line="276" w:lineRule="auto"/>
        <w:rPr>
          <w:rFonts w:ascii="Times New Roman" w:hAnsi="Times New Roman" w:cs="Times New Roman"/>
        </w:rPr>
      </w:pPr>
    </w:p>
    <w:p w14:paraId="7C9D8C0A"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Giannoudis</w:t>
      </w:r>
      <w:proofErr w:type="spellEnd"/>
      <w:r w:rsidRPr="00680D07">
        <w:rPr>
          <w:rFonts w:ascii="Times New Roman" w:hAnsi="Times New Roman" w:cs="Times New Roman"/>
        </w:rPr>
        <w:t xml:space="preserve"> PV, et al. Early total care vs damage control in femoral fractures: inflammatory markers. J Trauma. 2005;59(5): 1220-1227. doi:10.1097/01.ta.0000189014.46325.9c</w:t>
      </w:r>
    </w:p>
    <w:p w14:paraId="43125DC9" w14:textId="77777777" w:rsidR="00F5490C" w:rsidRPr="00680D07" w:rsidRDefault="00F5490C" w:rsidP="00680D07">
      <w:pPr>
        <w:spacing w:after="0" w:line="276" w:lineRule="auto"/>
        <w:rPr>
          <w:rFonts w:ascii="Times New Roman" w:hAnsi="Times New Roman" w:cs="Times New Roman"/>
        </w:rPr>
      </w:pPr>
    </w:p>
    <w:p w14:paraId="32A4AF21"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Scalea</w:t>
      </w:r>
      <w:proofErr w:type="spellEnd"/>
      <w:r w:rsidRPr="00680D07">
        <w:rPr>
          <w:rFonts w:ascii="Times New Roman" w:hAnsi="Times New Roman" w:cs="Times New Roman"/>
        </w:rPr>
        <w:t xml:space="preserve"> TM. External fixation as part of damage control strategy. J Trauma. 2004;57(3): 522-527.</w:t>
      </w:r>
    </w:p>
    <w:p w14:paraId="72DF46EC" w14:textId="77777777" w:rsidR="00F5490C" w:rsidRPr="00680D07" w:rsidRDefault="00F5490C" w:rsidP="00680D07">
      <w:pPr>
        <w:spacing w:after="0" w:line="276" w:lineRule="auto"/>
        <w:rPr>
          <w:rFonts w:ascii="Times New Roman" w:hAnsi="Times New Roman" w:cs="Times New Roman"/>
        </w:rPr>
      </w:pPr>
    </w:p>
    <w:p w14:paraId="64A80723" w14:textId="7AB0C5F0"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Pape HC, et al. Timing of surgery in polytrauma: clinical decision-making. Injury. 2009;40(</w:t>
      </w:r>
      <w:proofErr w:type="spellStart"/>
      <w:r w:rsidRPr="00680D07">
        <w:rPr>
          <w:rFonts w:ascii="Times New Roman" w:hAnsi="Times New Roman" w:cs="Times New Roman"/>
        </w:rPr>
        <w:t>Suppl</w:t>
      </w:r>
      <w:proofErr w:type="spellEnd"/>
      <w:r w:rsidRPr="00680D07">
        <w:rPr>
          <w:rFonts w:ascii="Times New Roman" w:hAnsi="Times New Roman" w:cs="Times New Roman"/>
        </w:rPr>
        <w:t xml:space="preserve"> 4</w:t>
      </w:r>
      <w:proofErr w:type="gramStart"/>
      <w:r w:rsidRPr="00680D07">
        <w:rPr>
          <w:rFonts w:ascii="Times New Roman" w:hAnsi="Times New Roman" w:cs="Times New Roman"/>
        </w:rPr>
        <w:t>):S</w:t>
      </w:r>
      <w:proofErr w:type="gramEnd"/>
      <w:r w:rsidRPr="00680D07">
        <w:rPr>
          <w:rFonts w:ascii="Times New Roman" w:hAnsi="Times New Roman" w:cs="Times New Roman"/>
        </w:rPr>
        <w:t>7-S12. doi:10.1016/S0020-1383(09)70004-6</w:t>
      </w:r>
    </w:p>
    <w:p w14:paraId="1346A502" w14:textId="77777777" w:rsidR="00F5490C" w:rsidRPr="00680D07" w:rsidRDefault="00F5490C" w:rsidP="00680D07">
      <w:pPr>
        <w:spacing w:after="0" w:line="276" w:lineRule="auto"/>
        <w:rPr>
          <w:rFonts w:ascii="Times New Roman" w:hAnsi="Times New Roman" w:cs="Times New Roman"/>
        </w:rPr>
      </w:pPr>
    </w:p>
    <w:p w14:paraId="22B6B616"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Moore FA, Moore EE. Evolving concepts in the pathogenesis of postinjury multiple organ failure. </w:t>
      </w:r>
      <w:proofErr w:type="spellStart"/>
      <w:r w:rsidRPr="00680D07">
        <w:rPr>
          <w:rFonts w:ascii="Times New Roman" w:hAnsi="Times New Roman" w:cs="Times New Roman"/>
        </w:rPr>
        <w:t>Surg</w:t>
      </w:r>
      <w:proofErr w:type="spellEnd"/>
      <w:r w:rsidRPr="00680D07">
        <w:rPr>
          <w:rFonts w:ascii="Times New Roman" w:hAnsi="Times New Roman" w:cs="Times New Roman"/>
        </w:rPr>
        <w:t xml:space="preserve"> Clin North Am. 1995;75(2):257-277. doi:10.1016/S0039-6109(16)46678-6</w:t>
      </w:r>
    </w:p>
    <w:p w14:paraId="56743B4A" w14:textId="77777777" w:rsidR="00F5490C" w:rsidRPr="00680D07" w:rsidRDefault="00F5490C" w:rsidP="00680D07">
      <w:pPr>
        <w:spacing w:after="0" w:line="276" w:lineRule="auto"/>
        <w:rPr>
          <w:rFonts w:ascii="Times New Roman" w:hAnsi="Times New Roman" w:cs="Times New Roman"/>
        </w:rPr>
      </w:pPr>
    </w:p>
    <w:p w14:paraId="441362CB"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Bone RC. Toward an epidemiology and natural history of SIRS. JAMA. 1992;268(24):3452-3455. doi:10.1001/jama.1992.03490240076035</w:t>
      </w:r>
    </w:p>
    <w:p w14:paraId="36C1E894" w14:textId="77777777" w:rsidR="00F5490C" w:rsidRPr="00680D07" w:rsidRDefault="00F5490C" w:rsidP="00680D07">
      <w:pPr>
        <w:spacing w:after="0" w:line="276" w:lineRule="auto"/>
        <w:rPr>
          <w:rFonts w:ascii="Times New Roman" w:hAnsi="Times New Roman" w:cs="Times New Roman"/>
        </w:rPr>
      </w:pPr>
    </w:p>
    <w:p w14:paraId="48043FA5"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Rittirsch</w:t>
      </w:r>
      <w:proofErr w:type="spellEnd"/>
      <w:r w:rsidRPr="00680D07">
        <w:rPr>
          <w:rFonts w:ascii="Times New Roman" w:hAnsi="Times New Roman" w:cs="Times New Roman"/>
        </w:rPr>
        <w:t xml:space="preserve"> D, </w:t>
      </w:r>
      <w:proofErr w:type="spellStart"/>
      <w:r w:rsidRPr="00680D07">
        <w:rPr>
          <w:rFonts w:ascii="Times New Roman" w:hAnsi="Times New Roman" w:cs="Times New Roman"/>
        </w:rPr>
        <w:t>Flierl</w:t>
      </w:r>
      <w:proofErr w:type="spellEnd"/>
      <w:r w:rsidRPr="00680D07">
        <w:rPr>
          <w:rFonts w:ascii="Times New Roman" w:hAnsi="Times New Roman" w:cs="Times New Roman"/>
        </w:rPr>
        <w:t xml:space="preserve"> MA, Ward PA. Harmful molecular mechanisms in sepsis. Nat Rev Immunol. 2008;8(10):776-787. doi:10.1038/nri2402</w:t>
      </w:r>
    </w:p>
    <w:p w14:paraId="660A7A86" w14:textId="77777777" w:rsidR="00F5490C" w:rsidRPr="00680D07" w:rsidRDefault="00F5490C" w:rsidP="00680D07">
      <w:pPr>
        <w:spacing w:after="0" w:line="276" w:lineRule="auto"/>
        <w:rPr>
          <w:rFonts w:ascii="Times New Roman" w:hAnsi="Times New Roman" w:cs="Times New Roman"/>
        </w:rPr>
      </w:pPr>
    </w:p>
    <w:p w14:paraId="3B0B61DD"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Lord JM, Midwinter MJ, Chen YF, et al. The systemic immune response to trauma: clinical review. Lancet. 2014;384(9952):1455-1465. doi:10.1016/S0140-6736(14)60687-5</w:t>
      </w:r>
    </w:p>
    <w:p w14:paraId="3EB62670" w14:textId="77777777" w:rsidR="00F5490C" w:rsidRPr="00680D07" w:rsidRDefault="00F5490C" w:rsidP="00680D07">
      <w:pPr>
        <w:spacing w:after="0" w:line="276" w:lineRule="auto"/>
        <w:rPr>
          <w:rFonts w:ascii="Times New Roman" w:hAnsi="Times New Roman" w:cs="Times New Roman"/>
        </w:rPr>
      </w:pPr>
    </w:p>
    <w:p w14:paraId="6CED77A4"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Xiao W, </w:t>
      </w:r>
      <w:proofErr w:type="spellStart"/>
      <w:r w:rsidRPr="00680D07">
        <w:rPr>
          <w:rFonts w:ascii="Times New Roman" w:hAnsi="Times New Roman" w:cs="Times New Roman"/>
        </w:rPr>
        <w:t>Mindrinos</w:t>
      </w:r>
      <w:proofErr w:type="spellEnd"/>
      <w:r w:rsidRPr="00680D07">
        <w:rPr>
          <w:rFonts w:ascii="Times New Roman" w:hAnsi="Times New Roman" w:cs="Times New Roman"/>
        </w:rPr>
        <w:t xml:space="preserve"> MN, Seok J, et al. A genomic storm in critically injured humans. J Exp Med. 2011;208(13):2581-2590. doi:10.1084/jem.20111354</w:t>
      </w:r>
    </w:p>
    <w:p w14:paraId="6D13D06D" w14:textId="77777777" w:rsidR="00F5490C" w:rsidRPr="00680D07" w:rsidRDefault="00F5490C" w:rsidP="00680D07">
      <w:pPr>
        <w:spacing w:after="0" w:line="276" w:lineRule="auto"/>
        <w:rPr>
          <w:rFonts w:ascii="Times New Roman" w:hAnsi="Times New Roman" w:cs="Times New Roman"/>
        </w:rPr>
      </w:pPr>
    </w:p>
    <w:p w14:paraId="2C2FDD8F"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Seok J, Warren HS, Cuenca AG, et al. Genomic responses in mouse models poorly mimic human inflammatory diseases. Proc Natl </w:t>
      </w:r>
      <w:proofErr w:type="spellStart"/>
      <w:r w:rsidRPr="00680D07">
        <w:rPr>
          <w:rFonts w:ascii="Times New Roman" w:hAnsi="Times New Roman" w:cs="Times New Roman"/>
        </w:rPr>
        <w:t>Acad</w:t>
      </w:r>
      <w:proofErr w:type="spellEnd"/>
      <w:r w:rsidRPr="00680D07">
        <w:rPr>
          <w:rFonts w:ascii="Times New Roman" w:hAnsi="Times New Roman" w:cs="Times New Roman"/>
        </w:rPr>
        <w:t xml:space="preserve"> Sci USA. 2013;110(9):3507-3512. doi:10.1073/pnas.1222878110</w:t>
      </w:r>
    </w:p>
    <w:p w14:paraId="43538972" w14:textId="77777777" w:rsidR="00F5490C" w:rsidRPr="00680D07" w:rsidRDefault="00F5490C" w:rsidP="00680D07">
      <w:pPr>
        <w:spacing w:after="0" w:line="276" w:lineRule="auto"/>
        <w:rPr>
          <w:rFonts w:ascii="Times New Roman" w:hAnsi="Times New Roman" w:cs="Times New Roman"/>
        </w:rPr>
      </w:pPr>
    </w:p>
    <w:p w14:paraId="76CCB3BA"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Cohen MJ. Acute traumatic coagulopathy. J Trauma. 2007;62(6 </w:t>
      </w:r>
      <w:proofErr w:type="spellStart"/>
      <w:r w:rsidRPr="00680D07">
        <w:rPr>
          <w:rFonts w:ascii="Times New Roman" w:hAnsi="Times New Roman" w:cs="Times New Roman"/>
        </w:rPr>
        <w:t>Suppl</w:t>
      </w:r>
      <w:proofErr w:type="spellEnd"/>
      <w:proofErr w:type="gramStart"/>
      <w:r w:rsidRPr="00680D07">
        <w:rPr>
          <w:rFonts w:ascii="Times New Roman" w:hAnsi="Times New Roman" w:cs="Times New Roman"/>
        </w:rPr>
        <w:t>):S</w:t>
      </w:r>
      <w:proofErr w:type="gramEnd"/>
      <w:r w:rsidRPr="00680D07">
        <w:rPr>
          <w:rFonts w:ascii="Times New Roman" w:hAnsi="Times New Roman" w:cs="Times New Roman"/>
        </w:rPr>
        <w:t>29-S34. doi:10.1097/TA.0b013e318065b5f2</w:t>
      </w:r>
    </w:p>
    <w:p w14:paraId="2617D431" w14:textId="77777777" w:rsidR="00F5490C" w:rsidRPr="00680D07" w:rsidRDefault="00F5490C" w:rsidP="00680D07">
      <w:pPr>
        <w:spacing w:after="0" w:line="276" w:lineRule="auto"/>
        <w:rPr>
          <w:rFonts w:ascii="Times New Roman" w:hAnsi="Times New Roman" w:cs="Times New Roman"/>
        </w:rPr>
      </w:pPr>
    </w:p>
    <w:p w14:paraId="7B342BBF"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Johansson PI, Stensballe J, Ostrowski SR. Shock-induced </w:t>
      </w:r>
      <w:proofErr w:type="spellStart"/>
      <w:r w:rsidRPr="00680D07">
        <w:rPr>
          <w:rFonts w:ascii="Times New Roman" w:hAnsi="Times New Roman" w:cs="Times New Roman"/>
        </w:rPr>
        <w:t>endotheliopathy</w:t>
      </w:r>
      <w:proofErr w:type="spellEnd"/>
      <w:r w:rsidRPr="00680D07">
        <w:rPr>
          <w:rFonts w:ascii="Times New Roman" w:hAnsi="Times New Roman" w:cs="Times New Roman"/>
        </w:rPr>
        <w:t xml:space="preserve"> (SHINE) in trauma. Crit Care. </w:t>
      </w:r>
      <w:proofErr w:type="gramStart"/>
      <w:r w:rsidRPr="00680D07">
        <w:rPr>
          <w:rFonts w:ascii="Times New Roman" w:hAnsi="Times New Roman" w:cs="Times New Roman"/>
        </w:rPr>
        <w:t>2017;21:25</w:t>
      </w:r>
      <w:proofErr w:type="gramEnd"/>
      <w:r w:rsidRPr="00680D07">
        <w:rPr>
          <w:rFonts w:ascii="Times New Roman" w:hAnsi="Times New Roman" w:cs="Times New Roman"/>
        </w:rPr>
        <w:t>. doi:10.1186/s13054-017-1605-5</w:t>
      </w:r>
    </w:p>
    <w:p w14:paraId="1B7F3753" w14:textId="77777777" w:rsidR="00F5490C" w:rsidRPr="00680D07" w:rsidRDefault="00F5490C" w:rsidP="00680D07">
      <w:pPr>
        <w:spacing w:after="0" w:line="276" w:lineRule="auto"/>
        <w:rPr>
          <w:rFonts w:ascii="Times New Roman" w:hAnsi="Times New Roman" w:cs="Times New Roman"/>
        </w:rPr>
      </w:pPr>
    </w:p>
    <w:p w14:paraId="7A7A2538"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Rahbar E, Cardenas JC, </w:t>
      </w:r>
      <w:proofErr w:type="spellStart"/>
      <w:r w:rsidRPr="00680D07">
        <w:rPr>
          <w:rFonts w:ascii="Times New Roman" w:hAnsi="Times New Roman" w:cs="Times New Roman"/>
        </w:rPr>
        <w:t>Baimukanova</w:t>
      </w:r>
      <w:proofErr w:type="spellEnd"/>
      <w:r w:rsidRPr="00680D07">
        <w:rPr>
          <w:rFonts w:ascii="Times New Roman" w:hAnsi="Times New Roman" w:cs="Times New Roman"/>
        </w:rPr>
        <w:t xml:space="preserve"> G, et al. Endothelial glycocalyx shedding in trauma. J </w:t>
      </w:r>
      <w:proofErr w:type="spellStart"/>
      <w:r w:rsidRPr="00680D07">
        <w:rPr>
          <w:rFonts w:ascii="Times New Roman" w:hAnsi="Times New Roman" w:cs="Times New Roman"/>
        </w:rPr>
        <w:t>Transl</w:t>
      </w:r>
      <w:proofErr w:type="spellEnd"/>
      <w:r w:rsidRPr="00680D07">
        <w:rPr>
          <w:rFonts w:ascii="Times New Roman" w:hAnsi="Times New Roman" w:cs="Times New Roman"/>
        </w:rPr>
        <w:t xml:space="preserve"> Med. </w:t>
      </w:r>
      <w:proofErr w:type="gramStart"/>
      <w:r w:rsidRPr="00680D07">
        <w:rPr>
          <w:rFonts w:ascii="Times New Roman" w:hAnsi="Times New Roman" w:cs="Times New Roman"/>
        </w:rPr>
        <w:t>2015;13:117</w:t>
      </w:r>
      <w:proofErr w:type="gramEnd"/>
      <w:r w:rsidRPr="00680D07">
        <w:rPr>
          <w:rFonts w:ascii="Times New Roman" w:hAnsi="Times New Roman" w:cs="Times New Roman"/>
        </w:rPr>
        <w:t>. doi:10.1186/s12967-015-0481-5</w:t>
      </w:r>
    </w:p>
    <w:p w14:paraId="3AF2CCC8" w14:textId="77777777" w:rsidR="00F5490C" w:rsidRPr="00680D07" w:rsidRDefault="00F5490C" w:rsidP="00680D07">
      <w:pPr>
        <w:spacing w:after="0" w:line="276" w:lineRule="auto"/>
        <w:rPr>
          <w:rFonts w:ascii="Times New Roman" w:hAnsi="Times New Roman" w:cs="Times New Roman"/>
        </w:rPr>
      </w:pPr>
    </w:p>
    <w:p w14:paraId="0FA6DCD1"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Tuma M, </w:t>
      </w:r>
      <w:proofErr w:type="spellStart"/>
      <w:r w:rsidRPr="00680D07">
        <w:rPr>
          <w:rFonts w:ascii="Times New Roman" w:hAnsi="Times New Roman" w:cs="Times New Roman"/>
        </w:rPr>
        <w:t>Canestrini</w:t>
      </w:r>
      <w:proofErr w:type="spellEnd"/>
      <w:r w:rsidRPr="00680D07">
        <w:rPr>
          <w:rFonts w:ascii="Times New Roman" w:hAnsi="Times New Roman" w:cs="Times New Roman"/>
        </w:rPr>
        <w:t xml:space="preserve"> S, </w:t>
      </w:r>
      <w:proofErr w:type="spellStart"/>
      <w:r w:rsidRPr="00680D07">
        <w:rPr>
          <w:rFonts w:ascii="Times New Roman" w:hAnsi="Times New Roman" w:cs="Times New Roman"/>
        </w:rPr>
        <w:t>Alwahab</w:t>
      </w:r>
      <w:proofErr w:type="spellEnd"/>
      <w:r w:rsidRPr="00680D07">
        <w:rPr>
          <w:rFonts w:ascii="Times New Roman" w:hAnsi="Times New Roman" w:cs="Times New Roman"/>
        </w:rPr>
        <w:t xml:space="preserve"> Z, Marshall J. Trauma and endothelial glycocalyx. Shock. 2016;46(4):352-357. doi:10.1097/SHK.0000000000000635</w:t>
      </w:r>
    </w:p>
    <w:p w14:paraId="0F71EE55" w14:textId="77777777" w:rsidR="00F5490C" w:rsidRPr="00680D07" w:rsidRDefault="00F5490C" w:rsidP="00680D07">
      <w:pPr>
        <w:spacing w:after="0" w:line="276" w:lineRule="auto"/>
        <w:rPr>
          <w:rFonts w:ascii="Times New Roman" w:hAnsi="Times New Roman" w:cs="Times New Roman"/>
        </w:rPr>
      </w:pPr>
    </w:p>
    <w:p w14:paraId="20D0F365"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Sauaia</w:t>
      </w:r>
      <w:proofErr w:type="spellEnd"/>
      <w:r w:rsidRPr="00680D07">
        <w:rPr>
          <w:rFonts w:ascii="Times New Roman" w:hAnsi="Times New Roman" w:cs="Times New Roman"/>
        </w:rPr>
        <w:t xml:space="preserve"> A, Moore FA, Moore EE, et al. Epidemiology of trauma deaths: relevance to multiple organ failure. J Trauma. 1995;38(2):185-193. doi:10.1097/00005373-199502000-00006</w:t>
      </w:r>
    </w:p>
    <w:p w14:paraId="0B162C3B" w14:textId="77777777" w:rsidR="00F5490C" w:rsidRPr="00680D07" w:rsidRDefault="00F5490C" w:rsidP="00680D07">
      <w:pPr>
        <w:spacing w:after="0" w:line="276" w:lineRule="auto"/>
        <w:rPr>
          <w:rFonts w:ascii="Times New Roman" w:hAnsi="Times New Roman" w:cs="Times New Roman"/>
        </w:rPr>
      </w:pPr>
    </w:p>
    <w:p w14:paraId="6CAB924C"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Dewar DC, Tarrant SM, King KL, et al. Compartment syndrome in polytrauma: pathophysiology and outcomes. Injury. 2013;44(10):1230-1236. </w:t>
      </w:r>
      <w:proofErr w:type="gramStart"/>
      <w:r w:rsidRPr="00680D07">
        <w:rPr>
          <w:rFonts w:ascii="Times New Roman" w:hAnsi="Times New Roman" w:cs="Times New Roman"/>
        </w:rPr>
        <w:t>doi:10.1016/j.injury</w:t>
      </w:r>
      <w:proofErr w:type="gramEnd"/>
      <w:r w:rsidRPr="00680D07">
        <w:rPr>
          <w:rFonts w:ascii="Times New Roman" w:hAnsi="Times New Roman" w:cs="Times New Roman"/>
        </w:rPr>
        <w:t>.2013.03.015</w:t>
      </w:r>
    </w:p>
    <w:p w14:paraId="0D1856AA" w14:textId="77777777" w:rsidR="00F5490C" w:rsidRPr="00680D07" w:rsidRDefault="00F5490C" w:rsidP="00680D07">
      <w:pPr>
        <w:spacing w:after="0" w:line="276" w:lineRule="auto"/>
        <w:rPr>
          <w:rFonts w:ascii="Times New Roman" w:hAnsi="Times New Roman" w:cs="Times New Roman"/>
        </w:rPr>
      </w:pPr>
    </w:p>
    <w:p w14:paraId="79C15E58"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Pape HC, </w:t>
      </w:r>
      <w:proofErr w:type="spellStart"/>
      <w:r w:rsidRPr="00680D07">
        <w:rPr>
          <w:rFonts w:ascii="Times New Roman" w:hAnsi="Times New Roman" w:cs="Times New Roman"/>
        </w:rPr>
        <w:t>Giannoudis</w:t>
      </w:r>
      <w:proofErr w:type="spellEnd"/>
      <w:r w:rsidRPr="00680D07">
        <w:rPr>
          <w:rFonts w:ascii="Times New Roman" w:hAnsi="Times New Roman" w:cs="Times New Roman"/>
        </w:rPr>
        <w:t xml:space="preserve"> PV, </w:t>
      </w:r>
      <w:proofErr w:type="spellStart"/>
      <w:r w:rsidRPr="00680D07">
        <w:rPr>
          <w:rFonts w:ascii="Times New Roman" w:hAnsi="Times New Roman" w:cs="Times New Roman"/>
        </w:rPr>
        <w:t>Krettek</w:t>
      </w:r>
      <w:proofErr w:type="spellEnd"/>
      <w:r w:rsidRPr="00680D07">
        <w:rPr>
          <w:rFonts w:ascii="Times New Roman" w:hAnsi="Times New Roman" w:cs="Times New Roman"/>
        </w:rPr>
        <w:t xml:space="preserve"> C. Timing of fracture fixation in polytrauma. Am J Surg. 2002;183(6):622-629. doi:10.1016/S0002-9610(02)00865-6</w:t>
      </w:r>
    </w:p>
    <w:p w14:paraId="0A4D44B7" w14:textId="77777777" w:rsidR="00F5490C" w:rsidRPr="00680D07" w:rsidRDefault="00F5490C" w:rsidP="00680D07">
      <w:pPr>
        <w:spacing w:after="0" w:line="276" w:lineRule="auto"/>
        <w:rPr>
          <w:rFonts w:ascii="Times New Roman" w:hAnsi="Times New Roman" w:cs="Times New Roman"/>
        </w:rPr>
      </w:pPr>
    </w:p>
    <w:p w14:paraId="5151E5F0"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Cuschieri J, Maier RV. The inflammatory response after injury. </w:t>
      </w:r>
      <w:proofErr w:type="spellStart"/>
      <w:r w:rsidRPr="00680D07">
        <w:rPr>
          <w:rFonts w:ascii="Times New Roman" w:hAnsi="Times New Roman" w:cs="Times New Roman"/>
        </w:rPr>
        <w:t>Curr</w:t>
      </w:r>
      <w:proofErr w:type="spellEnd"/>
      <w:r w:rsidRPr="00680D07">
        <w:rPr>
          <w:rFonts w:ascii="Times New Roman" w:hAnsi="Times New Roman" w:cs="Times New Roman"/>
        </w:rPr>
        <w:t xml:space="preserve"> </w:t>
      </w:r>
      <w:proofErr w:type="spellStart"/>
      <w:r w:rsidRPr="00680D07">
        <w:rPr>
          <w:rFonts w:ascii="Times New Roman" w:hAnsi="Times New Roman" w:cs="Times New Roman"/>
        </w:rPr>
        <w:t>Opin</w:t>
      </w:r>
      <w:proofErr w:type="spellEnd"/>
      <w:r w:rsidRPr="00680D07">
        <w:rPr>
          <w:rFonts w:ascii="Times New Roman" w:hAnsi="Times New Roman" w:cs="Times New Roman"/>
        </w:rPr>
        <w:t xml:space="preserve"> </w:t>
      </w:r>
      <w:proofErr w:type="spellStart"/>
      <w:r w:rsidRPr="00680D07">
        <w:rPr>
          <w:rFonts w:ascii="Times New Roman" w:hAnsi="Times New Roman" w:cs="Times New Roman"/>
        </w:rPr>
        <w:t>Crit</w:t>
      </w:r>
      <w:proofErr w:type="spellEnd"/>
      <w:r w:rsidRPr="00680D07">
        <w:rPr>
          <w:rFonts w:ascii="Times New Roman" w:hAnsi="Times New Roman" w:cs="Times New Roman"/>
        </w:rPr>
        <w:t xml:space="preserve"> Care. 2007;13(4): 326-331. doi:10.1097/MCC.0b013e3281e2a0c6</w:t>
      </w:r>
    </w:p>
    <w:p w14:paraId="4DEF10A3" w14:textId="77777777" w:rsidR="00F5490C" w:rsidRPr="00680D07" w:rsidRDefault="00F5490C" w:rsidP="00680D07">
      <w:pPr>
        <w:spacing w:after="0" w:line="276" w:lineRule="auto"/>
        <w:rPr>
          <w:rFonts w:ascii="Times New Roman" w:hAnsi="Times New Roman" w:cs="Times New Roman"/>
        </w:rPr>
      </w:pPr>
    </w:p>
    <w:p w14:paraId="675E1EFF"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Goris RJ, </w:t>
      </w:r>
      <w:proofErr w:type="spellStart"/>
      <w:r w:rsidRPr="00680D07">
        <w:rPr>
          <w:rFonts w:ascii="Times New Roman" w:hAnsi="Times New Roman" w:cs="Times New Roman"/>
        </w:rPr>
        <w:t>te</w:t>
      </w:r>
      <w:proofErr w:type="spellEnd"/>
      <w:r w:rsidRPr="00680D07">
        <w:rPr>
          <w:rFonts w:ascii="Times New Roman" w:hAnsi="Times New Roman" w:cs="Times New Roman"/>
        </w:rPr>
        <w:t xml:space="preserve"> </w:t>
      </w:r>
      <w:proofErr w:type="spellStart"/>
      <w:r w:rsidRPr="00680D07">
        <w:rPr>
          <w:rFonts w:ascii="Times New Roman" w:hAnsi="Times New Roman" w:cs="Times New Roman"/>
        </w:rPr>
        <w:t>Boekhorst</w:t>
      </w:r>
      <w:proofErr w:type="spellEnd"/>
      <w:r w:rsidRPr="00680D07">
        <w:rPr>
          <w:rFonts w:ascii="Times New Roman" w:hAnsi="Times New Roman" w:cs="Times New Roman"/>
        </w:rPr>
        <w:t xml:space="preserve"> TP, </w:t>
      </w:r>
      <w:proofErr w:type="spellStart"/>
      <w:r w:rsidRPr="00680D07">
        <w:rPr>
          <w:rFonts w:ascii="Times New Roman" w:hAnsi="Times New Roman" w:cs="Times New Roman"/>
        </w:rPr>
        <w:t>Nuytinck</w:t>
      </w:r>
      <w:proofErr w:type="spellEnd"/>
      <w:r w:rsidRPr="00680D07">
        <w:rPr>
          <w:rFonts w:ascii="Times New Roman" w:hAnsi="Times New Roman" w:cs="Times New Roman"/>
        </w:rPr>
        <w:t xml:space="preserve"> JK, </w:t>
      </w:r>
      <w:proofErr w:type="spellStart"/>
      <w:r w:rsidRPr="00680D07">
        <w:rPr>
          <w:rFonts w:ascii="Times New Roman" w:hAnsi="Times New Roman" w:cs="Times New Roman"/>
        </w:rPr>
        <w:t>Gimbrère</w:t>
      </w:r>
      <w:proofErr w:type="spellEnd"/>
      <w:r w:rsidRPr="00680D07">
        <w:rPr>
          <w:rFonts w:ascii="Times New Roman" w:hAnsi="Times New Roman" w:cs="Times New Roman"/>
        </w:rPr>
        <w:t xml:space="preserve"> JS. Multiple-organ failure: generalised </w:t>
      </w:r>
      <w:proofErr w:type="spellStart"/>
      <w:r w:rsidRPr="00680D07">
        <w:rPr>
          <w:rFonts w:ascii="Times New Roman" w:hAnsi="Times New Roman" w:cs="Times New Roman"/>
        </w:rPr>
        <w:t>autodestructive</w:t>
      </w:r>
      <w:proofErr w:type="spellEnd"/>
      <w:r w:rsidRPr="00680D07">
        <w:rPr>
          <w:rFonts w:ascii="Times New Roman" w:hAnsi="Times New Roman" w:cs="Times New Roman"/>
        </w:rPr>
        <w:t xml:space="preserve"> inflammation. Arch Surg. 1985;120(10):1109-1115. doi:10.1001/archsurg.1985.01390340041008</w:t>
      </w:r>
    </w:p>
    <w:p w14:paraId="20D7F80D" w14:textId="77777777" w:rsidR="00F5490C" w:rsidRPr="00680D07" w:rsidRDefault="00F5490C" w:rsidP="00680D07">
      <w:pPr>
        <w:spacing w:after="0" w:line="276" w:lineRule="auto"/>
        <w:rPr>
          <w:rFonts w:ascii="Times New Roman" w:hAnsi="Times New Roman" w:cs="Times New Roman"/>
        </w:rPr>
      </w:pPr>
    </w:p>
    <w:p w14:paraId="1853D547"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Herndon DN, Tompkins RG. Support of the metabolic response to burn injury. Lancet. 2004;363(9424):1895-1902. doi:10.1016/S0140-6736(04)16360-5</w:t>
      </w:r>
    </w:p>
    <w:p w14:paraId="6329D45D" w14:textId="77777777" w:rsidR="00F5490C" w:rsidRPr="00680D07" w:rsidRDefault="00F5490C" w:rsidP="00680D07">
      <w:pPr>
        <w:spacing w:after="0" w:line="276" w:lineRule="auto"/>
        <w:rPr>
          <w:rFonts w:ascii="Times New Roman" w:hAnsi="Times New Roman" w:cs="Times New Roman"/>
        </w:rPr>
      </w:pPr>
    </w:p>
    <w:p w14:paraId="56C4F03D"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Porter C, Herndon DN, Børsheim E, et al. Long-term skeletal muscle hypermetabolism after trauma. Lancet. 2013;381(9866): 1693-1701. doi:10.1016/S0140-6736(12)61830-5</w:t>
      </w:r>
    </w:p>
    <w:p w14:paraId="5C41490C" w14:textId="77777777" w:rsidR="00F5490C" w:rsidRPr="00680D07" w:rsidRDefault="00F5490C" w:rsidP="00680D07">
      <w:pPr>
        <w:spacing w:after="0" w:line="276" w:lineRule="auto"/>
        <w:rPr>
          <w:rFonts w:ascii="Times New Roman" w:hAnsi="Times New Roman" w:cs="Times New Roman"/>
        </w:rPr>
      </w:pPr>
    </w:p>
    <w:p w14:paraId="4F9C38FC"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Biolo</w:t>
      </w:r>
      <w:proofErr w:type="spellEnd"/>
      <w:r w:rsidRPr="00680D07">
        <w:rPr>
          <w:rFonts w:ascii="Times New Roman" w:hAnsi="Times New Roman" w:cs="Times New Roman"/>
        </w:rPr>
        <w:t xml:space="preserve"> G, </w:t>
      </w:r>
      <w:proofErr w:type="spellStart"/>
      <w:r w:rsidRPr="00680D07">
        <w:rPr>
          <w:rFonts w:ascii="Times New Roman" w:hAnsi="Times New Roman" w:cs="Times New Roman"/>
        </w:rPr>
        <w:t>Toigo</w:t>
      </w:r>
      <w:proofErr w:type="spellEnd"/>
      <w:r w:rsidRPr="00680D07">
        <w:rPr>
          <w:rFonts w:ascii="Times New Roman" w:hAnsi="Times New Roman" w:cs="Times New Roman"/>
        </w:rPr>
        <w:t xml:space="preserve"> G, </w:t>
      </w:r>
      <w:proofErr w:type="spellStart"/>
      <w:r w:rsidRPr="00680D07">
        <w:rPr>
          <w:rFonts w:ascii="Times New Roman" w:hAnsi="Times New Roman" w:cs="Times New Roman"/>
        </w:rPr>
        <w:t>Ciocchi</w:t>
      </w:r>
      <w:proofErr w:type="spellEnd"/>
      <w:r w:rsidRPr="00680D07">
        <w:rPr>
          <w:rFonts w:ascii="Times New Roman" w:hAnsi="Times New Roman" w:cs="Times New Roman"/>
        </w:rPr>
        <w:t xml:space="preserve"> B, et al. Metabolic response to injury and skeletal muscle protein breakdown. Am J Physiol. 1997;</w:t>
      </w:r>
      <w:proofErr w:type="gramStart"/>
      <w:r w:rsidRPr="00680D07">
        <w:rPr>
          <w:rFonts w:ascii="Times New Roman" w:hAnsi="Times New Roman" w:cs="Times New Roman"/>
        </w:rPr>
        <w:t>273:E</w:t>
      </w:r>
      <w:proofErr w:type="gramEnd"/>
      <w:r w:rsidRPr="00680D07">
        <w:rPr>
          <w:rFonts w:ascii="Times New Roman" w:hAnsi="Times New Roman" w:cs="Times New Roman"/>
        </w:rPr>
        <w:t>122-E129. doi:10.1152/ajpendo.1997.273.</w:t>
      </w:r>
      <w:proofErr w:type="gramStart"/>
      <w:r w:rsidRPr="00680D07">
        <w:rPr>
          <w:rFonts w:ascii="Times New Roman" w:hAnsi="Times New Roman" w:cs="Times New Roman"/>
        </w:rPr>
        <w:t>1.E</w:t>
      </w:r>
      <w:proofErr w:type="gramEnd"/>
      <w:r w:rsidRPr="00680D07">
        <w:rPr>
          <w:rFonts w:ascii="Times New Roman" w:hAnsi="Times New Roman" w:cs="Times New Roman"/>
        </w:rPr>
        <w:t>122</w:t>
      </w:r>
    </w:p>
    <w:p w14:paraId="3742FD67" w14:textId="77777777" w:rsidR="00F5490C" w:rsidRPr="00680D07" w:rsidRDefault="00F5490C" w:rsidP="00680D07">
      <w:pPr>
        <w:spacing w:after="0" w:line="276" w:lineRule="auto"/>
        <w:rPr>
          <w:rFonts w:ascii="Times New Roman" w:hAnsi="Times New Roman" w:cs="Times New Roman"/>
        </w:rPr>
      </w:pPr>
    </w:p>
    <w:p w14:paraId="20003ACD"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Wolfe RR. The underappreciated role of muscle in recovery from trauma. Am J Clin Nutr. 2006;84(3):475-482. doi:10.1093/</w:t>
      </w:r>
      <w:proofErr w:type="spellStart"/>
      <w:r w:rsidRPr="00680D07">
        <w:rPr>
          <w:rFonts w:ascii="Times New Roman" w:hAnsi="Times New Roman" w:cs="Times New Roman"/>
        </w:rPr>
        <w:t>ajcn</w:t>
      </w:r>
      <w:proofErr w:type="spellEnd"/>
      <w:r w:rsidRPr="00680D07">
        <w:rPr>
          <w:rFonts w:ascii="Times New Roman" w:hAnsi="Times New Roman" w:cs="Times New Roman"/>
        </w:rPr>
        <w:t>/84.3.475</w:t>
      </w:r>
    </w:p>
    <w:p w14:paraId="43DC90E8" w14:textId="77777777" w:rsidR="00F5490C" w:rsidRPr="00680D07" w:rsidRDefault="00F5490C" w:rsidP="00680D07">
      <w:pPr>
        <w:spacing w:after="0" w:line="276" w:lineRule="auto"/>
        <w:rPr>
          <w:rFonts w:ascii="Times New Roman" w:hAnsi="Times New Roman" w:cs="Times New Roman"/>
        </w:rPr>
      </w:pPr>
    </w:p>
    <w:p w14:paraId="7FAFE43A"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Ferrucci L, Fabbri E. Inflammageing and muscle decline. Nat Rev </w:t>
      </w:r>
      <w:proofErr w:type="spellStart"/>
      <w:r w:rsidRPr="00680D07">
        <w:rPr>
          <w:rFonts w:ascii="Times New Roman" w:hAnsi="Times New Roman" w:cs="Times New Roman"/>
        </w:rPr>
        <w:t>Cardiol</w:t>
      </w:r>
      <w:proofErr w:type="spellEnd"/>
      <w:r w:rsidRPr="00680D07">
        <w:rPr>
          <w:rFonts w:ascii="Times New Roman" w:hAnsi="Times New Roman" w:cs="Times New Roman"/>
        </w:rPr>
        <w:t>. 2018;15(9):505-522. doi:10.1038/s41569-018-0064-8</w:t>
      </w:r>
    </w:p>
    <w:p w14:paraId="19D37E02" w14:textId="77777777" w:rsidR="00F5490C" w:rsidRPr="00680D07" w:rsidRDefault="00F5490C" w:rsidP="00680D07">
      <w:pPr>
        <w:spacing w:after="0" w:line="276" w:lineRule="auto"/>
        <w:rPr>
          <w:rFonts w:ascii="Times New Roman" w:hAnsi="Times New Roman" w:cs="Times New Roman"/>
        </w:rPr>
      </w:pPr>
    </w:p>
    <w:p w14:paraId="6195CCCB"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Ware LB, </w:t>
      </w:r>
      <w:proofErr w:type="spellStart"/>
      <w:r w:rsidRPr="00680D07">
        <w:rPr>
          <w:rFonts w:ascii="Times New Roman" w:hAnsi="Times New Roman" w:cs="Times New Roman"/>
        </w:rPr>
        <w:t>Matthay</w:t>
      </w:r>
      <w:proofErr w:type="spellEnd"/>
      <w:r w:rsidRPr="00680D07">
        <w:rPr>
          <w:rFonts w:ascii="Times New Roman" w:hAnsi="Times New Roman" w:cs="Times New Roman"/>
        </w:rPr>
        <w:t xml:space="preserve"> MA. The acute respiratory distress syndrome. N Engl J Med. 2000;342(18):1334-1349. doi:10.1056/NEJM200005043421806</w:t>
      </w:r>
    </w:p>
    <w:p w14:paraId="4ADE7F2E" w14:textId="77777777" w:rsidR="00F5490C" w:rsidRPr="00680D07" w:rsidRDefault="00F5490C" w:rsidP="00680D07">
      <w:pPr>
        <w:spacing w:after="0" w:line="276" w:lineRule="auto"/>
        <w:rPr>
          <w:rFonts w:ascii="Times New Roman" w:hAnsi="Times New Roman" w:cs="Times New Roman"/>
        </w:rPr>
      </w:pPr>
    </w:p>
    <w:p w14:paraId="54C1F614"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Geerts WH, et al. Prevention of venous thromboembolism in trauma patients. Chest. 2008;133(6 </w:t>
      </w:r>
      <w:proofErr w:type="spellStart"/>
      <w:r w:rsidRPr="00680D07">
        <w:rPr>
          <w:rFonts w:ascii="Times New Roman" w:hAnsi="Times New Roman" w:cs="Times New Roman"/>
        </w:rPr>
        <w:t>Suppl</w:t>
      </w:r>
      <w:proofErr w:type="spellEnd"/>
      <w:r w:rsidRPr="00680D07">
        <w:rPr>
          <w:rFonts w:ascii="Times New Roman" w:hAnsi="Times New Roman" w:cs="Times New Roman"/>
        </w:rPr>
        <w:t>):381S-453S. doi:10.1378/chest.08-0656</w:t>
      </w:r>
    </w:p>
    <w:p w14:paraId="300A4C76" w14:textId="77777777" w:rsidR="00F5490C" w:rsidRPr="00680D07" w:rsidRDefault="00F5490C" w:rsidP="00680D07">
      <w:pPr>
        <w:spacing w:after="0" w:line="276" w:lineRule="auto"/>
        <w:rPr>
          <w:rFonts w:ascii="Times New Roman" w:hAnsi="Times New Roman" w:cs="Times New Roman"/>
        </w:rPr>
      </w:pPr>
    </w:p>
    <w:p w14:paraId="162413A0"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Knudson MM, et al. Thromboembolism after trauma: incidence and prevention. J Trauma. 2004;56(1): 66-74. doi:10.1097/01.TA.0000107381.32121.12</w:t>
      </w:r>
    </w:p>
    <w:p w14:paraId="0111A2EB" w14:textId="77777777" w:rsidR="00F5490C" w:rsidRPr="00680D07" w:rsidRDefault="00F5490C" w:rsidP="00680D07">
      <w:pPr>
        <w:spacing w:after="0" w:line="276" w:lineRule="auto"/>
        <w:rPr>
          <w:rFonts w:ascii="Times New Roman" w:hAnsi="Times New Roman" w:cs="Times New Roman"/>
        </w:rPr>
      </w:pPr>
    </w:p>
    <w:p w14:paraId="1CA3B0EB"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Gando S, Otomo Y. Local fibrinolysis shutdown and trauma coagulopathy. Crit Care. 2015;19: 1-8. doi:10.1186/s13054-015-0976-1</w:t>
      </w:r>
    </w:p>
    <w:p w14:paraId="4EC6ECE8" w14:textId="77777777" w:rsidR="00F5490C" w:rsidRPr="00680D07" w:rsidRDefault="00F5490C" w:rsidP="00680D07">
      <w:pPr>
        <w:spacing w:after="0" w:line="276" w:lineRule="auto"/>
        <w:rPr>
          <w:rFonts w:ascii="Times New Roman" w:hAnsi="Times New Roman" w:cs="Times New Roman"/>
        </w:rPr>
      </w:pPr>
    </w:p>
    <w:p w14:paraId="4207CA36" w14:textId="407B54D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Shapiro NI, et al. Endothelial activation and dysfunction in trauma and sepsis. Crit Care. 2010;14(3): 1-9. doi:10.1186/cc8890</w:t>
      </w:r>
    </w:p>
    <w:p w14:paraId="01F578DD" w14:textId="77777777" w:rsidR="00F5490C" w:rsidRPr="00680D07" w:rsidRDefault="00F5490C" w:rsidP="00680D07">
      <w:pPr>
        <w:spacing w:after="0" w:line="276" w:lineRule="auto"/>
        <w:rPr>
          <w:rFonts w:ascii="Times New Roman" w:hAnsi="Times New Roman" w:cs="Times New Roman"/>
        </w:rPr>
      </w:pPr>
    </w:p>
    <w:p w14:paraId="0C00ACE5"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Haagsma JA, et al. The global burden of injury: incidence, mortality, and disability-adjusted life years. Lancet. 2020;396(10245):1204-1222. doi:10.1016/S0140-6736(20)31204-6</w:t>
      </w:r>
    </w:p>
    <w:p w14:paraId="10F59068" w14:textId="77777777" w:rsidR="00F5490C" w:rsidRPr="00680D07" w:rsidRDefault="00F5490C" w:rsidP="00680D07">
      <w:pPr>
        <w:spacing w:after="0" w:line="276" w:lineRule="auto"/>
        <w:rPr>
          <w:rFonts w:ascii="Times New Roman" w:hAnsi="Times New Roman" w:cs="Times New Roman"/>
        </w:rPr>
      </w:pPr>
    </w:p>
    <w:p w14:paraId="37B196A3"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Meara JG, et al. Global Surgery 2030: evidence and solutions for achieving health and economic development. Lancet. 2015;386(9993):569-624. doi:10.1016/S0140-6736(15)60160-X</w:t>
      </w:r>
    </w:p>
    <w:p w14:paraId="32ECAF2D" w14:textId="77777777" w:rsidR="00F5490C" w:rsidRPr="00680D07" w:rsidRDefault="00F5490C" w:rsidP="00680D07">
      <w:pPr>
        <w:spacing w:after="0" w:line="276" w:lineRule="auto"/>
        <w:rPr>
          <w:rFonts w:ascii="Times New Roman" w:hAnsi="Times New Roman" w:cs="Times New Roman"/>
        </w:rPr>
      </w:pPr>
    </w:p>
    <w:p w14:paraId="3D092185"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Mock CN, </w:t>
      </w:r>
      <w:proofErr w:type="spellStart"/>
      <w:r w:rsidRPr="00680D07">
        <w:rPr>
          <w:rFonts w:ascii="Times New Roman" w:hAnsi="Times New Roman" w:cs="Times New Roman"/>
        </w:rPr>
        <w:t>Jurkovich</w:t>
      </w:r>
      <w:proofErr w:type="spellEnd"/>
      <w:r w:rsidRPr="00680D07">
        <w:rPr>
          <w:rFonts w:ascii="Times New Roman" w:hAnsi="Times New Roman" w:cs="Times New Roman"/>
        </w:rPr>
        <w:t xml:space="preserve"> GJ, </w:t>
      </w:r>
      <w:proofErr w:type="spellStart"/>
      <w:r w:rsidRPr="00680D07">
        <w:rPr>
          <w:rFonts w:ascii="Times New Roman" w:hAnsi="Times New Roman" w:cs="Times New Roman"/>
        </w:rPr>
        <w:t>nii</w:t>
      </w:r>
      <w:proofErr w:type="spellEnd"/>
      <w:r w:rsidRPr="00680D07">
        <w:rPr>
          <w:rFonts w:ascii="Times New Roman" w:hAnsi="Times New Roman" w:cs="Times New Roman"/>
        </w:rPr>
        <w:t>-Amon-</w:t>
      </w:r>
      <w:proofErr w:type="spellStart"/>
      <w:r w:rsidRPr="00680D07">
        <w:rPr>
          <w:rFonts w:ascii="Times New Roman" w:hAnsi="Times New Roman" w:cs="Times New Roman"/>
        </w:rPr>
        <w:t>Kotei</w:t>
      </w:r>
      <w:proofErr w:type="spellEnd"/>
      <w:r w:rsidRPr="00680D07">
        <w:rPr>
          <w:rFonts w:ascii="Times New Roman" w:hAnsi="Times New Roman" w:cs="Times New Roman"/>
        </w:rPr>
        <w:t xml:space="preserve"> D, Arreola-Risa C, Maier RV. Trauma mortality patterns in three nations at different economic levels. World J Surg. 1998;22(2):191-195. doi:10.1007/s002689900507</w:t>
      </w:r>
    </w:p>
    <w:p w14:paraId="2257D2CB" w14:textId="77777777" w:rsidR="00F5490C" w:rsidRPr="00680D07" w:rsidRDefault="00F5490C" w:rsidP="00680D07">
      <w:pPr>
        <w:spacing w:after="0" w:line="276" w:lineRule="auto"/>
        <w:rPr>
          <w:rFonts w:ascii="Times New Roman" w:hAnsi="Times New Roman" w:cs="Times New Roman"/>
        </w:rPr>
      </w:pPr>
    </w:p>
    <w:p w14:paraId="1E3E89AB"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Stewart BT, et al. Trauma care and outcomes in LMICs: systematic review. World J Surg. 2014;38(12):2993-3000. doi:10.1007/s00268-014-2666-9</w:t>
      </w:r>
    </w:p>
    <w:p w14:paraId="60342961" w14:textId="77777777" w:rsidR="00F5490C" w:rsidRPr="00680D07" w:rsidRDefault="00F5490C" w:rsidP="00680D07">
      <w:pPr>
        <w:spacing w:after="0" w:line="276" w:lineRule="auto"/>
        <w:rPr>
          <w:rFonts w:ascii="Times New Roman" w:hAnsi="Times New Roman" w:cs="Times New Roman"/>
        </w:rPr>
      </w:pPr>
    </w:p>
    <w:p w14:paraId="4C245A49"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Henry JA, et al. Trauma systems in LMICs: review of current status and challenges. World J Surg. 2012;36(9):2019-2031. doi:10.1007/s00268-012-1589-0</w:t>
      </w:r>
    </w:p>
    <w:p w14:paraId="29A87983" w14:textId="77777777" w:rsidR="00F5490C" w:rsidRPr="00680D07" w:rsidRDefault="00F5490C" w:rsidP="00680D07">
      <w:pPr>
        <w:spacing w:after="0" w:line="276" w:lineRule="auto"/>
        <w:rPr>
          <w:rFonts w:ascii="Times New Roman" w:hAnsi="Times New Roman" w:cs="Times New Roman"/>
        </w:rPr>
      </w:pPr>
    </w:p>
    <w:p w14:paraId="3F4A6C02"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Mock CN, Donkor P, Gawande A, Jamison DT, Kruk ME, </w:t>
      </w:r>
      <w:proofErr w:type="spellStart"/>
      <w:r w:rsidRPr="00680D07">
        <w:rPr>
          <w:rFonts w:ascii="Times New Roman" w:hAnsi="Times New Roman" w:cs="Times New Roman"/>
        </w:rPr>
        <w:t>Debas</w:t>
      </w:r>
      <w:proofErr w:type="spellEnd"/>
      <w:r w:rsidRPr="00680D07">
        <w:rPr>
          <w:rFonts w:ascii="Times New Roman" w:hAnsi="Times New Roman" w:cs="Times New Roman"/>
        </w:rPr>
        <w:t xml:space="preserve"> HT. Essential surgery: key messages. Lancet. 2015;385(9983):2209-2219. doi:10.1016/S0140-6736(15)60091-5</w:t>
      </w:r>
    </w:p>
    <w:p w14:paraId="251E6544" w14:textId="77777777" w:rsidR="00F5490C" w:rsidRPr="00680D07" w:rsidRDefault="00F5490C" w:rsidP="00680D07">
      <w:pPr>
        <w:spacing w:after="0" w:line="276" w:lineRule="auto"/>
        <w:rPr>
          <w:rFonts w:ascii="Times New Roman" w:hAnsi="Times New Roman" w:cs="Times New Roman"/>
        </w:rPr>
      </w:pPr>
    </w:p>
    <w:p w14:paraId="1A1FA1B2"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lastRenderedPageBreak/>
        <w:t>Ozgediz</w:t>
      </w:r>
      <w:proofErr w:type="spellEnd"/>
      <w:r w:rsidRPr="00680D07">
        <w:rPr>
          <w:rFonts w:ascii="Times New Roman" w:hAnsi="Times New Roman" w:cs="Times New Roman"/>
        </w:rPr>
        <w:t xml:space="preserve"> D, Jamison D, Cherian M, McQueen K. The burden of surgical conditions and access in LMICs. Bull WHO. 2008;86(8):646-647. doi:10.2471/BLT.07.049907</w:t>
      </w:r>
    </w:p>
    <w:p w14:paraId="4A8AE1C9" w14:textId="77777777" w:rsidR="00F5490C" w:rsidRPr="00680D07" w:rsidRDefault="00F5490C" w:rsidP="00680D07">
      <w:pPr>
        <w:spacing w:after="0" w:line="276" w:lineRule="auto"/>
        <w:rPr>
          <w:rFonts w:ascii="Times New Roman" w:hAnsi="Times New Roman" w:cs="Times New Roman"/>
        </w:rPr>
      </w:pPr>
    </w:p>
    <w:p w14:paraId="4D04B7BB"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Jayaraman S, et al. Impact of trauma training programs in Uganda. World J Surg. 2014;38(11):3046-3051. doi:10.1007/s00268-014-2632-2</w:t>
      </w:r>
    </w:p>
    <w:p w14:paraId="4909675C" w14:textId="77777777" w:rsidR="00F5490C" w:rsidRPr="00680D07" w:rsidRDefault="00F5490C" w:rsidP="00680D07">
      <w:pPr>
        <w:spacing w:after="0" w:line="276" w:lineRule="auto"/>
        <w:rPr>
          <w:rFonts w:ascii="Times New Roman" w:hAnsi="Times New Roman" w:cs="Times New Roman"/>
        </w:rPr>
      </w:pPr>
    </w:p>
    <w:p w14:paraId="08CF19E1"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Elobu</w:t>
      </w:r>
      <w:proofErr w:type="spellEnd"/>
      <w:r w:rsidRPr="00680D07">
        <w:rPr>
          <w:rFonts w:ascii="Times New Roman" w:hAnsi="Times New Roman" w:cs="Times New Roman"/>
        </w:rPr>
        <w:t xml:space="preserve"> AE, et al. Contextually appropriate trauma system implementation improves outcomes. Int J Surg. </w:t>
      </w:r>
      <w:proofErr w:type="gramStart"/>
      <w:r w:rsidRPr="00680D07">
        <w:rPr>
          <w:rFonts w:ascii="Times New Roman" w:hAnsi="Times New Roman" w:cs="Times New Roman"/>
        </w:rPr>
        <w:t>2022;98:106208</w:t>
      </w:r>
      <w:proofErr w:type="gramEnd"/>
      <w:r w:rsidRPr="00680D07">
        <w:rPr>
          <w:rFonts w:ascii="Times New Roman" w:hAnsi="Times New Roman" w:cs="Times New Roman"/>
        </w:rPr>
        <w:t xml:space="preserve">. </w:t>
      </w:r>
      <w:proofErr w:type="gramStart"/>
      <w:r w:rsidRPr="00680D07">
        <w:rPr>
          <w:rFonts w:ascii="Times New Roman" w:hAnsi="Times New Roman" w:cs="Times New Roman"/>
        </w:rPr>
        <w:t>doi:10.1016/j.ijsu</w:t>
      </w:r>
      <w:proofErr w:type="gramEnd"/>
      <w:r w:rsidRPr="00680D07">
        <w:rPr>
          <w:rFonts w:ascii="Times New Roman" w:hAnsi="Times New Roman" w:cs="Times New Roman"/>
        </w:rPr>
        <w:t>.2022.106208</w:t>
      </w:r>
    </w:p>
    <w:p w14:paraId="0C207DF8" w14:textId="77777777" w:rsidR="00F5490C" w:rsidRPr="00680D07" w:rsidRDefault="00F5490C" w:rsidP="00680D07">
      <w:pPr>
        <w:spacing w:after="0" w:line="276" w:lineRule="auto"/>
        <w:rPr>
          <w:rFonts w:ascii="Times New Roman" w:hAnsi="Times New Roman" w:cs="Times New Roman"/>
        </w:rPr>
      </w:pPr>
    </w:p>
    <w:p w14:paraId="558D5388"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Kobusingye O, Hyder AA. Trauma systems in sub-Saharan Africa: priorities and patterns. </w:t>
      </w:r>
      <w:proofErr w:type="spellStart"/>
      <w:r w:rsidRPr="00680D07">
        <w:rPr>
          <w:rFonts w:ascii="Times New Roman" w:hAnsi="Times New Roman" w:cs="Times New Roman"/>
        </w:rPr>
        <w:t>Afr</w:t>
      </w:r>
      <w:proofErr w:type="spellEnd"/>
      <w:r w:rsidRPr="00680D07">
        <w:rPr>
          <w:rFonts w:ascii="Times New Roman" w:hAnsi="Times New Roman" w:cs="Times New Roman"/>
        </w:rPr>
        <w:t xml:space="preserve"> Health Sci. 2020;20(2):916-923. PMID:32614385</w:t>
      </w:r>
    </w:p>
    <w:p w14:paraId="29CA6A57" w14:textId="77777777" w:rsidR="00F5490C" w:rsidRPr="00680D07" w:rsidRDefault="00F5490C" w:rsidP="00680D07">
      <w:pPr>
        <w:spacing w:after="0" w:line="276" w:lineRule="auto"/>
        <w:rPr>
          <w:rFonts w:ascii="Times New Roman" w:hAnsi="Times New Roman" w:cs="Times New Roman"/>
        </w:rPr>
      </w:pPr>
    </w:p>
    <w:p w14:paraId="555E4E97"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Damschroder LJ, et al. Consolidated Framework for Implementation Research (CFIR). Implement Sci. </w:t>
      </w:r>
      <w:proofErr w:type="gramStart"/>
      <w:r w:rsidRPr="00680D07">
        <w:rPr>
          <w:rFonts w:ascii="Times New Roman" w:hAnsi="Times New Roman" w:cs="Times New Roman"/>
        </w:rPr>
        <w:t>2009;4:50</w:t>
      </w:r>
      <w:proofErr w:type="gramEnd"/>
      <w:r w:rsidRPr="00680D07">
        <w:rPr>
          <w:rFonts w:ascii="Times New Roman" w:hAnsi="Times New Roman" w:cs="Times New Roman"/>
        </w:rPr>
        <w:t>. doi:10.1186/1748-5908-4-50</w:t>
      </w:r>
    </w:p>
    <w:p w14:paraId="1DF9DF88" w14:textId="77777777" w:rsidR="00F5490C" w:rsidRPr="00680D07" w:rsidRDefault="00F5490C" w:rsidP="00680D07">
      <w:pPr>
        <w:spacing w:after="0" w:line="276" w:lineRule="auto"/>
        <w:rPr>
          <w:rFonts w:ascii="Times New Roman" w:hAnsi="Times New Roman" w:cs="Times New Roman"/>
        </w:rPr>
      </w:pPr>
    </w:p>
    <w:p w14:paraId="160134BB"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Nilsen P. Making sense of implementation theories and frameworks. Implement Sci. </w:t>
      </w:r>
      <w:proofErr w:type="gramStart"/>
      <w:r w:rsidRPr="00680D07">
        <w:rPr>
          <w:rFonts w:ascii="Times New Roman" w:hAnsi="Times New Roman" w:cs="Times New Roman"/>
        </w:rPr>
        <w:t>2015;10:53</w:t>
      </w:r>
      <w:proofErr w:type="gramEnd"/>
      <w:r w:rsidRPr="00680D07">
        <w:rPr>
          <w:rFonts w:ascii="Times New Roman" w:hAnsi="Times New Roman" w:cs="Times New Roman"/>
        </w:rPr>
        <w:t>. doi:10.1186/s13012-015-0242-0</w:t>
      </w:r>
    </w:p>
    <w:p w14:paraId="4750B8FC" w14:textId="77777777" w:rsidR="00F5490C" w:rsidRPr="00680D07" w:rsidRDefault="00F5490C" w:rsidP="00680D07">
      <w:pPr>
        <w:spacing w:after="0" w:line="276" w:lineRule="auto"/>
        <w:rPr>
          <w:rFonts w:ascii="Times New Roman" w:hAnsi="Times New Roman" w:cs="Times New Roman"/>
        </w:rPr>
      </w:pPr>
    </w:p>
    <w:p w14:paraId="7ED56739"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Powell BJ, et al. A refined compilation of implementation strategies. Implement Sci. </w:t>
      </w:r>
      <w:proofErr w:type="gramStart"/>
      <w:r w:rsidRPr="00680D07">
        <w:rPr>
          <w:rFonts w:ascii="Times New Roman" w:hAnsi="Times New Roman" w:cs="Times New Roman"/>
        </w:rPr>
        <w:t>2015;10:21</w:t>
      </w:r>
      <w:proofErr w:type="gramEnd"/>
      <w:r w:rsidRPr="00680D07">
        <w:rPr>
          <w:rFonts w:ascii="Times New Roman" w:hAnsi="Times New Roman" w:cs="Times New Roman"/>
        </w:rPr>
        <w:t>. doi:10.1186/s13012-015-0209-1</w:t>
      </w:r>
    </w:p>
    <w:p w14:paraId="5BE5E114" w14:textId="77777777" w:rsidR="00F5490C" w:rsidRPr="00680D07" w:rsidRDefault="00F5490C" w:rsidP="00680D07">
      <w:pPr>
        <w:spacing w:after="0" w:line="276" w:lineRule="auto"/>
        <w:rPr>
          <w:rFonts w:ascii="Times New Roman" w:hAnsi="Times New Roman" w:cs="Times New Roman"/>
        </w:rPr>
      </w:pPr>
    </w:p>
    <w:p w14:paraId="1CF8A159"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Ivers N, et al. Audit and feedback effects on professional practice. Cochrane Database </w:t>
      </w:r>
      <w:proofErr w:type="spellStart"/>
      <w:r w:rsidRPr="00680D07">
        <w:rPr>
          <w:rFonts w:ascii="Times New Roman" w:hAnsi="Times New Roman" w:cs="Times New Roman"/>
        </w:rPr>
        <w:t>Syst</w:t>
      </w:r>
      <w:proofErr w:type="spellEnd"/>
      <w:r w:rsidRPr="00680D07">
        <w:rPr>
          <w:rFonts w:ascii="Times New Roman" w:hAnsi="Times New Roman" w:cs="Times New Roman"/>
        </w:rPr>
        <w:t xml:space="preserve"> Rev. </w:t>
      </w:r>
      <w:proofErr w:type="gramStart"/>
      <w:r w:rsidRPr="00680D07">
        <w:rPr>
          <w:rFonts w:ascii="Times New Roman" w:hAnsi="Times New Roman" w:cs="Times New Roman"/>
        </w:rPr>
        <w:t>2012;CD</w:t>
      </w:r>
      <w:proofErr w:type="gramEnd"/>
      <w:r w:rsidRPr="00680D07">
        <w:rPr>
          <w:rFonts w:ascii="Times New Roman" w:hAnsi="Times New Roman" w:cs="Times New Roman"/>
        </w:rPr>
        <w:t xml:space="preserve">000259. </w:t>
      </w:r>
      <w:proofErr w:type="gramStart"/>
      <w:r w:rsidRPr="00680D07">
        <w:rPr>
          <w:rFonts w:ascii="Times New Roman" w:hAnsi="Times New Roman" w:cs="Times New Roman"/>
        </w:rPr>
        <w:t>doi:10.1002/14651858.CD000259.pub3</w:t>
      </w:r>
      <w:proofErr w:type="gramEnd"/>
    </w:p>
    <w:p w14:paraId="09528816" w14:textId="77777777" w:rsidR="00F5490C" w:rsidRPr="00680D07" w:rsidRDefault="00F5490C" w:rsidP="00680D07">
      <w:pPr>
        <w:spacing w:after="0" w:line="276" w:lineRule="auto"/>
        <w:rPr>
          <w:rFonts w:ascii="Times New Roman" w:hAnsi="Times New Roman" w:cs="Times New Roman"/>
        </w:rPr>
      </w:pPr>
    </w:p>
    <w:p w14:paraId="3E3B62AC"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Pronovost P, et al. Decreasing catheter-related bloodstream infections in ICU. N Engl J Med. </w:t>
      </w:r>
      <w:proofErr w:type="gramStart"/>
      <w:r w:rsidRPr="00680D07">
        <w:rPr>
          <w:rFonts w:ascii="Times New Roman" w:hAnsi="Times New Roman" w:cs="Times New Roman"/>
        </w:rPr>
        <w:t>2006;355:2725</w:t>
      </w:r>
      <w:proofErr w:type="gramEnd"/>
      <w:r w:rsidRPr="00680D07">
        <w:rPr>
          <w:rFonts w:ascii="Times New Roman" w:hAnsi="Times New Roman" w:cs="Times New Roman"/>
        </w:rPr>
        <w:t>-2732. doi:10.1056/NEJMoa061115</w:t>
      </w:r>
    </w:p>
    <w:p w14:paraId="0745408C" w14:textId="77777777" w:rsidR="00F5490C" w:rsidRPr="00680D07" w:rsidRDefault="00F5490C" w:rsidP="00680D07">
      <w:pPr>
        <w:spacing w:after="0" w:line="276" w:lineRule="auto"/>
        <w:rPr>
          <w:rFonts w:ascii="Times New Roman" w:hAnsi="Times New Roman" w:cs="Times New Roman"/>
        </w:rPr>
      </w:pPr>
    </w:p>
    <w:p w14:paraId="06C9E918"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Ghaferi</w:t>
      </w:r>
      <w:proofErr w:type="spellEnd"/>
      <w:r w:rsidRPr="00680D07">
        <w:rPr>
          <w:rFonts w:ascii="Times New Roman" w:hAnsi="Times New Roman" w:cs="Times New Roman"/>
        </w:rPr>
        <w:t xml:space="preserve"> AA, </w:t>
      </w:r>
      <w:proofErr w:type="spellStart"/>
      <w:r w:rsidRPr="00680D07">
        <w:rPr>
          <w:rFonts w:ascii="Times New Roman" w:hAnsi="Times New Roman" w:cs="Times New Roman"/>
        </w:rPr>
        <w:t>Birkmeyer</w:t>
      </w:r>
      <w:proofErr w:type="spellEnd"/>
      <w:r w:rsidRPr="00680D07">
        <w:rPr>
          <w:rFonts w:ascii="Times New Roman" w:hAnsi="Times New Roman" w:cs="Times New Roman"/>
        </w:rPr>
        <w:t xml:space="preserve"> JD, Dimick JB. Failure to rescue and surgical mortality. N Engl J Med. </w:t>
      </w:r>
      <w:proofErr w:type="gramStart"/>
      <w:r w:rsidRPr="00680D07">
        <w:rPr>
          <w:rFonts w:ascii="Times New Roman" w:hAnsi="Times New Roman" w:cs="Times New Roman"/>
        </w:rPr>
        <w:t>2009;361:1368</w:t>
      </w:r>
      <w:proofErr w:type="gramEnd"/>
      <w:r w:rsidRPr="00680D07">
        <w:rPr>
          <w:rFonts w:ascii="Times New Roman" w:hAnsi="Times New Roman" w:cs="Times New Roman"/>
        </w:rPr>
        <w:t>-1375. doi:10.1056/NEJMsa0903048</w:t>
      </w:r>
    </w:p>
    <w:p w14:paraId="0AFFF3F8" w14:textId="77777777" w:rsidR="00F5490C" w:rsidRPr="00680D07" w:rsidRDefault="00F5490C" w:rsidP="00680D07">
      <w:pPr>
        <w:spacing w:after="0" w:line="276" w:lineRule="auto"/>
        <w:rPr>
          <w:rFonts w:ascii="Times New Roman" w:hAnsi="Times New Roman" w:cs="Times New Roman"/>
        </w:rPr>
      </w:pPr>
    </w:p>
    <w:p w14:paraId="183F380E"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Johnston MJ, et al. Failure-to-rescue in emergency surgery. Br J Surg. 2015;102(3):227-234. doi:10.1002/bjs.9718</w:t>
      </w:r>
    </w:p>
    <w:p w14:paraId="4C562516" w14:textId="77777777" w:rsidR="00F5490C" w:rsidRPr="00680D07" w:rsidRDefault="00F5490C" w:rsidP="00680D07">
      <w:pPr>
        <w:spacing w:after="0" w:line="276" w:lineRule="auto"/>
        <w:rPr>
          <w:rFonts w:ascii="Times New Roman" w:hAnsi="Times New Roman" w:cs="Times New Roman"/>
        </w:rPr>
      </w:pPr>
    </w:p>
    <w:p w14:paraId="1FD99915"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Gustafsson UO, et al. Adherence to ERAS protocols and outcomes. JAMA Surg. 2011;146(5):571-577. doi:10.1001/archsurg.2010.309</w:t>
      </w:r>
    </w:p>
    <w:p w14:paraId="79D2772B" w14:textId="77777777" w:rsidR="00F5490C" w:rsidRPr="00680D07" w:rsidRDefault="00F5490C" w:rsidP="00680D07">
      <w:pPr>
        <w:spacing w:after="0" w:line="276" w:lineRule="auto"/>
        <w:rPr>
          <w:rFonts w:ascii="Times New Roman" w:hAnsi="Times New Roman" w:cs="Times New Roman"/>
        </w:rPr>
      </w:pPr>
    </w:p>
    <w:p w14:paraId="1A32A3D6"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ERAS Compliance Group. The impact of compliance on outcomes after colorectal surgery. Ann Surg. 2015;261(6):1153-1159. doi:10.1097/SLA.0000000000000793</w:t>
      </w:r>
    </w:p>
    <w:p w14:paraId="23C3FBEC" w14:textId="77777777" w:rsidR="00F5490C" w:rsidRPr="00680D07" w:rsidRDefault="00F5490C" w:rsidP="00680D07">
      <w:pPr>
        <w:spacing w:after="0" w:line="276" w:lineRule="auto"/>
        <w:rPr>
          <w:rFonts w:ascii="Times New Roman" w:hAnsi="Times New Roman" w:cs="Times New Roman"/>
        </w:rPr>
      </w:pPr>
    </w:p>
    <w:p w14:paraId="30A44289"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Allegranzi</w:t>
      </w:r>
      <w:proofErr w:type="spellEnd"/>
      <w:r w:rsidRPr="00680D07">
        <w:rPr>
          <w:rFonts w:ascii="Times New Roman" w:hAnsi="Times New Roman" w:cs="Times New Roman"/>
        </w:rPr>
        <w:t xml:space="preserve"> B, et al. WHO global guidelines for prevention of surgical site infection. Lancet Infect Dis. 2016;16(12</w:t>
      </w:r>
      <w:proofErr w:type="gramStart"/>
      <w:r w:rsidRPr="00680D07">
        <w:rPr>
          <w:rFonts w:ascii="Times New Roman" w:hAnsi="Times New Roman" w:cs="Times New Roman"/>
        </w:rPr>
        <w:t>):e</w:t>
      </w:r>
      <w:proofErr w:type="gramEnd"/>
      <w:r w:rsidRPr="00680D07">
        <w:rPr>
          <w:rFonts w:ascii="Times New Roman" w:hAnsi="Times New Roman" w:cs="Times New Roman"/>
        </w:rPr>
        <w:t>288-e303. doi:10.1016/S1473-3099(16)30398-2</w:t>
      </w:r>
    </w:p>
    <w:p w14:paraId="28994548" w14:textId="77777777" w:rsidR="00F5490C" w:rsidRPr="00680D07" w:rsidRDefault="00F5490C" w:rsidP="00680D07">
      <w:pPr>
        <w:spacing w:after="0" w:line="276" w:lineRule="auto"/>
        <w:rPr>
          <w:rFonts w:ascii="Times New Roman" w:hAnsi="Times New Roman" w:cs="Times New Roman"/>
        </w:rPr>
      </w:pPr>
    </w:p>
    <w:p w14:paraId="1B03A7E3"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proofErr w:type="spellStart"/>
      <w:r w:rsidRPr="00680D07">
        <w:rPr>
          <w:rFonts w:ascii="Times New Roman" w:hAnsi="Times New Roman" w:cs="Times New Roman"/>
        </w:rPr>
        <w:t>Bratzler</w:t>
      </w:r>
      <w:proofErr w:type="spellEnd"/>
      <w:r w:rsidRPr="00680D07">
        <w:rPr>
          <w:rFonts w:ascii="Times New Roman" w:hAnsi="Times New Roman" w:cs="Times New Roman"/>
        </w:rPr>
        <w:t xml:space="preserve"> DW, et al. Clinical practice guidelines for antimicrobial prophylaxis in surgery. Am J Health </w:t>
      </w:r>
      <w:proofErr w:type="spellStart"/>
      <w:r w:rsidRPr="00680D07">
        <w:rPr>
          <w:rFonts w:ascii="Times New Roman" w:hAnsi="Times New Roman" w:cs="Times New Roman"/>
        </w:rPr>
        <w:t>Syst</w:t>
      </w:r>
      <w:proofErr w:type="spellEnd"/>
      <w:r w:rsidRPr="00680D07">
        <w:rPr>
          <w:rFonts w:ascii="Times New Roman" w:hAnsi="Times New Roman" w:cs="Times New Roman"/>
        </w:rPr>
        <w:t xml:space="preserve"> Pharm. 2013;70(3):195-283. doi:10.2146/ajhp120568</w:t>
      </w:r>
    </w:p>
    <w:p w14:paraId="764C62F0" w14:textId="77777777" w:rsidR="00F5490C" w:rsidRPr="00680D07" w:rsidRDefault="00F5490C" w:rsidP="00680D07">
      <w:pPr>
        <w:spacing w:after="0" w:line="276" w:lineRule="auto"/>
        <w:rPr>
          <w:rFonts w:ascii="Times New Roman" w:hAnsi="Times New Roman" w:cs="Times New Roman"/>
        </w:rPr>
      </w:pPr>
    </w:p>
    <w:p w14:paraId="6B7C8938"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Canet J, et al. Prediction of postoperative pulmonary complications. </w:t>
      </w:r>
      <w:proofErr w:type="spellStart"/>
      <w:r w:rsidRPr="00680D07">
        <w:rPr>
          <w:rFonts w:ascii="Times New Roman" w:hAnsi="Times New Roman" w:cs="Times New Roman"/>
        </w:rPr>
        <w:t>Anesthesiology</w:t>
      </w:r>
      <w:proofErr w:type="spellEnd"/>
      <w:r w:rsidRPr="00680D07">
        <w:rPr>
          <w:rFonts w:ascii="Times New Roman" w:hAnsi="Times New Roman" w:cs="Times New Roman"/>
        </w:rPr>
        <w:t xml:space="preserve">. 2010;113(6):1338-1350. </w:t>
      </w:r>
      <w:proofErr w:type="gramStart"/>
      <w:r w:rsidRPr="00680D07">
        <w:rPr>
          <w:rFonts w:ascii="Times New Roman" w:hAnsi="Times New Roman" w:cs="Times New Roman"/>
        </w:rPr>
        <w:t>doi:10.1097/ALN.0b013e3181fc6e0a</w:t>
      </w:r>
      <w:proofErr w:type="gramEnd"/>
    </w:p>
    <w:p w14:paraId="23A92940" w14:textId="77777777" w:rsidR="00F5490C" w:rsidRPr="00680D07" w:rsidRDefault="00F5490C" w:rsidP="00680D07">
      <w:pPr>
        <w:spacing w:after="0" w:line="276" w:lineRule="auto"/>
        <w:rPr>
          <w:rFonts w:ascii="Times New Roman" w:hAnsi="Times New Roman" w:cs="Times New Roman"/>
        </w:rPr>
      </w:pPr>
    </w:p>
    <w:p w14:paraId="2BA03220"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lastRenderedPageBreak/>
        <w:t xml:space="preserve">Semler MW, et al. Balanced crystalloids versus saline in critically ill adults. N Engl J Med. </w:t>
      </w:r>
      <w:proofErr w:type="gramStart"/>
      <w:r w:rsidRPr="00680D07">
        <w:rPr>
          <w:rFonts w:ascii="Times New Roman" w:hAnsi="Times New Roman" w:cs="Times New Roman"/>
        </w:rPr>
        <w:t>2018;378:829</w:t>
      </w:r>
      <w:proofErr w:type="gramEnd"/>
      <w:r w:rsidRPr="00680D07">
        <w:rPr>
          <w:rFonts w:ascii="Times New Roman" w:hAnsi="Times New Roman" w:cs="Times New Roman"/>
        </w:rPr>
        <w:t>-839. doi:10.1056/NEJMoa1711584</w:t>
      </w:r>
    </w:p>
    <w:p w14:paraId="3BAFC01B" w14:textId="77777777" w:rsidR="00F5490C" w:rsidRPr="00680D07" w:rsidRDefault="00F5490C" w:rsidP="00680D07">
      <w:pPr>
        <w:spacing w:after="0" w:line="276" w:lineRule="auto"/>
        <w:rPr>
          <w:rFonts w:ascii="Times New Roman" w:hAnsi="Times New Roman" w:cs="Times New Roman"/>
        </w:rPr>
      </w:pPr>
    </w:p>
    <w:p w14:paraId="49221E36" w14:textId="777777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Brandstrup B, et al. Effects of intravenous fluid restriction on postoperative complications. Ann Surg. 2003;238(5):641-648. </w:t>
      </w:r>
      <w:proofErr w:type="gramStart"/>
      <w:r w:rsidRPr="00680D07">
        <w:rPr>
          <w:rFonts w:ascii="Times New Roman" w:hAnsi="Times New Roman" w:cs="Times New Roman"/>
        </w:rPr>
        <w:t>doi:10.1097/01.sla</w:t>
      </w:r>
      <w:proofErr w:type="gramEnd"/>
      <w:r w:rsidRPr="00680D07">
        <w:rPr>
          <w:rFonts w:ascii="Times New Roman" w:hAnsi="Times New Roman" w:cs="Times New Roman"/>
        </w:rPr>
        <w:t>.0000094387.50865.23</w:t>
      </w:r>
    </w:p>
    <w:p w14:paraId="10063399" w14:textId="0E936F51"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Schweickert WD, et al. Early physical and occupational therapy in mechanically ventilated patients. Lancet. 2009;373(9678):1874-1882. doi:10.1016/S0140-6736(09)60658-9</w:t>
      </w:r>
    </w:p>
    <w:p w14:paraId="7B78D659" w14:textId="77777777" w:rsidR="00F5490C" w:rsidRPr="00680D07" w:rsidRDefault="00F5490C" w:rsidP="00680D07">
      <w:pPr>
        <w:spacing w:after="0" w:line="276" w:lineRule="auto"/>
        <w:rPr>
          <w:rFonts w:ascii="Times New Roman" w:hAnsi="Times New Roman" w:cs="Times New Roman"/>
        </w:rPr>
      </w:pPr>
    </w:p>
    <w:p w14:paraId="4E8DB8A4" w14:textId="393976DE"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Holmer H, et al. Global distribution of surgeons, anaesthesiologists, and obstetricians. Lancet Glob Health. 2015;3(S2</w:t>
      </w:r>
      <w:proofErr w:type="gramStart"/>
      <w:r w:rsidRPr="00680D07">
        <w:rPr>
          <w:rFonts w:ascii="Times New Roman" w:hAnsi="Times New Roman" w:cs="Times New Roman"/>
        </w:rPr>
        <w:t>):S</w:t>
      </w:r>
      <w:proofErr w:type="gramEnd"/>
      <w:r w:rsidRPr="00680D07">
        <w:rPr>
          <w:rFonts w:ascii="Times New Roman" w:hAnsi="Times New Roman" w:cs="Times New Roman"/>
        </w:rPr>
        <w:t>9–S11. doi:10.1016/S2214-109</w:t>
      </w:r>
      <w:proofErr w:type="gramStart"/>
      <w:r w:rsidRPr="00680D07">
        <w:rPr>
          <w:rFonts w:ascii="Times New Roman" w:hAnsi="Times New Roman" w:cs="Times New Roman"/>
        </w:rPr>
        <w:t>X(</w:t>
      </w:r>
      <w:proofErr w:type="gramEnd"/>
      <w:r w:rsidRPr="00680D07">
        <w:rPr>
          <w:rFonts w:ascii="Times New Roman" w:hAnsi="Times New Roman" w:cs="Times New Roman"/>
        </w:rPr>
        <w:t>14)70349-3</w:t>
      </w:r>
    </w:p>
    <w:p w14:paraId="0E07774E" w14:textId="77777777" w:rsidR="00F5490C" w:rsidRPr="00680D07" w:rsidRDefault="00F5490C" w:rsidP="00680D07">
      <w:pPr>
        <w:pStyle w:val="ListParagraph"/>
        <w:spacing w:after="0" w:line="276" w:lineRule="auto"/>
        <w:rPr>
          <w:rFonts w:ascii="Times New Roman" w:hAnsi="Times New Roman" w:cs="Times New Roman"/>
        </w:rPr>
      </w:pPr>
    </w:p>
    <w:p w14:paraId="54745754" w14:textId="0D873EB1"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Kempthorne P, et al. Critical care bed capacity in low-income countries: systematic review. Lancet. 2017;</w:t>
      </w:r>
      <w:proofErr w:type="gramStart"/>
      <w:r w:rsidRPr="00680D07">
        <w:rPr>
          <w:rFonts w:ascii="Times New Roman" w:hAnsi="Times New Roman" w:cs="Times New Roman"/>
        </w:rPr>
        <w:t>390:S</w:t>
      </w:r>
      <w:proofErr w:type="gramEnd"/>
      <w:r w:rsidRPr="00680D07">
        <w:rPr>
          <w:rFonts w:ascii="Times New Roman" w:hAnsi="Times New Roman" w:cs="Times New Roman"/>
        </w:rPr>
        <w:t>29.</w:t>
      </w:r>
    </w:p>
    <w:p w14:paraId="560459CF" w14:textId="77777777" w:rsidR="00F5490C" w:rsidRPr="00680D07" w:rsidRDefault="00F5490C" w:rsidP="00680D07">
      <w:pPr>
        <w:spacing w:after="0" w:line="276" w:lineRule="auto"/>
        <w:rPr>
          <w:rFonts w:ascii="Times New Roman" w:hAnsi="Times New Roman" w:cs="Times New Roman"/>
        </w:rPr>
      </w:pPr>
    </w:p>
    <w:p w14:paraId="498EE385" w14:textId="3A6F210A"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Murthy S, et </w:t>
      </w:r>
      <w:proofErr w:type="spellStart"/>
      <w:proofErr w:type="gramStart"/>
      <w:r w:rsidRPr="00680D07">
        <w:rPr>
          <w:rFonts w:ascii="Times New Roman" w:hAnsi="Times New Roman" w:cs="Times New Roman"/>
        </w:rPr>
        <w:t>al.Global</w:t>
      </w:r>
      <w:proofErr w:type="spellEnd"/>
      <w:proofErr w:type="gramEnd"/>
      <w:r w:rsidRPr="00680D07">
        <w:rPr>
          <w:rFonts w:ascii="Times New Roman" w:hAnsi="Times New Roman" w:cs="Times New Roman"/>
        </w:rPr>
        <w:t xml:space="preserve"> critical care capacity and ventilator availability. Lancet Respir Med. 2015;3(4):265–273. doi:10.1016/S2213-2600(15)00021-4</w:t>
      </w:r>
    </w:p>
    <w:p w14:paraId="6E30C1AF" w14:textId="77777777" w:rsidR="00F5490C" w:rsidRPr="00680D07" w:rsidRDefault="00F5490C" w:rsidP="00680D07">
      <w:pPr>
        <w:spacing w:after="0" w:line="276" w:lineRule="auto"/>
        <w:rPr>
          <w:rFonts w:ascii="Times New Roman" w:hAnsi="Times New Roman" w:cs="Times New Roman"/>
        </w:rPr>
      </w:pPr>
    </w:p>
    <w:p w14:paraId="38CFF168" w14:textId="4197D222"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Perel P, et al. (CRASH-2 Trial Collaborators). Effects of tranexamic acid on death in bleeding trauma patients. Lancet. </w:t>
      </w:r>
      <w:proofErr w:type="gramStart"/>
      <w:r w:rsidRPr="00680D07">
        <w:rPr>
          <w:rFonts w:ascii="Times New Roman" w:hAnsi="Times New Roman" w:cs="Times New Roman"/>
        </w:rPr>
        <w:t>2010;376:23</w:t>
      </w:r>
      <w:proofErr w:type="gramEnd"/>
      <w:r w:rsidRPr="00680D07">
        <w:rPr>
          <w:rFonts w:ascii="Times New Roman" w:hAnsi="Times New Roman" w:cs="Times New Roman"/>
        </w:rPr>
        <w:t>–32. doi:10.1016/S0140-6736(10)60835-5</w:t>
      </w:r>
    </w:p>
    <w:p w14:paraId="1E728F60" w14:textId="77777777" w:rsidR="00F5490C" w:rsidRPr="00680D07" w:rsidRDefault="00F5490C" w:rsidP="00680D07">
      <w:pPr>
        <w:spacing w:after="0" w:line="276" w:lineRule="auto"/>
        <w:rPr>
          <w:rFonts w:ascii="Times New Roman" w:hAnsi="Times New Roman" w:cs="Times New Roman"/>
        </w:rPr>
      </w:pPr>
    </w:p>
    <w:p w14:paraId="5DAC9EAD" w14:textId="0756395A" w:rsidR="00030269"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Clarke JR, et al. Time to laparotomy for intra-abdominal bleeding and survival. J Trauma. 2002;52(3):420–425. doi:10.1097/00005373-200203000-00002</w:t>
      </w:r>
    </w:p>
    <w:p w14:paraId="4ACBE025" w14:textId="77777777" w:rsidR="00030269" w:rsidRPr="00680D07" w:rsidRDefault="00030269" w:rsidP="00680D07">
      <w:pPr>
        <w:pStyle w:val="ListParagraph"/>
        <w:spacing w:after="0" w:line="276" w:lineRule="auto"/>
        <w:ind w:left="360"/>
        <w:rPr>
          <w:rFonts w:ascii="Times New Roman" w:hAnsi="Times New Roman" w:cs="Times New Roman"/>
        </w:rPr>
      </w:pPr>
    </w:p>
    <w:p w14:paraId="07CB9644" w14:textId="61B39F77"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Balogh ZJ, et al. Secondary inflammatory hit after delayed fixation. Injury. 2003;34(6):414–421. doi:10.1016/S0020-1383(02)00345-2</w:t>
      </w:r>
    </w:p>
    <w:p w14:paraId="11FD38FE" w14:textId="77777777" w:rsidR="00F5490C" w:rsidRPr="00680D07" w:rsidRDefault="00F5490C" w:rsidP="00680D07">
      <w:pPr>
        <w:spacing w:after="0" w:line="276" w:lineRule="auto"/>
        <w:rPr>
          <w:rFonts w:ascii="Times New Roman" w:hAnsi="Times New Roman" w:cs="Times New Roman"/>
        </w:rPr>
      </w:pPr>
    </w:p>
    <w:p w14:paraId="7ECFB360" w14:textId="47C45159"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Rubenfeld GD, et al. Incidence and outcomes of ARDS. NEJM. </w:t>
      </w:r>
      <w:proofErr w:type="gramStart"/>
      <w:r w:rsidRPr="00680D07">
        <w:rPr>
          <w:rFonts w:ascii="Times New Roman" w:hAnsi="Times New Roman" w:cs="Times New Roman"/>
        </w:rPr>
        <w:t>2005;353:1685</w:t>
      </w:r>
      <w:proofErr w:type="gramEnd"/>
      <w:r w:rsidRPr="00680D07">
        <w:rPr>
          <w:rFonts w:ascii="Times New Roman" w:hAnsi="Times New Roman" w:cs="Times New Roman"/>
        </w:rPr>
        <w:t>–1693. doi:10.1056/NEJMoa050333</w:t>
      </w:r>
    </w:p>
    <w:p w14:paraId="412688EE" w14:textId="77777777" w:rsidR="00F5490C" w:rsidRPr="00680D07" w:rsidRDefault="00F5490C" w:rsidP="00680D07">
      <w:pPr>
        <w:spacing w:after="0" w:line="276" w:lineRule="auto"/>
        <w:rPr>
          <w:rFonts w:ascii="Times New Roman" w:hAnsi="Times New Roman" w:cs="Times New Roman"/>
        </w:rPr>
      </w:pPr>
    </w:p>
    <w:p w14:paraId="042A92B5" w14:textId="21A72781"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Bellani G, et al. (LUNG SAFE Study). Epidemiology of ARDS worldwide. JAMA. 2016;315(8):788–800. doi:10.1001/jama.2016.0291</w:t>
      </w:r>
    </w:p>
    <w:p w14:paraId="704AE88B" w14:textId="4796A265" w:rsidR="00F5490C" w:rsidRPr="00680D07" w:rsidRDefault="00F5490C" w:rsidP="00680D07">
      <w:pPr>
        <w:spacing w:after="0" w:line="276" w:lineRule="auto"/>
        <w:rPr>
          <w:rFonts w:ascii="Times New Roman" w:hAnsi="Times New Roman" w:cs="Times New Roman"/>
        </w:rPr>
      </w:pPr>
    </w:p>
    <w:p w14:paraId="5DD9DFB3" w14:textId="461EDC61"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 xml:space="preserve">O’Reilly GM, et al. Trauma registry comparison between high- and middle-income settings. Injury. 2013;44(10):1280–1285. </w:t>
      </w:r>
      <w:proofErr w:type="gramStart"/>
      <w:r w:rsidRPr="00680D07">
        <w:rPr>
          <w:rFonts w:ascii="Times New Roman" w:hAnsi="Times New Roman" w:cs="Times New Roman"/>
        </w:rPr>
        <w:t>doi:10.1016/j.injury</w:t>
      </w:r>
      <w:proofErr w:type="gramEnd"/>
      <w:r w:rsidRPr="00680D07">
        <w:rPr>
          <w:rFonts w:ascii="Times New Roman" w:hAnsi="Times New Roman" w:cs="Times New Roman"/>
        </w:rPr>
        <w:t>.2013.03.012</w:t>
      </w:r>
    </w:p>
    <w:p w14:paraId="338452C6" w14:textId="77777777" w:rsidR="00F5490C" w:rsidRPr="00680D07" w:rsidRDefault="00F5490C" w:rsidP="00680D07">
      <w:pPr>
        <w:spacing w:after="0" w:line="276" w:lineRule="auto"/>
        <w:rPr>
          <w:rFonts w:ascii="Times New Roman" w:hAnsi="Times New Roman" w:cs="Times New Roman"/>
        </w:rPr>
      </w:pPr>
    </w:p>
    <w:p w14:paraId="5A770156" w14:textId="146CA9A0" w:rsidR="00F5490C" w:rsidRPr="00680D07" w:rsidRDefault="00F5490C" w:rsidP="00680D07">
      <w:pPr>
        <w:pStyle w:val="ListParagraph"/>
        <w:numPr>
          <w:ilvl w:val="0"/>
          <w:numId w:val="1"/>
        </w:numPr>
        <w:spacing w:after="0" w:line="276" w:lineRule="auto"/>
        <w:rPr>
          <w:rFonts w:ascii="Times New Roman" w:hAnsi="Times New Roman" w:cs="Times New Roman"/>
        </w:rPr>
      </w:pPr>
      <w:r w:rsidRPr="00680D07">
        <w:rPr>
          <w:rFonts w:ascii="Times New Roman" w:hAnsi="Times New Roman" w:cs="Times New Roman"/>
        </w:rPr>
        <w:t>Sakran JV, et al. Global trauma mortality and preventable death analysis. JAMA Surg. 2012;147(8):770–776. doi:10.1001/archsurg.2012.110</w:t>
      </w:r>
    </w:p>
    <w:p w14:paraId="2F5471EF" w14:textId="27B415F9" w:rsidR="00F5490C" w:rsidRPr="00680D07" w:rsidRDefault="00F5490C" w:rsidP="00680D07">
      <w:pPr>
        <w:spacing w:after="0" w:line="276" w:lineRule="auto"/>
        <w:rPr>
          <w:rFonts w:ascii="Times New Roman" w:hAnsi="Times New Roman" w:cs="Times New Roman"/>
        </w:rPr>
      </w:pPr>
    </w:p>
    <w:p w14:paraId="51E9F2EE" w14:textId="77777777" w:rsidR="00030269" w:rsidRPr="00680D07" w:rsidRDefault="00030269" w:rsidP="00680D07">
      <w:pPr>
        <w:spacing w:after="0" w:line="276" w:lineRule="auto"/>
        <w:rPr>
          <w:rFonts w:ascii="Times New Roman" w:hAnsi="Times New Roman" w:cs="Times New Roman"/>
        </w:rPr>
      </w:pPr>
    </w:p>
    <w:p w14:paraId="13A76442" w14:textId="77777777" w:rsidR="001C0AB6" w:rsidRPr="00680D07" w:rsidRDefault="001C0AB6" w:rsidP="00680D07">
      <w:pPr>
        <w:spacing w:after="0" w:line="276" w:lineRule="auto"/>
        <w:rPr>
          <w:rFonts w:ascii="Times New Roman" w:hAnsi="Times New Roman" w:cs="Times New Roman"/>
        </w:rPr>
      </w:pPr>
    </w:p>
    <w:p w14:paraId="6B88B81D" w14:textId="77777777" w:rsidR="001C0AB6" w:rsidRPr="00680D07" w:rsidRDefault="001C0AB6" w:rsidP="00680D07">
      <w:pPr>
        <w:spacing w:after="0" w:line="276" w:lineRule="auto"/>
        <w:rPr>
          <w:rFonts w:ascii="Times New Roman" w:hAnsi="Times New Roman" w:cs="Times New Roman"/>
        </w:rPr>
      </w:pPr>
    </w:p>
    <w:p w14:paraId="261112AF" w14:textId="77777777" w:rsidR="001C0AB6" w:rsidRPr="00680D07" w:rsidRDefault="001C0AB6" w:rsidP="00680D07">
      <w:pPr>
        <w:spacing w:after="0" w:line="276" w:lineRule="auto"/>
        <w:rPr>
          <w:rFonts w:ascii="Times New Roman" w:hAnsi="Times New Roman" w:cs="Times New Roman"/>
          <w:b/>
          <w:bCs/>
        </w:rPr>
      </w:pPr>
    </w:p>
    <w:p w14:paraId="2B821A5A" w14:textId="77777777" w:rsidR="001C0AB6" w:rsidRPr="00680D07" w:rsidRDefault="001C0AB6" w:rsidP="00680D07">
      <w:pPr>
        <w:spacing w:after="0" w:line="276" w:lineRule="auto"/>
        <w:rPr>
          <w:rFonts w:ascii="Times New Roman" w:hAnsi="Times New Roman" w:cs="Times New Roman"/>
          <w:b/>
          <w:bCs/>
        </w:rPr>
      </w:pPr>
    </w:p>
    <w:p w14:paraId="77A9CEA1" w14:textId="77777777" w:rsidR="001C0AB6" w:rsidRPr="00680D07" w:rsidRDefault="001C0AB6" w:rsidP="00680D07">
      <w:pPr>
        <w:spacing w:after="0" w:line="276" w:lineRule="auto"/>
        <w:rPr>
          <w:rFonts w:ascii="Times New Roman" w:hAnsi="Times New Roman" w:cs="Times New Roman"/>
          <w:b/>
          <w:bCs/>
        </w:rPr>
      </w:pPr>
    </w:p>
    <w:p w14:paraId="62448F0A" w14:textId="157A5AD8" w:rsidR="001C0AB6" w:rsidRPr="00680D07" w:rsidRDefault="001C0AB6" w:rsidP="00680D07">
      <w:pPr>
        <w:spacing w:after="0" w:line="276" w:lineRule="auto"/>
        <w:rPr>
          <w:rFonts w:ascii="Times New Roman" w:hAnsi="Times New Roman" w:cs="Times New Roman"/>
        </w:rPr>
      </w:pPr>
    </w:p>
    <w:sectPr w:rsidR="001C0AB6" w:rsidRPr="00680D07" w:rsidSect="00F5490C">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A1092" w14:textId="77777777" w:rsidR="0027162B" w:rsidRDefault="0027162B" w:rsidP="00C568AA">
      <w:pPr>
        <w:spacing w:after="0" w:line="240" w:lineRule="auto"/>
      </w:pPr>
      <w:r>
        <w:separator/>
      </w:r>
    </w:p>
  </w:endnote>
  <w:endnote w:type="continuationSeparator" w:id="0">
    <w:p w14:paraId="79273A77" w14:textId="77777777" w:rsidR="0027162B" w:rsidRDefault="0027162B" w:rsidP="00C56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3A4F1" w14:textId="77777777" w:rsidR="00C568AA" w:rsidRDefault="00C568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38D34" w14:textId="77777777" w:rsidR="00C568AA" w:rsidRDefault="00C568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A5CE2" w14:textId="77777777" w:rsidR="00C568AA" w:rsidRDefault="00C56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EB6CB" w14:textId="77777777" w:rsidR="0027162B" w:rsidRDefault="0027162B" w:rsidP="00C568AA">
      <w:pPr>
        <w:spacing w:after="0" w:line="240" w:lineRule="auto"/>
      </w:pPr>
      <w:r>
        <w:separator/>
      </w:r>
    </w:p>
  </w:footnote>
  <w:footnote w:type="continuationSeparator" w:id="0">
    <w:p w14:paraId="748F6139" w14:textId="77777777" w:rsidR="0027162B" w:rsidRDefault="0027162B" w:rsidP="00C56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8C4C8" w14:textId="2F2E6D06" w:rsidR="00C568AA" w:rsidRDefault="00C568AA">
    <w:pPr>
      <w:pStyle w:val="Header"/>
    </w:pPr>
    <w:r>
      <w:rPr>
        <w:noProof/>
      </w:rPr>
      <w:pict w14:anchorId="0A95C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301688" o:spid="_x0000_s2050" type="#_x0000_t136" style="position:absolute;margin-left:0;margin-top:0;width:618.3pt;height:68.7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E1A9E" w14:textId="762FBB56" w:rsidR="00C568AA" w:rsidRDefault="00C568AA">
    <w:pPr>
      <w:pStyle w:val="Header"/>
    </w:pPr>
    <w:r>
      <w:rPr>
        <w:noProof/>
      </w:rPr>
      <w:pict w14:anchorId="0EDE0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301689" o:spid="_x0000_s2051" type="#_x0000_t136" style="position:absolute;margin-left:0;margin-top:0;width:618.3pt;height:68.7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F1211" w14:textId="4E50B853" w:rsidR="00C568AA" w:rsidRDefault="00C568AA">
    <w:pPr>
      <w:pStyle w:val="Header"/>
    </w:pPr>
    <w:r>
      <w:rPr>
        <w:noProof/>
      </w:rPr>
      <w:pict w14:anchorId="5D6A33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301687" o:spid="_x0000_s2049" type="#_x0000_t136" style="position:absolute;margin-left:0;margin-top:0;width:618.3pt;height:68.7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5586A"/>
    <w:multiLevelType w:val="multilevel"/>
    <w:tmpl w:val="5016C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130CF6"/>
    <w:multiLevelType w:val="multilevel"/>
    <w:tmpl w:val="B4C46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513B75"/>
    <w:multiLevelType w:val="multilevel"/>
    <w:tmpl w:val="4F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422DE8"/>
    <w:multiLevelType w:val="multilevel"/>
    <w:tmpl w:val="A7DE7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DE680B"/>
    <w:multiLevelType w:val="multilevel"/>
    <w:tmpl w:val="59462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B82A4C"/>
    <w:multiLevelType w:val="multilevel"/>
    <w:tmpl w:val="C0A88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4D4B44"/>
    <w:multiLevelType w:val="multilevel"/>
    <w:tmpl w:val="79BA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D7189D"/>
    <w:multiLevelType w:val="hybridMultilevel"/>
    <w:tmpl w:val="ED7C7312"/>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CC12345"/>
    <w:multiLevelType w:val="multilevel"/>
    <w:tmpl w:val="82A8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A20F31"/>
    <w:multiLevelType w:val="multilevel"/>
    <w:tmpl w:val="0D4A1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BA7122"/>
    <w:multiLevelType w:val="multilevel"/>
    <w:tmpl w:val="01D8F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FA02247"/>
    <w:multiLevelType w:val="multilevel"/>
    <w:tmpl w:val="67FCA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080B38"/>
    <w:multiLevelType w:val="multilevel"/>
    <w:tmpl w:val="0AF6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2"/>
  </w:num>
  <w:num w:numId="4">
    <w:abstractNumId w:val="12"/>
  </w:num>
  <w:num w:numId="5">
    <w:abstractNumId w:val="0"/>
  </w:num>
  <w:num w:numId="6">
    <w:abstractNumId w:val="6"/>
  </w:num>
  <w:num w:numId="7">
    <w:abstractNumId w:val="8"/>
  </w:num>
  <w:num w:numId="8">
    <w:abstractNumId w:val="10"/>
  </w:num>
  <w:num w:numId="9">
    <w:abstractNumId w:val="1"/>
  </w:num>
  <w:num w:numId="10">
    <w:abstractNumId w:val="11"/>
  </w:num>
  <w:num w:numId="11">
    <w:abstractNumId w:val="9"/>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90C"/>
    <w:rsid w:val="00017EAC"/>
    <w:rsid w:val="00030269"/>
    <w:rsid w:val="0003629D"/>
    <w:rsid w:val="00054F14"/>
    <w:rsid w:val="000E7753"/>
    <w:rsid w:val="00127A04"/>
    <w:rsid w:val="00156EE0"/>
    <w:rsid w:val="00172A00"/>
    <w:rsid w:val="00193E4E"/>
    <w:rsid w:val="001C0AB6"/>
    <w:rsid w:val="0023019A"/>
    <w:rsid w:val="00252A8A"/>
    <w:rsid w:val="0027162B"/>
    <w:rsid w:val="00286424"/>
    <w:rsid w:val="002C121A"/>
    <w:rsid w:val="002C2A22"/>
    <w:rsid w:val="002F5EF9"/>
    <w:rsid w:val="003014FE"/>
    <w:rsid w:val="00310C9D"/>
    <w:rsid w:val="00345357"/>
    <w:rsid w:val="003B3968"/>
    <w:rsid w:val="00441978"/>
    <w:rsid w:val="00680D07"/>
    <w:rsid w:val="00717547"/>
    <w:rsid w:val="00787101"/>
    <w:rsid w:val="007D042B"/>
    <w:rsid w:val="00900F1B"/>
    <w:rsid w:val="009309BD"/>
    <w:rsid w:val="009F1B27"/>
    <w:rsid w:val="00A34858"/>
    <w:rsid w:val="00A9756C"/>
    <w:rsid w:val="00AD3E9D"/>
    <w:rsid w:val="00B01F17"/>
    <w:rsid w:val="00B54120"/>
    <w:rsid w:val="00B92D59"/>
    <w:rsid w:val="00C12C64"/>
    <w:rsid w:val="00C144E1"/>
    <w:rsid w:val="00C568AA"/>
    <w:rsid w:val="00D105E7"/>
    <w:rsid w:val="00D25BDC"/>
    <w:rsid w:val="00DE5DC9"/>
    <w:rsid w:val="00E71842"/>
    <w:rsid w:val="00F14994"/>
    <w:rsid w:val="00F36343"/>
    <w:rsid w:val="00F5490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28F0BF"/>
  <w15:chartTrackingRefBased/>
  <w15:docId w15:val="{D20F0587-988D-4CCE-93AB-EDD0C5A6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49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49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49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49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49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49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49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49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49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49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49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49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49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49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49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49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49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490C"/>
    <w:rPr>
      <w:rFonts w:eastAsiaTheme="majorEastAsia" w:cstheme="majorBidi"/>
      <w:color w:val="272727" w:themeColor="text1" w:themeTint="D8"/>
    </w:rPr>
  </w:style>
  <w:style w:type="paragraph" w:styleId="Title">
    <w:name w:val="Title"/>
    <w:basedOn w:val="Normal"/>
    <w:next w:val="Normal"/>
    <w:link w:val="TitleChar"/>
    <w:uiPriority w:val="10"/>
    <w:qFormat/>
    <w:rsid w:val="00F549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49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49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49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490C"/>
    <w:pPr>
      <w:spacing w:before="160"/>
      <w:jc w:val="center"/>
    </w:pPr>
    <w:rPr>
      <w:i/>
      <w:iCs/>
      <w:color w:val="404040" w:themeColor="text1" w:themeTint="BF"/>
    </w:rPr>
  </w:style>
  <w:style w:type="character" w:customStyle="1" w:styleId="QuoteChar">
    <w:name w:val="Quote Char"/>
    <w:basedOn w:val="DefaultParagraphFont"/>
    <w:link w:val="Quote"/>
    <w:uiPriority w:val="29"/>
    <w:rsid w:val="00F5490C"/>
    <w:rPr>
      <w:i/>
      <w:iCs/>
      <w:color w:val="404040" w:themeColor="text1" w:themeTint="BF"/>
    </w:rPr>
  </w:style>
  <w:style w:type="paragraph" w:styleId="ListParagraph">
    <w:name w:val="List Paragraph"/>
    <w:basedOn w:val="Normal"/>
    <w:uiPriority w:val="34"/>
    <w:qFormat/>
    <w:rsid w:val="00F5490C"/>
    <w:pPr>
      <w:ind w:left="720"/>
      <w:contextualSpacing/>
    </w:pPr>
  </w:style>
  <w:style w:type="character" w:styleId="IntenseEmphasis">
    <w:name w:val="Intense Emphasis"/>
    <w:basedOn w:val="DefaultParagraphFont"/>
    <w:uiPriority w:val="21"/>
    <w:qFormat/>
    <w:rsid w:val="00F5490C"/>
    <w:rPr>
      <w:i/>
      <w:iCs/>
      <w:color w:val="0F4761" w:themeColor="accent1" w:themeShade="BF"/>
    </w:rPr>
  </w:style>
  <w:style w:type="paragraph" w:styleId="IntenseQuote">
    <w:name w:val="Intense Quote"/>
    <w:basedOn w:val="Normal"/>
    <w:next w:val="Normal"/>
    <w:link w:val="IntenseQuoteChar"/>
    <w:uiPriority w:val="30"/>
    <w:qFormat/>
    <w:rsid w:val="00F549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490C"/>
    <w:rPr>
      <w:i/>
      <w:iCs/>
      <w:color w:val="0F4761" w:themeColor="accent1" w:themeShade="BF"/>
    </w:rPr>
  </w:style>
  <w:style w:type="character" w:styleId="IntenseReference">
    <w:name w:val="Intense Reference"/>
    <w:basedOn w:val="DefaultParagraphFont"/>
    <w:uiPriority w:val="32"/>
    <w:qFormat/>
    <w:rsid w:val="00F5490C"/>
    <w:rPr>
      <w:b/>
      <w:bCs/>
      <w:smallCaps/>
      <w:color w:val="0F4761" w:themeColor="accent1" w:themeShade="BF"/>
      <w:spacing w:val="5"/>
    </w:rPr>
  </w:style>
  <w:style w:type="table" w:styleId="TableGrid">
    <w:name w:val="Table Grid"/>
    <w:basedOn w:val="TableNormal"/>
    <w:uiPriority w:val="39"/>
    <w:rsid w:val="00030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92D59"/>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44E1"/>
    <w:rPr>
      <w:color w:val="467886" w:themeColor="hyperlink"/>
      <w:u w:val="single"/>
    </w:rPr>
  </w:style>
  <w:style w:type="character" w:styleId="UnresolvedMention">
    <w:name w:val="Unresolved Mention"/>
    <w:basedOn w:val="DefaultParagraphFont"/>
    <w:uiPriority w:val="99"/>
    <w:semiHidden/>
    <w:unhideWhenUsed/>
    <w:rsid w:val="00C144E1"/>
    <w:rPr>
      <w:color w:val="605E5C"/>
      <w:shd w:val="clear" w:color="auto" w:fill="E1DFDD"/>
    </w:rPr>
  </w:style>
  <w:style w:type="paragraph" w:styleId="Header">
    <w:name w:val="header"/>
    <w:basedOn w:val="Normal"/>
    <w:link w:val="HeaderChar"/>
    <w:uiPriority w:val="99"/>
    <w:unhideWhenUsed/>
    <w:rsid w:val="00C56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8AA"/>
  </w:style>
  <w:style w:type="paragraph" w:styleId="Footer">
    <w:name w:val="footer"/>
    <w:basedOn w:val="Normal"/>
    <w:link w:val="FooterChar"/>
    <w:uiPriority w:val="99"/>
    <w:unhideWhenUsed/>
    <w:rsid w:val="00C56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37</Pages>
  <Words>12517</Words>
  <Characters>71348</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Rudraksh Kesharwani</dc:creator>
  <cp:keywords/>
  <dc:description/>
  <cp:lastModifiedBy>SDI PC 1170</cp:lastModifiedBy>
  <cp:revision>53</cp:revision>
  <cp:lastPrinted>2026-02-21T10:32:00Z</cp:lastPrinted>
  <dcterms:created xsi:type="dcterms:W3CDTF">2026-02-21T09:40:00Z</dcterms:created>
  <dcterms:modified xsi:type="dcterms:W3CDTF">2026-04-03T10:45:00Z</dcterms:modified>
</cp:coreProperties>
</file>