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297E7" w14:textId="77777777" w:rsidR="0067409E" w:rsidRDefault="0067409E" w:rsidP="007A0391">
      <w:pPr>
        <w:jc w:val="both"/>
        <w:rPr>
          <w:rFonts w:ascii="Times New Roman" w:eastAsia="SimSun" w:hAnsi="Times New Roman" w:cs="Times New Roman"/>
          <w:b/>
          <w:bCs/>
          <w:color w:val="000000" w:themeColor="text1"/>
          <w:sz w:val="24"/>
          <w:szCs w:val="24"/>
        </w:rPr>
      </w:pPr>
    </w:p>
    <w:p w14:paraId="74CC1179" w14:textId="5CFDF23B" w:rsidR="007C6ED7" w:rsidRPr="0067409E" w:rsidRDefault="002D5606" w:rsidP="007A0391">
      <w:pPr>
        <w:jc w:val="both"/>
        <w:rPr>
          <w:rFonts w:ascii="Times New Roman" w:eastAsia="SimSun" w:hAnsi="Times New Roman" w:cs="Times New Roman"/>
          <w:color w:val="000000" w:themeColor="text1"/>
          <w:sz w:val="24"/>
          <w:szCs w:val="24"/>
          <w:u w:val="single"/>
        </w:rPr>
      </w:pPr>
      <w:r w:rsidRPr="0067409E">
        <w:rPr>
          <w:rFonts w:ascii="Times New Roman" w:eastAsia="SimSun" w:hAnsi="Times New Roman" w:cs="Times New Roman"/>
          <w:color w:val="000000" w:themeColor="text1"/>
          <w:sz w:val="24"/>
          <w:szCs w:val="24"/>
          <w:u w:val="single"/>
        </w:rPr>
        <w:t>Original Research Article</w:t>
      </w:r>
    </w:p>
    <w:p w14:paraId="089C87C2" w14:textId="77777777" w:rsidR="0067409E" w:rsidRPr="002D5606" w:rsidRDefault="0067409E" w:rsidP="007A0391">
      <w:pPr>
        <w:jc w:val="both"/>
        <w:rPr>
          <w:rFonts w:ascii="Times New Roman" w:eastAsia="SimSun" w:hAnsi="Times New Roman" w:cs="Times New Roman"/>
          <w:b/>
          <w:bCs/>
          <w:color w:val="000000" w:themeColor="text1"/>
          <w:sz w:val="24"/>
          <w:szCs w:val="24"/>
        </w:rPr>
      </w:pPr>
    </w:p>
    <w:p w14:paraId="53C73768" w14:textId="77777777" w:rsidR="009F3129" w:rsidRDefault="00E54DC1" w:rsidP="007A0391">
      <w:pPr>
        <w:pStyle w:val="Heading2"/>
        <w:spacing w:beforeAutospacing="0" w:afterAutospacing="0"/>
        <w:ind w:leftChars="-400" w:left="-800"/>
        <w:jc w:val="center"/>
        <w:rPr>
          <w:rFonts w:ascii="Times New Roman" w:hAnsi="Times New Roman" w:cs="Times New Roman" w:hint="default"/>
          <w:sz w:val="24"/>
          <w:szCs w:val="24"/>
        </w:rPr>
      </w:pPr>
      <w:r w:rsidRPr="002D5606">
        <w:rPr>
          <w:rFonts w:ascii="Times New Roman" w:hAnsi="Times New Roman" w:cs="Times New Roman" w:hint="default"/>
          <w:sz w:val="24"/>
          <w:szCs w:val="24"/>
        </w:rPr>
        <w:t>Should Upper Gastrointestinal Endoscopy Be Routine Before Laparoscopic Cholecystectomy? A Prospective Study of Diagnostic Yiel</w:t>
      </w:r>
      <w:r w:rsidR="007A0391">
        <w:rPr>
          <w:rFonts w:ascii="Times New Roman" w:hAnsi="Times New Roman" w:cs="Times New Roman" w:hint="default"/>
          <w:sz w:val="24"/>
          <w:szCs w:val="24"/>
        </w:rPr>
        <w:t>d in Symptomatic Cholelithiasis</w:t>
      </w:r>
    </w:p>
    <w:p w14:paraId="1CA572B7" w14:textId="77777777" w:rsidR="007A0391" w:rsidRPr="007A0391" w:rsidRDefault="007A0391" w:rsidP="007A0391">
      <w:pPr>
        <w:rPr>
          <w:lang w:bidi="mr-IN"/>
        </w:rPr>
      </w:pPr>
    </w:p>
    <w:p w14:paraId="29FEDF42" w14:textId="77777777" w:rsidR="007D4D3E" w:rsidRPr="002D5606" w:rsidRDefault="007D4D3E" w:rsidP="002D5606">
      <w:pPr>
        <w:jc w:val="both"/>
        <w:rPr>
          <w:rFonts w:ascii="Times New Roman" w:hAnsi="Times New Roman" w:cs="Times New Roman"/>
          <w:color w:val="000000" w:themeColor="text1"/>
          <w:sz w:val="24"/>
          <w:szCs w:val="24"/>
        </w:rPr>
      </w:pPr>
    </w:p>
    <w:p w14:paraId="31C7AD56" w14:textId="77777777" w:rsidR="007C6ED7" w:rsidRPr="002D5606" w:rsidRDefault="007C6ED7" w:rsidP="002D5606">
      <w:pPr>
        <w:jc w:val="both"/>
        <w:rPr>
          <w:rFonts w:ascii="Times New Roman" w:hAnsi="Times New Roman" w:cs="Times New Roman"/>
          <w:sz w:val="24"/>
          <w:szCs w:val="24"/>
          <w:lang w:bidi="mr-IN"/>
        </w:rPr>
      </w:pPr>
    </w:p>
    <w:p w14:paraId="1087475B" w14:textId="77777777" w:rsidR="009F3129" w:rsidRPr="002D5606" w:rsidRDefault="00E54DC1" w:rsidP="002D5606">
      <w:pPr>
        <w:pStyle w:val="Heading2"/>
        <w:spacing w:beforeAutospacing="0" w:afterAutospacing="0"/>
        <w:jc w:val="both"/>
        <w:rPr>
          <w:rFonts w:ascii="Times New Roman" w:hAnsi="Times New Roman" w:cs="Times New Roman" w:hint="default"/>
          <w:sz w:val="24"/>
          <w:szCs w:val="24"/>
        </w:rPr>
      </w:pPr>
      <w:r w:rsidRPr="002D5606">
        <w:rPr>
          <w:rFonts w:ascii="Times New Roman" w:hAnsi="Times New Roman" w:cs="Times New Roman" w:hint="default"/>
          <w:sz w:val="24"/>
          <w:szCs w:val="24"/>
        </w:rPr>
        <w:t>Abstract</w:t>
      </w:r>
    </w:p>
    <w:p w14:paraId="30C92C8D" w14:textId="77777777" w:rsidR="009F3129" w:rsidRPr="002D5606" w:rsidRDefault="00A70A10" w:rsidP="00A70A10">
      <w:pPr>
        <w:jc w:val="both"/>
        <w:rPr>
          <w:rFonts w:ascii="Times New Roman" w:hAnsi="Times New Roman" w:cs="Times New Roman"/>
          <w:sz w:val="24"/>
          <w:szCs w:val="24"/>
        </w:rPr>
      </w:pPr>
      <w:r w:rsidRPr="00A70A10">
        <w:rPr>
          <w:rFonts w:ascii="Times New Roman" w:hAnsi="Times New Roman" w:cs="Times New Roman"/>
          <w:b/>
          <w:bCs/>
          <w:color w:val="000000" w:themeColor="text1"/>
          <w:sz w:val="24"/>
          <w:szCs w:val="24"/>
          <w:lang w:bidi="mr-IN"/>
        </w:rPr>
        <w:t>Background:</w:t>
      </w:r>
      <w:r w:rsidRPr="00A70A10">
        <w:rPr>
          <w:rFonts w:ascii="Times New Roman" w:hAnsi="Times New Roman" w:cs="Times New Roman"/>
          <w:color w:val="000000" w:themeColor="text1"/>
          <w:sz w:val="24"/>
          <w:szCs w:val="24"/>
          <w:lang w:bidi="mr-IN"/>
        </w:rPr>
        <w:t xml:space="preserve"> </w:t>
      </w:r>
      <w:r w:rsidRPr="002D5606">
        <w:rPr>
          <w:rFonts w:ascii="Times New Roman" w:hAnsi="Times New Roman" w:cs="Times New Roman"/>
          <w:sz w:val="24"/>
          <w:szCs w:val="24"/>
        </w:rPr>
        <w:t>Symptomatic cholelithiasis is a common indication for elective laparoscopic cholecystectomy, yet the presence of gallstones does not invariably explain upper abdominal symptoms.</w:t>
      </w:r>
      <w:r>
        <w:rPr>
          <w:rFonts w:ascii="Times New Roman" w:hAnsi="Times New Roman" w:cs="Times New Roman"/>
          <w:sz w:val="24"/>
          <w:szCs w:val="24"/>
        </w:rPr>
        <w:t xml:space="preserve"> </w:t>
      </w:r>
      <w:r w:rsidR="00E54DC1" w:rsidRPr="002D5606">
        <w:rPr>
          <w:rStyle w:val="Strong"/>
          <w:rFonts w:ascii="Times New Roman" w:hAnsi="Times New Roman" w:cs="Times New Roman"/>
          <w:sz w:val="24"/>
          <w:szCs w:val="24"/>
        </w:rPr>
        <w:t>Objective:</w:t>
      </w:r>
      <w:r w:rsidR="00E54DC1" w:rsidRPr="002D5606">
        <w:rPr>
          <w:rFonts w:ascii="Times New Roman" w:hAnsi="Times New Roman" w:cs="Times New Roman"/>
          <w:sz w:val="24"/>
          <w:szCs w:val="24"/>
        </w:rPr>
        <w:t xml:space="preserve"> To evaluate the diagnostic yield and clinical utility of preoperative upper gastrointestinal (UGI) endoscopy in patients with symptomatic cholelithiasis undergoing laparoscopic cholecystectomy.</w:t>
      </w:r>
      <w:r>
        <w:rPr>
          <w:rFonts w:ascii="Times New Roman" w:hAnsi="Times New Roman" w:cs="Times New Roman"/>
          <w:sz w:val="24"/>
          <w:szCs w:val="24"/>
        </w:rPr>
        <w:t xml:space="preserve"> </w:t>
      </w:r>
      <w:r w:rsidR="00E54DC1" w:rsidRPr="002D5606">
        <w:rPr>
          <w:rStyle w:val="Strong"/>
          <w:rFonts w:ascii="Times New Roman" w:hAnsi="Times New Roman" w:cs="Times New Roman"/>
          <w:sz w:val="24"/>
          <w:szCs w:val="24"/>
        </w:rPr>
        <w:t>Methods:</w:t>
      </w:r>
      <w:r w:rsidR="00E54DC1" w:rsidRPr="002D5606">
        <w:rPr>
          <w:rFonts w:ascii="Times New Roman" w:hAnsi="Times New Roman" w:cs="Times New Roman"/>
          <w:sz w:val="24"/>
          <w:szCs w:val="24"/>
        </w:rPr>
        <w:t xml:space="preserve"> This prospective observational study was conducted at a tertiary care </w:t>
      </w:r>
      <w:proofErr w:type="spellStart"/>
      <w:r w:rsidR="00E54DC1" w:rsidRPr="002D5606">
        <w:rPr>
          <w:rFonts w:ascii="Times New Roman" w:hAnsi="Times New Roman" w:cs="Times New Roman"/>
          <w:sz w:val="24"/>
          <w:szCs w:val="24"/>
        </w:rPr>
        <w:t>centre</w:t>
      </w:r>
      <w:proofErr w:type="spellEnd"/>
      <w:r w:rsidR="00E54DC1" w:rsidRPr="002D5606">
        <w:rPr>
          <w:rFonts w:ascii="Times New Roman" w:hAnsi="Times New Roman" w:cs="Times New Roman"/>
          <w:sz w:val="24"/>
          <w:szCs w:val="24"/>
        </w:rPr>
        <w:t xml:space="preserve"> from October 2019 to October 2021. Seventy-one consecutive patients with clinically and </w:t>
      </w:r>
      <w:proofErr w:type="spellStart"/>
      <w:r w:rsidR="00E54DC1" w:rsidRPr="002D5606">
        <w:rPr>
          <w:rFonts w:ascii="Times New Roman" w:hAnsi="Times New Roman" w:cs="Times New Roman"/>
          <w:sz w:val="24"/>
          <w:szCs w:val="24"/>
        </w:rPr>
        <w:t>ultrasonographically</w:t>
      </w:r>
      <w:proofErr w:type="spellEnd"/>
      <w:r w:rsidR="00E54DC1" w:rsidRPr="002D5606">
        <w:rPr>
          <w:rFonts w:ascii="Times New Roman" w:hAnsi="Times New Roman" w:cs="Times New Roman"/>
          <w:sz w:val="24"/>
          <w:szCs w:val="24"/>
        </w:rPr>
        <w:t xml:space="preserve"> confirmed symptomatic cholelithiasis underwent preoperative UGI endoscopy. Demographic and clinical data were recorded. Endoscopic findings were </w:t>
      </w:r>
      <w:proofErr w:type="spellStart"/>
      <w:r w:rsidR="00E54DC1" w:rsidRPr="002D5606">
        <w:rPr>
          <w:rFonts w:ascii="Times New Roman" w:hAnsi="Times New Roman" w:cs="Times New Roman"/>
          <w:sz w:val="24"/>
          <w:szCs w:val="24"/>
        </w:rPr>
        <w:t>analysed</w:t>
      </w:r>
      <w:proofErr w:type="spellEnd"/>
      <w:r w:rsidR="00E54DC1" w:rsidRPr="002D5606">
        <w:rPr>
          <w:rFonts w:ascii="Times New Roman" w:hAnsi="Times New Roman" w:cs="Times New Roman"/>
          <w:sz w:val="24"/>
          <w:szCs w:val="24"/>
        </w:rPr>
        <w:t xml:space="preserve"> using descriptive statistics (SPSS v20). The primary outcome was detection of clinically significant UGI pathology.</w:t>
      </w:r>
    </w:p>
    <w:p w14:paraId="30BEFA6F" w14:textId="77777777" w:rsidR="009F3129" w:rsidRPr="002D5606" w:rsidRDefault="00E54DC1" w:rsidP="002D5606">
      <w:pPr>
        <w:pStyle w:val="NormalWeb"/>
        <w:spacing w:beforeAutospacing="0" w:afterAutospacing="0"/>
        <w:jc w:val="both"/>
        <w:rPr>
          <w:rFonts w:cs="Times New Roman"/>
        </w:rPr>
      </w:pPr>
      <w:r w:rsidRPr="002D5606">
        <w:rPr>
          <w:rStyle w:val="Strong"/>
          <w:rFonts w:cs="Times New Roman"/>
        </w:rPr>
        <w:t>Results:</w:t>
      </w:r>
      <w:r w:rsidRPr="002D5606">
        <w:rPr>
          <w:rFonts w:cs="Times New Roman"/>
        </w:rPr>
        <w:t xml:space="preserve"> The cohort comprised 44 females (62.0%) and 27 males (38.0%), with 64.8% aged &lt;40 years. Significant endoscopic abnormalities were identified in 36 patients (50.7%), while 35 (49.3%) had normal findings. Gastritis was the most common lesion (33.3%), followed by antral gastritis (22.2%) and reflux esophagitis (13.9%). Inflammatory and reflux-related lesions accounted for the majority of abnormalities. More than half (55.6%) of significant findings occurred in patients younger than 40 years. Lesion distribution was broadly similar between sexes.</w:t>
      </w:r>
      <w:r w:rsidR="00A70A10">
        <w:rPr>
          <w:rFonts w:cs="Times New Roman"/>
        </w:rPr>
        <w:t xml:space="preserve"> </w:t>
      </w:r>
      <w:r w:rsidRPr="002D5606">
        <w:rPr>
          <w:rStyle w:val="Strong"/>
          <w:rFonts w:cs="Times New Roman"/>
        </w:rPr>
        <w:t>Conclusions:</w:t>
      </w:r>
      <w:r w:rsidRPr="002D5606">
        <w:rPr>
          <w:rFonts w:cs="Times New Roman"/>
        </w:rPr>
        <w:t xml:space="preserve"> Preoperative UGI endoscopy demonstrated a high diagnostic yield in patients undergoing laparoscopic cholecystectomy for symptomatic cholelithiasis, identifying clinically relevant mucosal pathology in approximately half of cases. The substantial coexistence of upper GI disease highlights the potential value of a structured, symptom-oriented endoscopic strategy to </w:t>
      </w:r>
      <w:proofErr w:type="spellStart"/>
      <w:r w:rsidRPr="002D5606">
        <w:rPr>
          <w:rFonts w:cs="Times New Roman"/>
        </w:rPr>
        <w:t>optimise</w:t>
      </w:r>
      <w:proofErr w:type="spellEnd"/>
      <w:r w:rsidRPr="002D5606">
        <w:rPr>
          <w:rFonts w:cs="Times New Roman"/>
        </w:rPr>
        <w:t xml:space="preserve"> diagnostic precision and perioperative management. Further </w:t>
      </w:r>
      <w:proofErr w:type="spellStart"/>
      <w:r w:rsidRPr="002D5606">
        <w:rPr>
          <w:rFonts w:cs="Times New Roman"/>
        </w:rPr>
        <w:t>multicentre</w:t>
      </w:r>
      <w:proofErr w:type="spellEnd"/>
      <w:r w:rsidRPr="002D5606">
        <w:rPr>
          <w:rFonts w:cs="Times New Roman"/>
        </w:rPr>
        <w:t xml:space="preserve"> studies incorporating long-term symptom outcomes and cost-effectiveness analyses are warranted.</w:t>
      </w:r>
    </w:p>
    <w:p w14:paraId="299A4CAB" w14:textId="77777777" w:rsidR="00A70A10" w:rsidRDefault="00A70A10" w:rsidP="002D5606">
      <w:pPr>
        <w:jc w:val="both"/>
        <w:rPr>
          <w:rStyle w:val="Strong"/>
          <w:rFonts w:ascii="Times New Roman" w:eastAsia="SimSun" w:hAnsi="Times New Roman" w:cs="Times New Roman"/>
          <w:color w:val="FF0000"/>
          <w:sz w:val="24"/>
          <w:szCs w:val="24"/>
          <w:highlight w:val="yellow"/>
          <w:lang w:bidi="mr-IN"/>
        </w:rPr>
      </w:pPr>
    </w:p>
    <w:p w14:paraId="1F7BF585" w14:textId="77777777" w:rsidR="00680203" w:rsidRPr="00A70A10" w:rsidRDefault="00A70A10" w:rsidP="002D5606">
      <w:pPr>
        <w:jc w:val="both"/>
        <w:rPr>
          <w:rStyle w:val="Strong"/>
          <w:rFonts w:ascii="Times New Roman" w:eastAsia="SimSun" w:hAnsi="Times New Roman" w:cs="Times New Roman"/>
          <w:color w:val="000000" w:themeColor="text1"/>
          <w:sz w:val="24"/>
          <w:szCs w:val="24"/>
          <w:lang w:bidi="mr-IN"/>
        </w:rPr>
      </w:pPr>
      <w:r>
        <w:rPr>
          <w:rStyle w:val="Strong"/>
          <w:rFonts w:ascii="Times New Roman" w:eastAsia="SimSun" w:hAnsi="Times New Roman" w:cs="Times New Roman"/>
          <w:color w:val="000000" w:themeColor="text1"/>
          <w:sz w:val="24"/>
          <w:szCs w:val="24"/>
          <w:lang w:bidi="mr-IN"/>
        </w:rPr>
        <w:t xml:space="preserve">Keywords: </w:t>
      </w:r>
      <w:r w:rsidR="007246FC">
        <w:rPr>
          <w:rFonts w:ascii="Times New Roman" w:hAnsi="Times New Roman" w:cs="Times New Roman"/>
          <w:sz w:val="24"/>
          <w:szCs w:val="24"/>
        </w:rPr>
        <w:t xml:space="preserve">Cholelithiasis, </w:t>
      </w:r>
      <w:r w:rsidR="007246FC" w:rsidRPr="002D5606">
        <w:rPr>
          <w:rFonts w:ascii="Times New Roman" w:hAnsi="Times New Roman" w:cs="Times New Roman"/>
          <w:sz w:val="24"/>
          <w:szCs w:val="24"/>
        </w:rPr>
        <w:t>Gastrointestinal Endoscopy</w:t>
      </w:r>
      <w:r w:rsidR="007246FC">
        <w:rPr>
          <w:rFonts w:ascii="Times New Roman" w:hAnsi="Times New Roman" w:cs="Times New Roman"/>
          <w:sz w:val="24"/>
          <w:szCs w:val="24"/>
        </w:rPr>
        <w:t xml:space="preserve">, </w:t>
      </w:r>
      <w:r w:rsidR="007246FC" w:rsidRPr="002D5606">
        <w:rPr>
          <w:rFonts w:ascii="Times New Roman" w:hAnsi="Times New Roman" w:cs="Times New Roman"/>
          <w:sz w:val="24"/>
          <w:szCs w:val="24"/>
        </w:rPr>
        <w:t>Laparoscopic Cholecystectomy</w:t>
      </w:r>
      <w:r w:rsidR="007246FC">
        <w:rPr>
          <w:rFonts w:ascii="Times New Roman" w:hAnsi="Times New Roman" w:cs="Times New Roman"/>
          <w:sz w:val="24"/>
          <w:szCs w:val="24"/>
        </w:rPr>
        <w:t>,</w:t>
      </w:r>
    </w:p>
    <w:p w14:paraId="7186A809" w14:textId="77777777" w:rsidR="00680203" w:rsidRDefault="00680203" w:rsidP="002D5606">
      <w:pPr>
        <w:pStyle w:val="NormalWeb"/>
        <w:jc w:val="both"/>
        <w:rPr>
          <w:rFonts w:cs="Times New Roman"/>
          <w:b/>
          <w:bCs/>
        </w:rPr>
      </w:pPr>
    </w:p>
    <w:p w14:paraId="55E94E5D" w14:textId="77777777" w:rsidR="00A70A10" w:rsidRDefault="00A70A10" w:rsidP="002D5606">
      <w:pPr>
        <w:pStyle w:val="NormalWeb"/>
        <w:jc w:val="both"/>
        <w:rPr>
          <w:rFonts w:cs="Times New Roman"/>
          <w:b/>
          <w:bCs/>
        </w:rPr>
      </w:pPr>
    </w:p>
    <w:p w14:paraId="7270319B" w14:textId="77777777" w:rsidR="00A70A10" w:rsidRDefault="00A70A10" w:rsidP="002D5606">
      <w:pPr>
        <w:pStyle w:val="NormalWeb"/>
        <w:jc w:val="both"/>
        <w:rPr>
          <w:rFonts w:cs="Times New Roman"/>
          <w:b/>
          <w:bCs/>
        </w:rPr>
      </w:pPr>
    </w:p>
    <w:p w14:paraId="552BEFC2" w14:textId="77777777" w:rsidR="00A70A10" w:rsidRDefault="00A70A10" w:rsidP="002D5606">
      <w:pPr>
        <w:pStyle w:val="NormalWeb"/>
        <w:jc w:val="both"/>
        <w:rPr>
          <w:rFonts w:cs="Times New Roman"/>
          <w:b/>
          <w:bCs/>
        </w:rPr>
      </w:pPr>
    </w:p>
    <w:p w14:paraId="1199C769" w14:textId="77777777" w:rsidR="00A70A10" w:rsidRDefault="00A70A10" w:rsidP="002D5606">
      <w:pPr>
        <w:pStyle w:val="NormalWeb"/>
        <w:jc w:val="both"/>
        <w:rPr>
          <w:rFonts w:cs="Times New Roman"/>
          <w:b/>
          <w:bCs/>
        </w:rPr>
      </w:pPr>
    </w:p>
    <w:p w14:paraId="5383CA21" w14:textId="77777777" w:rsidR="00A70A10" w:rsidRDefault="00A70A10" w:rsidP="002D5606">
      <w:pPr>
        <w:pStyle w:val="NormalWeb"/>
        <w:jc w:val="both"/>
        <w:rPr>
          <w:rFonts w:cs="Times New Roman"/>
          <w:b/>
          <w:bCs/>
        </w:rPr>
      </w:pPr>
    </w:p>
    <w:p w14:paraId="01EE3CAB" w14:textId="77777777" w:rsidR="00A70A10" w:rsidRDefault="00A70A10" w:rsidP="002D5606">
      <w:pPr>
        <w:pStyle w:val="NormalWeb"/>
        <w:jc w:val="both"/>
        <w:rPr>
          <w:rFonts w:cs="Times New Roman"/>
          <w:b/>
          <w:bCs/>
        </w:rPr>
      </w:pPr>
    </w:p>
    <w:p w14:paraId="2B9A1615" w14:textId="77777777" w:rsidR="00A70A10" w:rsidRDefault="00A70A10" w:rsidP="002D5606">
      <w:pPr>
        <w:pStyle w:val="NormalWeb"/>
        <w:jc w:val="both"/>
        <w:rPr>
          <w:rFonts w:cs="Times New Roman"/>
          <w:b/>
          <w:bCs/>
        </w:rPr>
      </w:pPr>
    </w:p>
    <w:p w14:paraId="514DF2AE" w14:textId="77777777" w:rsidR="00A70A10" w:rsidRDefault="00A70A10" w:rsidP="002D5606">
      <w:pPr>
        <w:pStyle w:val="NormalWeb"/>
        <w:jc w:val="both"/>
        <w:rPr>
          <w:rFonts w:cs="Times New Roman"/>
          <w:b/>
          <w:bCs/>
        </w:rPr>
      </w:pPr>
    </w:p>
    <w:p w14:paraId="3663DFE4" w14:textId="77777777" w:rsidR="00A70A10" w:rsidRDefault="00A70A10" w:rsidP="002D5606">
      <w:pPr>
        <w:pStyle w:val="NormalWeb"/>
        <w:jc w:val="both"/>
        <w:rPr>
          <w:rFonts w:cs="Times New Roman"/>
          <w:b/>
          <w:bCs/>
        </w:rPr>
      </w:pPr>
    </w:p>
    <w:p w14:paraId="30911023" w14:textId="77777777" w:rsidR="00A70A10" w:rsidRDefault="00A70A10" w:rsidP="002D5606">
      <w:pPr>
        <w:pStyle w:val="NormalWeb"/>
        <w:jc w:val="both"/>
        <w:rPr>
          <w:rFonts w:cs="Times New Roman"/>
          <w:b/>
          <w:bCs/>
        </w:rPr>
      </w:pPr>
    </w:p>
    <w:p w14:paraId="4824CE2E" w14:textId="77777777" w:rsidR="00A70A10" w:rsidRPr="002D5606" w:rsidRDefault="00A70A10" w:rsidP="002D5606">
      <w:pPr>
        <w:pStyle w:val="NormalWeb"/>
        <w:jc w:val="both"/>
        <w:rPr>
          <w:rFonts w:cs="Times New Roman"/>
          <w:b/>
          <w:bCs/>
        </w:rPr>
      </w:pPr>
    </w:p>
    <w:p w14:paraId="47068EC8" w14:textId="77777777" w:rsidR="009F3129" w:rsidRPr="002D5606" w:rsidRDefault="00A70A10" w:rsidP="00CC36B2">
      <w:pPr>
        <w:pStyle w:val="NormalWeb"/>
        <w:spacing w:beforeAutospacing="0" w:afterAutospacing="0" w:line="360" w:lineRule="auto"/>
        <w:jc w:val="both"/>
        <w:rPr>
          <w:rFonts w:cs="Times New Roman"/>
          <w:b/>
          <w:bCs/>
        </w:rPr>
      </w:pPr>
      <w:r>
        <w:rPr>
          <w:rFonts w:cs="Times New Roman"/>
          <w:b/>
          <w:bCs/>
        </w:rPr>
        <w:t>Introduction:</w:t>
      </w:r>
    </w:p>
    <w:p w14:paraId="61A060DA" w14:textId="77777777" w:rsidR="009F3129" w:rsidRPr="002D5606" w:rsidRDefault="00E54DC1" w:rsidP="00CC36B2">
      <w:pPr>
        <w:pStyle w:val="NormalWeb"/>
        <w:spacing w:beforeAutospacing="0" w:afterAutospacing="0" w:line="360" w:lineRule="auto"/>
        <w:jc w:val="both"/>
        <w:rPr>
          <w:rFonts w:cs="Times New Roman"/>
        </w:rPr>
      </w:pPr>
      <w:r w:rsidRPr="002D5606">
        <w:rPr>
          <w:rFonts w:cs="Times New Roman"/>
        </w:rPr>
        <w:t>Symptomatic cholelithiasis is a common indication for elective laparoscopic cholecystectomy, yet the presence of gallstones does not invariably e</w:t>
      </w:r>
      <w:r w:rsidR="0032242C">
        <w:rPr>
          <w:rFonts w:cs="Times New Roman"/>
        </w:rPr>
        <w:t>xplain upper abdominal symptoms [1, 2].</w:t>
      </w:r>
      <w:r w:rsidRPr="002D5606">
        <w:rPr>
          <w:rFonts w:cs="Times New Roman"/>
        </w:rPr>
        <w:t xml:space="preserve"> Although laparoscopic cholecystectomy is safe and effective, persistent postoperative dyspepsia remains a </w:t>
      </w:r>
      <w:proofErr w:type="spellStart"/>
      <w:r w:rsidRPr="002D5606">
        <w:rPr>
          <w:rFonts w:cs="Times New Roman"/>
        </w:rPr>
        <w:t>recognised</w:t>
      </w:r>
      <w:proofErr w:type="spellEnd"/>
      <w:r w:rsidRPr="002D5606">
        <w:rPr>
          <w:rFonts w:cs="Times New Roman"/>
        </w:rPr>
        <w:t xml:space="preserve"> concern. </w:t>
      </w:r>
      <w:proofErr w:type="spellStart"/>
      <w:r w:rsidRPr="002D5606">
        <w:rPr>
          <w:rFonts w:cs="Times New Roman"/>
        </w:rPr>
        <w:t>Sakorafas</w:t>
      </w:r>
      <w:proofErr w:type="spellEnd"/>
      <w:r w:rsidRPr="002D5606">
        <w:rPr>
          <w:rFonts w:cs="Times New Roman"/>
        </w:rPr>
        <w:t xml:space="preserve"> et al. highlighted the risk of attributing nonspecific upper abdominal pain solely to gallstones, underscoring the importance of careful preoperative </w:t>
      </w:r>
      <w:r w:rsidR="0032242C">
        <w:rPr>
          <w:rFonts w:cs="Times New Roman"/>
          <w:color w:val="000000" w:themeColor="text1"/>
        </w:rPr>
        <w:t>evaluation [3].</w:t>
      </w:r>
    </w:p>
    <w:p w14:paraId="60B06F00" w14:textId="77777777" w:rsidR="009F3129" w:rsidRPr="002D5606" w:rsidRDefault="00E54DC1" w:rsidP="00CC36B2">
      <w:pPr>
        <w:pStyle w:val="NormalWeb"/>
        <w:spacing w:beforeAutospacing="0" w:afterAutospacing="0" w:line="360" w:lineRule="auto"/>
        <w:jc w:val="both"/>
        <w:rPr>
          <w:rFonts w:cs="Times New Roman"/>
        </w:rPr>
      </w:pPr>
      <w:r w:rsidRPr="002D5606">
        <w:rPr>
          <w:rFonts w:cs="Times New Roman"/>
        </w:rPr>
        <w:t xml:space="preserve">Distinguishing biliary colic from overlapping upper gastrointestinal (UGI) pathology remains challenging. Dyspeptic symptoms may arise from gastritis, reflux </w:t>
      </w:r>
      <w:proofErr w:type="spellStart"/>
      <w:r w:rsidRPr="002D5606">
        <w:rPr>
          <w:rFonts w:cs="Times New Roman"/>
        </w:rPr>
        <w:t>oesophagitis</w:t>
      </w:r>
      <w:proofErr w:type="spellEnd"/>
      <w:r w:rsidRPr="002D5606">
        <w:rPr>
          <w:rFonts w:cs="Times New Roman"/>
        </w:rPr>
        <w:t xml:space="preserve">, peptic ulcer disease, or </w:t>
      </w:r>
      <w:r w:rsidRPr="002D5606">
        <w:rPr>
          <w:rStyle w:val="Emphasis"/>
          <w:rFonts w:cs="Times New Roman"/>
        </w:rPr>
        <w:t>Helicobacter pylori</w:t>
      </w:r>
      <w:r w:rsidRPr="002D5606">
        <w:rPr>
          <w:rFonts w:cs="Times New Roman"/>
        </w:rPr>
        <w:t xml:space="preserve"> infection. </w:t>
      </w:r>
      <w:proofErr w:type="spellStart"/>
      <w:r w:rsidRPr="002D5606">
        <w:rPr>
          <w:rFonts w:cs="Times New Roman"/>
        </w:rPr>
        <w:t>Testerman</w:t>
      </w:r>
      <w:proofErr w:type="spellEnd"/>
      <w:r w:rsidRPr="002D5606">
        <w:rPr>
          <w:rFonts w:cs="Times New Roman"/>
        </w:rPr>
        <w:t xml:space="preserve"> and Morris </w:t>
      </w:r>
      <w:proofErr w:type="spellStart"/>
      <w:r w:rsidRPr="002D5606">
        <w:rPr>
          <w:rFonts w:cs="Times New Roman"/>
        </w:rPr>
        <w:t>emphasised</w:t>
      </w:r>
      <w:proofErr w:type="spellEnd"/>
      <w:r w:rsidRPr="002D5606">
        <w:rPr>
          <w:rFonts w:cs="Times New Roman"/>
        </w:rPr>
        <w:t xml:space="preserve"> the clinical burden of </w:t>
      </w:r>
      <w:r w:rsidRPr="002D5606">
        <w:rPr>
          <w:rStyle w:val="Emphasis"/>
          <w:rFonts w:cs="Times New Roman"/>
        </w:rPr>
        <w:t>H. pylori</w:t>
      </w:r>
      <w:r w:rsidRPr="002D5606">
        <w:rPr>
          <w:rFonts w:cs="Times New Roman"/>
        </w:rPr>
        <w:t xml:space="preserve"> </w:t>
      </w:r>
      <w:r w:rsidR="002C12B7" w:rsidRPr="002C12B7">
        <w:rPr>
          <w:rStyle w:val="Strong"/>
          <w:rFonts w:cs="Times New Roman"/>
          <w:b w:val="0"/>
          <w:bCs w:val="0"/>
        </w:rPr>
        <w:t>[4-10]</w:t>
      </w:r>
      <w:r w:rsidRPr="002D5606">
        <w:rPr>
          <w:rFonts w:cs="Times New Roman"/>
        </w:rPr>
        <w:t xml:space="preserve">, while Hassan et al. suggested potential associations with </w:t>
      </w:r>
      <w:r w:rsidR="006E3C79">
        <w:rPr>
          <w:rFonts w:cs="Times New Roman"/>
        </w:rPr>
        <w:t>chronic calculous cholecystitis [11]</w:t>
      </w:r>
      <w:r w:rsidRPr="002D5606">
        <w:rPr>
          <w:rFonts w:cs="Times New Roman"/>
        </w:rPr>
        <w:t xml:space="preserve">. Several studies, including those by Kolla et al. </w:t>
      </w:r>
      <w:r w:rsidRPr="002D5606">
        <w:rPr>
          <w:rStyle w:val="Strong"/>
          <w:rFonts w:cs="Times New Roman"/>
          <w:vertAlign w:val="superscript"/>
        </w:rPr>
        <w:t>(1)</w:t>
      </w:r>
      <w:r w:rsidRPr="002D5606">
        <w:rPr>
          <w:rFonts w:cs="Times New Roman"/>
          <w:vertAlign w:val="superscript"/>
        </w:rPr>
        <w:t xml:space="preserve">, </w:t>
      </w:r>
      <w:r w:rsidRPr="002D5606">
        <w:rPr>
          <w:rFonts w:cs="Times New Roman"/>
        </w:rPr>
        <w:t>Gupta et al.</w:t>
      </w:r>
      <w:r w:rsidR="002C12B7">
        <w:rPr>
          <w:rFonts w:cs="Times New Roman"/>
          <w:vertAlign w:val="superscript"/>
        </w:rPr>
        <w:t xml:space="preserve"> </w:t>
      </w:r>
      <w:r w:rsidR="002C12B7">
        <w:rPr>
          <w:rFonts w:cs="Times New Roman"/>
        </w:rPr>
        <w:t>[8]</w:t>
      </w:r>
      <w:r w:rsidRPr="002D5606">
        <w:rPr>
          <w:rFonts w:cs="Times New Roman"/>
        </w:rPr>
        <w:t>, Khedkar et al.</w:t>
      </w:r>
      <w:r w:rsidRPr="002D5606">
        <w:rPr>
          <w:rFonts w:cs="Times New Roman"/>
          <w:vertAlign w:val="superscript"/>
        </w:rPr>
        <w:t xml:space="preserve"> </w:t>
      </w:r>
      <w:r w:rsidR="002C12B7" w:rsidRPr="002C12B7">
        <w:rPr>
          <w:rStyle w:val="Strong"/>
          <w:rFonts w:cs="Times New Roman"/>
          <w:b w:val="0"/>
          <w:bCs w:val="0"/>
        </w:rPr>
        <w:t>[7]</w:t>
      </w:r>
      <w:r w:rsidRPr="002D5606">
        <w:rPr>
          <w:rFonts w:cs="Times New Roman"/>
        </w:rPr>
        <w:t xml:space="preserve">, and </w:t>
      </w:r>
      <w:proofErr w:type="spellStart"/>
      <w:r w:rsidRPr="002D5606">
        <w:rPr>
          <w:rFonts w:cs="Times New Roman"/>
        </w:rPr>
        <w:t>Kunnuru</w:t>
      </w:r>
      <w:proofErr w:type="spellEnd"/>
      <w:r w:rsidRPr="002D5606">
        <w:rPr>
          <w:rFonts w:cs="Times New Roman"/>
        </w:rPr>
        <w:t xml:space="preserve"> et al.</w:t>
      </w:r>
      <w:r w:rsidR="002C12B7">
        <w:rPr>
          <w:rFonts w:cs="Times New Roman"/>
          <w:vertAlign w:val="superscript"/>
        </w:rPr>
        <w:t xml:space="preserve"> </w:t>
      </w:r>
      <w:r w:rsidR="002C12B7">
        <w:rPr>
          <w:rFonts w:cs="Times New Roman"/>
        </w:rPr>
        <w:t>[2]</w:t>
      </w:r>
      <w:r w:rsidRPr="002D5606">
        <w:rPr>
          <w:rFonts w:cs="Times New Roman"/>
        </w:rPr>
        <w:t>, have reported a substantial prevalence of endoscopic abnormalities in patients undergoin</w:t>
      </w:r>
      <w:r w:rsidR="006E3C79">
        <w:rPr>
          <w:rFonts w:cs="Times New Roman"/>
        </w:rPr>
        <w:t>g cholecystectomy. Rashid et al. [4] and Karmacharya et al. [9]</w:t>
      </w:r>
      <w:r w:rsidRPr="002D5606">
        <w:rPr>
          <w:rFonts w:cs="Times New Roman"/>
          <w:vertAlign w:val="superscript"/>
        </w:rPr>
        <w:t xml:space="preserve"> </w:t>
      </w:r>
      <w:r w:rsidRPr="002D5606">
        <w:rPr>
          <w:rFonts w:cs="Times New Roman"/>
        </w:rPr>
        <w:t xml:space="preserve">further suggested that preoperative </w:t>
      </w:r>
      <w:proofErr w:type="spellStart"/>
      <w:r w:rsidRPr="002D5606">
        <w:rPr>
          <w:rFonts w:cs="Times New Roman"/>
        </w:rPr>
        <w:t>oesophagogastroduodenoscopy</w:t>
      </w:r>
      <w:proofErr w:type="spellEnd"/>
      <w:r w:rsidRPr="002D5606">
        <w:rPr>
          <w:rFonts w:cs="Times New Roman"/>
        </w:rPr>
        <w:t xml:space="preserve"> may identify treatable lesions that influence management.</w:t>
      </w:r>
    </w:p>
    <w:p w14:paraId="6B9F2ABD" w14:textId="77777777" w:rsidR="009F3129" w:rsidRDefault="00E54DC1" w:rsidP="00CC36B2">
      <w:pPr>
        <w:pStyle w:val="NormalWeb"/>
        <w:spacing w:beforeAutospacing="0" w:afterAutospacing="0" w:line="360" w:lineRule="auto"/>
        <w:jc w:val="both"/>
        <w:rPr>
          <w:rFonts w:cs="Times New Roman"/>
        </w:rPr>
      </w:pPr>
      <w:r w:rsidRPr="002D5606">
        <w:rPr>
          <w:rFonts w:cs="Times New Roman"/>
        </w:rPr>
        <w:t>Despite these findings, the role of routine preoperative endoscopy remains debated. While some advocate selective or unive</w:t>
      </w:r>
      <w:r w:rsidR="006E3C79">
        <w:rPr>
          <w:rFonts w:cs="Times New Roman"/>
        </w:rPr>
        <w:t>rsal screening (</w:t>
      </w:r>
      <w:proofErr w:type="spellStart"/>
      <w:r w:rsidR="006E3C79">
        <w:rPr>
          <w:rFonts w:cs="Times New Roman"/>
        </w:rPr>
        <w:t>Mozafar</w:t>
      </w:r>
      <w:proofErr w:type="spellEnd"/>
      <w:r w:rsidR="006E3C79">
        <w:rPr>
          <w:rFonts w:cs="Times New Roman"/>
        </w:rPr>
        <w:t xml:space="preserve"> et al.) [5]</w:t>
      </w:r>
      <w:r w:rsidRPr="002D5606">
        <w:rPr>
          <w:rFonts w:cs="Times New Roman"/>
          <w:vertAlign w:val="superscript"/>
        </w:rPr>
        <w:t>,</w:t>
      </w:r>
      <w:r w:rsidRPr="002D5606">
        <w:rPr>
          <w:rFonts w:cs="Times New Roman"/>
        </w:rPr>
        <w:t xml:space="preserve"> the meta-analysis by Lamberts et al. demonstrated inconsistent impact on outcomes and cost-effectiveness </w:t>
      </w:r>
      <w:r w:rsidRPr="002D5606">
        <w:rPr>
          <w:rStyle w:val="Strong"/>
          <w:rFonts w:cs="Times New Roman"/>
          <w:vertAlign w:val="superscript"/>
        </w:rPr>
        <w:t>(6)</w:t>
      </w:r>
      <w:r w:rsidRPr="002D5606">
        <w:rPr>
          <w:rFonts w:cs="Times New Roman"/>
          <w:vertAlign w:val="superscript"/>
        </w:rPr>
        <w:t>.</w:t>
      </w:r>
      <w:r w:rsidRPr="002D5606">
        <w:rPr>
          <w:rFonts w:cs="Times New Roman"/>
        </w:rPr>
        <w:t xml:space="preserve"> Given this lack of consensus, the present study evaluates the diagnostic yield and clinical utility of preoperative UGI endoscopy in patients with symptomatic cholelithiasis undergoing laparoscopic cholecystectomy.</w:t>
      </w:r>
    </w:p>
    <w:p w14:paraId="54378966" w14:textId="77777777" w:rsidR="003D4E86" w:rsidRDefault="003D4E86" w:rsidP="003D4E86">
      <w:pPr>
        <w:spacing w:line="360" w:lineRule="auto"/>
        <w:ind w:right="-20"/>
        <w:jc w:val="both"/>
        <w:rPr>
          <w:rFonts w:ascii="Times New Roman" w:hAnsi="Times New Roman" w:cs="Times New Roman"/>
          <w:sz w:val="24"/>
          <w:szCs w:val="24"/>
        </w:rPr>
      </w:pPr>
      <w:r>
        <w:rPr>
          <w:rFonts w:ascii="Times New Roman" w:eastAsia="SimSun" w:hAnsi="Times New Roman" w:cs="Times New Roman"/>
          <w:sz w:val="24"/>
          <w:szCs w:val="24"/>
          <w:lang w:bidi="mr-IN"/>
        </w:rPr>
        <w:t>The Aim of the study t</w:t>
      </w:r>
      <w:r>
        <w:rPr>
          <w:rFonts w:ascii="Times New Roman" w:hAnsi="Times New Roman" w:cs="Times New Roman"/>
          <w:bCs/>
          <w:sz w:val="24"/>
          <w:szCs w:val="24"/>
        </w:rPr>
        <w:t xml:space="preserve">o evaluate </w:t>
      </w:r>
      <w:r w:rsidR="00E54DC1" w:rsidRPr="002D5606">
        <w:rPr>
          <w:rFonts w:ascii="Times New Roman" w:hAnsi="Times New Roman" w:cs="Times New Roman"/>
          <w:bCs/>
          <w:sz w:val="24"/>
          <w:szCs w:val="24"/>
        </w:rPr>
        <w:t>the effectiveness of upper endoscopy in patients wi</w:t>
      </w:r>
      <w:r>
        <w:rPr>
          <w:rFonts w:ascii="Times New Roman" w:hAnsi="Times New Roman" w:cs="Times New Roman"/>
          <w:bCs/>
          <w:sz w:val="24"/>
          <w:szCs w:val="24"/>
        </w:rPr>
        <w:t>th symptomatic cholelithiasis. The objectives of the study t</w:t>
      </w:r>
      <w:r w:rsidR="00E54DC1" w:rsidRPr="003D4E86">
        <w:rPr>
          <w:rFonts w:ascii="Times New Roman" w:hAnsi="Times New Roman" w:cs="Times New Roman"/>
          <w:sz w:val="24"/>
          <w:szCs w:val="24"/>
        </w:rPr>
        <w:t xml:space="preserve">o evaluate the effectiveness of upper GI endoscopy in patients undergoing laparoscopic cholecystectomy. </w:t>
      </w:r>
      <w:r w:rsidR="00E54DC1" w:rsidRPr="002D5606">
        <w:rPr>
          <w:rFonts w:ascii="Times New Roman" w:hAnsi="Times New Roman" w:cs="Times New Roman"/>
          <w:sz w:val="24"/>
          <w:szCs w:val="24"/>
        </w:rPr>
        <w:t xml:space="preserve">To evaluate the different types of Gastro Intestinal lesions on upper GI endoscopy in patients with symptomatic cholelithiasis  </w:t>
      </w:r>
    </w:p>
    <w:p w14:paraId="719EE7E4" w14:textId="77777777" w:rsidR="003D4E86" w:rsidRDefault="003D4E86" w:rsidP="003D4E86">
      <w:pPr>
        <w:spacing w:line="360" w:lineRule="auto"/>
        <w:ind w:right="-19"/>
        <w:jc w:val="both"/>
        <w:rPr>
          <w:rFonts w:ascii="Times New Roman" w:hAnsi="Times New Roman" w:cs="Times New Roman"/>
          <w:b/>
          <w:bCs/>
          <w:sz w:val="24"/>
          <w:szCs w:val="24"/>
        </w:rPr>
      </w:pPr>
    </w:p>
    <w:p w14:paraId="78330DDC" w14:textId="77777777" w:rsidR="003D4E86" w:rsidRPr="003D4E86" w:rsidRDefault="003D4E86" w:rsidP="003D4E86">
      <w:pPr>
        <w:spacing w:line="360" w:lineRule="auto"/>
        <w:ind w:right="-19"/>
        <w:jc w:val="both"/>
        <w:rPr>
          <w:rFonts w:ascii="Times New Roman" w:hAnsi="Times New Roman" w:cs="Times New Roman"/>
          <w:sz w:val="24"/>
          <w:szCs w:val="24"/>
        </w:rPr>
      </w:pPr>
      <w:r w:rsidRPr="003D4E86">
        <w:rPr>
          <w:rFonts w:ascii="Times New Roman" w:hAnsi="Times New Roman" w:cs="Times New Roman"/>
          <w:b/>
          <w:bCs/>
          <w:sz w:val="24"/>
          <w:szCs w:val="24"/>
        </w:rPr>
        <w:lastRenderedPageBreak/>
        <w:t>METHODS</w:t>
      </w:r>
    </w:p>
    <w:p w14:paraId="59A7B0D3" w14:textId="77777777" w:rsidR="009F3129" w:rsidRPr="002D5606" w:rsidRDefault="00E54DC1" w:rsidP="00CC36B2">
      <w:pPr>
        <w:pStyle w:val="Heading3"/>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Study design and setting</w:t>
      </w:r>
    </w:p>
    <w:p w14:paraId="11376AE4" w14:textId="77777777" w:rsidR="009F3129" w:rsidRDefault="00E54DC1" w:rsidP="00CC36B2">
      <w:pPr>
        <w:pStyle w:val="NormalWeb"/>
        <w:spacing w:beforeAutospacing="0" w:afterAutospacing="0" w:line="360" w:lineRule="auto"/>
        <w:jc w:val="both"/>
        <w:rPr>
          <w:rFonts w:cs="Times New Roman"/>
        </w:rPr>
      </w:pPr>
      <w:r w:rsidRPr="002D5606">
        <w:rPr>
          <w:rFonts w:cs="Times New Roman"/>
        </w:rPr>
        <w:t>This prospective observational study was conducted in the Department of General Surgery, Jawaharlal Nehru Medical College and Hospital, Aligarh Muslim University, Aligarh, Uttar Pradesh, India, from October 2019 to October 2021. The study was approved by the Institutional Ethics Committee, and written informed consent was obtained from all participants or their guardians prior to enrolment.</w:t>
      </w:r>
    </w:p>
    <w:p w14:paraId="160C774F" w14:textId="77777777" w:rsidR="001C611A" w:rsidRPr="002D5606" w:rsidRDefault="001C611A" w:rsidP="00CC36B2">
      <w:pPr>
        <w:pStyle w:val="NormalWeb"/>
        <w:spacing w:beforeAutospacing="0" w:afterAutospacing="0" w:line="360" w:lineRule="auto"/>
        <w:jc w:val="both"/>
        <w:rPr>
          <w:rFonts w:cs="Times New Roman"/>
        </w:rPr>
      </w:pPr>
    </w:p>
    <w:p w14:paraId="7749DA4D" w14:textId="77777777" w:rsidR="009F3129" w:rsidRPr="002D5606" w:rsidRDefault="00E54DC1" w:rsidP="00CC36B2">
      <w:pPr>
        <w:pStyle w:val="Heading3"/>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Study population and sample size</w:t>
      </w:r>
    </w:p>
    <w:p w14:paraId="6748BC8C" w14:textId="77777777" w:rsidR="009F3129" w:rsidRDefault="00E54DC1" w:rsidP="00CC36B2">
      <w:pPr>
        <w:pStyle w:val="NormalWeb"/>
        <w:spacing w:beforeAutospacing="0" w:afterAutospacing="0" w:line="360" w:lineRule="auto"/>
        <w:jc w:val="both"/>
        <w:rPr>
          <w:rFonts w:cs="Times New Roman"/>
        </w:rPr>
      </w:pPr>
      <w:r w:rsidRPr="002D5606">
        <w:rPr>
          <w:rFonts w:cs="Times New Roman"/>
        </w:rPr>
        <w:t>Consecutive patients presenting with symptomatic cholelithiasis and planned for elective laparoscopic cholecystectomy were screened for eligibility. Symptomatic cholelithiasis was confirmed clinically and by abdominal ultrasonography. A total of 71 patients fulfilling the eligibility criteria were included in the final analysis.</w:t>
      </w:r>
    </w:p>
    <w:p w14:paraId="6C763B5F" w14:textId="77777777" w:rsidR="001C611A" w:rsidRPr="002D5606" w:rsidRDefault="001C611A" w:rsidP="00CC36B2">
      <w:pPr>
        <w:pStyle w:val="NormalWeb"/>
        <w:spacing w:beforeAutospacing="0" w:afterAutospacing="0" w:line="360" w:lineRule="auto"/>
        <w:jc w:val="both"/>
        <w:rPr>
          <w:rFonts w:cs="Times New Roman"/>
        </w:rPr>
      </w:pPr>
    </w:p>
    <w:p w14:paraId="0ED096AA" w14:textId="77777777" w:rsidR="009F3129" w:rsidRPr="001C611A" w:rsidRDefault="00E54DC1" w:rsidP="00CC36B2">
      <w:pPr>
        <w:pStyle w:val="Heading3"/>
        <w:spacing w:beforeAutospacing="0" w:afterAutospacing="0" w:line="360" w:lineRule="auto"/>
        <w:jc w:val="both"/>
        <w:rPr>
          <w:rFonts w:ascii="Times New Roman" w:hAnsi="Times New Roman" w:cs="Times New Roman" w:hint="default"/>
          <w:b w:val="0"/>
          <w:bCs w:val="0"/>
          <w:i/>
          <w:iCs/>
          <w:sz w:val="24"/>
          <w:szCs w:val="24"/>
        </w:rPr>
      </w:pPr>
      <w:r w:rsidRPr="001C611A">
        <w:rPr>
          <w:rFonts w:ascii="Times New Roman" w:hAnsi="Times New Roman" w:cs="Times New Roman" w:hint="default"/>
          <w:b w:val="0"/>
          <w:bCs w:val="0"/>
          <w:i/>
          <w:iCs/>
          <w:sz w:val="24"/>
          <w:szCs w:val="24"/>
        </w:rPr>
        <w:t>Inclusion criteria</w:t>
      </w:r>
    </w:p>
    <w:p w14:paraId="7330A1A4" w14:textId="77777777" w:rsidR="009F3129" w:rsidRPr="002D5606" w:rsidRDefault="00E54DC1" w:rsidP="00CC36B2">
      <w:pPr>
        <w:pStyle w:val="NormalWeb"/>
        <w:numPr>
          <w:ilvl w:val="0"/>
          <w:numId w:val="2"/>
        </w:numPr>
        <w:spacing w:beforeAutospacing="0" w:afterAutospacing="0" w:line="360" w:lineRule="auto"/>
        <w:jc w:val="both"/>
        <w:rPr>
          <w:rFonts w:cs="Times New Roman"/>
        </w:rPr>
      </w:pPr>
      <w:r w:rsidRPr="002D5606">
        <w:rPr>
          <w:rFonts w:cs="Times New Roman"/>
        </w:rPr>
        <w:t>Patients with clinical and ultrasonographic evidence of symptomatic cholelithiasis.</w:t>
      </w:r>
    </w:p>
    <w:p w14:paraId="2BB5FF06" w14:textId="77777777" w:rsidR="009F3129" w:rsidRPr="002D5606" w:rsidRDefault="00E54DC1" w:rsidP="00CC36B2">
      <w:pPr>
        <w:pStyle w:val="NormalWeb"/>
        <w:numPr>
          <w:ilvl w:val="0"/>
          <w:numId w:val="2"/>
        </w:numPr>
        <w:spacing w:beforeAutospacing="0" w:afterAutospacing="0" w:line="360" w:lineRule="auto"/>
        <w:jc w:val="both"/>
        <w:rPr>
          <w:rFonts w:cs="Times New Roman"/>
        </w:rPr>
      </w:pPr>
      <w:r w:rsidRPr="002D5606">
        <w:rPr>
          <w:rFonts w:cs="Times New Roman"/>
        </w:rPr>
        <w:t>Patients willing to undergo preoperative upper gastrointestinal (UGI) endoscopy.</w:t>
      </w:r>
    </w:p>
    <w:p w14:paraId="00055922" w14:textId="77777777" w:rsidR="009F3129" w:rsidRPr="002D5606" w:rsidRDefault="00E54DC1" w:rsidP="00CC36B2">
      <w:pPr>
        <w:pStyle w:val="NormalWeb"/>
        <w:numPr>
          <w:ilvl w:val="0"/>
          <w:numId w:val="2"/>
        </w:numPr>
        <w:spacing w:beforeAutospacing="0" w:afterAutospacing="0" w:line="360" w:lineRule="auto"/>
        <w:jc w:val="both"/>
        <w:rPr>
          <w:rFonts w:cs="Times New Roman"/>
        </w:rPr>
      </w:pPr>
      <w:r w:rsidRPr="002D5606">
        <w:rPr>
          <w:rFonts w:cs="Times New Roman"/>
        </w:rPr>
        <w:t>Patients providing written informed consent.</w:t>
      </w:r>
    </w:p>
    <w:p w14:paraId="6839198F" w14:textId="77777777" w:rsidR="009F3129" w:rsidRDefault="00E54DC1" w:rsidP="00CC36B2">
      <w:pPr>
        <w:pStyle w:val="NormalWeb"/>
        <w:numPr>
          <w:ilvl w:val="0"/>
          <w:numId w:val="2"/>
        </w:numPr>
        <w:spacing w:beforeAutospacing="0" w:afterAutospacing="0" w:line="360" w:lineRule="auto"/>
        <w:jc w:val="both"/>
        <w:rPr>
          <w:rFonts w:cs="Times New Roman"/>
        </w:rPr>
      </w:pPr>
      <w:r w:rsidRPr="002D5606">
        <w:rPr>
          <w:rFonts w:cs="Times New Roman"/>
        </w:rPr>
        <w:t>All consecutive eligible patients admitted during the study period, irrespective of age or sex.</w:t>
      </w:r>
    </w:p>
    <w:p w14:paraId="7196633B" w14:textId="77777777" w:rsidR="001C611A" w:rsidRPr="002D5606" w:rsidRDefault="001C611A" w:rsidP="001C611A">
      <w:pPr>
        <w:pStyle w:val="NormalWeb"/>
        <w:tabs>
          <w:tab w:val="left" w:pos="420"/>
        </w:tabs>
        <w:spacing w:beforeAutospacing="0" w:afterAutospacing="0" w:line="360" w:lineRule="auto"/>
        <w:ind w:left="420"/>
        <w:jc w:val="both"/>
        <w:rPr>
          <w:rFonts w:cs="Times New Roman"/>
        </w:rPr>
      </w:pPr>
    </w:p>
    <w:p w14:paraId="3169C5CC" w14:textId="77777777" w:rsidR="009F3129" w:rsidRPr="001C611A" w:rsidRDefault="00E54DC1" w:rsidP="00CC36B2">
      <w:pPr>
        <w:pStyle w:val="Heading3"/>
        <w:spacing w:beforeAutospacing="0" w:afterAutospacing="0" w:line="360" w:lineRule="auto"/>
        <w:jc w:val="both"/>
        <w:rPr>
          <w:rFonts w:ascii="Times New Roman" w:hAnsi="Times New Roman" w:cs="Times New Roman" w:hint="default"/>
          <w:b w:val="0"/>
          <w:bCs w:val="0"/>
          <w:i/>
          <w:iCs/>
          <w:sz w:val="24"/>
          <w:szCs w:val="24"/>
        </w:rPr>
      </w:pPr>
      <w:r w:rsidRPr="001C611A">
        <w:rPr>
          <w:rFonts w:ascii="Times New Roman" w:hAnsi="Times New Roman" w:cs="Times New Roman" w:hint="default"/>
          <w:b w:val="0"/>
          <w:bCs w:val="0"/>
          <w:i/>
          <w:iCs/>
          <w:sz w:val="24"/>
          <w:szCs w:val="24"/>
        </w:rPr>
        <w:t>Exclusion criteria</w:t>
      </w:r>
    </w:p>
    <w:p w14:paraId="41D5E439" w14:textId="77777777" w:rsidR="009F3129" w:rsidRDefault="00E54DC1" w:rsidP="00CC36B2">
      <w:pPr>
        <w:pStyle w:val="NormalWeb"/>
        <w:numPr>
          <w:ilvl w:val="0"/>
          <w:numId w:val="2"/>
        </w:numPr>
        <w:spacing w:beforeAutospacing="0" w:afterAutospacing="0" w:line="360" w:lineRule="auto"/>
        <w:jc w:val="both"/>
        <w:rPr>
          <w:rFonts w:cs="Times New Roman"/>
        </w:rPr>
      </w:pPr>
      <w:r w:rsidRPr="002D5606">
        <w:rPr>
          <w:rFonts w:cs="Times New Roman"/>
        </w:rPr>
        <w:t>Patients refusing consent for UGI endoscopy.</w:t>
      </w:r>
    </w:p>
    <w:p w14:paraId="45A132A0" w14:textId="77777777" w:rsidR="001C611A" w:rsidRPr="002D5606" w:rsidRDefault="001C611A" w:rsidP="001C611A">
      <w:pPr>
        <w:pStyle w:val="NormalWeb"/>
        <w:tabs>
          <w:tab w:val="left" w:pos="420"/>
        </w:tabs>
        <w:spacing w:beforeAutospacing="0" w:afterAutospacing="0" w:line="360" w:lineRule="auto"/>
        <w:ind w:left="420"/>
        <w:jc w:val="both"/>
        <w:rPr>
          <w:rFonts w:cs="Times New Roman"/>
        </w:rPr>
      </w:pPr>
    </w:p>
    <w:p w14:paraId="54200EBF" w14:textId="77777777" w:rsidR="009F3129" w:rsidRPr="002D5606" w:rsidRDefault="00E54DC1" w:rsidP="00CC36B2">
      <w:pPr>
        <w:pStyle w:val="Heading3"/>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Clinical assessment</w:t>
      </w:r>
    </w:p>
    <w:p w14:paraId="6CE2A16E" w14:textId="77777777" w:rsidR="009F3129" w:rsidRDefault="00E54DC1" w:rsidP="00CC36B2">
      <w:pPr>
        <w:pStyle w:val="NormalWeb"/>
        <w:spacing w:beforeAutospacing="0" w:afterAutospacing="0" w:line="360" w:lineRule="auto"/>
        <w:jc w:val="both"/>
        <w:rPr>
          <w:rFonts w:cs="Times New Roman"/>
        </w:rPr>
      </w:pPr>
      <w:r w:rsidRPr="002D5606">
        <w:rPr>
          <w:rFonts w:cs="Times New Roman"/>
        </w:rPr>
        <w:t>Baseline demographic data, symptom profile, and relevant comorbidities were recorded using a structured proforma. Particular emphasis was placed on differentiating typical biliary colic from dyspeptic or reflux-related symptoms. All patients underwent ultrasonography to confirm gallstone disease prior to enrolment.</w:t>
      </w:r>
    </w:p>
    <w:p w14:paraId="4D57F651" w14:textId="77777777" w:rsidR="001C611A" w:rsidRPr="002D5606" w:rsidRDefault="001C611A" w:rsidP="00CC36B2">
      <w:pPr>
        <w:pStyle w:val="NormalWeb"/>
        <w:spacing w:beforeAutospacing="0" w:afterAutospacing="0" w:line="360" w:lineRule="auto"/>
        <w:jc w:val="both"/>
        <w:rPr>
          <w:rFonts w:cs="Times New Roman"/>
        </w:rPr>
      </w:pPr>
    </w:p>
    <w:p w14:paraId="429156EB" w14:textId="77777777" w:rsidR="009F3129" w:rsidRPr="002D5606" w:rsidRDefault="00E54DC1" w:rsidP="00CC36B2">
      <w:pPr>
        <w:pStyle w:val="Heading3"/>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Endoscopic procedure</w:t>
      </w:r>
    </w:p>
    <w:p w14:paraId="5CC058E0" w14:textId="77777777" w:rsidR="009F3129" w:rsidRPr="002D5606" w:rsidRDefault="00E54DC1" w:rsidP="00CC36B2">
      <w:pPr>
        <w:pStyle w:val="NormalWeb"/>
        <w:spacing w:beforeAutospacing="0" w:afterAutospacing="0" w:line="360" w:lineRule="auto"/>
        <w:jc w:val="both"/>
        <w:rPr>
          <w:rFonts w:cs="Times New Roman"/>
        </w:rPr>
      </w:pPr>
      <w:r w:rsidRPr="002D5606">
        <w:rPr>
          <w:rFonts w:cs="Times New Roman"/>
        </w:rPr>
        <w:t xml:space="preserve">All patients underwent preoperative UGI endoscopy in the general surgery endoscopy suite. Patients were kept nil per oral for at least 6 hours prior to the procedure. Intravenous access </w:t>
      </w:r>
      <w:r w:rsidRPr="002D5606">
        <w:rPr>
          <w:rFonts w:cs="Times New Roman"/>
        </w:rPr>
        <w:lastRenderedPageBreak/>
        <w:t>was secured; no intravenous sedation or prophylactic antibiotics were administered. Topical 1% lignocaine was applied to reduce gag reflex.</w:t>
      </w:r>
    </w:p>
    <w:p w14:paraId="5A1E6B9B" w14:textId="77777777" w:rsidR="009F3129" w:rsidRDefault="00E54DC1" w:rsidP="00CC36B2">
      <w:pPr>
        <w:pStyle w:val="NormalWeb"/>
        <w:spacing w:beforeAutospacing="0" w:afterAutospacing="0" w:line="360" w:lineRule="auto"/>
        <w:jc w:val="both"/>
        <w:rPr>
          <w:rFonts w:cs="Times New Roman"/>
        </w:rPr>
      </w:pPr>
      <w:r w:rsidRPr="002D5606">
        <w:rPr>
          <w:rFonts w:cs="Times New Roman"/>
        </w:rPr>
        <w:t>A 120 cm forward-viewing flexible endoscope was used. The procedure was performed in the left lateral decubitus position under direct vision, advancing sequentially through the esophagus, stomach, and proximal duodenum. Careful mucosal inspection was carried out during insertion and withdrawal, and biopsies were taken when indicated. Endoscopic findings, including gastritis, antral or pyloric gastritis, reflux esophagitis, peptic ulcer disease, esophageal varices, and other abnormalities, were documented.</w:t>
      </w:r>
    </w:p>
    <w:p w14:paraId="5C12F82B" w14:textId="77777777" w:rsidR="001C611A" w:rsidRPr="002D5606" w:rsidRDefault="001C611A" w:rsidP="00CC36B2">
      <w:pPr>
        <w:pStyle w:val="NormalWeb"/>
        <w:spacing w:beforeAutospacing="0" w:afterAutospacing="0" w:line="360" w:lineRule="auto"/>
        <w:jc w:val="both"/>
        <w:rPr>
          <w:rFonts w:cs="Times New Roman"/>
        </w:rPr>
      </w:pPr>
    </w:p>
    <w:p w14:paraId="5EC761CF" w14:textId="77777777" w:rsidR="009F3129" w:rsidRPr="002D5606" w:rsidRDefault="00E54DC1" w:rsidP="00CC36B2">
      <w:pPr>
        <w:pStyle w:val="Heading3"/>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Outcome measures</w:t>
      </w:r>
    </w:p>
    <w:p w14:paraId="22003A63" w14:textId="77777777" w:rsidR="009F3129" w:rsidRDefault="00E54DC1" w:rsidP="00CC36B2">
      <w:pPr>
        <w:pStyle w:val="NormalWeb"/>
        <w:spacing w:beforeAutospacing="0" w:afterAutospacing="0" w:line="360" w:lineRule="auto"/>
        <w:jc w:val="both"/>
        <w:rPr>
          <w:rFonts w:cs="Times New Roman"/>
        </w:rPr>
      </w:pPr>
      <w:r w:rsidRPr="002D5606">
        <w:rPr>
          <w:rFonts w:cs="Times New Roman"/>
        </w:rPr>
        <w:t>The primary outcome was the diagnostic yield of UGI endoscopy in detecting clinically significant upper gastrointestinal pathology. Secondary outcomes included the frequency of abnormal endoscopic findings, correlation between presenting symptoms and endoscopic abnormalities, and any change in preoperative management based on endoscopic results.</w:t>
      </w:r>
    </w:p>
    <w:p w14:paraId="7DCCA8ED" w14:textId="77777777" w:rsidR="001C611A" w:rsidRPr="002D5606" w:rsidRDefault="001C611A" w:rsidP="00CC36B2">
      <w:pPr>
        <w:pStyle w:val="NormalWeb"/>
        <w:spacing w:beforeAutospacing="0" w:afterAutospacing="0" w:line="360" w:lineRule="auto"/>
        <w:jc w:val="both"/>
        <w:rPr>
          <w:rFonts w:cs="Times New Roman"/>
        </w:rPr>
      </w:pPr>
    </w:p>
    <w:p w14:paraId="2F797872" w14:textId="77777777" w:rsidR="009F3129" w:rsidRPr="002D5606" w:rsidRDefault="00E54DC1" w:rsidP="00CC36B2">
      <w:pPr>
        <w:pStyle w:val="Heading3"/>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Statistical analysis</w:t>
      </w:r>
    </w:p>
    <w:p w14:paraId="620E7A10" w14:textId="77777777" w:rsidR="009F3129" w:rsidRPr="002D5606" w:rsidRDefault="00E54DC1" w:rsidP="00CC36B2">
      <w:pPr>
        <w:pStyle w:val="Heading2"/>
        <w:spacing w:beforeAutospacing="0" w:afterAutospacing="0" w:line="360" w:lineRule="auto"/>
        <w:jc w:val="both"/>
        <w:rPr>
          <w:rFonts w:ascii="Times New Roman" w:hAnsi="Times New Roman" w:cs="Times New Roman" w:hint="default"/>
          <w:b w:val="0"/>
          <w:bCs w:val="0"/>
          <w:sz w:val="24"/>
          <w:szCs w:val="24"/>
        </w:rPr>
      </w:pPr>
      <w:r w:rsidRPr="002D5606">
        <w:rPr>
          <w:rFonts w:ascii="Times New Roman" w:hAnsi="Times New Roman" w:cs="Times New Roman" w:hint="default"/>
          <w:b w:val="0"/>
          <w:bCs w:val="0"/>
          <w:sz w:val="24"/>
          <w:szCs w:val="24"/>
        </w:rPr>
        <w:t xml:space="preserve">Data were </w:t>
      </w:r>
      <w:proofErr w:type="spellStart"/>
      <w:r w:rsidRPr="002D5606">
        <w:rPr>
          <w:rFonts w:ascii="Times New Roman" w:hAnsi="Times New Roman" w:cs="Times New Roman" w:hint="default"/>
          <w:b w:val="0"/>
          <w:bCs w:val="0"/>
          <w:sz w:val="24"/>
          <w:szCs w:val="24"/>
        </w:rPr>
        <w:t>analysed</w:t>
      </w:r>
      <w:proofErr w:type="spellEnd"/>
      <w:r w:rsidRPr="002D5606">
        <w:rPr>
          <w:rFonts w:ascii="Times New Roman" w:hAnsi="Times New Roman" w:cs="Times New Roman" w:hint="default"/>
          <w:b w:val="0"/>
          <w:bCs w:val="0"/>
          <w:sz w:val="24"/>
          <w:szCs w:val="24"/>
        </w:rPr>
        <w:t xml:space="preserve"> using SPSS version 20.0 (IBM Corp., Armonk, NY, USA). Continuous variables were expressed as mean ± standard deviation and categorical variables as frequencies and percentages. Comparisons between categorical variables, including age group, gender, and presence of significant endoscopic pathology, were performed using the chi-square (χ²) test or Fisher’s exact test where appropriate. A two-tailed p-value &lt;0.05 was considered statistically significant. Given the observational design and moderate sample size, analyses were exploratory in nature and primarily intended to assess associations rather than establish causality.</w:t>
      </w:r>
    </w:p>
    <w:p w14:paraId="606DB10B" w14:textId="77777777" w:rsidR="009F3129" w:rsidRPr="002D5606" w:rsidRDefault="009F3129" w:rsidP="00CC36B2">
      <w:pPr>
        <w:pStyle w:val="Heading2"/>
        <w:spacing w:beforeAutospacing="0" w:afterAutospacing="0" w:line="360" w:lineRule="auto"/>
        <w:jc w:val="both"/>
        <w:rPr>
          <w:rFonts w:ascii="Times New Roman" w:hAnsi="Times New Roman" w:cs="Times New Roman" w:hint="default"/>
          <w:sz w:val="24"/>
          <w:szCs w:val="24"/>
        </w:rPr>
      </w:pPr>
    </w:p>
    <w:p w14:paraId="6B2DEF26" w14:textId="77777777" w:rsidR="009F3129" w:rsidRPr="002D5606" w:rsidRDefault="00E54DC1" w:rsidP="00CC36B2">
      <w:pPr>
        <w:pStyle w:val="Heading2"/>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Results</w:t>
      </w:r>
    </w:p>
    <w:p w14:paraId="5C3C842E" w14:textId="77777777" w:rsidR="009F3129" w:rsidRPr="002D5606" w:rsidRDefault="00E54DC1" w:rsidP="00CC36B2">
      <w:pPr>
        <w:pStyle w:val="Heading3"/>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Baseline Characteristics</w:t>
      </w:r>
    </w:p>
    <w:p w14:paraId="18A7D0D3" w14:textId="77777777" w:rsidR="009F3129" w:rsidRDefault="00E54DC1" w:rsidP="00CC36B2">
      <w:pPr>
        <w:pStyle w:val="NormalWeb"/>
        <w:spacing w:beforeAutospacing="0" w:afterAutospacing="0" w:line="360" w:lineRule="auto"/>
        <w:jc w:val="both"/>
        <w:rPr>
          <w:rFonts w:cs="Times New Roman"/>
          <w:b/>
          <w:bCs/>
        </w:rPr>
      </w:pPr>
      <w:r w:rsidRPr="002D5606">
        <w:rPr>
          <w:rFonts w:cs="Times New Roman"/>
        </w:rPr>
        <w:t>Seventy-one patients with symptomatic cholelithiasis underwent preoperative upper gastrointestinal (UGI) endoscopy. Most patients were younger than 40 years (64.8%), while only 15.5% were older than 50 years, indicating a predominance of younger individuals in this cohort. Females constituted 62.0% of the study population, with a female-to-male ratio of 1.6:1, consistent with the known ep</w:t>
      </w:r>
      <w:r w:rsidR="00F45471">
        <w:rPr>
          <w:rFonts w:cs="Times New Roman"/>
        </w:rPr>
        <w:t xml:space="preserve">idemiology of gallstone disease </w:t>
      </w:r>
      <w:r w:rsidR="004F01A3">
        <w:rPr>
          <w:rFonts w:cs="Times New Roman"/>
          <w:b/>
          <w:bCs/>
        </w:rPr>
        <w:t>(Figure 1, Table 1).</w:t>
      </w:r>
    </w:p>
    <w:p w14:paraId="7902E8A5" w14:textId="77777777" w:rsidR="00F45471" w:rsidRPr="002D5606" w:rsidRDefault="00F45471" w:rsidP="00CC36B2">
      <w:pPr>
        <w:pStyle w:val="NormalWeb"/>
        <w:spacing w:beforeAutospacing="0" w:afterAutospacing="0" w:line="360" w:lineRule="auto"/>
        <w:jc w:val="both"/>
        <w:rPr>
          <w:rFonts w:cs="Times New Roman"/>
        </w:rPr>
      </w:pPr>
    </w:p>
    <w:p w14:paraId="7FA3F268" w14:textId="77777777" w:rsidR="009F3129" w:rsidRPr="002D5606" w:rsidRDefault="00E54DC1" w:rsidP="001A0456">
      <w:pPr>
        <w:pStyle w:val="NormalWeb"/>
        <w:jc w:val="center"/>
        <w:rPr>
          <w:rStyle w:val="Strong"/>
          <w:rFonts w:cs="Times New Roman"/>
        </w:rPr>
      </w:pPr>
      <w:r w:rsidRPr="002D5606">
        <w:rPr>
          <w:rStyle w:val="Strong"/>
          <w:rFonts w:cs="Times New Roman"/>
          <w:noProof/>
          <w:lang w:eastAsia="en-US"/>
        </w:rPr>
        <w:lastRenderedPageBreak/>
        <w:drawing>
          <wp:inline distT="0" distB="0" distL="114300" distR="114300" wp14:anchorId="47ADF4E9" wp14:editId="7799790A">
            <wp:extent cx="4176979" cy="1454986"/>
            <wp:effectExtent l="0" t="0" r="0" b="0"/>
            <wp:docPr id="4" name="Picture 4" descr="ChatGPT Image Feb 14, 2026, 01_07_01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tGPT Image Feb 14, 2026, 01_07_01 PM"/>
                    <pic:cNvPicPr>
                      <a:picLocks noChangeAspect="1"/>
                    </pic:cNvPicPr>
                  </pic:nvPicPr>
                  <pic:blipFill rotWithShape="1">
                    <a:blip r:embed="rId7"/>
                    <a:srcRect t="28674"/>
                    <a:stretch/>
                  </pic:blipFill>
                  <pic:spPr bwMode="auto">
                    <a:xfrm>
                      <a:off x="0" y="0"/>
                      <a:ext cx="4181596" cy="1456594"/>
                    </a:xfrm>
                    <a:prstGeom prst="rect">
                      <a:avLst/>
                    </a:prstGeom>
                    <a:ln>
                      <a:noFill/>
                    </a:ln>
                    <a:extLst>
                      <a:ext uri="{53640926-AAD7-44D8-BBD7-CCE9431645EC}">
                        <a14:shadowObscured xmlns:a14="http://schemas.microsoft.com/office/drawing/2010/main"/>
                      </a:ext>
                    </a:extLst>
                  </pic:spPr>
                </pic:pic>
              </a:graphicData>
            </a:graphic>
          </wp:inline>
        </w:drawing>
      </w:r>
    </w:p>
    <w:p w14:paraId="4F977259" w14:textId="77777777" w:rsidR="001A0456" w:rsidRPr="001A0456" w:rsidRDefault="001A0456" w:rsidP="001A0456">
      <w:pPr>
        <w:pStyle w:val="NormalWeb"/>
        <w:jc w:val="center"/>
        <w:rPr>
          <w:rStyle w:val="Strong"/>
          <w:rFonts w:cs="Times New Roman"/>
          <w:color w:val="000000" w:themeColor="text1"/>
        </w:rPr>
      </w:pPr>
      <w:r w:rsidRPr="001A0456">
        <w:rPr>
          <w:rStyle w:val="Strong"/>
          <w:rFonts w:cs="Times New Roman"/>
          <w:color w:val="000000" w:themeColor="text1"/>
        </w:rPr>
        <w:t>Figure 1: Study flow Diagram</w:t>
      </w:r>
    </w:p>
    <w:p w14:paraId="000A8FD6" w14:textId="77777777" w:rsidR="001A0456" w:rsidRDefault="001A0456" w:rsidP="002D5606">
      <w:pPr>
        <w:pStyle w:val="NormalWeb"/>
        <w:jc w:val="both"/>
        <w:rPr>
          <w:rStyle w:val="Strong"/>
          <w:rFonts w:cs="Times New Roman"/>
          <w:color w:val="FF0000"/>
        </w:rPr>
      </w:pPr>
    </w:p>
    <w:p w14:paraId="303CAD81" w14:textId="77777777" w:rsidR="009F3129" w:rsidRPr="002D5606" w:rsidRDefault="00F45471" w:rsidP="002D5606">
      <w:pPr>
        <w:pStyle w:val="NormalWeb"/>
        <w:jc w:val="both"/>
        <w:rPr>
          <w:rFonts w:cs="Times New Roman"/>
        </w:rPr>
      </w:pPr>
      <w:r>
        <w:rPr>
          <w:rStyle w:val="Strong"/>
          <w:rFonts w:cs="Times New Roman"/>
        </w:rPr>
        <w:t>Table 1:</w:t>
      </w:r>
      <w:r w:rsidR="00E54DC1" w:rsidRPr="002D5606">
        <w:rPr>
          <w:rStyle w:val="Strong"/>
          <w:rFonts w:cs="Times New Roman"/>
        </w:rPr>
        <w:t xml:space="preserve"> Baseline demographic characteristics (n=71)</w:t>
      </w:r>
    </w:p>
    <w:tbl>
      <w:tblPr>
        <w:tblStyle w:val="TableGrid"/>
        <w:tblW w:w="5000" w:type="pct"/>
        <w:tblLook w:val="04A0" w:firstRow="1" w:lastRow="0" w:firstColumn="1" w:lastColumn="0" w:noHBand="0" w:noVBand="1"/>
      </w:tblPr>
      <w:tblGrid>
        <w:gridCol w:w="3532"/>
        <w:gridCol w:w="5484"/>
      </w:tblGrid>
      <w:tr w:rsidR="009F3129" w:rsidRPr="002D5606" w14:paraId="57DAF029" w14:textId="77777777" w:rsidTr="004F01A3">
        <w:trPr>
          <w:trHeight w:val="56"/>
        </w:trPr>
        <w:tc>
          <w:tcPr>
            <w:tcW w:w="1959" w:type="pct"/>
          </w:tcPr>
          <w:p w14:paraId="22D90083" w14:textId="77777777" w:rsidR="009F3129" w:rsidRPr="002D5606" w:rsidRDefault="00E54DC1" w:rsidP="00F45471">
            <w:pPr>
              <w:jc w:val="both"/>
              <w:rPr>
                <w:rFonts w:ascii="Times New Roman" w:hAnsi="Times New Roman" w:cs="Times New Roman"/>
                <w:b/>
                <w:bCs/>
                <w:sz w:val="24"/>
                <w:szCs w:val="24"/>
              </w:rPr>
            </w:pPr>
            <w:r w:rsidRPr="002D5606">
              <w:rPr>
                <w:rFonts w:ascii="Times New Roman" w:eastAsia="SimSun" w:hAnsi="Times New Roman" w:cs="Times New Roman"/>
                <w:b/>
                <w:bCs/>
                <w:sz w:val="24"/>
                <w:szCs w:val="24"/>
                <w:lang w:bidi="ar"/>
              </w:rPr>
              <w:t>Variable</w:t>
            </w:r>
          </w:p>
        </w:tc>
        <w:tc>
          <w:tcPr>
            <w:tcW w:w="3041" w:type="pct"/>
          </w:tcPr>
          <w:p w14:paraId="79F5701D" w14:textId="77777777" w:rsidR="009F3129" w:rsidRPr="002D5606" w:rsidRDefault="00E54DC1" w:rsidP="00F45471">
            <w:pPr>
              <w:jc w:val="both"/>
              <w:rPr>
                <w:rFonts w:ascii="Times New Roman" w:hAnsi="Times New Roman" w:cs="Times New Roman"/>
                <w:b/>
                <w:bCs/>
                <w:sz w:val="24"/>
                <w:szCs w:val="24"/>
              </w:rPr>
            </w:pPr>
            <w:r w:rsidRPr="002D5606">
              <w:rPr>
                <w:rFonts w:ascii="Times New Roman" w:eastAsia="SimSun" w:hAnsi="Times New Roman" w:cs="Times New Roman"/>
                <w:b/>
                <w:bCs/>
                <w:sz w:val="24"/>
                <w:szCs w:val="24"/>
                <w:lang w:bidi="ar"/>
              </w:rPr>
              <w:t>n (%)</w:t>
            </w:r>
          </w:p>
        </w:tc>
      </w:tr>
      <w:tr w:rsidR="009F3129" w:rsidRPr="002D5606" w14:paraId="708EB6AC" w14:textId="77777777" w:rsidTr="004F01A3">
        <w:trPr>
          <w:trHeight w:val="56"/>
        </w:trPr>
        <w:tc>
          <w:tcPr>
            <w:tcW w:w="1959" w:type="pct"/>
          </w:tcPr>
          <w:p w14:paraId="053C36D4" w14:textId="77777777" w:rsidR="009F3129" w:rsidRPr="002D5606" w:rsidRDefault="00E54DC1" w:rsidP="00F45471">
            <w:pPr>
              <w:jc w:val="both"/>
              <w:rPr>
                <w:rFonts w:ascii="Times New Roman" w:hAnsi="Times New Roman" w:cs="Times New Roman"/>
                <w:sz w:val="24"/>
                <w:szCs w:val="24"/>
              </w:rPr>
            </w:pPr>
            <w:r w:rsidRPr="002D5606">
              <w:rPr>
                <w:rStyle w:val="Strong"/>
                <w:rFonts w:ascii="Times New Roman" w:eastAsia="SimSun" w:hAnsi="Times New Roman" w:cs="Times New Roman"/>
                <w:sz w:val="24"/>
                <w:szCs w:val="24"/>
                <w:lang w:bidi="ar"/>
              </w:rPr>
              <w:t>Age group (years)</w:t>
            </w:r>
          </w:p>
        </w:tc>
        <w:tc>
          <w:tcPr>
            <w:tcW w:w="3041" w:type="pct"/>
          </w:tcPr>
          <w:p w14:paraId="72102600" w14:textId="77777777" w:rsidR="009F3129" w:rsidRPr="002D5606" w:rsidRDefault="009F3129" w:rsidP="00F45471">
            <w:pPr>
              <w:jc w:val="both"/>
              <w:rPr>
                <w:rFonts w:ascii="Times New Roman" w:hAnsi="Times New Roman" w:cs="Times New Roman"/>
                <w:sz w:val="24"/>
                <w:szCs w:val="24"/>
              </w:rPr>
            </w:pPr>
          </w:p>
        </w:tc>
      </w:tr>
      <w:tr w:rsidR="009F3129" w:rsidRPr="002D5606" w14:paraId="619ACCB5" w14:textId="77777777" w:rsidTr="004F01A3">
        <w:trPr>
          <w:trHeight w:val="56"/>
        </w:trPr>
        <w:tc>
          <w:tcPr>
            <w:tcW w:w="1959" w:type="pct"/>
          </w:tcPr>
          <w:p w14:paraId="2E02DB3F"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&lt;40</w:t>
            </w:r>
          </w:p>
        </w:tc>
        <w:tc>
          <w:tcPr>
            <w:tcW w:w="3041" w:type="pct"/>
          </w:tcPr>
          <w:p w14:paraId="3EA1D5FB"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46 (64.8)</w:t>
            </w:r>
          </w:p>
        </w:tc>
      </w:tr>
      <w:tr w:rsidR="009F3129" w:rsidRPr="002D5606" w14:paraId="19E6D51A" w14:textId="77777777" w:rsidTr="004F01A3">
        <w:trPr>
          <w:trHeight w:val="56"/>
        </w:trPr>
        <w:tc>
          <w:tcPr>
            <w:tcW w:w="1959" w:type="pct"/>
          </w:tcPr>
          <w:p w14:paraId="0AAC2362"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41–50</w:t>
            </w:r>
          </w:p>
        </w:tc>
        <w:tc>
          <w:tcPr>
            <w:tcW w:w="3041" w:type="pct"/>
          </w:tcPr>
          <w:p w14:paraId="08D62219"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14 (19.7)</w:t>
            </w:r>
          </w:p>
        </w:tc>
      </w:tr>
      <w:tr w:rsidR="009F3129" w:rsidRPr="002D5606" w14:paraId="6D57A982" w14:textId="77777777" w:rsidTr="004F01A3">
        <w:trPr>
          <w:trHeight w:val="56"/>
        </w:trPr>
        <w:tc>
          <w:tcPr>
            <w:tcW w:w="1959" w:type="pct"/>
          </w:tcPr>
          <w:p w14:paraId="478A0CE1"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51–60</w:t>
            </w:r>
          </w:p>
        </w:tc>
        <w:tc>
          <w:tcPr>
            <w:tcW w:w="3041" w:type="pct"/>
          </w:tcPr>
          <w:p w14:paraId="161CE3B1"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8 (11.3)</w:t>
            </w:r>
          </w:p>
        </w:tc>
      </w:tr>
      <w:tr w:rsidR="009F3129" w:rsidRPr="002D5606" w14:paraId="431CA3B0" w14:textId="77777777" w:rsidTr="004F01A3">
        <w:trPr>
          <w:trHeight w:val="56"/>
        </w:trPr>
        <w:tc>
          <w:tcPr>
            <w:tcW w:w="1959" w:type="pct"/>
          </w:tcPr>
          <w:p w14:paraId="570EC082"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61–70</w:t>
            </w:r>
          </w:p>
        </w:tc>
        <w:tc>
          <w:tcPr>
            <w:tcW w:w="3041" w:type="pct"/>
          </w:tcPr>
          <w:p w14:paraId="6BFC24CC"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1 (1.4)</w:t>
            </w:r>
          </w:p>
        </w:tc>
      </w:tr>
      <w:tr w:rsidR="009F3129" w:rsidRPr="002D5606" w14:paraId="682C0410" w14:textId="77777777" w:rsidTr="004F01A3">
        <w:trPr>
          <w:trHeight w:val="56"/>
        </w:trPr>
        <w:tc>
          <w:tcPr>
            <w:tcW w:w="1959" w:type="pct"/>
          </w:tcPr>
          <w:p w14:paraId="3CC08143"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&gt;70</w:t>
            </w:r>
          </w:p>
        </w:tc>
        <w:tc>
          <w:tcPr>
            <w:tcW w:w="3041" w:type="pct"/>
          </w:tcPr>
          <w:p w14:paraId="402BB783"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2 (2.8)</w:t>
            </w:r>
          </w:p>
        </w:tc>
      </w:tr>
      <w:tr w:rsidR="009F3129" w:rsidRPr="002D5606" w14:paraId="547A00BA" w14:textId="77777777" w:rsidTr="004F01A3">
        <w:trPr>
          <w:trHeight w:val="56"/>
        </w:trPr>
        <w:tc>
          <w:tcPr>
            <w:tcW w:w="1959" w:type="pct"/>
          </w:tcPr>
          <w:p w14:paraId="7BA4D418" w14:textId="77777777" w:rsidR="009F3129" w:rsidRPr="002D5606" w:rsidRDefault="00E54DC1" w:rsidP="00F45471">
            <w:pPr>
              <w:jc w:val="both"/>
              <w:rPr>
                <w:rFonts w:ascii="Times New Roman" w:hAnsi="Times New Roman" w:cs="Times New Roman"/>
                <w:sz w:val="24"/>
                <w:szCs w:val="24"/>
              </w:rPr>
            </w:pPr>
            <w:r w:rsidRPr="002D5606">
              <w:rPr>
                <w:rStyle w:val="Strong"/>
                <w:rFonts w:ascii="Times New Roman" w:eastAsia="SimSun" w:hAnsi="Times New Roman" w:cs="Times New Roman"/>
                <w:sz w:val="24"/>
                <w:szCs w:val="24"/>
                <w:lang w:bidi="ar"/>
              </w:rPr>
              <w:t>Gender</w:t>
            </w:r>
          </w:p>
        </w:tc>
        <w:tc>
          <w:tcPr>
            <w:tcW w:w="3041" w:type="pct"/>
          </w:tcPr>
          <w:p w14:paraId="7D698757" w14:textId="77777777" w:rsidR="009F3129" w:rsidRPr="002D5606" w:rsidRDefault="009F3129" w:rsidP="00F45471">
            <w:pPr>
              <w:jc w:val="both"/>
              <w:rPr>
                <w:rFonts w:ascii="Times New Roman" w:hAnsi="Times New Roman" w:cs="Times New Roman"/>
                <w:sz w:val="24"/>
                <w:szCs w:val="24"/>
              </w:rPr>
            </w:pPr>
          </w:p>
        </w:tc>
      </w:tr>
      <w:tr w:rsidR="009F3129" w:rsidRPr="002D5606" w14:paraId="31D0CF32" w14:textId="77777777" w:rsidTr="004F01A3">
        <w:trPr>
          <w:trHeight w:val="56"/>
        </w:trPr>
        <w:tc>
          <w:tcPr>
            <w:tcW w:w="1959" w:type="pct"/>
          </w:tcPr>
          <w:p w14:paraId="677ABD9A"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Male</w:t>
            </w:r>
          </w:p>
        </w:tc>
        <w:tc>
          <w:tcPr>
            <w:tcW w:w="3041" w:type="pct"/>
          </w:tcPr>
          <w:p w14:paraId="6AC8BB92"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27 (38.0)</w:t>
            </w:r>
          </w:p>
        </w:tc>
      </w:tr>
      <w:tr w:rsidR="009F3129" w:rsidRPr="002D5606" w14:paraId="3D25C3DD" w14:textId="77777777" w:rsidTr="004F01A3">
        <w:trPr>
          <w:trHeight w:val="56"/>
        </w:trPr>
        <w:tc>
          <w:tcPr>
            <w:tcW w:w="1959" w:type="pct"/>
          </w:tcPr>
          <w:p w14:paraId="32A96E15"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Female</w:t>
            </w:r>
          </w:p>
        </w:tc>
        <w:tc>
          <w:tcPr>
            <w:tcW w:w="3041" w:type="pct"/>
          </w:tcPr>
          <w:p w14:paraId="28F0E8F5" w14:textId="77777777" w:rsidR="009F3129" w:rsidRPr="002D5606" w:rsidRDefault="00E54DC1" w:rsidP="00F45471">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44 (62.0)</w:t>
            </w:r>
          </w:p>
        </w:tc>
      </w:tr>
    </w:tbl>
    <w:p w14:paraId="6CD7CC59" w14:textId="77777777" w:rsidR="009F3129" w:rsidRPr="002D5606" w:rsidRDefault="009F3129" w:rsidP="002D5606">
      <w:pPr>
        <w:jc w:val="both"/>
        <w:rPr>
          <w:rFonts w:ascii="Times New Roman" w:hAnsi="Times New Roman" w:cs="Times New Roman"/>
          <w:sz w:val="24"/>
          <w:szCs w:val="24"/>
        </w:rPr>
      </w:pPr>
    </w:p>
    <w:p w14:paraId="2DC77515" w14:textId="77777777" w:rsidR="009F3129" w:rsidRPr="002D5606" w:rsidRDefault="00E54DC1" w:rsidP="004F01A3">
      <w:pPr>
        <w:pStyle w:val="Heading3"/>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Diagnostic Yield of Upper GI Endoscopy</w:t>
      </w:r>
    </w:p>
    <w:p w14:paraId="57E37F1E" w14:textId="77777777" w:rsidR="009F3129" w:rsidRPr="002D5606" w:rsidRDefault="00E54DC1" w:rsidP="004F01A3">
      <w:pPr>
        <w:pStyle w:val="NormalWeb"/>
        <w:spacing w:beforeAutospacing="0" w:afterAutospacing="0" w:line="360" w:lineRule="auto"/>
        <w:jc w:val="both"/>
        <w:rPr>
          <w:rFonts w:cs="Times New Roman"/>
        </w:rPr>
      </w:pPr>
      <w:r w:rsidRPr="002D5606">
        <w:rPr>
          <w:rFonts w:cs="Times New Roman"/>
        </w:rPr>
        <w:t>Preoperative UGI endoscopy revealed clinically significant mucosal pathology in 36 of 71 patients, corresponding to a diagnostic yield of 50.7%. Nearly half of the patients (49.3%) had a normal endoscopic examination. The detection of upper gastrointestinal lesions in more than one-half of patients highlights the substantial burden of concomitant mucosal disease in individuals presenting with symptomatic cholelithiasis. This finding underscores the potential for symptom overlap between biliary and non-biliary gastrointestinal pathology and supports the rationale for compre</w:t>
      </w:r>
      <w:r w:rsidR="004F01A3">
        <w:rPr>
          <w:rFonts w:cs="Times New Roman"/>
        </w:rPr>
        <w:t xml:space="preserve">hensive preoperative evaluation </w:t>
      </w:r>
      <w:r w:rsidR="004F01A3" w:rsidRPr="004F01A3">
        <w:rPr>
          <w:rFonts w:cs="Times New Roman"/>
          <w:b/>
          <w:bCs/>
        </w:rPr>
        <w:t>(Table 2).</w:t>
      </w:r>
    </w:p>
    <w:p w14:paraId="4D908F98" w14:textId="77777777" w:rsidR="009F3129" w:rsidRPr="002D5606" w:rsidRDefault="004F01A3" w:rsidP="002D5606">
      <w:pPr>
        <w:pStyle w:val="NormalWeb"/>
        <w:jc w:val="both"/>
        <w:rPr>
          <w:rFonts w:cs="Times New Roman"/>
        </w:rPr>
      </w:pPr>
      <w:r>
        <w:rPr>
          <w:rStyle w:val="Strong"/>
          <w:rFonts w:cs="Times New Roman"/>
        </w:rPr>
        <w:t>Table 2:</w:t>
      </w:r>
      <w:r w:rsidR="00E54DC1" w:rsidRPr="002D5606">
        <w:rPr>
          <w:rStyle w:val="Strong"/>
          <w:rFonts w:cs="Times New Roman"/>
        </w:rPr>
        <w:t xml:space="preserve"> Overall endoscopic findings (n=71)</w:t>
      </w:r>
    </w:p>
    <w:tbl>
      <w:tblPr>
        <w:tblStyle w:val="TableGrid"/>
        <w:tblW w:w="5000" w:type="pct"/>
        <w:tblLook w:val="04A0" w:firstRow="1" w:lastRow="0" w:firstColumn="1" w:lastColumn="0" w:noHBand="0" w:noVBand="1"/>
      </w:tblPr>
      <w:tblGrid>
        <w:gridCol w:w="3767"/>
        <w:gridCol w:w="5249"/>
      </w:tblGrid>
      <w:tr w:rsidR="009F3129" w:rsidRPr="002D5606" w14:paraId="7D715405" w14:textId="77777777" w:rsidTr="004F01A3">
        <w:trPr>
          <w:trHeight w:val="56"/>
        </w:trPr>
        <w:tc>
          <w:tcPr>
            <w:tcW w:w="2089" w:type="pct"/>
          </w:tcPr>
          <w:p w14:paraId="3DE19110" w14:textId="77777777" w:rsidR="009F3129" w:rsidRPr="002D5606" w:rsidRDefault="00E54DC1" w:rsidP="004F01A3">
            <w:pPr>
              <w:jc w:val="both"/>
              <w:rPr>
                <w:rFonts w:ascii="Times New Roman" w:hAnsi="Times New Roman" w:cs="Times New Roman"/>
                <w:b/>
                <w:bCs/>
                <w:sz w:val="24"/>
                <w:szCs w:val="24"/>
              </w:rPr>
            </w:pPr>
            <w:r w:rsidRPr="002D5606">
              <w:rPr>
                <w:rFonts w:ascii="Times New Roman" w:eastAsia="SimSun" w:hAnsi="Times New Roman" w:cs="Times New Roman"/>
                <w:b/>
                <w:bCs/>
                <w:sz w:val="24"/>
                <w:szCs w:val="24"/>
                <w:lang w:bidi="ar"/>
              </w:rPr>
              <w:t>Finding</w:t>
            </w:r>
          </w:p>
        </w:tc>
        <w:tc>
          <w:tcPr>
            <w:tcW w:w="2911" w:type="pct"/>
          </w:tcPr>
          <w:p w14:paraId="1186DA4C" w14:textId="77777777" w:rsidR="009F3129" w:rsidRPr="002D5606" w:rsidRDefault="00E54DC1" w:rsidP="004F01A3">
            <w:pPr>
              <w:jc w:val="both"/>
              <w:rPr>
                <w:rFonts w:ascii="Times New Roman" w:hAnsi="Times New Roman" w:cs="Times New Roman"/>
                <w:b/>
                <w:bCs/>
                <w:sz w:val="24"/>
                <w:szCs w:val="24"/>
              </w:rPr>
            </w:pPr>
            <w:r w:rsidRPr="002D5606">
              <w:rPr>
                <w:rFonts w:ascii="Times New Roman" w:eastAsia="SimSun" w:hAnsi="Times New Roman" w:cs="Times New Roman"/>
                <w:b/>
                <w:bCs/>
                <w:sz w:val="24"/>
                <w:szCs w:val="24"/>
                <w:lang w:bidi="ar"/>
              </w:rPr>
              <w:t>n (%)</w:t>
            </w:r>
          </w:p>
        </w:tc>
      </w:tr>
      <w:tr w:rsidR="009F3129" w:rsidRPr="002D5606" w14:paraId="712496B5" w14:textId="77777777" w:rsidTr="004F01A3">
        <w:trPr>
          <w:trHeight w:val="56"/>
        </w:trPr>
        <w:tc>
          <w:tcPr>
            <w:tcW w:w="2089" w:type="pct"/>
          </w:tcPr>
          <w:p w14:paraId="7FB14FC7" w14:textId="77777777" w:rsidR="009F3129" w:rsidRPr="002D5606" w:rsidRDefault="00E54DC1" w:rsidP="004F01A3">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Normal study</w:t>
            </w:r>
          </w:p>
        </w:tc>
        <w:tc>
          <w:tcPr>
            <w:tcW w:w="2911" w:type="pct"/>
          </w:tcPr>
          <w:p w14:paraId="504E912F" w14:textId="77777777" w:rsidR="009F3129" w:rsidRPr="002D5606" w:rsidRDefault="00E54DC1" w:rsidP="004F01A3">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35 (49.3)</w:t>
            </w:r>
          </w:p>
        </w:tc>
      </w:tr>
      <w:tr w:rsidR="009F3129" w:rsidRPr="002D5606" w14:paraId="2CDAB1E4" w14:textId="77777777" w:rsidTr="004F01A3">
        <w:trPr>
          <w:trHeight w:val="56"/>
        </w:trPr>
        <w:tc>
          <w:tcPr>
            <w:tcW w:w="2089" w:type="pct"/>
          </w:tcPr>
          <w:p w14:paraId="23B68768" w14:textId="77777777" w:rsidR="009F3129" w:rsidRPr="002D5606" w:rsidRDefault="00E54DC1" w:rsidP="004F01A3">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Significant lesion</w:t>
            </w:r>
          </w:p>
        </w:tc>
        <w:tc>
          <w:tcPr>
            <w:tcW w:w="2911" w:type="pct"/>
          </w:tcPr>
          <w:p w14:paraId="2C7558C1" w14:textId="77777777" w:rsidR="009F3129" w:rsidRPr="002D5606" w:rsidRDefault="00E54DC1" w:rsidP="004F01A3">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36 (50.7)</w:t>
            </w:r>
          </w:p>
        </w:tc>
      </w:tr>
    </w:tbl>
    <w:p w14:paraId="5CE74022" w14:textId="77777777" w:rsidR="009F3129" w:rsidRPr="002D5606" w:rsidRDefault="009F3129" w:rsidP="002D5606">
      <w:pPr>
        <w:jc w:val="both"/>
        <w:rPr>
          <w:rFonts w:ascii="Times New Roman" w:hAnsi="Times New Roman" w:cs="Times New Roman"/>
          <w:sz w:val="24"/>
          <w:szCs w:val="24"/>
        </w:rPr>
      </w:pPr>
    </w:p>
    <w:p w14:paraId="2E943D0E" w14:textId="77777777" w:rsidR="009F3129" w:rsidRPr="002D5606" w:rsidRDefault="00E54DC1" w:rsidP="004F01A3">
      <w:pPr>
        <w:pStyle w:val="Heading3"/>
        <w:jc w:val="center"/>
        <w:rPr>
          <w:rFonts w:ascii="Times New Roman" w:hAnsi="Times New Roman" w:cs="Times New Roman" w:hint="default"/>
          <w:sz w:val="24"/>
          <w:szCs w:val="24"/>
        </w:rPr>
      </w:pPr>
      <w:r w:rsidRPr="002D5606">
        <w:rPr>
          <w:rFonts w:ascii="Times New Roman" w:hAnsi="Times New Roman" w:cs="Times New Roman" w:hint="default"/>
          <w:noProof/>
          <w:sz w:val="24"/>
          <w:szCs w:val="24"/>
          <w:lang w:eastAsia="en-US"/>
        </w:rPr>
        <w:lastRenderedPageBreak/>
        <w:drawing>
          <wp:inline distT="0" distB="0" distL="114300" distR="114300" wp14:anchorId="55C57223" wp14:editId="12B88C26">
            <wp:extent cx="3242310" cy="2553335"/>
            <wp:effectExtent l="0" t="0" r="15240" b="18415"/>
            <wp:docPr id="1" name="Picture 1" descr="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utput"/>
                    <pic:cNvPicPr>
                      <a:picLocks noChangeAspect="1"/>
                    </pic:cNvPicPr>
                  </pic:nvPicPr>
                  <pic:blipFill>
                    <a:blip r:embed="rId8"/>
                    <a:stretch>
                      <a:fillRect/>
                    </a:stretch>
                  </pic:blipFill>
                  <pic:spPr>
                    <a:xfrm>
                      <a:off x="0" y="0"/>
                      <a:ext cx="3242310" cy="2553335"/>
                    </a:xfrm>
                    <a:prstGeom prst="rect">
                      <a:avLst/>
                    </a:prstGeom>
                  </pic:spPr>
                </pic:pic>
              </a:graphicData>
            </a:graphic>
          </wp:inline>
        </w:drawing>
      </w:r>
    </w:p>
    <w:p w14:paraId="07F720B9" w14:textId="77777777" w:rsidR="009F3129" w:rsidRPr="002D5606" w:rsidRDefault="004F01A3" w:rsidP="004F01A3">
      <w:pPr>
        <w:pStyle w:val="Heading3"/>
        <w:jc w:val="center"/>
        <w:rPr>
          <w:rFonts w:ascii="Times New Roman" w:hAnsi="Times New Roman" w:cs="Times New Roman" w:hint="default"/>
          <w:sz w:val="24"/>
          <w:szCs w:val="24"/>
        </w:rPr>
      </w:pPr>
      <w:r>
        <w:rPr>
          <w:rFonts w:ascii="Times New Roman" w:hAnsi="Times New Roman" w:cs="Times New Roman" w:hint="default"/>
          <w:sz w:val="24"/>
          <w:szCs w:val="24"/>
        </w:rPr>
        <w:t>Figure 2:</w:t>
      </w:r>
      <w:r w:rsidR="00E54DC1" w:rsidRPr="002D5606">
        <w:rPr>
          <w:rFonts w:ascii="Times New Roman" w:hAnsi="Times New Roman" w:cs="Times New Roman" w:hint="default"/>
          <w:sz w:val="24"/>
          <w:szCs w:val="24"/>
        </w:rPr>
        <w:t xml:space="preserve"> Diagnostic Yield of </w:t>
      </w:r>
      <w:r>
        <w:rPr>
          <w:rFonts w:ascii="Times New Roman" w:hAnsi="Times New Roman" w:cs="Times New Roman" w:hint="default"/>
          <w:sz w:val="24"/>
          <w:szCs w:val="24"/>
        </w:rPr>
        <w:t>Preoperative Upper GI Endoscopy</w:t>
      </w:r>
    </w:p>
    <w:p w14:paraId="2EAF1C7E" w14:textId="77777777" w:rsidR="009F3129" w:rsidRPr="002D5606" w:rsidRDefault="00E54DC1" w:rsidP="00CC337E">
      <w:pPr>
        <w:pStyle w:val="Heading3"/>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Spectrum and Pattern of Endoscopic Lesions</w:t>
      </w:r>
    </w:p>
    <w:p w14:paraId="0EE4EBF6" w14:textId="77777777" w:rsidR="009F3129" w:rsidRPr="002D5606" w:rsidRDefault="00E54DC1" w:rsidP="00CC337E">
      <w:pPr>
        <w:pStyle w:val="NormalWeb"/>
        <w:spacing w:beforeAutospacing="0" w:afterAutospacing="0" w:line="360" w:lineRule="auto"/>
        <w:jc w:val="both"/>
        <w:rPr>
          <w:rFonts w:cs="Times New Roman"/>
        </w:rPr>
      </w:pPr>
      <w:r w:rsidRPr="002D5606">
        <w:rPr>
          <w:rFonts w:cs="Times New Roman"/>
        </w:rPr>
        <w:t>Among the 36 patients with abnormal findings, inflammatory gastric pathology predominated. Gastritis was the most frequent lesion, observed in 33.3% of cases, followed by antral gastritis (22.2%). Reflux esophagitis accounted for 13.9% of significant lesions. When considered collectively, inflammatory and reflux-related conditions represented the majority of abnormalities detected. Less frequent findings included esophageal varices, pyloric gastritis, and combined mucosal lesions.</w:t>
      </w:r>
    </w:p>
    <w:p w14:paraId="7F3CFC34" w14:textId="77777777" w:rsidR="009F3129" w:rsidRPr="002D5606" w:rsidRDefault="00E54DC1" w:rsidP="00CC337E">
      <w:pPr>
        <w:pStyle w:val="NormalWeb"/>
        <w:spacing w:beforeAutospacing="0" w:afterAutospacing="0" w:line="360" w:lineRule="auto"/>
        <w:jc w:val="both"/>
        <w:rPr>
          <w:rFonts w:cs="Times New Roman"/>
        </w:rPr>
      </w:pPr>
      <w:r w:rsidRPr="002D5606">
        <w:rPr>
          <w:rFonts w:cs="Times New Roman"/>
        </w:rPr>
        <w:t>The predominance of gastritis and antral gastritis suggests that acid-peptic disease is a major contributor to upper abdominal symptomatology in this population. Importantly, several lesions identified on endoscopy have established medical therapies, which may influence symptom resolution independently of cholecystectomy.</w:t>
      </w:r>
    </w:p>
    <w:p w14:paraId="61A44DCD" w14:textId="77777777" w:rsidR="009F3129" w:rsidRPr="002D5606" w:rsidRDefault="00CC337E" w:rsidP="002D5606">
      <w:pPr>
        <w:pStyle w:val="NormalWeb"/>
        <w:jc w:val="both"/>
        <w:rPr>
          <w:rFonts w:cs="Times New Roman"/>
        </w:rPr>
      </w:pPr>
      <w:r>
        <w:rPr>
          <w:rStyle w:val="Strong"/>
          <w:rFonts w:cs="Times New Roman"/>
        </w:rPr>
        <w:t>Table 3:</w:t>
      </w:r>
      <w:r w:rsidR="00E54DC1" w:rsidRPr="002D5606">
        <w:rPr>
          <w:rStyle w:val="Strong"/>
          <w:rFonts w:cs="Times New Roman"/>
        </w:rPr>
        <w:t xml:space="preserve"> Distribution of significant endoscopic lesions (n=36)</w:t>
      </w:r>
    </w:p>
    <w:tbl>
      <w:tblPr>
        <w:tblStyle w:val="TableGrid"/>
        <w:tblW w:w="5000" w:type="pct"/>
        <w:tblLook w:val="04A0" w:firstRow="1" w:lastRow="0" w:firstColumn="1" w:lastColumn="0" w:noHBand="0" w:noVBand="1"/>
      </w:tblPr>
      <w:tblGrid>
        <w:gridCol w:w="4542"/>
        <w:gridCol w:w="4474"/>
      </w:tblGrid>
      <w:tr w:rsidR="009F3129" w:rsidRPr="002D5606" w14:paraId="60853FF7" w14:textId="77777777" w:rsidTr="00CC337E">
        <w:trPr>
          <w:trHeight w:val="56"/>
        </w:trPr>
        <w:tc>
          <w:tcPr>
            <w:tcW w:w="2519" w:type="pct"/>
          </w:tcPr>
          <w:p w14:paraId="77499580" w14:textId="77777777" w:rsidR="009F3129" w:rsidRPr="002D5606" w:rsidRDefault="00E54DC1" w:rsidP="00CC337E">
            <w:pPr>
              <w:jc w:val="both"/>
              <w:rPr>
                <w:rFonts w:ascii="Times New Roman" w:hAnsi="Times New Roman" w:cs="Times New Roman"/>
                <w:b/>
                <w:bCs/>
                <w:sz w:val="24"/>
                <w:szCs w:val="24"/>
              </w:rPr>
            </w:pPr>
            <w:r w:rsidRPr="002D5606">
              <w:rPr>
                <w:rFonts w:ascii="Times New Roman" w:eastAsia="SimSun" w:hAnsi="Times New Roman" w:cs="Times New Roman"/>
                <w:b/>
                <w:bCs/>
                <w:sz w:val="24"/>
                <w:szCs w:val="24"/>
                <w:lang w:bidi="ar"/>
              </w:rPr>
              <w:t>Lesion</w:t>
            </w:r>
          </w:p>
        </w:tc>
        <w:tc>
          <w:tcPr>
            <w:tcW w:w="2481" w:type="pct"/>
          </w:tcPr>
          <w:p w14:paraId="5CF93C25" w14:textId="77777777" w:rsidR="009F3129" w:rsidRPr="002D5606" w:rsidRDefault="00E54DC1" w:rsidP="00CC337E">
            <w:pPr>
              <w:jc w:val="both"/>
              <w:rPr>
                <w:rFonts w:ascii="Times New Roman" w:hAnsi="Times New Roman" w:cs="Times New Roman"/>
                <w:b/>
                <w:bCs/>
                <w:sz w:val="24"/>
                <w:szCs w:val="24"/>
              </w:rPr>
            </w:pPr>
            <w:r w:rsidRPr="002D5606">
              <w:rPr>
                <w:rFonts w:ascii="Times New Roman" w:eastAsia="SimSun" w:hAnsi="Times New Roman" w:cs="Times New Roman"/>
                <w:b/>
                <w:bCs/>
                <w:sz w:val="24"/>
                <w:szCs w:val="24"/>
                <w:lang w:bidi="ar"/>
              </w:rPr>
              <w:t>n (%)</w:t>
            </w:r>
          </w:p>
        </w:tc>
      </w:tr>
      <w:tr w:rsidR="009F3129" w:rsidRPr="002D5606" w14:paraId="4C0CD9D3" w14:textId="77777777" w:rsidTr="00CC337E">
        <w:trPr>
          <w:trHeight w:val="56"/>
        </w:trPr>
        <w:tc>
          <w:tcPr>
            <w:tcW w:w="2519" w:type="pct"/>
          </w:tcPr>
          <w:p w14:paraId="72F3CF7A"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Gastritis</w:t>
            </w:r>
          </w:p>
        </w:tc>
        <w:tc>
          <w:tcPr>
            <w:tcW w:w="2481" w:type="pct"/>
          </w:tcPr>
          <w:p w14:paraId="0E6B78FA"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12 (33.3)</w:t>
            </w:r>
          </w:p>
        </w:tc>
      </w:tr>
      <w:tr w:rsidR="009F3129" w:rsidRPr="002D5606" w14:paraId="0A76C6C2" w14:textId="77777777" w:rsidTr="00CC337E">
        <w:trPr>
          <w:trHeight w:val="56"/>
        </w:trPr>
        <w:tc>
          <w:tcPr>
            <w:tcW w:w="2519" w:type="pct"/>
          </w:tcPr>
          <w:p w14:paraId="240D46AD"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Antral gastritis</w:t>
            </w:r>
          </w:p>
        </w:tc>
        <w:tc>
          <w:tcPr>
            <w:tcW w:w="2481" w:type="pct"/>
          </w:tcPr>
          <w:p w14:paraId="2C5D1837"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8 (22.2)</w:t>
            </w:r>
          </w:p>
        </w:tc>
      </w:tr>
      <w:tr w:rsidR="009F3129" w:rsidRPr="002D5606" w14:paraId="6FDF722A" w14:textId="77777777" w:rsidTr="00CC337E">
        <w:trPr>
          <w:trHeight w:val="56"/>
        </w:trPr>
        <w:tc>
          <w:tcPr>
            <w:tcW w:w="2519" w:type="pct"/>
          </w:tcPr>
          <w:p w14:paraId="09B3AC9D"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Reflux esophagitis</w:t>
            </w:r>
          </w:p>
        </w:tc>
        <w:tc>
          <w:tcPr>
            <w:tcW w:w="2481" w:type="pct"/>
          </w:tcPr>
          <w:p w14:paraId="4CF1B5FC"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5 (13.9)</w:t>
            </w:r>
          </w:p>
        </w:tc>
      </w:tr>
      <w:tr w:rsidR="009F3129" w:rsidRPr="002D5606" w14:paraId="5D98E0CE" w14:textId="77777777" w:rsidTr="00CC337E">
        <w:trPr>
          <w:trHeight w:val="56"/>
        </w:trPr>
        <w:tc>
          <w:tcPr>
            <w:tcW w:w="2519" w:type="pct"/>
          </w:tcPr>
          <w:p w14:paraId="6A2BAB7E"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Esophageal varices</w:t>
            </w:r>
          </w:p>
        </w:tc>
        <w:tc>
          <w:tcPr>
            <w:tcW w:w="2481" w:type="pct"/>
          </w:tcPr>
          <w:p w14:paraId="285EF2E4"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2 (5.6)</w:t>
            </w:r>
          </w:p>
        </w:tc>
      </w:tr>
      <w:tr w:rsidR="009F3129" w:rsidRPr="002D5606" w14:paraId="7D6A876D" w14:textId="77777777" w:rsidTr="00CC337E">
        <w:trPr>
          <w:trHeight w:val="56"/>
        </w:trPr>
        <w:tc>
          <w:tcPr>
            <w:tcW w:w="2519" w:type="pct"/>
          </w:tcPr>
          <w:p w14:paraId="4CF51FB8"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Esophagitis</w:t>
            </w:r>
          </w:p>
        </w:tc>
        <w:tc>
          <w:tcPr>
            <w:tcW w:w="2481" w:type="pct"/>
          </w:tcPr>
          <w:p w14:paraId="72CEAA5C"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2 (5.6)</w:t>
            </w:r>
          </w:p>
        </w:tc>
      </w:tr>
      <w:tr w:rsidR="009F3129" w:rsidRPr="002D5606" w14:paraId="50CEB435" w14:textId="77777777" w:rsidTr="00CC337E">
        <w:trPr>
          <w:trHeight w:val="56"/>
        </w:trPr>
        <w:tc>
          <w:tcPr>
            <w:tcW w:w="2519" w:type="pct"/>
          </w:tcPr>
          <w:p w14:paraId="7ADA521C"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Pyloric gastritis</w:t>
            </w:r>
          </w:p>
        </w:tc>
        <w:tc>
          <w:tcPr>
            <w:tcW w:w="2481" w:type="pct"/>
          </w:tcPr>
          <w:p w14:paraId="248D0392"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2 (5.6)</w:t>
            </w:r>
          </w:p>
        </w:tc>
      </w:tr>
      <w:tr w:rsidR="009F3129" w:rsidRPr="002D5606" w14:paraId="6C960CB2" w14:textId="77777777" w:rsidTr="00CC337E">
        <w:trPr>
          <w:trHeight w:val="56"/>
        </w:trPr>
        <w:tc>
          <w:tcPr>
            <w:tcW w:w="2519" w:type="pct"/>
          </w:tcPr>
          <w:p w14:paraId="24E429A0"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Other combined lesions</w:t>
            </w:r>
          </w:p>
        </w:tc>
        <w:tc>
          <w:tcPr>
            <w:tcW w:w="2481" w:type="pct"/>
          </w:tcPr>
          <w:p w14:paraId="601DA6D4" w14:textId="77777777" w:rsidR="009F3129" w:rsidRPr="002D5606" w:rsidRDefault="00E54DC1" w:rsidP="00CC337E">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5 (13.9)</w:t>
            </w:r>
          </w:p>
        </w:tc>
      </w:tr>
    </w:tbl>
    <w:p w14:paraId="53720844" w14:textId="77777777" w:rsidR="009F3129" w:rsidRPr="002D5606" w:rsidRDefault="009F3129" w:rsidP="002D5606">
      <w:pPr>
        <w:jc w:val="both"/>
        <w:rPr>
          <w:rFonts w:ascii="Times New Roman" w:hAnsi="Times New Roman" w:cs="Times New Roman"/>
          <w:sz w:val="24"/>
          <w:szCs w:val="24"/>
        </w:rPr>
      </w:pPr>
    </w:p>
    <w:p w14:paraId="58B3FF6E" w14:textId="77777777" w:rsidR="009F3129" w:rsidRPr="002D5606" w:rsidRDefault="00E54DC1" w:rsidP="00CC337E">
      <w:pPr>
        <w:ind w:leftChars="-100" w:left="-200"/>
        <w:jc w:val="center"/>
        <w:rPr>
          <w:rFonts w:ascii="Times New Roman" w:hAnsi="Times New Roman" w:cs="Times New Roman"/>
          <w:sz w:val="24"/>
          <w:szCs w:val="24"/>
        </w:rPr>
      </w:pPr>
      <w:r w:rsidRPr="002D5606">
        <w:rPr>
          <w:rFonts w:ascii="Times New Roman" w:hAnsi="Times New Roman" w:cs="Times New Roman"/>
          <w:noProof/>
          <w:sz w:val="24"/>
          <w:szCs w:val="24"/>
          <w:lang w:eastAsia="en-US" w:bidi="mr-IN"/>
        </w:rPr>
        <w:lastRenderedPageBreak/>
        <w:drawing>
          <wp:inline distT="0" distB="0" distL="114300" distR="114300" wp14:anchorId="4CE542B4" wp14:editId="123CD660">
            <wp:extent cx="4079875" cy="3024505"/>
            <wp:effectExtent l="0" t="0" r="15875" b="4445"/>
            <wp:docPr id="2" name="Picture 2" descr="outpu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utput (1)"/>
                    <pic:cNvPicPr>
                      <a:picLocks noChangeAspect="1"/>
                    </pic:cNvPicPr>
                  </pic:nvPicPr>
                  <pic:blipFill>
                    <a:blip r:embed="rId9"/>
                    <a:stretch>
                      <a:fillRect/>
                    </a:stretch>
                  </pic:blipFill>
                  <pic:spPr>
                    <a:xfrm>
                      <a:off x="0" y="0"/>
                      <a:ext cx="4079875" cy="3024505"/>
                    </a:xfrm>
                    <a:prstGeom prst="rect">
                      <a:avLst/>
                    </a:prstGeom>
                  </pic:spPr>
                </pic:pic>
              </a:graphicData>
            </a:graphic>
          </wp:inline>
        </w:drawing>
      </w:r>
    </w:p>
    <w:p w14:paraId="0C5AF9ED" w14:textId="77777777" w:rsidR="009F3129" w:rsidRPr="002D5606" w:rsidRDefault="00CC337E" w:rsidP="00CC337E">
      <w:pPr>
        <w:ind w:leftChars="-100" w:left="-200"/>
        <w:jc w:val="center"/>
        <w:rPr>
          <w:rFonts w:ascii="Times New Roman" w:hAnsi="Times New Roman" w:cs="Times New Roman"/>
          <w:b/>
          <w:bCs/>
          <w:sz w:val="24"/>
          <w:szCs w:val="24"/>
        </w:rPr>
      </w:pPr>
      <w:r>
        <w:rPr>
          <w:rFonts w:ascii="Times New Roman" w:hAnsi="Times New Roman" w:cs="Times New Roman"/>
          <w:b/>
          <w:bCs/>
          <w:sz w:val="24"/>
          <w:szCs w:val="24"/>
        </w:rPr>
        <w:t xml:space="preserve">Figure 3: </w:t>
      </w:r>
      <w:r w:rsidR="00E54DC1" w:rsidRPr="002D5606">
        <w:rPr>
          <w:rFonts w:ascii="Times New Roman" w:eastAsia="SimSun" w:hAnsi="Times New Roman" w:cs="Times New Roman"/>
          <w:b/>
          <w:bCs/>
          <w:sz w:val="24"/>
          <w:szCs w:val="24"/>
        </w:rPr>
        <w:t>Distribution of Significant Endoscopic Lesions</w:t>
      </w:r>
    </w:p>
    <w:p w14:paraId="1932C035" w14:textId="77777777" w:rsidR="009F3129" w:rsidRPr="002D5606" w:rsidRDefault="00E54DC1" w:rsidP="002D5606">
      <w:pPr>
        <w:pStyle w:val="Heading3"/>
        <w:jc w:val="both"/>
        <w:rPr>
          <w:rFonts w:ascii="Times New Roman" w:hAnsi="Times New Roman" w:cs="Times New Roman" w:hint="default"/>
          <w:sz w:val="24"/>
          <w:szCs w:val="24"/>
        </w:rPr>
      </w:pPr>
      <w:r w:rsidRPr="002D5606">
        <w:rPr>
          <w:rFonts w:ascii="Times New Roman" w:hAnsi="Times New Roman" w:cs="Times New Roman" w:hint="default"/>
          <w:sz w:val="24"/>
          <w:szCs w:val="24"/>
        </w:rPr>
        <w:t>Gender-Based Differences</w:t>
      </w:r>
    </w:p>
    <w:p w14:paraId="4B047331" w14:textId="77777777" w:rsidR="009F3129" w:rsidRPr="002D5606" w:rsidRDefault="00E54DC1" w:rsidP="002D5606">
      <w:pPr>
        <w:pStyle w:val="NormalWeb"/>
        <w:jc w:val="both"/>
        <w:rPr>
          <w:rFonts w:cs="Times New Roman"/>
        </w:rPr>
      </w:pPr>
      <w:r w:rsidRPr="002D5606">
        <w:rPr>
          <w:rFonts w:cs="Times New Roman"/>
        </w:rPr>
        <w:t>Of the 36 patients with significant endoscopic findings, 22 were females and 14 were males. Although females had a higher absolute number of lesions, this corresponded to their greater representation in the study population. Gastritis and antral gastritis were the most common lesions in both sexes. Reflux esophagitis was proportionally more frequent in males (21.4%) compared to females (9.1%), whereas esophageal varices were observed only in female patients.</w:t>
      </w:r>
    </w:p>
    <w:p w14:paraId="04C3F2A6" w14:textId="77777777" w:rsidR="009F3129" w:rsidRPr="002D5606" w:rsidRDefault="00E54DC1" w:rsidP="002D5606">
      <w:pPr>
        <w:pStyle w:val="NormalWeb"/>
        <w:jc w:val="both"/>
        <w:rPr>
          <w:rFonts w:cs="Times New Roman"/>
        </w:rPr>
      </w:pPr>
      <w:r w:rsidRPr="002D5606">
        <w:rPr>
          <w:rFonts w:cs="Times New Roman"/>
        </w:rPr>
        <w:t>These findings suggest that while the overall burden of upper GI pathology parallels the gender distribution of gallstone disease, certain lesion patterns may vary between sexes.</w:t>
      </w:r>
    </w:p>
    <w:p w14:paraId="6C408798" w14:textId="77777777" w:rsidR="009F3129" w:rsidRPr="002D5606" w:rsidRDefault="005328B5" w:rsidP="002D5606">
      <w:pPr>
        <w:pStyle w:val="NormalWeb"/>
        <w:jc w:val="both"/>
        <w:rPr>
          <w:rFonts w:cs="Times New Roman"/>
        </w:rPr>
      </w:pPr>
      <w:r>
        <w:rPr>
          <w:rStyle w:val="Strong"/>
          <w:rFonts w:cs="Times New Roman"/>
        </w:rPr>
        <w:t xml:space="preserve">Table 4:  </w:t>
      </w:r>
      <w:r w:rsidR="00E54DC1" w:rsidRPr="002D5606">
        <w:rPr>
          <w:rStyle w:val="Strong"/>
          <w:rFonts w:cs="Times New Roman"/>
        </w:rPr>
        <w:t>Gender-wise distribution of significant lesions</w:t>
      </w:r>
    </w:p>
    <w:tbl>
      <w:tblPr>
        <w:tblStyle w:val="TableGrid"/>
        <w:tblW w:w="5000" w:type="pct"/>
        <w:tblLook w:val="04A0" w:firstRow="1" w:lastRow="0" w:firstColumn="1" w:lastColumn="0" w:noHBand="0" w:noVBand="1"/>
      </w:tblPr>
      <w:tblGrid>
        <w:gridCol w:w="2732"/>
        <w:gridCol w:w="2970"/>
        <w:gridCol w:w="3314"/>
      </w:tblGrid>
      <w:tr w:rsidR="009F3129" w:rsidRPr="002D5606" w14:paraId="232B2D37" w14:textId="77777777" w:rsidTr="005328B5">
        <w:trPr>
          <w:trHeight w:val="56"/>
        </w:trPr>
        <w:tc>
          <w:tcPr>
            <w:tcW w:w="1515" w:type="pct"/>
          </w:tcPr>
          <w:p w14:paraId="029EC264" w14:textId="77777777" w:rsidR="009F3129" w:rsidRPr="002D5606" w:rsidRDefault="00E54DC1" w:rsidP="005328B5">
            <w:pPr>
              <w:jc w:val="both"/>
              <w:rPr>
                <w:rFonts w:ascii="Times New Roman" w:hAnsi="Times New Roman" w:cs="Times New Roman"/>
                <w:b/>
                <w:bCs/>
                <w:sz w:val="24"/>
                <w:szCs w:val="24"/>
              </w:rPr>
            </w:pPr>
            <w:r w:rsidRPr="002D5606">
              <w:rPr>
                <w:rFonts w:ascii="Times New Roman" w:eastAsia="SimSun" w:hAnsi="Times New Roman" w:cs="Times New Roman"/>
                <w:b/>
                <w:bCs/>
                <w:sz w:val="24"/>
                <w:szCs w:val="24"/>
                <w:lang w:bidi="ar"/>
              </w:rPr>
              <w:t>Lesion</w:t>
            </w:r>
          </w:p>
        </w:tc>
        <w:tc>
          <w:tcPr>
            <w:tcW w:w="1647" w:type="pct"/>
          </w:tcPr>
          <w:p w14:paraId="1F9426A9" w14:textId="77777777" w:rsidR="009F3129" w:rsidRPr="002D5606" w:rsidRDefault="00E54DC1" w:rsidP="005328B5">
            <w:pPr>
              <w:jc w:val="both"/>
              <w:rPr>
                <w:rFonts w:ascii="Times New Roman" w:hAnsi="Times New Roman" w:cs="Times New Roman"/>
                <w:b/>
                <w:bCs/>
                <w:sz w:val="24"/>
                <w:szCs w:val="24"/>
              </w:rPr>
            </w:pPr>
            <w:r w:rsidRPr="002D5606">
              <w:rPr>
                <w:rFonts w:ascii="Times New Roman" w:eastAsia="SimSun" w:hAnsi="Times New Roman" w:cs="Times New Roman"/>
                <w:b/>
                <w:bCs/>
                <w:sz w:val="24"/>
                <w:szCs w:val="24"/>
                <w:lang w:bidi="ar"/>
              </w:rPr>
              <w:t>Male (n=14) n (%)</w:t>
            </w:r>
          </w:p>
        </w:tc>
        <w:tc>
          <w:tcPr>
            <w:tcW w:w="1838" w:type="pct"/>
          </w:tcPr>
          <w:p w14:paraId="119BDAF2" w14:textId="77777777" w:rsidR="009F3129" w:rsidRPr="002D5606" w:rsidRDefault="00E54DC1" w:rsidP="005328B5">
            <w:pPr>
              <w:jc w:val="both"/>
              <w:rPr>
                <w:rFonts w:ascii="Times New Roman" w:hAnsi="Times New Roman" w:cs="Times New Roman"/>
                <w:b/>
                <w:bCs/>
                <w:sz w:val="24"/>
                <w:szCs w:val="24"/>
              </w:rPr>
            </w:pPr>
            <w:r w:rsidRPr="002D5606">
              <w:rPr>
                <w:rFonts w:ascii="Times New Roman" w:eastAsia="SimSun" w:hAnsi="Times New Roman" w:cs="Times New Roman"/>
                <w:b/>
                <w:bCs/>
                <w:sz w:val="24"/>
                <w:szCs w:val="24"/>
                <w:lang w:bidi="ar"/>
              </w:rPr>
              <w:t>Female (n=22) n (%)</w:t>
            </w:r>
          </w:p>
        </w:tc>
      </w:tr>
      <w:tr w:rsidR="009F3129" w:rsidRPr="002D5606" w14:paraId="44C33D28" w14:textId="77777777" w:rsidTr="005328B5">
        <w:trPr>
          <w:trHeight w:val="56"/>
        </w:trPr>
        <w:tc>
          <w:tcPr>
            <w:tcW w:w="1515" w:type="pct"/>
          </w:tcPr>
          <w:p w14:paraId="4A724C67"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Gastritis</w:t>
            </w:r>
          </w:p>
        </w:tc>
        <w:tc>
          <w:tcPr>
            <w:tcW w:w="1647" w:type="pct"/>
          </w:tcPr>
          <w:p w14:paraId="1DE9F8D1"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5 (35.7)</w:t>
            </w:r>
          </w:p>
        </w:tc>
        <w:tc>
          <w:tcPr>
            <w:tcW w:w="1838" w:type="pct"/>
          </w:tcPr>
          <w:p w14:paraId="33FB24E5"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7 (31.8)</w:t>
            </w:r>
          </w:p>
        </w:tc>
      </w:tr>
      <w:tr w:rsidR="009F3129" w:rsidRPr="002D5606" w14:paraId="5161F401" w14:textId="77777777" w:rsidTr="005328B5">
        <w:trPr>
          <w:trHeight w:val="56"/>
        </w:trPr>
        <w:tc>
          <w:tcPr>
            <w:tcW w:w="1515" w:type="pct"/>
          </w:tcPr>
          <w:p w14:paraId="110E0AD0"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Antral gastritis</w:t>
            </w:r>
          </w:p>
        </w:tc>
        <w:tc>
          <w:tcPr>
            <w:tcW w:w="1647" w:type="pct"/>
          </w:tcPr>
          <w:p w14:paraId="62C19AE3"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3 (21.4)</w:t>
            </w:r>
          </w:p>
        </w:tc>
        <w:tc>
          <w:tcPr>
            <w:tcW w:w="1838" w:type="pct"/>
          </w:tcPr>
          <w:p w14:paraId="385FE1B0"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5 (22.7)</w:t>
            </w:r>
          </w:p>
        </w:tc>
      </w:tr>
      <w:tr w:rsidR="009F3129" w:rsidRPr="002D5606" w14:paraId="6AB9B782" w14:textId="77777777" w:rsidTr="005328B5">
        <w:trPr>
          <w:trHeight w:val="56"/>
        </w:trPr>
        <w:tc>
          <w:tcPr>
            <w:tcW w:w="1515" w:type="pct"/>
          </w:tcPr>
          <w:p w14:paraId="35DAA6C0"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Reflux esophagitis</w:t>
            </w:r>
          </w:p>
        </w:tc>
        <w:tc>
          <w:tcPr>
            <w:tcW w:w="1647" w:type="pct"/>
          </w:tcPr>
          <w:p w14:paraId="203BEC2B"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3 (21.4)</w:t>
            </w:r>
          </w:p>
        </w:tc>
        <w:tc>
          <w:tcPr>
            <w:tcW w:w="1838" w:type="pct"/>
          </w:tcPr>
          <w:p w14:paraId="35DFEDFC"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2 (9.1)</w:t>
            </w:r>
          </w:p>
        </w:tc>
      </w:tr>
      <w:tr w:rsidR="009F3129" w:rsidRPr="002D5606" w14:paraId="23A0A90F" w14:textId="77777777" w:rsidTr="005328B5">
        <w:trPr>
          <w:trHeight w:val="56"/>
        </w:trPr>
        <w:tc>
          <w:tcPr>
            <w:tcW w:w="1515" w:type="pct"/>
          </w:tcPr>
          <w:p w14:paraId="71C1E3B2"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Esophageal varices</w:t>
            </w:r>
          </w:p>
        </w:tc>
        <w:tc>
          <w:tcPr>
            <w:tcW w:w="1647" w:type="pct"/>
          </w:tcPr>
          <w:p w14:paraId="36490BF7"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0</w:t>
            </w:r>
          </w:p>
        </w:tc>
        <w:tc>
          <w:tcPr>
            <w:tcW w:w="1838" w:type="pct"/>
          </w:tcPr>
          <w:p w14:paraId="2B5CD694"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2 (9.1)</w:t>
            </w:r>
          </w:p>
        </w:tc>
      </w:tr>
      <w:tr w:rsidR="009F3129" w:rsidRPr="002D5606" w14:paraId="119677A8" w14:textId="77777777" w:rsidTr="005328B5">
        <w:trPr>
          <w:trHeight w:val="56"/>
        </w:trPr>
        <w:tc>
          <w:tcPr>
            <w:tcW w:w="1515" w:type="pct"/>
          </w:tcPr>
          <w:p w14:paraId="65826E40"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Other lesions</w:t>
            </w:r>
          </w:p>
        </w:tc>
        <w:tc>
          <w:tcPr>
            <w:tcW w:w="1647" w:type="pct"/>
          </w:tcPr>
          <w:p w14:paraId="57CC8A3B"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3 (21.4)</w:t>
            </w:r>
          </w:p>
        </w:tc>
        <w:tc>
          <w:tcPr>
            <w:tcW w:w="1838" w:type="pct"/>
          </w:tcPr>
          <w:p w14:paraId="5CDFD25F"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6 (27.3)</w:t>
            </w:r>
          </w:p>
        </w:tc>
      </w:tr>
    </w:tbl>
    <w:p w14:paraId="54792625" w14:textId="77777777" w:rsidR="009F3129" w:rsidRPr="002D5606" w:rsidRDefault="009F3129" w:rsidP="002D5606">
      <w:pPr>
        <w:jc w:val="both"/>
        <w:rPr>
          <w:rFonts w:ascii="Times New Roman" w:hAnsi="Times New Roman" w:cs="Times New Roman"/>
          <w:sz w:val="24"/>
          <w:szCs w:val="24"/>
        </w:rPr>
      </w:pPr>
    </w:p>
    <w:p w14:paraId="46B94989" w14:textId="77777777" w:rsidR="009F3129" w:rsidRPr="002D5606" w:rsidRDefault="00E54DC1" w:rsidP="007A5611">
      <w:pPr>
        <w:pStyle w:val="Heading3"/>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Age Distribution of Significant Lesions</w:t>
      </w:r>
    </w:p>
    <w:p w14:paraId="4D46DC6B" w14:textId="77777777" w:rsidR="009F3129" w:rsidRPr="002D5606" w:rsidRDefault="00E54DC1" w:rsidP="007A5611">
      <w:pPr>
        <w:pStyle w:val="NormalWeb"/>
        <w:spacing w:beforeAutospacing="0" w:afterAutospacing="0" w:line="360" w:lineRule="auto"/>
        <w:jc w:val="both"/>
        <w:rPr>
          <w:rFonts w:cs="Times New Roman"/>
        </w:rPr>
      </w:pPr>
      <w:r w:rsidRPr="002D5606">
        <w:rPr>
          <w:rFonts w:cs="Times New Roman"/>
        </w:rPr>
        <w:t>More than half (55.6%) of all significant endoscopic abnormalities were identified in patients younger than 40 years. Patients aged 41–60 years accounted for 36.1% of lesions, while those older than 60 years represented a smaller proportion. The high prevalence of upper GI pathology among younger individuals is noteworthy, particularly given the assumption that acid-peptic disorders are more common in older age groups.</w:t>
      </w:r>
    </w:p>
    <w:p w14:paraId="3282D1EF" w14:textId="77777777" w:rsidR="009F3129" w:rsidRPr="002D5606" w:rsidRDefault="00E54DC1" w:rsidP="007A5611">
      <w:pPr>
        <w:pStyle w:val="NormalWeb"/>
        <w:spacing w:beforeAutospacing="0" w:afterAutospacing="0" w:line="360" w:lineRule="auto"/>
        <w:jc w:val="both"/>
        <w:rPr>
          <w:rFonts w:cs="Times New Roman"/>
        </w:rPr>
      </w:pPr>
      <w:r w:rsidRPr="002D5606">
        <w:rPr>
          <w:rFonts w:cs="Times New Roman"/>
        </w:rPr>
        <w:lastRenderedPageBreak/>
        <w:t>This age-related distribution reinforces the importance of not overlooking coexisting upper gastrointestinal disease in younger patients presenting with biliary symptoms.</w:t>
      </w:r>
    </w:p>
    <w:p w14:paraId="5FBC883A" w14:textId="77777777" w:rsidR="009F3129" w:rsidRPr="002D5606" w:rsidRDefault="005328B5" w:rsidP="002D5606">
      <w:pPr>
        <w:pStyle w:val="NormalWeb"/>
        <w:jc w:val="both"/>
        <w:rPr>
          <w:rFonts w:cs="Times New Roman"/>
        </w:rPr>
      </w:pPr>
      <w:r>
        <w:rPr>
          <w:rStyle w:val="Strong"/>
          <w:rFonts w:cs="Times New Roman"/>
        </w:rPr>
        <w:t>Table 5:</w:t>
      </w:r>
      <w:r w:rsidR="00E54DC1" w:rsidRPr="002D5606">
        <w:rPr>
          <w:rStyle w:val="Strong"/>
          <w:rFonts w:cs="Times New Roman"/>
        </w:rPr>
        <w:t xml:space="preserve"> Age-wise distribution of significant lesions (n=36)</w:t>
      </w:r>
    </w:p>
    <w:tbl>
      <w:tblPr>
        <w:tblStyle w:val="TableGrid"/>
        <w:tblW w:w="5000" w:type="pct"/>
        <w:tblLook w:val="04A0" w:firstRow="1" w:lastRow="0" w:firstColumn="1" w:lastColumn="0" w:noHBand="0" w:noVBand="1"/>
      </w:tblPr>
      <w:tblGrid>
        <w:gridCol w:w="4943"/>
        <w:gridCol w:w="4073"/>
      </w:tblGrid>
      <w:tr w:rsidR="009F3129" w:rsidRPr="002D5606" w14:paraId="5D0E7826" w14:textId="77777777" w:rsidTr="005328B5">
        <w:trPr>
          <w:trHeight w:val="56"/>
        </w:trPr>
        <w:tc>
          <w:tcPr>
            <w:tcW w:w="2741" w:type="pct"/>
          </w:tcPr>
          <w:p w14:paraId="5EC30112" w14:textId="77777777" w:rsidR="009F3129" w:rsidRPr="002D5606" w:rsidRDefault="00E54DC1" w:rsidP="005328B5">
            <w:pPr>
              <w:jc w:val="both"/>
              <w:rPr>
                <w:rFonts w:ascii="Times New Roman" w:hAnsi="Times New Roman" w:cs="Times New Roman"/>
                <w:b/>
                <w:bCs/>
                <w:sz w:val="24"/>
                <w:szCs w:val="24"/>
              </w:rPr>
            </w:pPr>
            <w:r w:rsidRPr="002D5606">
              <w:rPr>
                <w:rFonts w:ascii="Times New Roman" w:eastAsia="SimSun" w:hAnsi="Times New Roman" w:cs="Times New Roman"/>
                <w:b/>
                <w:bCs/>
                <w:sz w:val="24"/>
                <w:szCs w:val="24"/>
                <w:lang w:bidi="ar"/>
              </w:rPr>
              <w:t>Age group (years)</w:t>
            </w:r>
          </w:p>
        </w:tc>
        <w:tc>
          <w:tcPr>
            <w:tcW w:w="2259" w:type="pct"/>
          </w:tcPr>
          <w:p w14:paraId="7A0CEDDF" w14:textId="77777777" w:rsidR="009F3129" w:rsidRPr="002D5606" w:rsidRDefault="00E54DC1" w:rsidP="005328B5">
            <w:pPr>
              <w:jc w:val="both"/>
              <w:rPr>
                <w:rFonts w:ascii="Times New Roman" w:hAnsi="Times New Roman" w:cs="Times New Roman"/>
                <w:b/>
                <w:bCs/>
                <w:sz w:val="24"/>
                <w:szCs w:val="24"/>
              </w:rPr>
            </w:pPr>
            <w:r w:rsidRPr="002D5606">
              <w:rPr>
                <w:rFonts w:ascii="Times New Roman" w:eastAsia="SimSun" w:hAnsi="Times New Roman" w:cs="Times New Roman"/>
                <w:b/>
                <w:bCs/>
                <w:sz w:val="24"/>
                <w:szCs w:val="24"/>
                <w:lang w:bidi="ar"/>
              </w:rPr>
              <w:t>n (%)</w:t>
            </w:r>
          </w:p>
        </w:tc>
      </w:tr>
      <w:tr w:rsidR="009F3129" w:rsidRPr="002D5606" w14:paraId="55A42BCF" w14:textId="77777777" w:rsidTr="005328B5">
        <w:trPr>
          <w:trHeight w:val="56"/>
        </w:trPr>
        <w:tc>
          <w:tcPr>
            <w:tcW w:w="2741" w:type="pct"/>
          </w:tcPr>
          <w:p w14:paraId="0F2438A0"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&lt;40</w:t>
            </w:r>
          </w:p>
        </w:tc>
        <w:tc>
          <w:tcPr>
            <w:tcW w:w="2259" w:type="pct"/>
          </w:tcPr>
          <w:p w14:paraId="7B9D1E66"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20 (55.6)</w:t>
            </w:r>
          </w:p>
        </w:tc>
      </w:tr>
      <w:tr w:rsidR="009F3129" w:rsidRPr="002D5606" w14:paraId="2943B874" w14:textId="77777777" w:rsidTr="005328B5">
        <w:trPr>
          <w:trHeight w:val="56"/>
        </w:trPr>
        <w:tc>
          <w:tcPr>
            <w:tcW w:w="2741" w:type="pct"/>
          </w:tcPr>
          <w:p w14:paraId="16318EAD"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41–50</w:t>
            </w:r>
          </w:p>
        </w:tc>
        <w:tc>
          <w:tcPr>
            <w:tcW w:w="2259" w:type="pct"/>
          </w:tcPr>
          <w:p w14:paraId="063B3A99"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6 (16.7)</w:t>
            </w:r>
          </w:p>
        </w:tc>
      </w:tr>
      <w:tr w:rsidR="009F3129" w:rsidRPr="002D5606" w14:paraId="3F37017E" w14:textId="77777777" w:rsidTr="005328B5">
        <w:trPr>
          <w:trHeight w:val="56"/>
        </w:trPr>
        <w:tc>
          <w:tcPr>
            <w:tcW w:w="2741" w:type="pct"/>
          </w:tcPr>
          <w:p w14:paraId="26080ED0"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51–60</w:t>
            </w:r>
          </w:p>
        </w:tc>
        <w:tc>
          <w:tcPr>
            <w:tcW w:w="2259" w:type="pct"/>
          </w:tcPr>
          <w:p w14:paraId="1E2CFEC8"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7 (19.4)</w:t>
            </w:r>
          </w:p>
        </w:tc>
      </w:tr>
      <w:tr w:rsidR="009F3129" w:rsidRPr="002D5606" w14:paraId="4D8CBFD5" w14:textId="77777777" w:rsidTr="005328B5">
        <w:trPr>
          <w:trHeight w:val="56"/>
        </w:trPr>
        <w:tc>
          <w:tcPr>
            <w:tcW w:w="2741" w:type="pct"/>
          </w:tcPr>
          <w:p w14:paraId="3C411983"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≥61</w:t>
            </w:r>
          </w:p>
        </w:tc>
        <w:tc>
          <w:tcPr>
            <w:tcW w:w="2259" w:type="pct"/>
          </w:tcPr>
          <w:p w14:paraId="287C8F28" w14:textId="77777777" w:rsidR="009F3129" w:rsidRPr="002D5606" w:rsidRDefault="00E54DC1" w:rsidP="005328B5">
            <w:pPr>
              <w:jc w:val="both"/>
              <w:rPr>
                <w:rFonts w:ascii="Times New Roman" w:hAnsi="Times New Roman" w:cs="Times New Roman"/>
                <w:sz w:val="24"/>
                <w:szCs w:val="24"/>
              </w:rPr>
            </w:pPr>
            <w:r w:rsidRPr="002D5606">
              <w:rPr>
                <w:rFonts w:ascii="Times New Roman" w:eastAsia="SimSun" w:hAnsi="Times New Roman" w:cs="Times New Roman"/>
                <w:sz w:val="24"/>
                <w:szCs w:val="24"/>
                <w:lang w:bidi="ar"/>
              </w:rPr>
              <w:t>3 (8.3)</w:t>
            </w:r>
          </w:p>
        </w:tc>
      </w:tr>
    </w:tbl>
    <w:p w14:paraId="2BA8211A" w14:textId="77777777" w:rsidR="009F3129" w:rsidRPr="002D5606" w:rsidRDefault="009F3129" w:rsidP="002D5606">
      <w:pPr>
        <w:jc w:val="both"/>
        <w:rPr>
          <w:rFonts w:ascii="Times New Roman" w:hAnsi="Times New Roman" w:cs="Times New Roman"/>
          <w:sz w:val="24"/>
          <w:szCs w:val="24"/>
        </w:rPr>
      </w:pPr>
    </w:p>
    <w:p w14:paraId="6C0AAA4D" w14:textId="77777777" w:rsidR="009F3129" w:rsidRPr="002D5606" w:rsidRDefault="00E54DC1" w:rsidP="005328B5">
      <w:pPr>
        <w:jc w:val="center"/>
        <w:rPr>
          <w:rFonts w:ascii="Times New Roman" w:eastAsia="SimSun" w:hAnsi="Times New Roman" w:cs="Times New Roman"/>
          <w:b/>
          <w:bCs/>
          <w:sz w:val="24"/>
          <w:szCs w:val="24"/>
        </w:rPr>
      </w:pPr>
      <w:r w:rsidRPr="002D5606">
        <w:rPr>
          <w:rFonts w:ascii="Times New Roman" w:eastAsia="SimSun" w:hAnsi="Times New Roman" w:cs="Times New Roman"/>
          <w:b/>
          <w:bCs/>
          <w:noProof/>
          <w:sz w:val="24"/>
          <w:szCs w:val="24"/>
          <w:lang w:eastAsia="en-US" w:bidi="mr-IN"/>
        </w:rPr>
        <w:drawing>
          <wp:inline distT="0" distB="0" distL="114300" distR="114300" wp14:anchorId="42F8D254" wp14:editId="5EA9B5DB">
            <wp:extent cx="3834765" cy="2860675"/>
            <wp:effectExtent l="0" t="0" r="13335" b="15875"/>
            <wp:docPr id="3" name="Picture 3" descr="outpu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utput (2)"/>
                    <pic:cNvPicPr>
                      <a:picLocks noChangeAspect="1"/>
                    </pic:cNvPicPr>
                  </pic:nvPicPr>
                  <pic:blipFill>
                    <a:blip r:embed="rId10"/>
                    <a:stretch>
                      <a:fillRect/>
                    </a:stretch>
                  </pic:blipFill>
                  <pic:spPr>
                    <a:xfrm>
                      <a:off x="0" y="0"/>
                      <a:ext cx="3834765" cy="2860675"/>
                    </a:xfrm>
                    <a:prstGeom prst="rect">
                      <a:avLst/>
                    </a:prstGeom>
                  </pic:spPr>
                </pic:pic>
              </a:graphicData>
            </a:graphic>
          </wp:inline>
        </w:drawing>
      </w:r>
    </w:p>
    <w:p w14:paraId="70342D3A" w14:textId="77777777" w:rsidR="009F3129" w:rsidRPr="002D5606" w:rsidRDefault="009F3129" w:rsidP="002D5606">
      <w:pPr>
        <w:jc w:val="both"/>
        <w:rPr>
          <w:rFonts w:ascii="Times New Roman" w:eastAsia="SimSun" w:hAnsi="Times New Roman" w:cs="Times New Roman"/>
          <w:b/>
          <w:bCs/>
          <w:sz w:val="24"/>
          <w:szCs w:val="24"/>
        </w:rPr>
      </w:pPr>
    </w:p>
    <w:p w14:paraId="1CB80195" w14:textId="77777777" w:rsidR="009F3129" w:rsidRPr="002D5606" w:rsidRDefault="005328B5" w:rsidP="005328B5">
      <w:pPr>
        <w:jc w:val="center"/>
        <w:rPr>
          <w:rFonts w:ascii="Times New Roman" w:hAnsi="Times New Roman" w:cs="Times New Roman"/>
          <w:b/>
          <w:bCs/>
          <w:sz w:val="24"/>
          <w:szCs w:val="24"/>
        </w:rPr>
      </w:pPr>
      <w:r>
        <w:rPr>
          <w:rFonts w:ascii="Times New Roman" w:eastAsia="SimSun" w:hAnsi="Times New Roman" w:cs="Times New Roman"/>
          <w:b/>
          <w:bCs/>
          <w:sz w:val="24"/>
          <w:szCs w:val="24"/>
        </w:rPr>
        <w:t xml:space="preserve">Figure 4: </w:t>
      </w:r>
      <w:r w:rsidR="00E54DC1" w:rsidRPr="002D5606">
        <w:rPr>
          <w:rFonts w:ascii="Times New Roman" w:eastAsia="SimSun" w:hAnsi="Times New Roman" w:cs="Times New Roman"/>
          <w:b/>
          <w:bCs/>
          <w:sz w:val="24"/>
          <w:szCs w:val="24"/>
        </w:rPr>
        <w:t xml:space="preserve">Age Distribution of </w:t>
      </w:r>
      <w:r>
        <w:rPr>
          <w:rFonts w:ascii="Times New Roman" w:eastAsia="SimSun" w:hAnsi="Times New Roman" w:cs="Times New Roman"/>
          <w:b/>
          <w:bCs/>
          <w:sz w:val="24"/>
          <w:szCs w:val="24"/>
        </w:rPr>
        <w:t>Significant Endoscopic Findings</w:t>
      </w:r>
    </w:p>
    <w:p w14:paraId="5A21802D" w14:textId="77777777" w:rsidR="007A5611" w:rsidRDefault="007A5611" w:rsidP="005328B5">
      <w:pPr>
        <w:pStyle w:val="Heading3"/>
        <w:spacing w:beforeAutospacing="0" w:afterAutospacing="0" w:line="360" w:lineRule="auto"/>
        <w:jc w:val="both"/>
        <w:rPr>
          <w:rFonts w:ascii="Times New Roman" w:hAnsi="Times New Roman" w:cs="Times New Roman" w:hint="default"/>
          <w:sz w:val="24"/>
          <w:szCs w:val="24"/>
        </w:rPr>
      </w:pPr>
    </w:p>
    <w:p w14:paraId="523F3063" w14:textId="77777777" w:rsidR="009F3129" w:rsidRPr="002D5606" w:rsidRDefault="00E54DC1" w:rsidP="005328B5">
      <w:pPr>
        <w:pStyle w:val="Heading3"/>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Overall Interpretation</w:t>
      </w:r>
    </w:p>
    <w:p w14:paraId="5D303156" w14:textId="77777777" w:rsidR="009F3129" w:rsidRDefault="00E54DC1" w:rsidP="005328B5">
      <w:pPr>
        <w:pStyle w:val="NormalWeb"/>
        <w:spacing w:beforeAutospacing="0" w:afterAutospacing="0" w:line="360" w:lineRule="auto"/>
        <w:jc w:val="both"/>
        <w:rPr>
          <w:rFonts w:cs="Times New Roman"/>
        </w:rPr>
      </w:pPr>
      <w:r w:rsidRPr="002D5606">
        <w:rPr>
          <w:rFonts w:cs="Times New Roman"/>
        </w:rPr>
        <w:t>In this prospective cohort, routine preoperative UGI endoscopy demonstrated a high diagnostic yield, identifying clinically relevant mucosal pathology in approximately one-half of patients undergoing laparoscopic cholecystectomy for symptomatic cholelithiasis. The predominance of inflammatory and reflux-related lesions suggests that a substantial proportion of symptoms attributed to gallstones may coexist with or be compounded by upper gastrointestinal disease. These findings have important implications for preoperative evaluation, patient counselling, and optimization of postoperative symptom outcomes.</w:t>
      </w:r>
    </w:p>
    <w:p w14:paraId="1CE1953F" w14:textId="77777777" w:rsidR="007A5611" w:rsidRPr="002D5606" w:rsidRDefault="007A5611" w:rsidP="005328B5">
      <w:pPr>
        <w:pStyle w:val="NormalWeb"/>
        <w:spacing w:beforeAutospacing="0" w:afterAutospacing="0" w:line="360" w:lineRule="auto"/>
        <w:jc w:val="both"/>
        <w:rPr>
          <w:rFonts w:cs="Times New Roman"/>
        </w:rPr>
      </w:pPr>
    </w:p>
    <w:p w14:paraId="15276609" w14:textId="77777777" w:rsidR="009F3129" w:rsidRPr="002D5606" w:rsidRDefault="00E54DC1" w:rsidP="005328B5">
      <w:pPr>
        <w:pStyle w:val="Heading2"/>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Cost and Safety Considerations</w:t>
      </w:r>
    </w:p>
    <w:p w14:paraId="23821A13" w14:textId="77777777" w:rsidR="009F3129" w:rsidRDefault="00E54DC1" w:rsidP="005328B5">
      <w:pPr>
        <w:pStyle w:val="NormalWeb"/>
        <w:spacing w:beforeAutospacing="0" w:afterAutospacing="0" w:line="360" w:lineRule="auto"/>
        <w:jc w:val="both"/>
        <w:rPr>
          <w:rFonts w:cs="Times New Roman"/>
        </w:rPr>
      </w:pPr>
      <w:r w:rsidRPr="002D5606">
        <w:rPr>
          <w:rFonts w:cs="Times New Roman"/>
        </w:rPr>
        <w:t xml:space="preserve">Although provided free of cost to patients, preoperative UGI endoscopy required institutional resources, including equipment and personnel time. Formal cost-effectiveness </w:t>
      </w:r>
      <w:r w:rsidRPr="002D5606">
        <w:rPr>
          <w:rFonts w:cs="Times New Roman"/>
        </w:rPr>
        <w:lastRenderedPageBreak/>
        <w:t xml:space="preserve">analysis was beyond the scope of this study; however, clinically significant pathology was identified in 50.7% of patients. No procedure-related complications were observed, indicating a </w:t>
      </w:r>
      <w:proofErr w:type="spellStart"/>
      <w:r w:rsidRPr="002D5606">
        <w:rPr>
          <w:rFonts w:cs="Times New Roman"/>
        </w:rPr>
        <w:t>favourable</w:t>
      </w:r>
      <w:proofErr w:type="spellEnd"/>
      <w:r w:rsidRPr="002D5606">
        <w:rPr>
          <w:rFonts w:cs="Times New Roman"/>
        </w:rPr>
        <w:t xml:space="preserve"> safety profile. Broader health-system economic evaluation is warranted to determine whether selective use of endoscopy </w:t>
      </w:r>
      <w:proofErr w:type="spellStart"/>
      <w:r w:rsidRPr="002D5606">
        <w:rPr>
          <w:rFonts w:cs="Times New Roman"/>
        </w:rPr>
        <w:t>optimises</w:t>
      </w:r>
      <w:proofErr w:type="spellEnd"/>
      <w:r w:rsidRPr="002D5606">
        <w:rPr>
          <w:rFonts w:cs="Times New Roman"/>
        </w:rPr>
        <w:t xml:space="preserve"> resource </w:t>
      </w:r>
      <w:proofErr w:type="spellStart"/>
      <w:r w:rsidRPr="002D5606">
        <w:rPr>
          <w:rFonts w:cs="Times New Roman"/>
        </w:rPr>
        <w:t>utilisation</w:t>
      </w:r>
      <w:proofErr w:type="spellEnd"/>
      <w:r w:rsidRPr="002D5606">
        <w:rPr>
          <w:rFonts w:cs="Times New Roman"/>
        </w:rPr>
        <w:t xml:space="preserve"> while imp</w:t>
      </w:r>
      <w:r w:rsidR="00671362">
        <w:rPr>
          <w:rFonts w:cs="Times New Roman"/>
        </w:rPr>
        <w:t xml:space="preserve">roving perioperative management </w:t>
      </w:r>
      <w:r w:rsidR="00671362" w:rsidRPr="00671362">
        <w:rPr>
          <w:rFonts w:cs="Times New Roman"/>
          <w:b/>
          <w:bCs/>
        </w:rPr>
        <w:t>(Table 1-5</w:t>
      </w:r>
      <w:r w:rsidR="00671362">
        <w:rPr>
          <w:rFonts w:cs="Times New Roman"/>
          <w:b/>
          <w:bCs/>
        </w:rPr>
        <w:t>, Figure 1-5</w:t>
      </w:r>
      <w:r w:rsidR="00671362" w:rsidRPr="00671362">
        <w:rPr>
          <w:rFonts w:cs="Times New Roman"/>
          <w:b/>
          <w:bCs/>
        </w:rPr>
        <w:t>).</w:t>
      </w:r>
    </w:p>
    <w:p w14:paraId="512F0439" w14:textId="77777777" w:rsidR="007A5611" w:rsidRPr="002D5606" w:rsidRDefault="007A5611" w:rsidP="005328B5">
      <w:pPr>
        <w:pStyle w:val="NormalWeb"/>
        <w:spacing w:beforeAutospacing="0" w:afterAutospacing="0" w:line="360" w:lineRule="auto"/>
        <w:jc w:val="both"/>
        <w:rPr>
          <w:rFonts w:cs="Times New Roman"/>
        </w:rPr>
      </w:pPr>
    </w:p>
    <w:p w14:paraId="13C1D6D3" w14:textId="77777777" w:rsidR="009F3129" w:rsidRPr="002D5606" w:rsidRDefault="00E54DC1" w:rsidP="005328B5">
      <w:pPr>
        <w:pStyle w:val="Heading2"/>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Discussion</w:t>
      </w:r>
    </w:p>
    <w:p w14:paraId="0E5B2782" w14:textId="77777777" w:rsidR="009F3129" w:rsidRPr="002D5606" w:rsidRDefault="00E54DC1" w:rsidP="005328B5">
      <w:pPr>
        <w:pStyle w:val="NormalWeb"/>
        <w:spacing w:beforeAutospacing="0" w:afterAutospacing="0" w:line="360" w:lineRule="auto"/>
        <w:jc w:val="both"/>
        <w:rPr>
          <w:rFonts w:cs="Times New Roman"/>
        </w:rPr>
      </w:pPr>
      <w:r w:rsidRPr="002D5606">
        <w:rPr>
          <w:rFonts w:cs="Times New Roman"/>
        </w:rPr>
        <w:t xml:space="preserve">In this prospective cohort of patients undergoing laparoscopic cholecystectomy for symptomatic cholelithiasis, preoperative upper gastrointestinal (UGI) endoscopy demonstrated a clinically meaningful diagnostic yield of 50.7%. Significant mucosal pathology was identified in more than half of the patients, with inflammatory and reflux-related lesions constituting the majority of abnormalities. These findings reinforce the concept that symptom overlap between biliary colic and acid-peptic disease is substantial and clinically relevant </w:t>
      </w:r>
      <w:r w:rsidR="002A00AA">
        <w:rPr>
          <w:rFonts w:cs="Times New Roman"/>
        </w:rPr>
        <w:t>[</w:t>
      </w:r>
      <w:r w:rsidRPr="002A00AA">
        <w:rPr>
          <w:rFonts w:cs="Times New Roman"/>
        </w:rPr>
        <w:t>1,</w:t>
      </w:r>
      <w:r w:rsidR="002A00AA">
        <w:rPr>
          <w:rFonts w:cs="Times New Roman"/>
        </w:rPr>
        <w:t xml:space="preserve"> </w:t>
      </w:r>
      <w:r w:rsidRPr="002A00AA">
        <w:rPr>
          <w:rFonts w:cs="Times New Roman"/>
        </w:rPr>
        <w:t>2,</w:t>
      </w:r>
      <w:r w:rsidR="002A00AA">
        <w:rPr>
          <w:rFonts w:cs="Times New Roman"/>
        </w:rPr>
        <w:t xml:space="preserve"> </w:t>
      </w:r>
      <w:r w:rsidRPr="002A00AA">
        <w:rPr>
          <w:rFonts w:cs="Times New Roman"/>
        </w:rPr>
        <w:t>7,</w:t>
      </w:r>
      <w:r w:rsidR="002A00AA">
        <w:rPr>
          <w:rFonts w:cs="Times New Roman"/>
        </w:rPr>
        <w:t xml:space="preserve"> 8]</w:t>
      </w:r>
      <w:r w:rsidRPr="002A00AA">
        <w:rPr>
          <w:rFonts w:cs="Times New Roman"/>
        </w:rPr>
        <w:t xml:space="preserve">. </w:t>
      </w:r>
      <w:r w:rsidRPr="002D5606">
        <w:rPr>
          <w:rFonts w:cs="Times New Roman"/>
        </w:rPr>
        <w:t>In routine surgical practice, upper abdominal pain, dyspepsia, bloating, and heartburn are frequently attributed solely to gallstones once ultrasonographic confirmation is obtained. However, earlier critical appraisals have cautioned against oversimplification of symptom attribution in gallstone disease</w:t>
      </w:r>
      <w:r w:rsidRPr="002D5606">
        <w:rPr>
          <w:rFonts w:cs="Times New Roman"/>
          <w:vertAlign w:val="superscript"/>
        </w:rPr>
        <w:t xml:space="preserve"> </w:t>
      </w:r>
      <w:r w:rsidR="002A00AA">
        <w:rPr>
          <w:rFonts w:cs="Times New Roman"/>
        </w:rPr>
        <w:t>[3]</w:t>
      </w:r>
      <w:r w:rsidR="002A00AA" w:rsidRPr="002A00AA">
        <w:rPr>
          <w:rFonts w:cs="Times New Roman"/>
        </w:rPr>
        <w:t>.</w:t>
      </w:r>
      <w:r w:rsidRPr="002D5606">
        <w:rPr>
          <w:rFonts w:cs="Times New Roman"/>
        </w:rPr>
        <w:t xml:space="preserve"> Our data suggest that such attribution may be incomplete in a considerable proportion of patients.</w:t>
      </w:r>
    </w:p>
    <w:p w14:paraId="5A076B4F" w14:textId="77777777" w:rsidR="009F3129" w:rsidRPr="002D5606" w:rsidRDefault="00E54DC1" w:rsidP="005328B5">
      <w:pPr>
        <w:pStyle w:val="NormalWeb"/>
        <w:spacing w:beforeAutospacing="0" w:afterAutospacing="0" w:line="360" w:lineRule="auto"/>
        <w:jc w:val="both"/>
        <w:rPr>
          <w:rFonts w:cs="Times New Roman"/>
        </w:rPr>
      </w:pPr>
      <w:r w:rsidRPr="002D5606">
        <w:rPr>
          <w:rFonts w:cs="Times New Roman"/>
        </w:rPr>
        <w:t xml:space="preserve">The predominance of gastritis and antral gastritis highlights the burden of acid-related mucosal disease in this population. Importantly, these conditions are amenable to structured medical therapy, including proton pump inhibitors and </w:t>
      </w:r>
      <w:r w:rsidRPr="002D5606">
        <w:rPr>
          <w:rStyle w:val="Emphasis"/>
          <w:rFonts w:cs="Times New Roman"/>
        </w:rPr>
        <w:t>Helicobacter pylori</w:t>
      </w:r>
      <w:r w:rsidRPr="002D5606">
        <w:rPr>
          <w:rFonts w:cs="Times New Roman"/>
        </w:rPr>
        <w:t xml:space="preserve"> eradica</w:t>
      </w:r>
      <w:r w:rsidR="002A00AA">
        <w:rPr>
          <w:rFonts w:cs="Times New Roman"/>
        </w:rPr>
        <w:t>tion strategies where indicated [10]</w:t>
      </w:r>
      <w:r w:rsidRPr="002D5606">
        <w:rPr>
          <w:rFonts w:cs="Times New Roman"/>
        </w:rPr>
        <w:t xml:space="preserve">. Associations between </w:t>
      </w:r>
      <w:r w:rsidRPr="002D5606">
        <w:rPr>
          <w:rStyle w:val="Emphasis"/>
          <w:rFonts w:cs="Times New Roman"/>
        </w:rPr>
        <w:t>H. pylori</w:t>
      </w:r>
      <w:r w:rsidRPr="002D5606">
        <w:rPr>
          <w:rFonts w:cs="Times New Roman"/>
        </w:rPr>
        <w:t xml:space="preserve"> infection and chronic calculous cholecystitis have also been de</w:t>
      </w:r>
      <w:r w:rsidR="002A00AA">
        <w:rPr>
          <w:rFonts w:cs="Times New Roman"/>
        </w:rPr>
        <w:t>scribed [11]</w:t>
      </w:r>
      <w:r w:rsidRPr="002D5606">
        <w:rPr>
          <w:rFonts w:cs="Times New Roman"/>
        </w:rPr>
        <w:t xml:space="preserve">, further supporting comprehensive evaluation. Early identification provides an opportunity for therapeutic </w:t>
      </w:r>
      <w:proofErr w:type="spellStart"/>
      <w:r w:rsidRPr="002D5606">
        <w:rPr>
          <w:rFonts w:cs="Times New Roman"/>
        </w:rPr>
        <w:t>optimisation</w:t>
      </w:r>
      <w:proofErr w:type="spellEnd"/>
      <w:r w:rsidRPr="002D5606">
        <w:rPr>
          <w:rFonts w:cs="Times New Roman"/>
        </w:rPr>
        <w:t xml:space="preserve"> before surgery and may contribute to improved postoperative symptom control. The detection of reflux </w:t>
      </w:r>
      <w:proofErr w:type="spellStart"/>
      <w:r w:rsidRPr="002D5606">
        <w:rPr>
          <w:rFonts w:cs="Times New Roman"/>
        </w:rPr>
        <w:t>oesophagitis</w:t>
      </w:r>
      <w:proofErr w:type="spellEnd"/>
      <w:r w:rsidRPr="002D5606">
        <w:rPr>
          <w:rFonts w:cs="Times New Roman"/>
        </w:rPr>
        <w:t xml:space="preserve"> and combined lesions further underscores the multifactorial nature of upper abdominal symptomatology in patients with gallstones. From a clinical standpoint, distinguishing biliary from non-biliary pain is critical to </w:t>
      </w:r>
      <w:proofErr w:type="spellStart"/>
      <w:r w:rsidRPr="002D5606">
        <w:rPr>
          <w:rFonts w:cs="Times New Roman"/>
        </w:rPr>
        <w:t>minimising</w:t>
      </w:r>
      <w:proofErr w:type="spellEnd"/>
      <w:r w:rsidRPr="002D5606">
        <w:rPr>
          <w:rFonts w:cs="Times New Roman"/>
        </w:rPr>
        <w:t xml:space="preserve"> the risk of persistent symptoms following technically successful </w:t>
      </w:r>
      <w:proofErr w:type="gramStart"/>
      <w:r w:rsidRPr="002D5606">
        <w:rPr>
          <w:rFonts w:cs="Times New Roman"/>
        </w:rPr>
        <w:t>cholecystectomy</w:t>
      </w:r>
      <w:r w:rsidR="002A00AA">
        <w:rPr>
          <w:rFonts w:cs="Times New Roman"/>
          <w:vertAlign w:val="superscript"/>
        </w:rPr>
        <w:t xml:space="preserve">  </w:t>
      </w:r>
      <w:r w:rsidR="002A00AA" w:rsidRPr="002A00AA">
        <w:rPr>
          <w:rFonts w:cs="Times New Roman"/>
        </w:rPr>
        <w:t>[</w:t>
      </w:r>
      <w:proofErr w:type="gramEnd"/>
      <w:r w:rsidR="002A00AA" w:rsidRPr="002A00AA">
        <w:rPr>
          <w:rFonts w:cs="Times New Roman"/>
        </w:rPr>
        <w:t>4,</w:t>
      </w:r>
      <w:r w:rsidR="002A00AA">
        <w:rPr>
          <w:rFonts w:cs="Times New Roman"/>
        </w:rPr>
        <w:t xml:space="preserve"> </w:t>
      </w:r>
      <w:r w:rsidR="002A00AA" w:rsidRPr="002A00AA">
        <w:rPr>
          <w:rFonts w:cs="Times New Roman"/>
        </w:rPr>
        <w:t>9]</w:t>
      </w:r>
      <w:r w:rsidRPr="002D5606">
        <w:rPr>
          <w:rFonts w:cs="Times New Roman"/>
        </w:rPr>
        <w:t>.</w:t>
      </w:r>
    </w:p>
    <w:p w14:paraId="69ACA1AB" w14:textId="77777777" w:rsidR="009F3129" w:rsidRPr="002D5606" w:rsidRDefault="00E54DC1" w:rsidP="005328B5">
      <w:pPr>
        <w:pStyle w:val="NormalWeb"/>
        <w:spacing w:beforeAutospacing="0" w:afterAutospacing="0" w:line="360" w:lineRule="auto"/>
        <w:jc w:val="both"/>
        <w:rPr>
          <w:rFonts w:cs="Times New Roman"/>
        </w:rPr>
      </w:pPr>
      <w:r w:rsidRPr="002D5606">
        <w:rPr>
          <w:rFonts w:cs="Times New Roman"/>
        </w:rPr>
        <w:t xml:space="preserve">A notable observation in our study was the high proportion of significant lesions among patients younger than 40 years. This challenges the assumption that clinically relevant UGI pathology is largely confined to older individuals and suggests that age alone may not be an adequate criterion for selective endoscopic screening. Moreover, although females </w:t>
      </w:r>
      <w:r w:rsidRPr="002D5606">
        <w:rPr>
          <w:rFonts w:cs="Times New Roman"/>
        </w:rPr>
        <w:lastRenderedPageBreak/>
        <w:t xml:space="preserve">constituted the majority of the cohort—reflecting the epidemiology of gallstone disease—the pattern of lesions was broadly similar between sexes. This observation aligns with previously reported data indicating substantial endoscopic findings across demographic subgroups </w:t>
      </w:r>
      <w:r w:rsidR="002A00AA">
        <w:rPr>
          <w:rFonts w:cs="Times New Roman"/>
        </w:rPr>
        <w:t>[1, 2, 8]</w:t>
      </w:r>
      <w:r w:rsidRPr="002D5606">
        <w:rPr>
          <w:rFonts w:cs="Times New Roman"/>
          <w:vertAlign w:val="superscript"/>
        </w:rPr>
        <w:t>.</w:t>
      </w:r>
    </w:p>
    <w:p w14:paraId="1EC31383" w14:textId="77777777" w:rsidR="009F3129" w:rsidRDefault="00E54DC1" w:rsidP="005328B5">
      <w:pPr>
        <w:pStyle w:val="NormalWeb"/>
        <w:spacing w:beforeAutospacing="0" w:afterAutospacing="0" w:line="360" w:lineRule="auto"/>
        <w:jc w:val="both"/>
        <w:rPr>
          <w:rFonts w:cs="Times New Roman"/>
        </w:rPr>
      </w:pPr>
      <w:r w:rsidRPr="002D5606">
        <w:rPr>
          <w:rFonts w:cs="Times New Roman"/>
        </w:rPr>
        <w:t xml:space="preserve">Collectively, our findings </w:t>
      </w:r>
      <w:proofErr w:type="spellStart"/>
      <w:r w:rsidRPr="002D5606">
        <w:rPr>
          <w:rFonts w:cs="Times New Roman"/>
        </w:rPr>
        <w:t>emphasise</w:t>
      </w:r>
      <w:proofErr w:type="spellEnd"/>
      <w:r w:rsidRPr="002D5606">
        <w:rPr>
          <w:rFonts w:cs="Times New Roman"/>
        </w:rPr>
        <w:t xml:space="preserve"> the potential value of structured preoperative evaluation in patients with symptomatic cholelithiasis. While some authors advocate routine or universal screening </w:t>
      </w:r>
      <w:r w:rsidR="002A00AA" w:rsidRPr="002A00AA">
        <w:rPr>
          <w:rFonts w:cs="Times New Roman"/>
        </w:rPr>
        <w:t>[5]</w:t>
      </w:r>
      <w:r w:rsidRPr="002D5606">
        <w:rPr>
          <w:rFonts w:cs="Times New Roman"/>
        </w:rPr>
        <w:t xml:space="preserve">, and systematic review evidence has questioned uniform benefit and cost-effectiveness </w:t>
      </w:r>
      <w:r w:rsidR="002A00AA">
        <w:rPr>
          <w:rFonts w:cs="Times New Roman"/>
        </w:rPr>
        <w:t>[6]</w:t>
      </w:r>
      <w:r w:rsidRPr="002D5606">
        <w:rPr>
          <w:rFonts w:cs="Times New Roman"/>
        </w:rPr>
        <w:t>, the high diagnostic yield observed in this prospective study supports a selective or protocol-driven approach. In an era increasingly focused on quality metrics and patient-reported outcomes, persistent postoperative dyspeptic symptoms remain a challenge. By identifying coexisting upper GI pathology preoperatively, surgeons may better counsel patients, tailor adjunctiv</w:t>
      </w:r>
      <w:bookmarkStart w:id="0" w:name="_GoBack"/>
      <w:bookmarkEnd w:id="0"/>
      <w:r w:rsidRPr="002D5606">
        <w:rPr>
          <w:rFonts w:cs="Times New Roman"/>
        </w:rPr>
        <w:t xml:space="preserve">e medical therapy, and refine operative indications. These results contribute meaningful evidence to an ongoing clinical debate and have direct implications for perioperative </w:t>
      </w:r>
      <w:proofErr w:type="spellStart"/>
      <w:r w:rsidRPr="002D5606">
        <w:rPr>
          <w:rFonts w:cs="Times New Roman"/>
        </w:rPr>
        <w:t>optimisation</w:t>
      </w:r>
      <w:proofErr w:type="spellEnd"/>
      <w:r w:rsidRPr="002D5606">
        <w:rPr>
          <w:rFonts w:cs="Times New Roman"/>
        </w:rPr>
        <w:t xml:space="preserve"> strategies in general surgical practice.</w:t>
      </w:r>
    </w:p>
    <w:p w14:paraId="3CD03BC4" w14:textId="77777777" w:rsidR="007A5611" w:rsidRPr="002D5606" w:rsidRDefault="007A5611" w:rsidP="005328B5">
      <w:pPr>
        <w:pStyle w:val="NormalWeb"/>
        <w:spacing w:beforeAutospacing="0" w:afterAutospacing="0" w:line="360" w:lineRule="auto"/>
        <w:jc w:val="both"/>
        <w:rPr>
          <w:rFonts w:cs="Times New Roman"/>
        </w:rPr>
      </w:pPr>
    </w:p>
    <w:p w14:paraId="1B91AA5E" w14:textId="77777777" w:rsidR="009F3129" w:rsidRPr="002D5606" w:rsidRDefault="00E54DC1" w:rsidP="005328B5">
      <w:pPr>
        <w:pStyle w:val="Heading2"/>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Clinical Implications</w:t>
      </w:r>
    </w:p>
    <w:p w14:paraId="3E419BA9" w14:textId="77777777" w:rsidR="009F3129" w:rsidRDefault="00E54DC1" w:rsidP="005328B5">
      <w:pPr>
        <w:pStyle w:val="NormalWeb"/>
        <w:spacing w:beforeAutospacing="0" w:afterAutospacing="0" w:line="360" w:lineRule="auto"/>
        <w:jc w:val="both"/>
        <w:rPr>
          <w:rFonts w:cs="Times New Roman"/>
        </w:rPr>
      </w:pPr>
      <w:r w:rsidRPr="002D5606">
        <w:rPr>
          <w:rFonts w:cs="Times New Roman"/>
        </w:rPr>
        <w:t xml:space="preserve">The substantial prevalence of significant upper gastrointestinal pathology in this cohort underscores the value of structured preoperative assessment in symptomatic cholelithiasis. While universal screening remains debatable, our findings support a selective, symptom-driven approach. Patients with dyspepsia, reflux, atypical epigastric pain, or persistent upper abdominal discomfort may benefit most from endoscopic evaluation. Identification of treatable acid-peptic or inflammatory lesions enables targeted medical </w:t>
      </w:r>
      <w:proofErr w:type="spellStart"/>
      <w:r w:rsidRPr="002D5606">
        <w:rPr>
          <w:rFonts w:cs="Times New Roman"/>
        </w:rPr>
        <w:t>optimisation</w:t>
      </w:r>
      <w:proofErr w:type="spellEnd"/>
      <w:r w:rsidRPr="002D5606">
        <w:rPr>
          <w:rFonts w:cs="Times New Roman"/>
        </w:rPr>
        <w:t xml:space="preserve"> prior to surgery and may reduce persistent postoperative symptoms. Integrating defined clinical criteria into preoperative pathways may enhance diagnostic precision while avoiding unnecessary routine endoscopy.</w:t>
      </w:r>
    </w:p>
    <w:p w14:paraId="75FD6F1E" w14:textId="77777777" w:rsidR="007A5611" w:rsidRPr="002D5606" w:rsidRDefault="007A5611" w:rsidP="005328B5">
      <w:pPr>
        <w:pStyle w:val="NormalWeb"/>
        <w:spacing w:beforeAutospacing="0" w:afterAutospacing="0" w:line="360" w:lineRule="auto"/>
        <w:jc w:val="both"/>
        <w:rPr>
          <w:rFonts w:cs="Times New Roman"/>
        </w:rPr>
      </w:pPr>
    </w:p>
    <w:p w14:paraId="7849A1FB" w14:textId="77777777" w:rsidR="009F3129" w:rsidRPr="002D5606" w:rsidRDefault="00E54DC1" w:rsidP="005328B5">
      <w:pPr>
        <w:pStyle w:val="Heading2"/>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Conclusion</w:t>
      </w:r>
    </w:p>
    <w:p w14:paraId="3BD8106C" w14:textId="77777777" w:rsidR="009F3129" w:rsidRPr="002D5606" w:rsidRDefault="00E54DC1" w:rsidP="005328B5">
      <w:pPr>
        <w:pStyle w:val="NormalWeb"/>
        <w:spacing w:beforeAutospacing="0" w:afterAutospacing="0" w:line="360" w:lineRule="auto"/>
        <w:jc w:val="both"/>
        <w:rPr>
          <w:rFonts w:cs="Times New Roman"/>
        </w:rPr>
      </w:pPr>
      <w:r w:rsidRPr="002D5606">
        <w:rPr>
          <w:rFonts w:cs="Times New Roman"/>
        </w:rPr>
        <w:t xml:space="preserve">Preoperative upper gastrointestinal endoscopy identified clinically significant mucosal pathology in approximately half of patients undergoing laparoscopic cholecystectomy for symptomatic cholelithiasis. Inflammatory and reflux-related lesions predominated and were frequently observed even in younger individuals. These findings underscore the substantial coexistence of upper GI disease in patients presenting with biliary symptoms </w:t>
      </w:r>
      <w:r w:rsidRPr="002D5606">
        <w:rPr>
          <w:rFonts w:cs="Times New Roman"/>
        </w:rPr>
        <w:lastRenderedPageBreak/>
        <w:t xml:space="preserve">and highlight the potential role of endoscopy in enhancing diagnostic precision and perioperative </w:t>
      </w:r>
      <w:proofErr w:type="spellStart"/>
      <w:r w:rsidRPr="002D5606">
        <w:rPr>
          <w:rFonts w:cs="Times New Roman"/>
        </w:rPr>
        <w:t>optimisation</w:t>
      </w:r>
      <w:proofErr w:type="spellEnd"/>
      <w:r w:rsidRPr="002D5606">
        <w:rPr>
          <w:rFonts w:cs="Times New Roman"/>
        </w:rPr>
        <w:t>.</w:t>
      </w:r>
    </w:p>
    <w:p w14:paraId="6AFACAFC" w14:textId="77777777" w:rsidR="009F3129" w:rsidRDefault="00E54DC1" w:rsidP="005328B5">
      <w:pPr>
        <w:pStyle w:val="NormalWeb"/>
        <w:spacing w:beforeAutospacing="0" w:afterAutospacing="0" w:line="360" w:lineRule="auto"/>
        <w:jc w:val="both"/>
        <w:rPr>
          <w:rFonts w:cs="Times New Roman"/>
        </w:rPr>
      </w:pPr>
      <w:r w:rsidRPr="002D5606">
        <w:rPr>
          <w:rFonts w:cs="Times New Roman"/>
        </w:rPr>
        <w:t xml:space="preserve">A structured, symptom-oriented endoscopic strategy may improve patient selection, facilitate targeted medical therapy, and potentially reduce the burden of persistent postoperative symptoms. Further </w:t>
      </w:r>
      <w:proofErr w:type="spellStart"/>
      <w:r w:rsidRPr="002D5606">
        <w:rPr>
          <w:rFonts w:cs="Times New Roman"/>
        </w:rPr>
        <w:t>multicentre</w:t>
      </w:r>
      <w:proofErr w:type="spellEnd"/>
      <w:r w:rsidRPr="002D5606">
        <w:rPr>
          <w:rFonts w:cs="Times New Roman"/>
        </w:rPr>
        <w:t>, outcome-driven studies incorporating long-term symptom assessment and cost-effectiveness analysis are warranted to define the optimal integration of UGI endoscopy into preoperative pathways for gallstone disease.</w:t>
      </w:r>
    </w:p>
    <w:p w14:paraId="1F960EA2" w14:textId="77777777" w:rsidR="0005516F" w:rsidRDefault="0005516F" w:rsidP="005328B5">
      <w:pPr>
        <w:pStyle w:val="NormalWeb"/>
        <w:spacing w:beforeAutospacing="0" w:afterAutospacing="0" w:line="360" w:lineRule="auto"/>
        <w:jc w:val="both"/>
        <w:rPr>
          <w:rFonts w:cs="Times New Roman"/>
        </w:rPr>
      </w:pPr>
    </w:p>
    <w:p w14:paraId="6191ACCE" w14:textId="77777777" w:rsidR="0005516F" w:rsidRPr="002D5606" w:rsidRDefault="0005516F" w:rsidP="0005516F">
      <w:pPr>
        <w:pStyle w:val="Heading2"/>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Strengths</w:t>
      </w:r>
    </w:p>
    <w:p w14:paraId="2C9F367A" w14:textId="77777777" w:rsidR="0005516F" w:rsidRPr="002D5606" w:rsidRDefault="0005516F" w:rsidP="0005516F">
      <w:pPr>
        <w:pStyle w:val="NormalWeb"/>
        <w:numPr>
          <w:ilvl w:val="0"/>
          <w:numId w:val="2"/>
        </w:numPr>
        <w:spacing w:beforeAutospacing="0" w:afterAutospacing="0" w:line="360" w:lineRule="auto"/>
        <w:jc w:val="both"/>
        <w:rPr>
          <w:rFonts w:cs="Times New Roman"/>
        </w:rPr>
      </w:pPr>
      <w:r w:rsidRPr="002D5606">
        <w:rPr>
          <w:rFonts w:cs="Times New Roman"/>
        </w:rPr>
        <w:t>Prospective observational design</w:t>
      </w:r>
    </w:p>
    <w:p w14:paraId="72F99F6A" w14:textId="77777777" w:rsidR="0005516F" w:rsidRPr="002D5606" w:rsidRDefault="0005516F" w:rsidP="0005516F">
      <w:pPr>
        <w:pStyle w:val="NormalWeb"/>
        <w:numPr>
          <w:ilvl w:val="0"/>
          <w:numId w:val="2"/>
        </w:numPr>
        <w:spacing w:beforeAutospacing="0" w:afterAutospacing="0" w:line="360" w:lineRule="auto"/>
        <w:jc w:val="both"/>
        <w:rPr>
          <w:rFonts w:cs="Times New Roman"/>
        </w:rPr>
      </w:pPr>
      <w:r w:rsidRPr="002D5606">
        <w:rPr>
          <w:rFonts w:cs="Times New Roman"/>
        </w:rPr>
        <w:t>Inclusion of consecutive patients, reducing selection bias</w:t>
      </w:r>
    </w:p>
    <w:p w14:paraId="6D658F14" w14:textId="77777777" w:rsidR="0005516F" w:rsidRPr="002D5606" w:rsidRDefault="0005516F" w:rsidP="0005516F">
      <w:pPr>
        <w:pStyle w:val="NormalWeb"/>
        <w:numPr>
          <w:ilvl w:val="0"/>
          <w:numId w:val="2"/>
        </w:numPr>
        <w:spacing w:beforeAutospacing="0" w:afterAutospacing="0" w:line="360" w:lineRule="auto"/>
        <w:jc w:val="both"/>
        <w:rPr>
          <w:rFonts w:cs="Times New Roman"/>
        </w:rPr>
      </w:pPr>
      <w:r w:rsidRPr="002D5606">
        <w:rPr>
          <w:rFonts w:cs="Times New Roman"/>
        </w:rPr>
        <w:t xml:space="preserve">Structured and </w:t>
      </w:r>
      <w:proofErr w:type="spellStart"/>
      <w:r w:rsidRPr="002D5606">
        <w:rPr>
          <w:rFonts w:cs="Times New Roman"/>
        </w:rPr>
        <w:t>standardised</w:t>
      </w:r>
      <w:proofErr w:type="spellEnd"/>
      <w:r w:rsidRPr="002D5606">
        <w:rPr>
          <w:rFonts w:cs="Times New Roman"/>
        </w:rPr>
        <w:t xml:space="preserve"> endoscopic assessment</w:t>
      </w:r>
    </w:p>
    <w:p w14:paraId="6C2EEFEB" w14:textId="77777777" w:rsidR="0005516F" w:rsidRPr="002D5606" w:rsidRDefault="0005516F" w:rsidP="0005516F">
      <w:pPr>
        <w:pStyle w:val="NormalWeb"/>
        <w:numPr>
          <w:ilvl w:val="0"/>
          <w:numId w:val="2"/>
        </w:numPr>
        <w:spacing w:beforeAutospacing="0" w:afterAutospacing="0" w:line="360" w:lineRule="auto"/>
        <w:jc w:val="both"/>
        <w:rPr>
          <w:rFonts w:cs="Times New Roman"/>
        </w:rPr>
      </w:pPr>
      <w:r w:rsidRPr="002D5606">
        <w:rPr>
          <w:rFonts w:cs="Times New Roman"/>
        </w:rPr>
        <w:t>Systematic documentation of lesion patterns and demographics</w:t>
      </w:r>
    </w:p>
    <w:p w14:paraId="5FB6FBBC" w14:textId="77777777" w:rsidR="0005516F" w:rsidRPr="002D5606" w:rsidRDefault="0005516F" w:rsidP="0005516F">
      <w:pPr>
        <w:pStyle w:val="NormalWeb"/>
        <w:numPr>
          <w:ilvl w:val="0"/>
          <w:numId w:val="2"/>
        </w:numPr>
        <w:spacing w:beforeAutospacing="0" w:afterAutospacing="0" w:line="360" w:lineRule="auto"/>
        <w:jc w:val="both"/>
        <w:rPr>
          <w:rFonts w:cs="Times New Roman"/>
        </w:rPr>
      </w:pPr>
      <w:r w:rsidRPr="002D5606">
        <w:rPr>
          <w:rFonts w:cs="Times New Roman"/>
        </w:rPr>
        <w:t>Clinically relevant research question addressing an ongoing surgical debate</w:t>
      </w:r>
    </w:p>
    <w:p w14:paraId="09E454C2" w14:textId="77777777" w:rsidR="0005516F" w:rsidRDefault="0005516F" w:rsidP="0005516F">
      <w:pPr>
        <w:pStyle w:val="NormalWeb"/>
        <w:numPr>
          <w:ilvl w:val="0"/>
          <w:numId w:val="2"/>
        </w:numPr>
        <w:spacing w:beforeAutospacing="0" w:afterAutospacing="0" w:line="360" w:lineRule="auto"/>
        <w:jc w:val="both"/>
        <w:rPr>
          <w:rFonts w:cs="Times New Roman"/>
        </w:rPr>
      </w:pPr>
      <w:r w:rsidRPr="002D5606">
        <w:rPr>
          <w:rFonts w:cs="Times New Roman"/>
        </w:rPr>
        <w:t xml:space="preserve">Contextual evidence from a tertiary care </w:t>
      </w:r>
      <w:proofErr w:type="spellStart"/>
      <w:r w:rsidRPr="002D5606">
        <w:rPr>
          <w:rFonts w:cs="Times New Roman"/>
        </w:rPr>
        <w:t>centre</w:t>
      </w:r>
      <w:proofErr w:type="spellEnd"/>
    </w:p>
    <w:p w14:paraId="17945AD0" w14:textId="77777777" w:rsidR="0005516F" w:rsidRPr="002D5606" w:rsidRDefault="0005516F" w:rsidP="0005516F">
      <w:pPr>
        <w:pStyle w:val="Heading2"/>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Limitations</w:t>
      </w:r>
    </w:p>
    <w:p w14:paraId="316CAA37" w14:textId="77777777" w:rsidR="0005516F" w:rsidRPr="002D5606" w:rsidRDefault="0005516F" w:rsidP="0005516F">
      <w:pPr>
        <w:pStyle w:val="NormalWeb"/>
        <w:numPr>
          <w:ilvl w:val="0"/>
          <w:numId w:val="3"/>
        </w:numPr>
        <w:spacing w:beforeAutospacing="0" w:afterAutospacing="0" w:line="360" w:lineRule="auto"/>
        <w:jc w:val="both"/>
        <w:rPr>
          <w:rFonts w:cs="Times New Roman"/>
        </w:rPr>
      </w:pPr>
      <w:r w:rsidRPr="002D5606">
        <w:rPr>
          <w:rStyle w:val="Strong"/>
          <w:rFonts w:cs="Times New Roman"/>
        </w:rPr>
        <w:t>Single-</w:t>
      </w:r>
      <w:proofErr w:type="spellStart"/>
      <w:r w:rsidRPr="002D5606">
        <w:rPr>
          <w:rStyle w:val="Strong"/>
          <w:rFonts w:cs="Times New Roman"/>
        </w:rPr>
        <w:t>centre</w:t>
      </w:r>
      <w:proofErr w:type="spellEnd"/>
      <w:r w:rsidRPr="002D5606">
        <w:rPr>
          <w:rStyle w:val="Strong"/>
          <w:rFonts w:cs="Times New Roman"/>
        </w:rPr>
        <w:t xml:space="preserve"> design:</w:t>
      </w:r>
      <w:r w:rsidRPr="002D5606">
        <w:rPr>
          <w:rFonts w:cs="Times New Roman"/>
        </w:rPr>
        <w:t xml:space="preserve"> The study was conducted at a single tertiary care institution, which may limit the </w:t>
      </w:r>
      <w:proofErr w:type="spellStart"/>
      <w:r w:rsidRPr="002D5606">
        <w:rPr>
          <w:rFonts w:cs="Times New Roman"/>
        </w:rPr>
        <w:t>generalisability</w:t>
      </w:r>
      <w:proofErr w:type="spellEnd"/>
      <w:r w:rsidRPr="002D5606">
        <w:rPr>
          <w:rFonts w:cs="Times New Roman"/>
        </w:rPr>
        <w:t xml:space="preserve"> of the findings to other populations and healthcare settings.</w:t>
      </w:r>
    </w:p>
    <w:p w14:paraId="30CAD2DA" w14:textId="77777777" w:rsidR="0005516F" w:rsidRPr="002D5606" w:rsidRDefault="0005516F" w:rsidP="0005516F">
      <w:pPr>
        <w:pStyle w:val="NormalWeb"/>
        <w:numPr>
          <w:ilvl w:val="0"/>
          <w:numId w:val="3"/>
        </w:numPr>
        <w:spacing w:beforeAutospacing="0" w:afterAutospacing="0" w:line="360" w:lineRule="auto"/>
        <w:jc w:val="both"/>
        <w:rPr>
          <w:rFonts w:cs="Times New Roman"/>
        </w:rPr>
      </w:pPr>
      <w:r w:rsidRPr="002D5606">
        <w:rPr>
          <w:rStyle w:val="Strong"/>
          <w:rFonts w:cs="Times New Roman"/>
        </w:rPr>
        <w:t>Moderate sample size:</w:t>
      </w:r>
      <w:r w:rsidRPr="002D5606">
        <w:rPr>
          <w:rFonts w:cs="Times New Roman"/>
        </w:rPr>
        <w:t xml:space="preserve"> Although prospectively conducted, the relatively small cohort (n=71) may limit the statistical power to detect subgroup differences and rare endoscopic pathologies.</w:t>
      </w:r>
    </w:p>
    <w:p w14:paraId="7007CAFC" w14:textId="77777777" w:rsidR="0005516F" w:rsidRPr="002D5606" w:rsidRDefault="0005516F" w:rsidP="0005516F">
      <w:pPr>
        <w:pStyle w:val="NormalWeb"/>
        <w:numPr>
          <w:ilvl w:val="0"/>
          <w:numId w:val="3"/>
        </w:numPr>
        <w:spacing w:beforeAutospacing="0" w:afterAutospacing="0" w:line="360" w:lineRule="auto"/>
        <w:jc w:val="both"/>
        <w:rPr>
          <w:rFonts w:cs="Times New Roman"/>
        </w:rPr>
      </w:pPr>
      <w:r w:rsidRPr="002D5606">
        <w:rPr>
          <w:rStyle w:val="Strong"/>
          <w:rFonts w:cs="Times New Roman"/>
        </w:rPr>
        <w:t>Lack of long-term follow-up:</w:t>
      </w:r>
      <w:r w:rsidRPr="002D5606">
        <w:rPr>
          <w:rFonts w:cs="Times New Roman"/>
        </w:rPr>
        <w:t xml:space="preserve"> Postoperative symptom resolution and quality-of-life outcomes were not systematically evaluated, precluding definitive conclusions regarding the direct clinical impact of preoperative endoscopy on long-term outcomes.</w:t>
      </w:r>
    </w:p>
    <w:p w14:paraId="760324EC" w14:textId="77777777" w:rsidR="0005516F" w:rsidRPr="002D5606" w:rsidRDefault="0005516F" w:rsidP="0005516F">
      <w:pPr>
        <w:pStyle w:val="NormalWeb"/>
        <w:numPr>
          <w:ilvl w:val="0"/>
          <w:numId w:val="3"/>
        </w:numPr>
        <w:spacing w:beforeAutospacing="0" w:afterAutospacing="0" w:line="360" w:lineRule="auto"/>
        <w:jc w:val="both"/>
        <w:rPr>
          <w:rFonts w:cs="Times New Roman"/>
        </w:rPr>
      </w:pPr>
      <w:r w:rsidRPr="002D5606">
        <w:rPr>
          <w:rStyle w:val="Strong"/>
          <w:rFonts w:cs="Times New Roman"/>
        </w:rPr>
        <w:t>No cost-effectiveness analysis:</w:t>
      </w:r>
      <w:r w:rsidRPr="002D5606">
        <w:rPr>
          <w:rFonts w:cs="Times New Roman"/>
        </w:rPr>
        <w:t xml:space="preserve"> The study did not assess the economic implications of routine versus selective upper GI endoscopy, which is an important consideration in resource-constrained settings.</w:t>
      </w:r>
    </w:p>
    <w:p w14:paraId="71AC69D7" w14:textId="77777777" w:rsidR="0005516F" w:rsidRPr="002D5606" w:rsidRDefault="0005516F" w:rsidP="0005516F">
      <w:pPr>
        <w:pStyle w:val="NormalWeb"/>
        <w:numPr>
          <w:ilvl w:val="0"/>
          <w:numId w:val="3"/>
        </w:numPr>
        <w:spacing w:beforeAutospacing="0" w:afterAutospacing="0" w:line="360" w:lineRule="auto"/>
        <w:jc w:val="both"/>
        <w:rPr>
          <w:rFonts w:cs="Times New Roman"/>
        </w:rPr>
      </w:pPr>
      <w:r w:rsidRPr="002D5606">
        <w:rPr>
          <w:rStyle w:val="Strong"/>
          <w:rFonts w:cs="Times New Roman"/>
        </w:rPr>
        <w:t>Absence of comparative arm:</w:t>
      </w:r>
      <w:r w:rsidRPr="002D5606">
        <w:rPr>
          <w:rFonts w:cs="Times New Roman"/>
        </w:rPr>
        <w:t xml:space="preserve"> There was no control group of patients undergoing cholecystectomy without preoperative endoscopy, limiting the ability to directly compare outcomes between endoscopy-guided and standard pathways.</w:t>
      </w:r>
    </w:p>
    <w:p w14:paraId="7E6563E6" w14:textId="77777777" w:rsidR="0005516F" w:rsidRDefault="0005516F" w:rsidP="0005516F">
      <w:pPr>
        <w:pStyle w:val="NormalWeb"/>
        <w:spacing w:beforeAutospacing="0" w:afterAutospacing="0" w:line="360" w:lineRule="auto"/>
        <w:jc w:val="both"/>
        <w:rPr>
          <w:rFonts w:cs="Times New Roman"/>
        </w:rPr>
      </w:pPr>
      <w:r w:rsidRPr="002D5606">
        <w:rPr>
          <w:rFonts w:cs="Times New Roman"/>
        </w:rPr>
        <w:t>Despite these limitations, the prospective design, inclusion of consecutive patients, and structured evaluation of endoscopic findings enhance the methodological robustness and clinical relevance of the study.</w:t>
      </w:r>
    </w:p>
    <w:p w14:paraId="12B66612" w14:textId="77777777" w:rsidR="0005516F" w:rsidRPr="002D5606" w:rsidRDefault="0005516F" w:rsidP="0005516F">
      <w:pPr>
        <w:pStyle w:val="NormalWeb"/>
        <w:spacing w:beforeAutospacing="0" w:afterAutospacing="0" w:line="360" w:lineRule="auto"/>
        <w:jc w:val="both"/>
        <w:rPr>
          <w:rFonts w:cs="Times New Roman"/>
        </w:rPr>
      </w:pPr>
    </w:p>
    <w:p w14:paraId="7B9A5A62" w14:textId="77777777" w:rsidR="0005516F" w:rsidRPr="002D5606" w:rsidRDefault="0005516F" w:rsidP="005328B5">
      <w:pPr>
        <w:pStyle w:val="NormalWeb"/>
        <w:spacing w:beforeAutospacing="0" w:afterAutospacing="0" w:line="360" w:lineRule="auto"/>
        <w:jc w:val="both"/>
        <w:rPr>
          <w:rFonts w:cs="Times New Roman"/>
        </w:rPr>
      </w:pPr>
    </w:p>
    <w:p w14:paraId="324A17E3" w14:textId="77777777" w:rsidR="009F3129" w:rsidRPr="002D5606" w:rsidRDefault="009F3129" w:rsidP="005328B5">
      <w:pPr>
        <w:pStyle w:val="Heading2"/>
        <w:spacing w:beforeAutospacing="0" w:afterAutospacing="0" w:line="360" w:lineRule="auto"/>
        <w:jc w:val="both"/>
        <w:rPr>
          <w:rFonts w:ascii="Times New Roman" w:hAnsi="Times New Roman" w:cs="Times New Roman" w:hint="default"/>
          <w:sz w:val="24"/>
          <w:szCs w:val="24"/>
        </w:rPr>
      </w:pPr>
    </w:p>
    <w:p w14:paraId="5F83407F" w14:textId="77777777" w:rsidR="009F3129" w:rsidRPr="002D5606" w:rsidRDefault="00E54DC1" w:rsidP="005328B5">
      <w:pPr>
        <w:pStyle w:val="Heading2"/>
        <w:spacing w:beforeAutospacing="0" w:afterAutospacing="0" w:line="360" w:lineRule="auto"/>
        <w:jc w:val="both"/>
        <w:rPr>
          <w:rFonts w:ascii="Times New Roman" w:hAnsi="Times New Roman" w:cs="Times New Roman" w:hint="default"/>
          <w:sz w:val="24"/>
          <w:szCs w:val="24"/>
        </w:rPr>
      </w:pPr>
      <w:r w:rsidRPr="002D5606">
        <w:rPr>
          <w:rFonts w:ascii="Times New Roman" w:hAnsi="Times New Roman" w:cs="Times New Roman" w:hint="default"/>
          <w:sz w:val="24"/>
          <w:szCs w:val="24"/>
        </w:rPr>
        <w:t>Ethics Approval and Consent to Participate</w:t>
      </w:r>
    </w:p>
    <w:p w14:paraId="494E2A98" w14:textId="77777777" w:rsidR="009F3129" w:rsidRDefault="00E54DC1" w:rsidP="005328B5">
      <w:pPr>
        <w:pStyle w:val="NormalWeb"/>
        <w:spacing w:beforeAutospacing="0" w:afterAutospacing="0" w:line="360" w:lineRule="auto"/>
        <w:jc w:val="both"/>
        <w:rPr>
          <w:rFonts w:cs="Times New Roman"/>
        </w:rPr>
      </w:pPr>
      <w:r w:rsidRPr="002D5606">
        <w:rPr>
          <w:rFonts w:cs="Times New Roman"/>
        </w:rPr>
        <w:t xml:space="preserve">The study was approved by the Institutional Ethics Committee of Jawaharlal Nehru Medical College and Hospital, Aligarh Muslim </w:t>
      </w:r>
      <w:proofErr w:type="gramStart"/>
      <w:r w:rsidRPr="002D5606">
        <w:rPr>
          <w:rFonts w:cs="Times New Roman"/>
        </w:rPr>
        <w:t>University .</w:t>
      </w:r>
      <w:proofErr w:type="gramEnd"/>
      <w:r w:rsidRPr="002D5606">
        <w:rPr>
          <w:rFonts w:cs="Times New Roman"/>
        </w:rPr>
        <w:t xml:space="preserve"> Written informed consent was obtained from all participants prior to enrolment.</w:t>
      </w:r>
    </w:p>
    <w:p w14:paraId="49B4D1C3" w14:textId="77777777" w:rsidR="0005516F" w:rsidRDefault="0005516F" w:rsidP="005328B5">
      <w:pPr>
        <w:pStyle w:val="NormalWeb"/>
        <w:spacing w:beforeAutospacing="0" w:afterAutospacing="0" w:line="360" w:lineRule="auto"/>
        <w:jc w:val="both"/>
        <w:rPr>
          <w:rFonts w:cs="Times New Roman"/>
        </w:rPr>
      </w:pPr>
    </w:p>
    <w:p w14:paraId="0315F6C2" w14:textId="77777777" w:rsidR="0005516F" w:rsidRDefault="0005516F" w:rsidP="005328B5">
      <w:pPr>
        <w:pStyle w:val="NormalWeb"/>
        <w:spacing w:beforeAutospacing="0" w:afterAutospacing="0" w:line="360" w:lineRule="auto"/>
        <w:jc w:val="both"/>
        <w:rPr>
          <w:rFonts w:cs="Times New Roman"/>
        </w:rPr>
      </w:pPr>
    </w:p>
    <w:p w14:paraId="0740B02B" w14:textId="77777777" w:rsidR="0005516F" w:rsidRPr="0005516F" w:rsidRDefault="0005516F" w:rsidP="0005516F">
      <w:pPr>
        <w:spacing w:after="200" w:line="276" w:lineRule="auto"/>
        <w:rPr>
          <w:rFonts w:ascii="Arial" w:eastAsia="Times New Roman" w:hAnsi="Arial" w:cs="Arial"/>
          <w:b/>
          <w:bCs/>
          <w:sz w:val="22"/>
          <w:szCs w:val="22"/>
          <w:lang w:val="en-GB" w:eastAsia="en-GB"/>
        </w:rPr>
      </w:pPr>
      <w:r w:rsidRPr="0005516F">
        <w:rPr>
          <w:rFonts w:ascii="Arial" w:eastAsia="Times New Roman" w:hAnsi="Arial" w:cs="Arial"/>
          <w:b/>
          <w:bCs/>
          <w:sz w:val="22"/>
          <w:szCs w:val="22"/>
          <w:lang w:val="en-GB" w:eastAsia="en-GB"/>
        </w:rPr>
        <w:t>COMPETING INTERESTS DISCLAIMER:</w:t>
      </w:r>
    </w:p>
    <w:p w14:paraId="57B3116D" w14:textId="77777777" w:rsidR="0005516F" w:rsidRPr="0005516F" w:rsidRDefault="0005516F" w:rsidP="0005516F">
      <w:pPr>
        <w:spacing w:after="200" w:line="276" w:lineRule="auto"/>
        <w:rPr>
          <w:rFonts w:ascii="Calibri" w:eastAsia="Times New Roman" w:hAnsi="Calibri" w:cs="Times New Roman"/>
          <w:sz w:val="22"/>
          <w:szCs w:val="22"/>
          <w:lang w:val="en-GB" w:eastAsia="en-GB"/>
        </w:rPr>
      </w:pPr>
      <w:r w:rsidRPr="0005516F">
        <w:rPr>
          <w:rFonts w:ascii="Arial" w:eastAsia="Times New Roman"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B6F22AE" w14:textId="77777777" w:rsidR="0005516F" w:rsidRPr="002D5606" w:rsidRDefault="0005516F" w:rsidP="005328B5">
      <w:pPr>
        <w:pStyle w:val="NormalWeb"/>
        <w:spacing w:beforeAutospacing="0" w:afterAutospacing="0" w:line="360" w:lineRule="auto"/>
        <w:jc w:val="both"/>
        <w:rPr>
          <w:rFonts w:cs="Times New Roman"/>
          <w:b/>
          <w:bCs/>
        </w:rPr>
      </w:pPr>
    </w:p>
    <w:p w14:paraId="56C4D69E" w14:textId="77777777" w:rsidR="009F3129" w:rsidRPr="002D5606" w:rsidRDefault="00E54DC1" w:rsidP="002D5606">
      <w:pPr>
        <w:pStyle w:val="NormalWeb"/>
        <w:jc w:val="both"/>
        <w:rPr>
          <w:rFonts w:cs="Times New Roman"/>
          <w:b/>
          <w:bCs/>
        </w:rPr>
      </w:pPr>
      <w:r w:rsidRPr="002D5606">
        <w:rPr>
          <w:rFonts w:cs="Times New Roman"/>
          <w:b/>
          <w:bCs/>
        </w:rPr>
        <w:t>REFERENCES</w:t>
      </w:r>
    </w:p>
    <w:p w14:paraId="586A5D97" w14:textId="77777777" w:rsidR="009F3129" w:rsidRPr="002D5606" w:rsidRDefault="00E54DC1" w:rsidP="00973613">
      <w:pPr>
        <w:numPr>
          <w:ilvl w:val="0"/>
          <w:numId w:val="4"/>
        </w:numPr>
        <w:autoSpaceDE w:val="0"/>
        <w:autoSpaceDN w:val="0"/>
        <w:adjustRightInd w:val="0"/>
        <w:jc w:val="both"/>
        <w:rPr>
          <w:rFonts w:ascii="Times New Roman" w:hAnsi="Times New Roman" w:cs="Times New Roman"/>
          <w:sz w:val="24"/>
          <w:szCs w:val="24"/>
        </w:rPr>
      </w:pPr>
      <w:r w:rsidRPr="002D5606">
        <w:rPr>
          <w:rFonts w:ascii="Times New Roman" w:hAnsi="Times New Roman" w:cs="Times New Roman"/>
          <w:sz w:val="24"/>
          <w:szCs w:val="24"/>
        </w:rPr>
        <w:t xml:space="preserve">Kolla V, Charles N, Datey S, Mahor D, Gupta A, Malhotra S. Upper gastrointestinal endoscopy prior to laparoscopic cholecystectomy: a clinical study at a tertiary care </w:t>
      </w:r>
      <w:proofErr w:type="spellStart"/>
      <w:r w:rsidRPr="002D5606">
        <w:rPr>
          <w:rFonts w:ascii="Times New Roman" w:hAnsi="Times New Roman" w:cs="Times New Roman"/>
          <w:sz w:val="24"/>
          <w:szCs w:val="24"/>
        </w:rPr>
        <w:t>centre</w:t>
      </w:r>
      <w:proofErr w:type="spellEnd"/>
      <w:r w:rsidRPr="002D5606">
        <w:rPr>
          <w:rFonts w:ascii="Times New Roman" w:hAnsi="Times New Roman" w:cs="Times New Roman"/>
          <w:sz w:val="24"/>
          <w:szCs w:val="24"/>
        </w:rPr>
        <w:t xml:space="preserve"> in central India. International Surgery Journal. 2016 Dec 8;3(2):637-42.</w:t>
      </w:r>
    </w:p>
    <w:p w14:paraId="03953CCE" w14:textId="77777777" w:rsidR="009F3129" w:rsidRPr="002D5606" w:rsidRDefault="00E54DC1" w:rsidP="00973613">
      <w:pPr>
        <w:numPr>
          <w:ilvl w:val="0"/>
          <w:numId w:val="4"/>
        </w:numPr>
        <w:autoSpaceDE w:val="0"/>
        <w:autoSpaceDN w:val="0"/>
        <w:adjustRightInd w:val="0"/>
        <w:jc w:val="both"/>
        <w:rPr>
          <w:rFonts w:ascii="Times New Roman" w:hAnsi="Times New Roman" w:cs="Times New Roman"/>
          <w:sz w:val="24"/>
          <w:szCs w:val="24"/>
        </w:rPr>
      </w:pPr>
      <w:proofErr w:type="spellStart"/>
      <w:r w:rsidRPr="002D5606">
        <w:rPr>
          <w:rFonts w:ascii="Times New Roman" w:hAnsi="Times New Roman" w:cs="Times New Roman"/>
          <w:sz w:val="24"/>
          <w:szCs w:val="24"/>
        </w:rPr>
        <w:t>Kunnuru</w:t>
      </w:r>
      <w:proofErr w:type="spellEnd"/>
      <w:r w:rsidRPr="002D5606">
        <w:rPr>
          <w:rFonts w:ascii="Times New Roman" w:hAnsi="Times New Roman" w:cs="Times New Roman"/>
          <w:sz w:val="24"/>
          <w:szCs w:val="24"/>
        </w:rPr>
        <w:t xml:space="preserve"> SK, </w:t>
      </w:r>
      <w:proofErr w:type="spellStart"/>
      <w:r w:rsidRPr="002D5606">
        <w:rPr>
          <w:rFonts w:ascii="Times New Roman" w:hAnsi="Times New Roman" w:cs="Times New Roman"/>
          <w:sz w:val="24"/>
          <w:szCs w:val="24"/>
        </w:rPr>
        <w:t>Kanmaniyan</w:t>
      </w:r>
      <w:proofErr w:type="spellEnd"/>
      <w:r w:rsidRPr="002D5606">
        <w:rPr>
          <w:rFonts w:ascii="Times New Roman" w:hAnsi="Times New Roman" w:cs="Times New Roman"/>
          <w:sz w:val="24"/>
          <w:szCs w:val="24"/>
        </w:rPr>
        <w:t xml:space="preserve"> B, Thiyagarajan M, Singh BK, </w:t>
      </w:r>
      <w:proofErr w:type="spellStart"/>
      <w:r w:rsidRPr="002D5606">
        <w:rPr>
          <w:rFonts w:ascii="Times New Roman" w:hAnsi="Times New Roman" w:cs="Times New Roman"/>
          <w:sz w:val="24"/>
          <w:szCs w:val="24"/>
        </w:rPr>
        <w:t>Navrathan</w:t>
      </w:r>
      <w:proofErr w:type="spellEnd"/>
      <w:r w:rsidRPr="002D5606">
        <w:rPr>
          <w:rFonts w:ascii="Times New Roman" w:hAnsi="Times New Roman" w:cs="Times New Roman"/>
          <w:sz w:val="24"/>
          <w:szCs w:val="24"/>
        </w:rPr>
        <w:t xml:space="preserve"> N. A Study on Efficacy of UGI </w:t>
      </w:r>
      <w:proofErr w:type="spellStart"/>
      <w:r w:rsidRPr="002D5606">
        <w:rPr>
          <w:rFonts w:ascii="Times New Roman" w:hAnsi="Times New Roman" w:cs="Times New Roman"/>
          <w:sz w:val="24"/>
          <w:szCs w:val="24"/>
        </w:rPr>
        <w:t>Scopy</w:t>
      </w:r>
      <w:proofErr w:type="spellEnd"/>
      <w:r w:rsidRPr="002D5606">
        <w:rPr>
          <w:rFonts w:ascii="Times New Roman" w:hAnsi="Times New Roman" w:cs="Times New Roman"/>
          <w:sz w:val="24"/>
          <w:szCs w:val="24"/>
        </w:rPr>
        <w:t xml:space="preserve"> in Cholelithiasis Patients before Laparoscopic Cholecystectomy. Minimally Invasive Surgery. 2021 Jan 13;2021.</w:t>
      </w:r>
    </w:p>
    <w:p w14:paraId="0F4A613D" w14:textId="77777777" w:rsidR="009F3129" w:rsidRPr="002D5606" w:rsidRDefault="00E54DC1" w:rsidP="00973613">
      <w:pPr>
        <w:numPr>
          <w:ilvl w:val="0"/>
          <w:numId w:val="4"/>
        </w:numPr>
        <w:autoSpaceDE w:val="0"/>
        <w:autoSpaceDN w:val="0"/>
        <w:adjustRightInd w:val="0"/>
        <w:jc w:val="both"/>
        <w:rPr>
          <w:rFonts w:ascii="Times New Roman" w:hAnsi="Times New Roman" w:cs="Times New Roman"/>
          <w:sz w:val="24"/>
          <w:szCs w:val="24"/>
        </w:rPr>
      </w:pPr>
      <w:proofErr w:type="spellStart"/>
      <w:r w:rsidRPr="002D5606">
        <w:rPr>
          <w:rFonts w:ascii="Times New Roman" w:hAnsi="Times New Roman" w:cs="Times New Roman"/>
          <w:sz w:val="24"/>
          <w:szCs w:val="24"/>
        </w:rPr>
        <w:t>Sakorafas</w:t>
      </w:r>
      <w:proofErr w:type="spellEnd"/>
      <w:r w:rsidRPr="002D5606">
        <w:rPr>
          <w:rFonts w:ascii="Times New Roman" w:hAnsi="Times New Roman" w:cs="Times New Roman"/>
          <w:sz w:val="24"/>
          <w:szCs w:val="24"/>
        </w:rPr>
        <w:t xml:space="preserve"> GH, </w:t>
      </w:r>
      <w:proofErr w:type="spellStart"/>
      <w:r w:rsidRPr="002D5606">
        <w:rPr>
          <w:rFonts w:ascii="Times New Roman" w:hAnsi="Times New Roman" w:cs="Times New Roman"/>
          <w:sz w:val="24"/>
          <w:szCs w:val="24"/>
        </w:rPr>
        <w:t>Milingos</w:t>
      </w:r>
      <w:proofErr w:type="spellEnd"/>
      <w:r w:rsidRPr="002D5606">
        <w:rPr>
          <w:rFonts w:ascii="Times New Roman" w:hAnsi="Times New Roman" w:cs="Times New Roman"/>
          <w:sz w:val="24"/>
          <w:szCs w:val="24"/>
        </w:rPr>
        <w:t xml:space="preserve"> D, Peros G. Asymptomatic cholelithiasis: is cholecystectomy really needed? A critical reappraisal 15 years after the introduction of laparoscopic cholecystectomy. Digestive diseases and sciences. 2007 May;52(5):1313-25.</w:t>
      </w:r>
    </w:p>
    <w:p w14:paraId="33810FB1" w14:textId="77777777" w:rsidR="009F3129" w:rsidRPr="002D5606" w:rsidRDefault="00E54DC1" w:rsidP="00973613">
      <w:pPr>
        <w:numPr>
          <w:ilvl w:val="0"/>
          <w:numId w:val="4"/>
        </w:numPr>
        <w:autoSpaceDE w:val="0"/>
        <w:autoSpaceDN w:val="0"/>
        <w:adjustRightInd w:val="0"/>
        <w:jc w:val="both"/>
        <w:rPr>
          <w:rFonts w:ascii="Times New Roman" w:hAnsi="Times New Roman" w:cs="Times New Roman"/>
          <w:sz w:val="24"/>
          <w:szCs w:val="24"/>
        </w:rPr>
      </w:pPr>
      <w:r w:rsidRPr="002D5606">
        <w:rPr>
          <w:rFonts w:ascii="Times New Roman" w:hAnsi="Times New Roman" w:cs="Times New Roman"/>
          <w:sz w:val="24"/>
          <w:szCs w:val="24"/>
        </w:rPr>
        <w:t xml:space="preserve">Rashid F, Rashid N, Waraich N, Ahmed J, Iftikhar SY. Role of routine </w:t>
      </w:r>
      <w:proofErr w:type="spellStart"/>
      <w:r w:rsidRPr="002D5606">
        <w:rPr>
          <w:rFonts w:ascii="Times New Roman" w:hAnsi="Times New Roman" w:cs="Times New Roman"/>
          <w:sz w:val="24"/>
          <w:szCs w:val="24"/>
        </w:rPr>
        <w:t>oesophago</w:t>
      </w:r>
      <w:proofErr w:type="spellEnd"/>
      <w:r w:rsidRPr="002D5606">
        <w:rPr>
          <w:rFonts w:ascii="Times New Roman" w:hAnsi="Times New Roman" w:cs="Times New Roman"/>
          <w:sz w:val="24"/>
          <w:szCs w:val="24"/>
        </w:rPr>
        <w:t>-gastroduodenoscopy before cholecystectomy. International Journal of Surgery. 2010 Jan 1;8(3):236-8.</w:t>
      </w:r>
    </w:p>
    <w:p w14:paraId="7943CB6B" w14:textId="77777777" w:rsidR="009F3129" w:rsidRPr="002D5606" w:rsidRDefault="00E54DC1" w:rsidP="00973613">
      <w:pPr>
        <w:numPr>
          <w:ilvl w:val="0"/>
          <w:numId w:val="4"/>
        </w:numPr>
        <w:autoSpaceDE w:val="0"/>
        <w:autoSpaceDN w:val="0"/>
        <w:adjustRightInd w:val="0"/>
        <w:jc w:val="both"/>
        <w:rPr>
          <w:rFonts w:ascii="Times New Roman" w:hAnsi="Times New Roman" w:cs="Times New Roman"/>
          <w:sz w:val="24"/>
          <w:szCs w:val="24"/>
        </w:rPr>
      </w:pPr>
      <w:proofErr w:type="spellStart"/>
      <w:r w:rsidRPr="002D5606">
        <w:rPr>
          <w:rFonts w:ascii="Times New Roman" w:hAnsi="Times New Roman" w:cs="Times New Roman"/>
          <w:sz w:val="24"/>
          <w:szCs w:val="24"/>
        </w:rPr>
        <w:t>Mozafar</w:t>
      </w:r>
      <w:proofErr w:type="spellEnd"/>
      <w:r w:rsidRPr="002D5606">
        <w:rPr>
          <w:rFonts w:ascii="Times New Roman" w:hAnsi="Times New Roman" w:cs="Times New Roman"/>
          <w:sz w:val="24"/>
          <w:szCs w:val="24"/>
        </w:rPr>
        <w:t xml:space="preserve"> M, </w:t>
      </w:r>
      <w:proofErr w:type="spellStart"/>
      <w:r w:rsidRPr="002D5606">
        <w:rPr>
          <w:rFonts w:ascii="Times New Roman" w:hAnsi="Times New Roman" w:cs="Times New Roman"/>
          <w:sz w:val="24"/>
          <w:szCs w:val="24"/>
        </w:rPr>
        <w:t>reza</w:t>
      </w:r>
      <w:proofErr w:type="spellEnd"/>
      <w:r w:rsidRPr="002D5606">
        <w:rPr>
          <w:rFonts w:ascii="Times New Roman" w:hAnsi="Times New Roman" w:cs="Times New Roman"/>
          <w:sz w:val="24"/>
          <w:szCs w:val="24"/>
        </w:rPr>
        <w:t xml:space="preserve"> </w:t>
      </w:r>
      <w:proofErr w:type="spellStart"/>
      <w:r w:rsidRPr="002D5606">
        <w:rPr>
          <w:rFonts w:ascii="Times New Roman" w:hAnsi="Times New Roman" w:cs="Times New Roman"/>
          <w:sz w:val="24"/>
          <w:szCs w:val="24"/>
        </w:rPr>
        <w:t>Sobhiyeh</w:t>
      </w:r>
      <w:proofErr w:type="spellEnd"/>
      <w:r w:rsidRPr="002D5606">
        <w:rPr>
          <w:rFonts w:ascii="Times New Roman" w:hAnsi="Times New Roman" w:cs="Times New Roman"/>
          <w:sz w:val="24"/>
          <w:szCs w:val="24"/>
        </w:rPr>
        <w:t xml:space="preserve"> M, </w:t>
      </w:r>
      <w:proofErr w:type="spellStart"/>
      <w:r w:rsidRPr="002D5606">
        <w:rPr>
          <w:rFonts w:ascii="Times New Roman" w:hAnsi="Times New Roman" w:cs="Times New Roman"/>
          <w:sz w:val="24"/>
          <w:szCs w:val="24"/>
        </w:rPr>
        <w:t>Heibatollahi</w:t>
      </w:r>
      <w:proofErr w:type="spellEnd"/>
      <w:r w:rsidRPr="002D5606">
        <w:rPr>
          <w:rFonts w:ascii="Times New Roman" w:hAnsi="Times New Roman" w:cs="Times New Roman"/>
          <w:sz w:val="24"/>
          <w:szCs w:val="24"/>
        </w:rPr>
        <w:t xml:space="preserve"> M. Is esophagogastroduodenoscopy essential prior to the elective surgical therapy of symptomatic </w:t>
      </w:r>
      <w:proofErr w:type="spellStart"/>
      <w:proofErr w:type="gramStart"/>
      <w:r w:rsidRPr="002D5606">
        <w:rPr>
          <w:rFonts w:ascii="Times New Roman" w:hAnsi="Times New Roman" w:cs="Times New Roman"/>
          <w:sz w:val="24"/>
          <w:szCs w:val="24"/>
        </w:rPr>
        <w:t>cholelithaisis</w:t>
      </w:r>
      <w:proofErr w:type="spellEnd"/>
      <w:r w:rsidRPr="002D5606">
        <w:rPr>
          <w:rFonts w:ascii="Times New Roman" w:hAnsi="Times New Roman" w:cs="Times New Roman"/>
          <w:sz w:val="24"/>
          <w:szCs w:val="24"/>
        </w:rPr>
        <w:t>?.</w:t>
      </w:r>
      <w:proofErr w:type="gramEnd"/>
      <w:r w:rsidRPr="002D5606">
        <w:rPr>
          <w:rFonts w:ascii="Times New Roman" w:hAnsi="Times New Roman" w:cs="Times New Roman"/>
          <w:sz w:val="24"/>
          <w:szCs w:val="24"/>
        </w:rPr>
        <w:t xml:space="preserve"> Gastroenterology and Hepatology </w:t>
      </w:r>
      <w:proofErr w:type="gramStart"/>
      <w:r w:rsidRPr="002D5606">
        <w:rPr>
          <w:rFonts w:ascii="Times New Roman" w:hAnsi="Times New Roman" w:cs="Times New Roman"/>
          <w:sz w:val="24"/>
          <w:szCs w:val="24"/>
        </w:rPr>
        <w:t>From</w:t>
      </w:r>
      <w:proofErr w:type="gramEnd"/>
      <w:r w:rsidRPr="002D5606">
        <w:rPr>
          <w:rFonts w:ascii="Times New Roman" w:hAnsi="Times New Roman" w:cs="Times New Roman"/>
          <w:sz w:val="24"/>
          <w:szCs w:val="24"/>
        </w:rPr>
        <w:t xml:space="preserve"> Bed to Bench. 2010 Mar 15;3(2).</w:t>
      </w:r>
    </w:p>
    <w:p w14:paraId="38DFCB12" w14:textId="77777777" w:rsidR="009F3129" w:rsidRPr="002D5606" w:rsidRDefault="00E54DC1" w:rsidP="00973613">
      <w:pPr>
        <w:numPr>
          <w:ilvl w:val="0"/>
          <w:numId w:val="4"/>
        </w:numPr>
        <w:autoSpaceDE w:val="0"/>
        <w:autoSpaceDN w:val="0"/>
        <w:adjustRightInd w:val="0"/>
        <w:jc w:val="both"/>
        <w:rPr>
          <w:rFonts w:ascii="Times New Roman" w:hAnsi="Times New Roman" w:cs="Times New Roman"/>
          <w:sz w:val="24"/>
          <w:szCs w:val="24"/>
        </w:rPr>
      </w:pPr>
      <w:r w:rsidRPr="002D5606">
        <w:rPr>
          <w:rFonts w:ascii="Times New Roman" w:hAnsi="Times New Roman" w:cs="Times New Roman"/>
          <w:sz w:val="24"/>
          <w:szCs w:val="24"/>
        </w:rPr>
        <w:t xml:space="preserve">Lamberts MP, Kievit W, </w:t>
      </w:r>
      <w:proofErr w:type="spellStart"/>
      <w:r w:rsidRPr="002D5606">
        <w:rPr>
          <w:rFonts w:ascii="Times New Roman" w:hAnsi="Times New Roman" w:cs="Times New Roman"/>
          <w:sz w:val="24"/>
          <w:szCs w:val="24"/>
        </w:rPr>
        <w:t>Özdemir</w:t>
      </w:r>
      <w:proofErr w:type="spellEnd"/>
      <w:r w:rsidRPr="002D5606">
        <w:rPr>
          <w:rFonts w:ascii="Times New Roman" w:hAnsi="Times New Roman" w:cs="Times New Roman"/>
          <w:sz w:val="24"/>
          <w:szCs w:val="24"/>
        </w:rPr>
        <w:t xml:space="preserve"> C, </w:t>
      </w:r>
      <w:proofErr w:type="spellStart"/>
      <w:r w:rsidRPr="002D5606">
        <w:rPr>
          <w:rFonts w:ascii="Times New Roman" w:hAnsi="Times New Roman" w:cs="Times New Roman"/>
          <w:sz w:val="24"/>
          <w:szCs w:val="24"/>
        </w:rPr>
        <w:t>Westert</w:t>
      </w:r>
      <w:proofErr w:type="spellEnd"/>
      <w:r w:rsidRPr="002D5606">
        <w:rPr>
          <w:rFonts w:ascii="Times New Roman" w:hAnsi="Times New Roman" w:cs="Times New Roman"/>
          <w:sz w:val="24"/>
          <w:szCs w:val="24"/>
        </w:rPr>
        <w:t xml:space="preserve"> GP, van </w:t>
      </w:r>
      <w:proofErr w:type="spellStart"/>
      <w:r w:rsidRPr="002D5606">
        <w:rPr>
          <w:rFonts w:ascii="Times New Roman" w:hAnsi="Times New Roman" w:cs="Times New Roman"/>
          <w:sz w:val="24"/>
          <w:szCs w:val="24"/>
        </w:rPr>
        <w:t>Laarhoven</w:t>
      </w:r>
      <w:proofErr w:type="spellEnd"/>
      <w:r w:rsidRPr="002D5606">
        <w:rPr>
          <w:rFonts w:ascii="Times New Roman" w:hAnsi="Times New Roman" w:cs="Times New Roman"/>
          <w:sz w:val="24"/>
          <w:szCs w:val="24"/>
        </w:rPr>
        <w:t xml:space="preserve"> CJ, Drenth JP. Value of EGD in patients referred for cholecystectomy: a systematic review and meta-analysis. Gastrointestinal endoscopy. 2015 Jul 1;82(1):24-31.</w:t>
      </w:r>
    </w:p>
    <w:p w14:paraId="7C7E4D79" w14:textId="77777777" w:rsidR="009F3129" w:rsidRPr="002D5606" w:rsidRDefault="00E54DC1" w:rsidP="00973613">
      <w:pPr>
        <w:numPr>
          <w:ilvl w:val="0"/>
          <w:numId w:val="4"/>
        </w:numPr>
        <w:autoSpaceDE w:val="0"/>
        <w:autoSpaceDN w:val="0"/>
        <w:adjustRightInd w:val="0"/>
        <w:jc w:val="both"/>
        <w:rPr>
          <w:rFonts w:ascii="Times New Roman" w:hAnsi="Times New Roman" w:cs="Times New Roman"/>
          <w:sz w:val="24"/>
          <w:szCs w:val="24"/>
        </w:rPr>
      </w:pPr>
      <w:r w:rsidRPr="002D5606">
        <w:rPr>
          <w:rFonts w:ascii="Times New Roman" w:hAnsi="Times New Roman" w:cs="Times New Roman"/>
          <w:sz w:val="24"/>
          <w:szCs w:val="24"/>
        </w:rPr>
        <w:t>Khedkar I, Prasad D, Datta A. Diagnostic value of upper gastrointestinal endoscopy prior to elective laparoscopic cholecystectomy for symptomatic cholelithiasis. International Surgery Journal. 2017 Dec 26;5(1):105-9.</w:t>
      </w:r>
    </w:p>
    <w:p w14:paraId="146F164B" w14:textId="77777777" w:rsidR="009F3129" w:rsidRPr="002D5606" w:rsidRDefault="00E54DC1" w:rsidP="00973613">
      <w:pPr>
        <w:numPr>
          <w:ilvl w:val="0"/>
          <w:numId w:val="4"/>
        </w:numPr>
        <w:autoSpaceDE w:val="0"/>
        <w:autoSpaceDN w:val="0"/>
        <w:adjustRightInd w:val="0"/>
        <w:jc w:val="both"/>
        <w:rPr>
          <w:rFonts w:ascii="Times New Roman" w:hAnsi="Times New Roman" w:cs="Times New Roman"/>
          <w:sz w:val="24"/>
          <w:szCs w:val="24"/>
        </w:rPr>
      </w:pPr>
      <w:r w:rsidRPr="002D5606">
        <w:rPr>
          <w:rFonts w:ascii="Times New Roman" w:hAnsi="Times New Roman" w:cs="Times New Roman"/>
          <w:sz w:val="24"/>
          <w:szCs w:val="24"/>
        </w:rPr>
        <w:t>Gupta P, Gupta V, Singh SP, Singh SP, Mishra SP, Singh P, Kumar A, Prakash M, Gupta M, Singh M, Havele S. Role of routine upper gastro intestinal endoscopy in patients of cholelithiasis presenting with dyspepsia in rural set-up. International Surgery Journal. 2016 Dec 8;3(2):509-15.</w:t>
      </w:r>
    </w:p>
    <w:p w14:paraId="04B6EE20" w14:textId="77777777" w:rsidR="009F3129" w:rsidRPr="002D5606" w:rsidRDefault="00E54DC1" w:rsidP="00973613">
      <w:pPr>
        <w:numPr>
          <w:ilvl w:val="0"/>
          <w:numId w:val="4"/>
        </w:numPr>
        <w:autoSpaceDE w:val="0"/>
        <w:autoSpaceDN w:val="0"/>
        <w:adjustRightInd w:val="0"/>
        <w:jc w:val="both"/>
        <w:rPr>
          <w:rFonts w:ascii="Times New Roman" w:hAnsi="Times New Roman" w:cs="Times New Roman"/>
          <w:sz w:val="24"/>
          <w:szCs w:val="24"/>
        </w:rPr>
      </w:pPr>
      <w:r w:rsidRPr="002D5606">
        <w:rPr>
          <w:rFonts w:ascii="Times New Roman" w:hAnsi="Times New Roman" w:cs="Times New Roman"/>
          <w:sz w:val="24"/>
          <w:szCs w:val="24"/>
        </w:rPr>
        <w:lastRenderedPageBreak/>
        <w:t>Karmacharya A, Malla BR, Joshi HN, Gurung RB, Rajbhandari M. The predictive value of pre-operative symptoms including upper gastrointestinal endoscopy before laparoscopic cholecystectomy for elective symptomatic cholecystolithiasis. Kathmandu University Medical Journal. 2013;11(4):300-4.</w:t>
      </w:r>
    </w:p>
    <w:p w14:paraId="78DA01E9" w14:textId="77777777" w:rsidR="009F3129" w:rsidRPr="002D5606" w:rsidRDefault="00E54DC1" w:rsidP="00973613">
      <w:pPr>
        <w:numPr>
          <w:ilvl w:val="0"/>
          <w:numId w:val="4"/>
        </w:numPr>
        <w:autoSpaceDE w:val="0"/>
        <w:autoSpaceDN w:val="0"/>
        <w:adjustRightInd w:val="0"/>
        <w:jc w:val="both"/>
        <w:rPr>
          <w:rFonts w:ascii="Times New Roman" w:hAnsi="Times New Roman" w:cs="Times New Roman"/>
          <w:sz w:val="24"/>
          <w:szCs w:val="24"/>
        </w:rPr>
      </w:pPr>
      <w:r w:rsidRPr="002D5606">
        <w:rPr>
          <w:rFonts w:ascii="Times New Roman" w:hAnsi="Times New Roman" w:cs="Times New Roman"/>
          <w:sz w:val="24"/>
          <w:szCs w:val="24"/>
        </w:rPr>
        <w:t>Testerman TL, Morris J. Beyond the stomach: an updated view of Helicobacter pylori pathogenesis, diagnosis, and treatment. World journal of gastroenterology: WJG. 2014 Sep 28;20(36):12781.</w:t>
      </w:r>
    </w:p>
    <w:p w14:paraId="5E884200" w14:textId="77777777" w:rsidR="009F3129" w:rsidRPr="002D5606" w:rsidRDefault="00E54DC1" w:rsidP="00973613">
      <w:pPr>
        <w:numPr>
          <w:ilvl w:val="0"/>
          <w:numId w:val="4"/>
        </w:numPr>
        <w:autoSpaceDE w:val="0"/>
        <w:autoSpaceDN w:val="0"/>
        <w:adjustRightInd w:val="0"/>
        <w:jc w:val="both"/>
        <w:rPr>
          <w:rFonts w:ascii="Times New Roman" w:hAnsi="Times New Roman" w:cs="Times New Roman"/>
          <w:sz w:val="24"/>
          <w:szCs w:val="24"/>
        </w:rPr>
      </w:pPr>
      <w:r w:rsidRPr="002D5606">
        <w:rPr>
          <w:rFonts w:ascii="Times New Roman" w:hAnsi="Times New Roman" w:cs="Times New Roman"/>
          <w:sz w:val="24"/>
          <w:szCs w:val="24"/>
        </w:rPr>
        <w:t xml:space="preserve">Hassan EH, Gerges SS, Ahmed R, Mostafa ZM, Hassan A, ABD AL-HAMID HA, ABD EL-GALIL HE, Thabet S. Detection of Helicobacter antigen in stool samples and its relation to H. pylori positive cholecystitis in Egyptian patients with chronic </w:t>
      </w:r>
      <w:proofErr w:type="spellStart"/>
      <w:r w:rsidRPr="002D5606">
        <w:rPr>
          <w:rFonts w:ascii="Times New Roman" w:hAnsi="Times New Roman" w:cs="Times New Roman"/>
          <w:sz w:val="24"/>
          <w:szCs w:val="24"/>
        </w:rPr>
        <w:t>calcular</w:t>
      </w:r>
      <w:proofErr w:type="spellEnd"/>
      <w:r w:rsidRPr="002D5606">
        <w:rPr>
          <w:rFonts w:ascii="Times New Roman" w:hAnsi="Times New Roman" w:cs="Times New Roman"/>
          <w:sz w:val="24"/>
          <w:szCs w:val="24"/>
        </w:rPr>
        <w:t xml:space="preserve"> cholecystitis. Journal of the Egyptian Society of Parasitology. 2015 Dec 1;45(3):579-86.</w:t>
      </w:r>
    </w:p>
    <w:p w14:paraId="2C58EBAB" w14:textId="77777777" w:rsidR="009F3129" w:rsidRPr="002D5606" w:rsidRDefault="009F3129" w:rsidP="00973613">
      <w:pPr>
        <w:pStyle w:val="NormalWeb"/>
        <w:spacing w:beforeAutospacing="0" w:afterAutospacing="0"/>
        <w:jc w:val="both"/>
        <w:rPr>
          <w:rFonts w:cs="Times New Roman"/>
          <w:b/>
          <w:bCs/>
        </w:rPr>
      </w:pPr>
    </w:p>
    <w:p w14:paraId="6A55C7A6" w14:textId="77777777" w:rsidR="009F3129" w:rsidRPr="002D5606" w:rsidRDefault="009F3129" w:rsidP="002D5606">
      <w:pPr>
        <w:jc w:val="both"/>
        <w:rPr>
          <w:rFonts w:ascii="Times New Roman" w:hAnsi="Times New Roman" w:cs="Times New Roman"/>
          <w:sz w:val="24"/>
          <w:szCs w:val="24"/>
        </w:rPr>
      </w:pPr>
    </w:p>
    <w:sectPr w:rsidR="009F3129" w:rsidRPr="002D5606">
      <w:headerReference w:type="even" r:id="rId11"/>
      <w:headerReference w:type="default" r:id="rId12"/>
      <w:footerReference w:type="even" r:id="rId13"/>
      <w:footerReference w:type="default" r:id="rId14"/>
      <w:headerReference w:type="first" r:id="rId15"/>
      <w:footerReference w:type="first" r:id="rId16"/>
      <w:pgSz w:w="11906" w:h="16838"/>
      <w:pgMar w:top="1440" w:right="130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A95F2" w14:textId="77777777" w:rsidR="005771E8" w:rsidRDefault="005771E8" w:rsidP="00CD5A9A">
      <w:r>
        <w:separator/>
      </w:r>
    </w:p>
  </w:endnote>
  <w:endnote w:type="continuationSeparator" w:id="0">
    <w:p w14:paraId="521781F9" w14:textId="77777777" w:rsidR="005771E8" w:rsidRDefault="005771E8" w:rsidP="00CD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ED4F" w14:textId="77777777" w:rsidR="00CD5A9A" w:rsidRDefault="00CD5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97424" w14:textId="77777777" w:rsidR="00CD5A9A" w:rsidRDefault="00CD5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53A15" w14:textId="77777777" w:rsidR="00CD5A9A" w:rsidRDefault="00CD5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1B993" w14:textId="77777777" w:rsidR="005771E8" w:rsidRDefault="005771E8" w:rsidP="00CD5A9A">
      <w:r>
        <w:separator/>
      </w:r>
    </w:p>
  </w:footnote>
  <w:footnote w:type="continuationSeparator" w:id="0">
    <w:p w14:paraId="7335C62A" w14:textId="77777777" w:rsidR="005771E8" w:rsidRDefault="005771E8" w:rsidP="00CD5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30BA8" w14:textId="50D2467F" w:rsidR="00CD5A9A" w:rsidRDefault="00CD5A9A">
    <w:pPr>
      <w:pStyle w:val="Header"/>
    </w:pPr>
    <w:r>
      <w:rPr>
        <w:noProof/>
      </w:rPr>
      <w:pict w14:anchorId="49C62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804563" o:spid="_x0000_s2050" type="#_x0000_t136" style="position:absolute;margin-left:0;margin-top:0;width:522.35pt;height:97.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15002" w14:textId="2B9D924E" w:rsidR="00CD5A9A" w:rsidRDefault="00CD5A9A">
    <w:pPr>
      <w:pStyle w:val="Header"/>
    </w:pPr>
    <w:r>
      <w:rPr>
        <w:noProof/>
      </w:rPr>
      <w:pict w14:anchorId="76D6D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804564" o:spid="_x0000_s2051" type="#_x0000_t136" style="position:absolute;margin-left:0;margin-top:0;width:522.35pt;height:97.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55114" w14:textId="71B6443D" w:rsidR="00CD5A9A" w:rsidRDefault="00CD5A9A">
    <w:pPr>
      <w:pStyle w:val="Header"/>
    </w:pPr>
    <w:r>
      <w:rPr>
        <w:noProof/>
      </w:rPr>
      <w:pict w14:anchorId="5DF3E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804562" o:spid="_x0000_s2049" type="#_x0000_t136" style="position:absolute;margin-left:0;margin-top:0;width:522.35pt;height:97.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EC6A4A"/>
    <w:multiLevelType w:val="singleLevel"/>
    <w:tmpl w:val="FBEC6A4A"/>
    <w:lvl w:ilvl="0">
      <w:start w:val="1"/>
      <w:numFmt w:val="decimal"/>
      <w:lvlText w:val="%1."/>
      <w:lvlJc w:val="left"/>
      <w:pPr>
        <w:tabs>
          <w:tab w:val="left" w:pos="425"/>
        </w:tabs>
        <w:ind w:left="425" w:hanging="425"/>
      </w:pPr>
      <w:rPr>
        <w:rFonts w:hint="default"/>
      </w:rPr>
    </w:lvl>
  </w:abstractNum>
  <w:abstractNum w:abstractNumId="1" w15:restartNumberingAfterBreak="0">
    <w:nsid w:val="07630E9D"/>
    <w:multiLevelType w:val="multilevel"/>
    <w:tmpl w:val="07630E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C2D57B"/>
    <w:multiLevelType w:val="singleLevel"/>
    <w:tmpl w:val="25C2D57B"/>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7D49386B"/>
    <w:multiLevelType w:val="singleLevel"/>
    <w:tmpl w:val="7D49386B"/>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97E517B"/>
    <w:rsid w:val="0005516F"/>
    <w:rsid w:val="001A0456"/>
    <w:rsid w:val="001A17D2"/>
    <w:rsid w:val="001C611A"/>
    <w:rsid w:val="002A00AA"/>
    <w:rsid w:val="002C12B7"/>
    <w:rsid w:val="002D5606"/>
    <w:rsid w:val="0032242C"/>
    <w:rsid w:val="003D4E86"/>
    <w:rsid w:val="004F01A3"/>
    <w:rsid w:val="005328B5"/>
    <w:rsid w:val="005771E8"/>
    <w:rsid w:val="00671362"/>
    <w:rsid w:val="0067409E"/>
    <w:rsid w:val="00680203"/>
    <w:rsid w:val="006E3C79"/>
    <w:rsid w:val="007246FC"/>
    <w:rsid w:val="007A0391"/>
    <w:rsid w:val="007A5611"/>
    <w:rsid w:val="007C6ED7"/>
    <w:rsid w:val="007D4D3E"/>
    <w:rsid w:val="008F526F"/>
    <w:rsid w:val="00957045"/>
    <w:rsid w:val="00973613"/>
    <w:rsid w:val="009F3129"/>
    <w:rsid w:val="00A62ED6"/>
    <w:rsid w:val="00A70A10"/>
    <w:rsid w:val="00CC337E"/>
    <w:rsid w:val="00CC36B2"/>
    <w:rsid w:val="00CD5A9A"/>
    <w:rsid w:val="00DA7980"/>
    <w:rsid w:val="00DF6115"/>
    <w:rsid w:val="00E2763C"/>
    <w:rsid w:val="00E54DC1"/>
    <w:rsid w:val="00F45471"/>
    <w:rsid w:val="030A2C78"/>
    <w:rsid w:val="197E517B"/>
    <w:rsid w:val="5F2475B6"/>
    <w:rsid w:val="62A162D8"/>
    <w:rsid w:val="65D13338"/>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58D30A"/>
  <w15:docId w15:val="{0E05CB07-B746-4162-AF89-3DDB0068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mr-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bidi="ar-SA"/>
    </w:rPr>
  </w:style>
  <w:style w:type="paragraph" w:styleId="Heading2">
    <w:name w:val="heading 2"/>
    <w:next w:val="Normal"/>
    <w:link w:val="Heading2Char"/>
    <w:semiHidden/>
    <w:unhideWhenUsed/>
    <w:qFormat/>
    <w:pPr>
      <w:spacing w:beforeAutospacing="1" w:afterAutospacing="1"/>
      <w:outlineLvl w:val="1"/>
    </w:pPr>
    <w:rPr>
      <w:rFonts w:ascii="SimSun" w:hAnsi="SimSun" w:cs="Mangal"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cs="Mangal"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uiPriority w:val="99"/>
    <w:unhideWhenUsed/>
    <w:qFormat/>
    <w:pPr>
      <w:tabs>
        <w:tab w:val="center" w:pos="4680"/>
        <w:tab w:val="right" w:pos="9360"/>
      </w:tabs>
    </w:pPr>
  </w:style>
  <w:style w:type="paragraph" w:styleId="Header">
    <w:name w:val="header"/>
    <w:basedOn w:val="Normal"/>
    <w:uiPriority w:val="99"/>
    <w:unhideWhenUsed/>
    <w:qFormat/>
    <w:pPr>
      <w:tabs>
        <w:tab w:val="center" w:pos="4680"/>
        <w:tab w:val="right" w:pos="9360"/>
      </w:tabs>
    </w:pPr>
  </w:style>
  <w:style w:type="paragraph" w:styleId="NormalWeb">
    <w:name w:val="Normal (Web)"/>
    <w:pPr>
      <w:spacing w:beforeAutospacing="1" w:afterAutospacing="1"/>
    </w:pPr>
    <w:rPr>
      <w:rFonts w:cs="Mangal"/>
      <w:sz w:val="24"/>
      <w:szCs w:val="24"/>
      <w:lang w:eastAsia="zh-CN"/>
    </w:rPr>
  </w:style>
  <w:style w:type="character" w:styleId="Strong">
    <w:name w:val="Strong"/>
    <w:basedOn w:val="DefaultParagraphFont"/>
    <w:qFormat/>
    <w:rPr>
      <w:b/>
      <w:bCs/>
    </w:rPr>
  </w:style>
  <w:style w:type="paragraph" w:styleId="ListParagraph">
    <w:name w:val="List Paragraph"/>
    <w:basedOn w:val="Normal"/>
    <w:uiPriority w:val="99"/>
    <w:qFormat/>
    <w:pPr>
      <w:ind w:left="720"/>
      <w:contextualSpacing/>
    </w:pPr>
  </w:style>
  <w:style w:type="paragraph" w:styleId="BalloonText">
    <w:name w:val="Balloon Text"/>
    <w:basedOn w:val="Normal"/>
    <w:link w:val="BalloonTextChar"/>
    <w:rsid w:val="00E54DC1"/>
    <w:rPr>
      <w:rFonts w:ascii="Tahoma" w:hAnsi="Tahoma" w:cs="Tahoma"/>
      <w:sz w:val="16"/>
      <w:szCs w:val="16"/>
    </w:rPr>
  </w:style>
  <w:style w:type="character" w:customStyle="1" w:styleId="BalloonTextChar">
    <w:name w:val="Balloon Text Char"/>
    <w:basedOn w:val="DefaultParagraphFont"/>
    <w:link w:val="BalloonText"/>
    <w:rsid w:val="00E54DC1"/>
    <w:rPr>
      <w:rFonts w:ascii="Tahoma" w:eastAsiaTheme="minorEastAsia" w:hAnsi="Tahoma" w:cs="Tahoma"/>
      <w:sz w:val="16"/>
      <w:szCs w:val="16"/>
      <w:lang w:eastAsia="zh-CN" w:bidi="ar-SA"/>
    </w:rPr>
  </w:style>
  <w:style w:type="table" w:styleId="TableGrid">
    <w:name w:val="Table Grid"/>
    <w:basedOn w:val="TableNormal"/>
    <w:rsid w:val="00F45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7409E"/>
    <w:rPr>
      <w:color w:val="0563C1" w:themeColor="hyperlink"/>
      <w:u w:val="single"/>
    </w:rPr>
  </w:style>
  <w:style w:type="character" w:styleId="UnresolvedMention">
    <w:name w:val="Unresolved Mention"/>
    <w:basedOn w:val="DefaultParagraphFont"/>
    <w:uiPriority w:val="99"/>
    <w:semiHidden/>
    <w:unhideWhenUsed/>
    <w:rsid w:val="0067409E"/>
    <w:rPr>
      <w:color w:val="605E5C"/>
      <w:shd w:val="clear" w:color="auto" w:fill="E1DFDD"/>
    </w:rPr>
  </w:style>
  <w:style w:type="character" w:customStyle="1" w:styleId="Heading2Char">
    <w:name w:val="Heading 2 Char"/>
    <w:basedOn w:val="DefaultParagraphFont"/>
    <w:link w:val="Heading2"/>
    <w:semiHidden/>
    <w:rsid w:val="0005516F"/>
    <w:rPr>
      <w:rFonts w:ascii="SimSun" w:hAnsi="SimSun" w:cs="Mangal"/>
      <w:b/>
      <w:bCs/>
      <w:sz w:val="36"/>
      <w:szCs w:val="3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13</Pages>
  <Words>3517</Words>
  <Characters>20052</Characters>
  <Application>Microsoft Office Word</Application>
  <DocSecurity>0</DocSecurity>
  <Lines>167</Lines>
  <Paragraphs>47</Paragraphs>
  <ScaleCrop>false</ScaleCrop>
  <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Jamil</dc:creator>
  <cp:lastModifiedBy>SDI 1166</cp:lastModifiedBy>
  <cp:revision>36</cp:revision>
  <dcterms:created xsi:type="dcterms:W3CDTF">2026-02-13T09:41:00Z</dcterms:created>
  <dcterms:modified xsi:type="dcterms:W3CDTF">2026-03-26T12:49:00Z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CD96A82CCEB34DD5AA4AA34FFFC68BD2_13</vt:lpwstr>
  </property>
</Properties>
</file>