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7D5A8" w14:textId="77777777" w:rsidR="00A61AAE" w:rsidRPr="00DA5BC0" w:rsidRDefault="00507843">
      <w:pPr>
        <w:rPr>
          <w:b/>
          <w:bCs/>
          <w:sz w:val="22"/>
        </w:rPr>
      </w:pPr>
      <w:r w:rsidRPr="00DA5BC0">
        <w:rPr>
          <w:b/>
          <w:bCs/>
          <w:sz w:val="22"/>
        </w:rPr>
        <w:t xml:space="preserve">L-Methionine Improves Sperm DNA Integrity </w:t>
      </w:r>
      <w:proofErr w:type="gramStart"/>
      <w:r w:rsidRPr="00DA5BC0">
        <w:rPr>
          <w:b/>
          <w:bCs/>
          <w:sz w:val="22"/>
        </w:rPr>
        <w:t>And</w:t>
      </w:r>
      <w:proofErr w:type="gramEnd"/>
      <w:r w:rsidRPr="00DA5BC0">
        <w:rPr>
          <w:b/>
          <w:bCs/>
          <w:sz w:val="22"/>
        </w:rPr>
        <w:t xml:space="preserve"> Functional Semen Quality In Infertile Men: A Randomized Controlled Study</w:t>
      </w:r>
    </w:p>
    <w:p w14:paraId="721C4B52" w14:textId="77777777" w:rsidR="00A61AAE" w:rsidRDefault="00A61AAE">
      <w:pPr>
        <w:rPr>
          <w:sz w:val="22"/>
        </w:rPr>
      </w:pPr>
    </w:p>
    <w:p w14:paraId="6A137282" w14:textId="77777777" w:rsidR="00DA5BC0" w:rsidRDefault="00DA5BC0">
      <w:pPr>
        <w:rPr>
          <w:sz w:val="22"/>
        </w:rPr>
      </w:pPr>
    </w:p>
    <w:p w14:paraId="599C9F4D" w14:textId="77777777" w:rsidR="00A61AAE" w:rsidRDefault="00A61AAE">
      <w:pPr>
        <w:rPr>
          <w:sz w:val="22"/>
        </w:rPr>
      </w:pPr>
    </w:p>
    <w:p w14:paraId="6898398B" w14:textId="77777777" w:rsidR="00A61AAE" w:rsidRDefault="00507843">
      <w:pPr>
        <w:rPr>
          <w:sz w:val="22"/>
        </w:rPr>
      </w:pPr>
      <w:r>
        <w:rPr>
          <w:sz w:val="22"/>
        </w:rPr>
        <w:t>Abstract</w:t>
      </w:r>
    </w:p>
    <w:p w14:paraId="32E46AE7" w14:textId="77777777" w:rsidR="00A61AAE" w:rsidRDefault="00507843">
      <w:pPr>
        <w:rPr>
          <w:sz w:val="22"/>
        </w:rPr>
      </w:pPr>
      <w:r>
        <w:rPr>
          <w:sz w:val="22"/>
        </w:rPr>
        <w:t>Background:</w:t>
      </w:r>
    </w:p>
    <w:p w14:paraId="7FE5FED9" w14:textId="77777777" w:rsidR="00A61AAE" w:rsidRDefault="00507843">
      <w:pPr>
        <w:rPr>
          <w:sz w:val="22"/>
        </w:rPr>
      </w:pPr>
      <w:r>
        <w:rPr>
          <w:sz w:val="22"/>
        </w:rPr>
        <w:t>Sperm DNA fragmentation index is considered</w:t>
      </w:r>
      <w:r>
        <w:rPr>
          <w:sz w:val="22"/>
        </w:rPr>
        <w:t xml:space="preserve"> an important marker of male reproductive potential. Increased DNA fragmentation is associated with impaired semen quality and poor reproductive outcomes. However, effective targeted therapies to improve sperm DNA integrity remain limited.</w:t>
      </w:r>
    </w:p>
    <w:p w14:paraId="356ED05B" w14:textId="77777777" w:rsidR="00A61AAE" w:rsidRDefault="00A61AAE">
      <w:pPr>
        <w:rPr>
          <w:sz w:val="22"/>
        </w:rPr>
      </w:pPr>
    </w:p>
    <w:p w14:paraId="773C00E8" w14:textId="77777777" w:rsidR="00A61AAE" w:rsidRDefault="00507843">
      <w:pPr>
        <w:rPr>
          <w:sz w:val="22"/>
        </w:rPr>
      </w:pPr>
      <w:r>
        <w:rPr>
          <w:sz w:val="22"/>
        </w:rPr>
        <w:t xml:space="preserve">Aims: </w:t>
      </w:r>
    </w:p>
    <w:p w14:paraId="53FBB9EB" w14:textId="77777777" w:rsidR="00A61AAE" w:rsidRDefault="00507843">
      <w:pPr>
        <w:rPr>
          <w:sz w:val="22"/>
        </w:rPr>
      </w:pPr>
      <w:r>
        <w:rPr>
          <w:sz w:val="22"/>
        </w:rPr>
        <w:t>To evalu</w:t>
      </w:r>
      <w:r>
        <w:rPr>
          <w:sz w:val="22"/>
        </w:rPr>
        <w:t>ate the effect of L-methionine supplementation on sperm DNA fragmentation and conventional semen parameters in infertile men with elevated sperm DNA fragmentation.</w:t>
      </w:r>
    </w:p>
    <w:p w14:paraId="7B184D1A" w14:textId="77777777" w:rsidR="00A61AAE" w:rsidRDefault="00A61AAE">
      <w:pPr>
        <w:rPr>
          <w:sz w:val="22"/>
        </w:rPr>
      </w:pPr>
    </w:p>
    <w:p w14:paraId="6E52CB63" w14:textId="77777777" w:rsidR="00A61AAE" w:rsidRDefault="00507843">
      <w:pPr>
        <w:rPr>
          <w:sz w:val="22"/>
        </w:rPr>
      </w:pPr>
      <w:r>
        <w:rPr>
          <w:sz w:val="22"/>
        </w:rPr>
        <w:t xml:space="preserve">Materials and Methods: </w:t>
      </w:r>
    </w:p>
    <w:p w14:paraId="7951995C" w14:textId="77777777" w:rsidR="00A61AAE" w:rsidRDefault="00507843">
      <w:pPr>
        <w:rPr>
          <w:sz w:val="22"/>
        </w:rPr>
      </w:pPr>
      <w:r>
        <w:rPr>
          <w:sz w:val="22"/>
        </w:rPr>
        <w:t>This prospective randomized double-blind placebo-controlled trial w</w:t>
      </w:r>
      <w:r>
        <w:rPr>
          <w:sz w:val="22"/>
        </w:rPr>
        <w:t xml:space="preserve">as conducted between May 2024 and May 2025 at the infertility clinic of Diwaniyah teaching hospital   in Iraq. A total of 40 infertile men with elevated sperm DNA fragmentation were randomly assigned in a 1:1 ratio to receive either oral L-methionine (500 </w:t>
      </w:r>
      <w:r>
        <w:rPr>
          <w:sz w:val="22"/>
        </w:rPr>
        <w:t>milligrams twice daily) or matching placebo for 12 weeks (20 participants in each group). In addition, 20 fertile men were included as a reference control group. Conventional semen parameters and sperm DNA fragmentation were assessed before and after inter</w:t>
      </w:r>
      <w:r>
        <w:rPr>
          <w:sz w:val="22"/>
        </w:rPr>
        <w:t xml:space="preserve">vention using terminal deoxynucleotidyl transferase-mediated </w:t>
      </w:r>
      <w:proofErr w:type="spellStart"/>
      <w:r>
        <w:rPr>
          <w:sz w:val="22"/>
        </w:rPr>
        <w:t>deoxyuridine</w:t>
      </w:r>
      <w:proofErr w:type="spellEnd"/>
      <w:r>
        <w:rPr>
          <w:sz w:val="22"/>
        </w:rPr>
        <w:t xml:space="preserve"> triphosphate nick end labeling assay.</w:t>
      </w:r>
    </w:p>
    <w:p w14:paraId="4A755D20" w14:textId="77777777" w:rsidR="00A61AAE" w:rsidRDefault="00A61AAE">
      <w:pPr>
        <w:rPr>
          <w:sz w:val="22"/>
        </w:rPr>
      </w:pPr>
    </w:p>
    <w:p w14:paraId="13827476" w14:textId="77777777" w:rsidR="00A61AAE" w:rsidRDefault="00507843">
      <w:pPr>
        <w:rPr>
          <w:sz w:val="22"/>
        </w:rPr>
      </w:pPr>
      <w:r>
        <w:rPr>
          <w:sz w:val="22"/>
        </w:rPr>
        <w:t>Results: L-methionine supplementation resulted in significant improvement in progressive motility, sperm morphology, and sperm viability, along</w:t>
      </w:r>
      <w:r>
        <w:rPr>
          <w:sz w:val="22"/>
        </w:rPr>
        <w:t xml:space="preserve"> with a significant reduction in sperm DNA fragmentation compared with placebo. No significant change was observed in sperm concentration. Between-group comparisons showed greater improvement in semen parameters and DNA integrity in the L-methionine group.</w:t>
      </w:r>
      <w:r>
        <w:rPr>
          <w:sz w:val="22"/>
        </w:rPr>
        <w:t xml:space="preserve"> Correlation analysis showed an inverse relationship between reduction in DNA fragmentation and improvement in progressive motility.</w:t>
      </w:r>
    </w:p>
    <w:p w14:paraId="0EBA928F" w14:textId="77777777" w:rsidR="00A61AAE" w:rsidRDefault="00A61AAE">
      <w:pPr>
        <w:rPr>
          <w:sz w:val="22"/>
        </w:rPr>
      </w:pPr>
    </w:p>
    <w:p w14:paraId="26953A90" w14:textId="77777777" w:rsidR="00A61AAE" w:rsidRDefault="00507843">
      <w:pPr>
        <w:rPr>
          <w:sz w:val="22"/>
        </w:rPr>
      </w:pPr>
      <w:r>
        <w:rPr>
          <w:sz w:val="22"/>
        </w:rPr>
        <w:t>Conclusions: L-methionine supplementation was associated with improvement in sperm DNA integrity and semen quality in infe</w:t>
      </w:r>
      <w:r>
        <w:rPr>
          <w:sz w:val="22"/>
        </w:rPr>
        <w:t>rtile men with elevated DNA fragmentation. These findings suggest a potential role for L-methionine in the management of male infertility associated with increased sperm DNA damage.</w:t>
      </w:r>
    </w:p>
    <w:p w14:paraId="45F46C25" w14:textId="77777777" w:rsidR="00A61AAE" w:rsidRDefault="00A61AAE">
      <w:pPr>
        <w:rPr>
          <w:sz w:val="22"/>
        </w:rPr>
      </w:pPr>
    </w:p>
    <w:p w14:paraId="4CE5AC5F" w14:textId="77777777" w:rsidR="00A61AAE" w:rsidRDefault="00507843">
      <w:pPr>
        <w:rPr>
          <w:sz w:val="22"/>
        </w:rPr>
      </w:pPr>
      <w:r>
        <w:rPr>
          <w:sz w:val="22"/>
        </w:rPr>
        <w:t>Keywords:</w:t>
      </w:r>
    </w:p>
    <w:p w14:paraId="221285B1" w14:textId="77777777" w:rsidR="00A61AAE" w:rsidRDefault="00507843">
      <w:pPr>
        <w:rPr>
          <w:sz w:val="22"/>
        </w:rPr>
      </w:pPr>
      <w:r>
        <w:rPr>
          <w:sz w:val="22"/>
        </w:rPr>
        <w:t>Male Infertility; DNA Fragmentation Index; Sperm Motility; Epig</w:t>
      </w:r>
      <w:r>
        <w:rPr>
          <w:sz w:val="22"/>
        </w:rPr>
        <w:t>enetic Regulation; Methylation Pathways</w:t>
      </w:r>
    </w:p>
    <w:p w14:paraId="3B9F8E39" w14:textId="77777777" w:rsidR="00A61AAE" w:rsidRDefault="00A61AAE">
      <w:pPr>
        <w:rPr>
          <w:sz w:val="22"/>
        </w:rPr>
      </w:pPr>
    </w:p>
    <w:p w14:paraId="73200003" w14:textId="77777777" w:rsidR="00A61AAE" w:rsidRDefault="00507843">
      <w:pPr>
        <w:rPr>
          <w:sz w:val="22"/>
        </w:rPr>
      </w:pPr>
      <w:r>
        <w:rPr>
          <w:sz w:val="22"/>
        </w:rPr>
        <w:t>Introduction</w:t>
      </w:r>
    </w:p>
    <w:p w14:paraId="2DAD7518" w14:textId="77777777" w:rsidR="00A61AAE" w:rsidRDefault="00A61AAE">
      <w:pPr>
        <w:rPr>
          <w:sz w:val="22"/>
        </w:rPr>
      </w:pPr>
    </w:p>
    <w:p w14:paraId="7271D2E3" w14:textId="77777777" w:rsidR="00A61AAE" w:rsidRDefault="00507843">
      <w:pPr>
        <w:rPr>
          <w:sz w:val="22"/>
        </w:rPr>
      </w:pPr>
      <w:r>
        <w:rPr>
          <w:sz w:val="22"/>
        </w:rPr>
        <w:t xml:space="preserve">Infertility is defined as the inability to achieve pregnancy after 12 months of regular unprotected sexual intercourse and affects approximately 15% of couples worldwide. Male-related factors </w:t>
      </w:r>
      <w:r>
        <w:rPr>
          <w:sz w:val="22"/>
        </w:rPr>
        <w:t>contribute to nearly 40–50% of cases, either as a primary or contributory cause [1,2]. Despite advances in reproductive medicine, male infertility remains a complex and often poorly understood condition. Conventional semen analysis, including sperm concent</w:t>
      </w:r>
      <w:r>
        <w:rPr>
          <w:sz w:val="22"/>
        </w:rPr>
        <w:t xml:space="preserve">ration, motility, and morphology, has traditionally been the cornerstone of male fertility evaluation. However, up to 30% of infertile men may present with normal semen parameters, highlighting the limitations of standard diagnostic tools and the need for </w:t>
      </w:r>
      <w:r>
        <w:rPr>
          <w:sz w:val="22"/>
        </w:rPr>
        <w:t>more sensitive biomarkers of sperm function [3].</w:t>
      </w:r>
    </w:p>
    <w:p w14:paraId="13B43F03" w14:textId="77777777" w:rsidR="00A61AAE" w:rsidRDefault="00A61AAE">
      <w:pPr>
        <w:rPr>
          <w:sz w:val="22"/>
        </w:rPr>
      </w:pPr>
    </w:p>
    <w:p w14:paraId="04E202FA" w14:textId="77777777" w:rsidR="00A61AAE" w:rsidRDefault="00507843">
      <w:pPr>
        <w:rPr>
          <w:sz w:val="22"/>
        </w:rPr>
      </w:pPr>
      <w:r>
        <w:rPr>
          <w:sz w:val="22"/>
        </w:rPr>
        <w:t>In recent years, sperm DNA fragmentation (DFI) has emerged as a critical determinant of male reproductive potential. It reflects the presence of single- or double-strand DNA breaks and is influenced by mult</w:t>
      </w:r>
      <w:r>
        <w:rPr>
          <w:sz w:val="22"/>
        </w:rPr>
        <w:t>iple environmental and biological factors, including thermal stress, radiation exposure, infections, and various clinical conditions. At the cellular level, DNA damage is frequently attributed to oxidative stress, defective chromatin remodeling, abortive a</w:t>
      </w:r>
      <w:r>
        <w:rPr>
          <w:sz w:val="22"/>
        </w:rPr>
        <w:t>poptosis, and impaired DNA repair mechanisms during spermatogenesis [4].</w:t>
      </w:r>
    </w:p>
    <w:p w14:paraId="6D98DCBA" w14:textId="77777777" w:rsidR="00A61AAE" w:rsidRDefault="00A61AAE">
      <w:pPr>
        <w:rPr>
          <w:sz w:val="22"/>
        </w:rPr>
      </w:pPr>
    </w:p>
    <w:p w14:paraId="1C58B658" w14:textId="77777777" w:rsidR="00A61AAE" w:rsidRDefault="00507843">
      <w:pPr>
        <w:rPr>
          <w:sz w:val="22"/>
        </w:rPr>
      </w:pPr>
      <w:r>
        <w:rPr>
          <w:sz w:val="22"/>
        </w:rPr>
        <w:t>Elevated DFI levels have been consistently associated with adverse reproductive outcomes, including reduced fertilization rates, poor embryo development, and increased risk of miscar</w:t>
      </w:r>
      <w:r>
        <w:rPr>
          <w:sz w:val="22"/>
        </w:rPr>
        <w:t>riage [5]. Meta-analyses have shown that men with high DFI have significantly lower pregnancy rates compared with those with intact sperm DNA [6]. These findings highlight the clinical importance of targeting sperm DNA integrity in the management of male i</w:t>
      </w:r>
      <w:r>
        <w:rPr>
          <w:sz w:val="22"/>
        </w:rPr>
        <w:t>nfertility.</w:t>
      </w:r>
    </w:p>
    <w:p w14:paraId="125821AB" w14:textId="77777777" w:rsidR="00A61AAE" w:rsidRDefault="00A61AAE">
      <w:pPr>
        <w:rPr>
          <w:sz w:val="22"/>
        </w:rPr>
      </w:pPr>
    </w:p>
    <w:p w14:paraId="5A104C79" w14:textId="77777777" w:rsidR="00A61AAE" w:rsidRDefault="00507843">
      <w:pPr>
        <w:rPr>
          <w:sz w:val="22"/>
        </w:rPr>
      </w:pPr>
      <w:r>
        <w:rPr>
          <w:sz w:val="22"/>
        </w:rPr>
        <w:t>Oxidative stress is considered a major contributor to sperm DNA damage. Although antioxidant therapy has been widely investigated, clinical trials have reported inconsistent results, with limited impact on reproductive outcomes [7,8]. These fi</w:t>
      </w:r>
      <w:r>
        <w:rPr>
          <w:sz w:val="22"/>
        </w:rPr>
        <w:t>ndings suggest that non-specific antioxidant approaches may not adequately address the underlying molecular mechanisms of sperm genomic instability.</w:t>
      </w:r>
    </w:p>
    <w:p w14:paraId="3E52B65E" w14:textId="77777777" w:rsidR="00A61AAE" w:rsidRDefault="00A61AAE">
      <w:pPr>
        <w:rPr>
          <w:sz w:val="22"/>
        </w:rPr>
      </w:pPr>
    </w:p>
    <w:p w14:paraId="062B0A05" w14:textId="77777777" w:rsidR="00A61AAE" w:rsidRDefault="00507843">
      <w:pPr>
        <w:rPr>
          <w:sz w:val="22"/>
        </w:rPr>
      </w:pPr>
      <w:r>
        <w:rPr>
          <w:sz w:val="22"/>
        </w:rPr>
        <w:t>In addition to oxidative stress, abnormalities in chromatin packaging and epigenetic regulation play a key</w:t>
      </w:r>
      <w:r>
        <w:rPr>
          <w:sz w:val="22"/>
        </w:rPr>
        <w:t xml:space="preserve"> role in sperm DNA vulnerability. Proper chromatin condensation depends on effective </w:t>
      </w:r>
      <w:proofErr w:type="spellStart"/>
      <w:r>
        <w:rPr>
          <w:sz w:val="22"/>
        </w:rPr>
        <w:t>protamination</w:t>
      </w:r>
      <w:proofErr w:type="spellEnd"/>
      <w:r>
        <w:rPr>
          <w:sz w:val="22"/>
        </w:rPr>
        <w:t xml:space="preserve"> and DNA methylation, both regulated through one-carbon metabolism. L-methionine, a precursor of S-adenosylmethionine (SAM), serves as a key methyl donor invo</w:t>
      </w:r>
      <w:r>
        <w:rPr>
          <w:sz w:val="22"/>
        </w:rPr>
        <w:t>lved in DNA methylation and chromatin stabilization [4]. Disruption of these processes has been linked to increased susceptibility to DNA damage.</w:t>
      </w:r>
    </w:p>
    <w:p w14:paraId="3C2C1B70" w14:textId="77777777" w:rsidR="00A61AAE" w:rsidRDefault="00A61AAE">
      <w:pPr>
        <w:rPr>
          <w:sz w:val="22"/>
        </w:rPr>
      </w:pPr>
    </w:p>
    <w:p w14:paraId="03256551" w14:textId="77777777" w:rsidR="00A61AAE" w:rsidRDefault="00507843">
      <w:pPr>
        <w:rPr>
          <w:sz w:val="22"/>
        </w:rPr>
      </w:pPr>
      <w:r>
        <w:rPr>
          <w:sz w:val="22"/>
        </w:rPr>
        <w:t>Despite its biological relevance, the clinical effects of L-methionine supplementation on sperm DNA integrity</w:t>
      </w:r>
      <w:r>
        <w:rPr>
          <w:sz w:val="22"/>
        </w:rPr>
        <w:t xml:space="preserve"> remain insufficiently investigated in well-designed randomized </w:t>
      </w:r>
      <w:r>
        <w:rPr>
          <w:sz w:val="22"/>
        </w:rPr>
        <w:lastRenderedPageBreak/>
        <w:t>trials, particularly in patients with elevated DFI. Most previous studies have focused on non-specific antioxidant therapy rather than targeted metabolic modulation.</w:t>
      </w:r>
    </w:p>
    <w:p w14:paraId="4CAC8ECB" w14:textId="77777777" w:rsidR="00A61AAE" w:rsidRDefault="00A61AAE">
      <w:pPr>
        <w:rPr>
          <w:sz w:val="22"/>
        </w:rPr>
      </w:pPr>
    </w:p>
    <w:p w14:paraId="12EEEEB2" w14:textId="77777777" w:rsidR="00A61AAE" w:rsidRDefault="00507843">
      <w:pPr>
        <w:rPr>
          <w:sz w:val="22"/>
        </w:rPr>
      </w:pPr>
      <w:r>
        <w:rPr>
          <w:sz w:val="22"/>
        </w:rPr>
        <w:t>Therefore, this study aim</w:t>
      </w:r>
      <w:r>
        <w:rPr>
          <w:sz w:val="22"/>
        </w:rPr>
        <w:t>ed to evaluate the effect of L-methionine supplementation on sperm DNA fragmentation and conventional semen parameters in infertile men with elevated DFI. We hypothesized that L-methionine may improves sperm DNA integrity and functional semen quality throu</w:t>
      </w:r>
      <w:r>
        <w:rPr>
          <w:sz w:val="22"/>
        </w:rPr>
        <w:t>gh modulation of methylation-dependent pathways, with minimal effect on sperm concentration.</w:t>
      </w:r>
    </w:p>
    <w:p w14:paraId="7347F130" w14:textId="77777777" w:rsidR="00A61AAE" w:rsidRDefault="00A61AAE">
      <w:pPr>
        <w:rPr>
          <w:sz w:val="22"/>
        </w:rPr>
      </w:pPr>
    </w:p>
    <w:p w14:paraId="29FCA611" w14:textId="77777777" w:rsidR="00A61AAE" w:rsidRDefault="00507843">
      <w:pPr>
        <w:rPr>
          <w:sz w:val="22"/>
        </w:rPr>
      </w:pPr>
      <w:r>
        <w:rPr>
          <w:sz w:val="22"/>
        </w:rPr>
        <w:t>Materials and Methods</w:t>
      </w:r>
    </w:p>
    <w:p w14:paraId="5C7B95BE" w14:textId="77777777" w:rsidR="00A61AAE" w:rsidRDefault="00A61AAE">
      <w:pPr>
        <w:rPr>
          <w:sz w:val="22"/>
        </w:rPr>
      </w:pPr>
    </w:p>
    <w:p w14:paraId="0C2C8360" w14:textId="77777777" w:rsidR="00A61AAE" w:rsidRDefault="00507843">
      <w:pPr>
        <w:rPr>
          <w:sz w:val="22"/>
        </w:rPr>
      </w:pPr>
      <w:r>
        <w:rPr>
          <w:sz w:val="22"/>
        </w:rPr>
        <w:t>Study Design and Ethical Approval</w:t>
      </w:r>
    </w:p>
    <w:p w14:paraId="22B8BC30" w14:textId="49074834" w:rsidR="00A61AAE" w:rsidRDefault="00507843">
      <w:pPr>
        <w:rPr>
          <w:sz w:val="22"/>
        </w:rPr>
      </w:pPr>
      <w:r>
        <w:rPr>
          <w:sz w:val="22"/>
        </w:rPr>
        <w:t>This study was designed as a prospective, randomized, double-blind, placebo-controlled clinical trial con</w:t>
      </w:r>
      <w:r>
        <w:rPr>
          <w:sz w:val="22"/>
        </w:rPr>
        <w:t>ducted at a specialized infertility clinic from May 2024 to May 2025. Ethical approval was obtained from a local Institutional Review Board. Written informed consent was obtained from all participants in accordance with the Declaration of Helsinki.</w:t>
      </w:r>
    </w:p>
    <w:p w14:paraId="24184DC3" w14:textId="77777777" w:rsidR="00A61AAE" w:rsidRDefault="00A61AAE">
      <w:pPr>
        <w:rPr>
          <w:sz w:val="22"/>
        </w:rPr>
      </w:pPr>
    </w:p>
    <w:p w14:paraId="536C00E3" w14:textId="77777777" w:rsidR="00A61AAE" w:rsidRDefault="00507843">
      <w:pPr>
        <w:rPr>
          <w:sz w:val="22"/>
        </w:rPr>
      </w:pPr>
      <w:r>
        <w:rPr>
          <w:sz w:val="22"/>
        </w:rPr>
        <w:t>Partic</w:t>
      </w:r>
      <w:r>
        <w:rPr>
          <w:sz w:val="22"/>
        </w:rPr>
        <w:t>ipants</w:t>
      </w:r>
    </w:p>
    <w:p w14:paraId="716AF681" w14:textId="77777777" w:rsidR="00A61AAE" w:rsidRDefault="00A61AAE">
      <w:pPr>
        <w:rPr>
          <w:sz w:val="22"/>
        </w:rPr>
      </w:pPr>
    </w:p>
    <w:p w14:paraId="2F7F9E3D" w14:textId="77777777" w:rsidR="00A61AAE" w:rsidRDefault="00507843">
      <w:pPr>
        <w:rPr>
          <w:sz w:val="22"/>
        </w:rPr>
      </w:pPr>
      <w:r>
        <w:rPr>
          <w:sz w:val="22"/>
        </w:rPr>
        <w:t>Infertile Group</w:t>
      </w:r>
    </w:p>
    <w:p w14:paraId="4DE648E0" w14:textId="77777777" w:rsidR="00A61AAE" w:rsidRDefault="00507843">
      <w:pPr>
        <w:rPr>
          <w:sz w:val="22"/>
        </w:rPr>
      </w:pPr>
      <w:r>
        <w:rPr>
          <w:sz w:val="22"/>
        </w:rPr>
        <w:t>Eligible participants were infertile men aged 20–45 years with a history of primary or secondary infertility for at least 12 months and confirmed elevated sperm DNA fragmentation levels. Patients who had undergone varicocelectomy wi</w:t>
      </w:r>
      <w:r>
        <w:rPr>
          <w:sz w:val="22"/>
        </w:rPr>
        <w:t>thin the preceding six months were excluded.</w:t>
      </w:r>
    </w:p>
    <w:p w14:paraId="1686947E" w14:textId="77777777" w:rsidR="00A61AAE" w:rsidRDefault="00A61AAE">
      <w:pPr>
        <w:rPr>
          <w:sz w:val="22"/>
        </w:rPr>
      </w:pPr>
    </w:p>
    <w:p w14:paraId="43FB5474" w14:textId="77777777" w:rsidR="00A61AAE" w:rsidRDefault="00507843">
      <w:pPr>
        <w:rPr>
          <w:sz w:val="22"/>
        </w:rPr>
      </w:pPr>
      <w:r>
        <w:rPr>
          <w:sz w:val="22"/>
        </w:rPr>
        <w:t>Fertile Control Group</w:t>
      </w:r>
    </w:p>
    <w:p w14:paraId="1BE3C634" w14:textId="77777777" w:rsidR="00A61AAE" w:rsidRDefault="00507843">
      <w:pPr>
        <w:rPr>
          <w:sz w:val="22"/>
        </w:rPr>
      </w:pPr>
      <w:r>
        <w:rPr>
          <w:sz w:val="22"/>
        </w:rPr>
        <w:t xml:space="preserve">The control group included fertile men who had achieved natural conception within the previous two years and had normal semen parameters according to the World Health Organization (WHO) </w:t>
      </w:r>
      <w:r>
        <w:rPr>
          <w:sz w:val="22"/>
        </w:rPr>
        <w:t>Laboratory Manual for the Examination and Processing of Human Semen (6th edition, 2021).</w:t>
      </w:r>
    </w:p>
    <w:p w14:paraId="0C376720" w14:textId="77777777" w:rsidR="00A61AAE" w:rsidRDefault="00A61AAE">
      <w:pPr>
        <w:rPr>
          <w:sz w:val="22"/>
        </w:rPr>
      </w:pPr>
    </w:p>
    <w:p w14:paraId="447BECE0" w14:textId="77777777" w:rsidR="00A61AAE" w:rsidRDefault="00507843">
      <w:pPr>
        <w:rPr>
          <w:sz w:val="22"/>
        </w:rPr>
      </w:pPr>
      <w:r>
        <w:rPr>
          <w:sz w:val="22"/>
        </w:rPr>
        <w:t>Exclusion Criteria</w:t>
      </w:r>
    </w:p>
    <w:p w14:paraId="613B1455" w14:textId="77777777" w:rsidR="00A61AAE" w:rsidRDefault="00507843">
      <w:pPr>
        <w:rPr>
          <w:sz w:val="22"/>
        </w:rPr>
      </w:pPr>
      <w:r>
        <w:rPr>
          <w:sz w:val="22"/>
        </w:rPr>
        <w:t>Participants were excluded if they had used antioxidant supplements within the preceding three months, had grade III varicocele, genitourinary infections, endocrine disorders, systemic diseases, severe smoking-related pathology, or a history of chemotherap</w:t>
      </w:r>
      <w:r>
        <w:rPr>
          <w:sz w:val="22"/>
        </w:rPr>
        <w:t>y or radiotherapy.</w:t>
      </w:r>
    </w:p>
    <w:p w14:paraId="3287DB3E" w14:textId="77777777" w:rsidR="00A61AAE" w:rsidRDefault="00A61AAE">
      <w:pPr>
        <w:rPr>
          <w:sz w:val="22"/>
        </w:rPr>
      </w:pPr>
    </w:p>
    <w:p w14:paraId="20F2B59D" w14:textId="77777777" w:rsidR="00A61AAE" w:rsidRDefault="00507843">
      <w:pPr>
        <w:rPr>
          <w:sz w:val="22"/>
        </w:rPr>
      </w:pPr>
      <w:r>
        <w:rPr>
          <w:sz w:val="22"/>
        </w:rPr>
        <w:t>Clinical Evaluation</w:t>
      </w:r>
    </w:p>
    <w:p w14:paraId="1A2E0494" w14:textId="77777777" w:rsidR="00A61AAE" w:rsidRDefault="00507843">
      <w:pPr>
        <w:rPr>
          <w:sz w:val="22"/>
        </w:rPr>
      </w:pPr>
      <w:r>
        <w:rPr>
          <w:sz w:val="22"/>
        </w:rPr>
        <w:t>All participants underwent comprehensive clinical assessment, including medical history, general physical examination, and genital examination. Hormonal evaluation included luteinizing hormone (LH), follicle-stimulat</w:t>
      </w:r>
      <w:r>
        <w:rPr>
          <w:sz w:val="22"/>
        </w:rPr>
        <w:t>ing hormone (FSH), prolactin, and total testosterone. Testicular Doppler ultrasonography was also performed.</w:t>
      </w:r>
    </w:p>
    <w:p w14:paraId="7272729C" w14:textId="77777777" w:rsidR="00A61AAE" w:rsidRDefault="00A61AAE">
      <w:pPr>
        <w:rPr>
          <w:sz w:val="22"/>
        </w:rPr>
      </w:pPr>
    </w:p>
    <w:p w14:paraId="2BA3CA80" w14:textId="77777777" w:rsidR="00A61AAE" w:rsidRDefault="00507843">
      <w:pPr>
        <w:rPr>
          <w:sz w:val="22"/>
        </w:rPr>
      </w:pPr>
      <w:r>
        <w:rPr>
          <w:sz w:val="22"/>
        </w:rPr>
        <w:lastRenderedPageBreak/>
        <w:t>Semen Collection and Analysis</w:t>
      </w:r>
    </w:p>
    <w:p w14:paraId="459C65D8" w14:textId="77777777" w:rsidR="00A61AAE" w:rsidRDefault="00507843">
      <w:pPr>
        <w:rPr>
          <w:sz w:val="22"/>
        </w:rPr>
      </w:pPr>
      <w:r>
        <w:rPr>
          <w:sz w:val="22"/>
        </w:rPr>
        <w:t>Semen samples were obtained by masturbation after at least 72 hours of sexual abstinence and collected in sterile po</w:t>
      </w:r>
      <w:r>
        <w:rPr>
          <w:sz w:val="22"/>
        </w:rPr>
        <w:t xml:space="preserve">lypropylene containers. Analysis was performed according to WHO guidelines (6th edition, 2021). Only samples with motile spermatozoa, sperm concentration&gt;5 million/mL, and no evidence of significant </w:t>
      </w:r>
      <w:proofErr w:type="spellStart"/>
      <w:r>
        <w:rPr>
          <w:sz w:val="22"/>
        </w:rPr>
        <w:t>leukocytospermia</w:t>
      </w:r>
      <w:proofErr w:type="spellEnd"/>
      <w:r>
        <w:rPr>
          <w:sz w:val="22"/>
        </w:rPr>
        <w:t xml:space="preserve"> were included.</w:t>
      </w:r>
    </w:p>
    <w:p w14:paraId="1BFBE50A" w14:textId="77777777" w:rsidR="00A61AAE" w:rsidRDefault="00A61AAE">
      <w:pPr>
        <w:rPr>
          <w:sz w:val="22"/>
        </w:rPr>
      </w:pPr>
    </w:p>
    <w:p w14:paraId="298E74BF" w14:textId="77777777" w:rsidR="00A61AAE" w:rsidRDefault="00507843">
      <w:pPr>
        <w:rPr>
          <w:sz w:val="22"/>
        </w:rPr>
      </w:pPr>
      <w:r>
        <w:rPr>
          <w:sz w:val="22"/>
        </w:rPr>
        <w:t>Assessment of Sperm Viab</w:t>
      </w:r>
      <w:r>
        <w:rPr>
          <w:sz w:val="22"/>
        </w:rPr>
        <w:t>ility</w:t>
      </w:r>
    </w:p>
    <w:p w14:paraId="59217B22" w14:textId="77777777" w:rsidR="00A61AAE" w:rsidRDefault="00507843">
      <w:pPr>
        <w:rPr>
          <w:sz w:val="22"/>
        </w:rPr>
      </w:pPr>
      <w:r>
        <w:rPr>
          <w:sz w:val="22"/>
        </w:rPr>
        <w:t>Sperm viability was assessed using eosin–</w:t>
      </w:r>
      <w:proofErr w:type="spellStart"/>
      <w:r>
        <w:rPr>
          <w:sz w:val="22"/>
        </w:rPr>
        <w:t>nigrosin</w:t>
      </w:r>
      <w:proofErr w:type="spellEnd"/>
      <w:r>
        <w:rPr>
          <w:sz w:val="22"/>
        </w:rPr>
        <w:t xml:space="preserve"> staining. Equal volumes (50 </w:t>
      </w:r>
      <w:proofErr w:type="spellStart"/>
      <w:r>
        <w:rPr>
          <w:sz w:val="22"/>
        </w:rPr>
        <w:t>μL</w:t>
      </w:r>
      <w:proofErr w:type="spellEnd"/>
      <w:r>
        <w:rPr>
          <w:sz w:val="22"/>
        </w:rPr>
        <w:t>) of semen and stain were mixed and incubated for 30 seconds. At least 200 spermatozoa were examined under a 100× oil-immersion objective.</w:t>
      </w:r>
    </w:p>
    <w:p w14:paraId="747DA695" w14:textId="77777777" w:rsidR="00A61AAE" w:rsidRDefault="00A61AAE">
      <w:pPr>
        <w:rPr>
          <w:sz w:val="22"/>
        </w:rPr>
      </w:pPr>
    </w:p>
    <w:p w14:paraId="136C9D2A" w14:textId="77777777" w:rsidR="00A61AAE" w:rsidRDefault="00507843">
      <w:pPr>
        <w:rPr>
          <w:sz w:val="22"/>
        </w:rPr>
      </w:pPr>
      <w:r>
        <w:rPr>
          <w:sz w:val="22"/>
        </w:rPr>
        <w:t>Assessment of Sperm DNA Fragme</w:t>
      </w:r>
      <w:r>
        <w:rPr>
          <w:sz w:val="22"/>
        </w:rPr>
        <w:t>ntation</w:t>
      </w:r>
    </w:p>
    <w:p w14:paraId="48D611A0" w14:textId="77777777" w:rsidR="00A61AAE" w:rsidRDefault="00507843">
      <w:pPr>
        <w:rPr>
          <w:sz w:val="22"/>
        </w:rPr>
      </w:pPr>
      <w:r>
        <w:rPr>
          <w:sz w:val="22"/>
        </w:rPr>
        <w:t xml:space="preserve">Sperm DNA fragmentation was assessed using the TUNEL assay. A commercially available kit (In-Situ Cell Death Detection Kit, </w:t>
      </w:r>
      <w:proofErr w:type="spellStart"/>
      <w:r>
        <w:rPr>
          <w:sz w:val="22"/>
        </w:rPr>
        <w:t>BioAssay</w:t>
      </w:r>
      <w:proofErr w:type="spellEnd"/>
      <w:r>
        <w:rPr>
          <w:sz w:val="22"/>
        </w:rPr>
        <w:t>™, USA) was used according to the manufacturer’s instructions. At least 200 spermatozoa were analyzed per sample. TU</w:t>
      </w:r>
      <w:r>
        <w:rPr>
          <w:sz w:val="22"/>
        </w:rPr>
        <w:t>NEL-positive spermatozoa showed green fluorescence, while intact DNA appeared blue (DAPI).</w:t>
      </w:r>
    </w:p>
    <w:p w14:paraId="576EF7E6" w14:textId="77777777" w:rsidR="00A61AAE" w:rsidRDefault="00A61AAE">
      <w:pPr>
        <w:rPr>
          <w:sz w:val="22"/>
        </w:rPr>
      </w:pPr>
    </w:p>
    <w:p w14:paraId="5729050D" w14:textId="77777777" w:rsidR="00A61AAE" w:rsidRDefault="00507843">
      <w:pPr>
        <w:rPr>
          <w:sz w:val="22"/>
        </w:rPr>
      </w:pPr>
      <w:r>
        <w:rPr>
          <w:sz w:val="22"/>
        </w:rPr>
        <w:t>Randomization and Intervention</w:t>
      </w:r>
    </w:p>
    <w:p w14:paraId="5BB39D09" w14:textId="77777777" w:rsidR="00A61AAE" w:rsidRDefault="00507843">
      <w:pPr>
        <w:rPr>
          <w:sz w:val="22"/>
        </w:rPr>
      </w:pPr>
      <w:r>
        <w:rPr>
          <w:sz w:val="22"/>
        </w:rPr>
        <w:t>Participants were randomly allocated in a 1:1 ratio using computer-generated block randomization with allocation concealment.</w:t>
      </w:r>
    </w:p>
    <w:p w14:paraId="149C4FE5" w14:textId="77777777" w:rsidR="00A61AAE" w:rsidRDefault="00A61AAE">
      <w:pPr>
        <w:rPr>
          <w:sz w:val="22"/>
        </w:rPr>
      </w:pPr>
    </w:p>
    <w:p w14:paraId="4BB1ADB4" w14:textId="77777777" w:rsidR="00A61AAE" w:rsidRDefault="00507843">
      <w:pPr>
        <w:rPr>
          <w:sz w:val="22"/>
        </w:rPr>
      </w:pPr>
      <w:r>
        <w:rPr>
          <w:sz w:val="22"/>
        </w:rPr>
        <w:t>- Grou</w:t>
      </w:r>
      <w:r>
        <w:rPr>
          <w:sz w:val="22"/>
        </w:rPr>
        <w:t xml:space="preserve">p I: L-methionine 500 mg twice daily  </w:t>
      </w:r>
    </w:p>
    <w:p w14:paraId="7A619DFD" w14:textId="77777777" w:rsidR="00A61AAE" w:rsidRDefault="00507843">
      <w:pPr>
        <w:rPr>
          <w:sz w:val="22"/>
        </w:rPr>
      </w:pPr>
      <w:r>
        <w:rPr>
          <w:sz w:val="22"/>
        </w:rPr>
        <w:t xml:space="preserve">- Group II: Matching placebo  </w:t>
      </w:r>
    </w:p>
    <w:p w14:paraId="0DF6FDAE" w14:textId="77777777" w:rsidR="00A61AAE" w:rsidRDefault="00A61AAE">
      <w:pPr>
        <w:rPr>
          <w:sz w:val="22"/>
        </w:rPr>
      </w:pPr>
    </w:p>
    <w:p w14:paraId="576EBEF9" w14:textId="77777777" w:rsidR="00A61AAE" w:rsidRDefault="00507843">
      <w:pPr>
        <w:rPr>
          <w:sz w:val="22"/>
        </w:rPr>
      </w:pPr>
      <w:r>
        <w:rPr>
          <w:sz w:val="22"/>
        </w:rPr>
        <w:t>The intervention lasted 12 weeks. Both participants and investigators were blinded. Placebo tablets were identical in appearance, size, and packaging.</w:t>
      </w:r>
    </w:p>
    <w:p w14:paraId="4EA12A3A" w14:textId="77777777" w:rsidR="00A61AAE" w:rsidRDefault="00A61AAE">
      <w:pPr>
        <w:rPr>
          <w:sz w:val="22"/>
        </w:rPr>
      </w:pPr>
    </w:p>
    <w:p w14:paraId="17DDCFC2" w14:textId="77777777" w:rsidR="00A61AAE" w:rsidRDefault="00507843">
      <w:pPr>
        <w:rPr>
          <w:sz w:val="22"/>
        </w:rPr>
      </w:pPr>
      <w:r>
        <w:rPr>
          <w:sz w:val="22"/>
        </w:rPr>
        <w:t>Statistical Study</w:t>
      </w:r>
    </w:p>
    <w:p w14:paraId="33781367" w14:textId="77777777" w:rsidR="00A61AAE" w:rsidRDefault="00507843">
      <w:pPr>
        <w:rPr>
          <w:sz w:val="22"/>
        </w:rPr>
      </w:pPr>
      <w:r>
        <w:rPr>
          <w:sz w:val="22"/>
        </w:rPr>
        <w:t>Data were analy</w:t>
      </w:r>
      <w:r>
        <w:rPr>
          <w:sz w:val="22"/>
        </w:rPr>
        <w:t>zed using SPSS software (version 26.0; IBM Corp., Armonk, NY, USA). Continuous variables were expressed as mean ± standard deviation (SD). Between-group comparisons were performed using independent-sample t-tests, and within-group comparisons were conducte</w:t>
      </w:r>
      <w:r>
        <w:rPr>
          <w:sz w:val="22"/>
        </w:rPr>
        <w:t>d using paired-sample t-tests. A two-tailed P&lt;.05 was considered statistically significant.</w:t>
      </w:r>
    </w:p>
    <w:p w14:paraId="208D2CAA" w14:textId="77777777" w:rsidR="00A61AAE" w:rsidRDefault="00A61AAE">
      <w:pPr>
        <w:rPr>
          <w:sz w:val="22"/>
        </w:rPr>
      </w:pPr>
    </w:p>
    <w:p w14:paraId="62F72BDB" w14:textId="77777777" w:rsidR="00A61AAE" w:rsidRDefault="00A61AAE">
      <w:pPr>
        <w:rPr>
          <w:sz w:val="22"/>
        </w:rPr>
      </w:pPr>
    </w:p>
    <w:p w14:paraId="3F5A4FF1" w14:textId="77777777" w:rsidR="00A61AAE" w:rsidRDefault="00507843">
      <w:pPr>
        <w:rPr>
          <w:sz w:val="22"/>
        </w:rPr>
      </w:pPr>
      <w:r>
        <w:rPr>
          <w:sz w:val="22"/>
        </w:rPr>
        <w:t>RESULTS:</w:t>
      </w:r>
    </w:p>
    <w:p w14:paraId="06B9B329" w14:textId="77777777" w:rsidR="00A61AAE" w:rsidRDefault="00A61AAE">
      <w:pPr>
        <w:rPr>
          <w:sz w:val="22"/>
        </w:rPr>
      </w:pPr>
    </w:p>
    <w:p w14:paraId="1D1AE0DF" w14:textId="77777777" w:rsidR="00A61AAE" w:rsidRDefault="00507843">
      <w:pPr>
        <w:rPr>
          <w:sz w:val="22"/>
        </w:rPr>
      </w:pPr>
      <w:r>
        <w:rPr>
          <w:sz w:val="22"/>
        </w:rPr>
        <w:t>A total of 60 participants were included in the study: 40 infertile men with elevated sperm DNA fragmentation index (DFI) and 20 fertile controls. Basel</w:t>
      </w:r>
      <w:r>
        <w:rPr>
          <w:sz w:val="22"/>
        </w:rPr>
        <w:t>ine comparisons showed that infertile participants had significantly impaired semen quality compared with fertile men. Specifically, infertile men exhibited lower sperm concentration and progressive motility, along with higher abnormal morphology, dead spe</w:t>
      </w:r>
      <w:r>
        <w:rPr>
          <w:sz w:val="22"/>
        </w:rPr>
        <w:t xml:space="preserve">rm percentage, </w:t>
      </w:r>
      <w:r>
        <w:rPr>
          <w:sz w:val="22"/>
        </w:rPr>
        <w:lastRenderedPageBreak/>
        <w:t>and DFI (all P&lt;.001). Baseline characteristics are presented in Table (1).</w:t>
      </w:r>
    </w:p>
    <w:p w14:paraId="71B1CA29" w14:textId="77777777" w:rsidR="00DA5BC0" w:rsidRDefault="00DA5BC0">
      <w:pPr>
        <w:rPr>
          <w:sz w:val="22"/>
        </w:rPr>
      </w:pPr>
    </w:p>
    <w:p w14:paraId="2B318E99" w14:textId="77777777" w:rsidR="00A61AAE" w:rsidRDefault="00507843">
      <w:pPr>
        <w:rPr>
          <w:sz w:val="22"/>
        </w:rPr>
      </w:pPr>
      <w:r>
        <w:rPr>
          <w:sz w:val="22"/>
        </w:rPr>
        <w:t>Table 1. Baseline Characteristics of Study Participants</w:t>
      </w:r>
    </w:p>
    <w:p w14:paraId="27385747" w14:textId="77777777" w:rsidR="00A61AAE" w:rsidRDefault="00A61AAE">
      <w:pPr>
        <w:rPr>
          <w:sz w:val="22"/>
        </w:rPr>
      </w:pPr>
    </w:p>
    <w:p w14:paraId="37791483" w14:textId="77777777" w:rsidR="00A61AAE" w:rsidRDefault="00507843">
      <w:pPr>
        <w:rPr>
          <w:sz w:val="22"/>
        </w:rPr>
      </w:pPr>
      <w:r>
        <w:rPr>
          <w:sz w:val="22"/>
        </w:rPr>
        <w:t xml:space="preserve">Parameter                 Infertile (Mean ± </w:t>
      </w:r>
      <w:proofErr w:type="gramStart"/>
      <w:r>
        <w:rPr>
          <w:sz w:val="22"/>
        </w:rPr>
        <w:t xml:space="preserve">SD)   </w:t>
      </w:r>
      <w:proofErr w:type="gramEnd"/>
      <w:r>
        <w:rPr>
          <w:sz w:val="22"/>
        </w:rPr>
        <w:t xml:space="preserve"> Fertile (Mean ± SD)    P Value</w:t>
      </w:r>
    </w:p>
    <w:p w14:paraId="3B14B7A3" w14:textId="77777777" w:rsidR="00A61AAE" w:rsidRDefault="00A61AAE">
      <w:pPr>
        <w:rPr>
          <w:sz w:val="22"/>
        </w:rPr>
      </w:pPr>
    </w:p>
    <w:p w14:paraId="24D5BE16" w14:textId="77777777" w:rsidR="00A61AAE" w:rsidRDefault="00507843">
      <w:pPr>
        <w:rPr>
          <w:sz w:val="22"/>
        </w:rPr>
      </w:pPr>
      <w:r>
        <w:rPr>
          <w:sz w:val="22"/>
        </w:rPr>
        <w:t xml:space="preserve">Sperm concentration </w:t>
      </w:r>
      <w:r>
        <w:rPr>
          <w:sz w:val="22"/>
        </w:rPr>
        <w:t>(×10⁶/mL</w:t>
      </w:r>
      <w:proofErr w:type="gramStart"/>
      <w:r>
        <w:rPr>
          <w:sz w:val="22"/>
        </w:rPr>
        <w:t>)  13.70</w:t>
      </w:r>
      <w:proofErr w:type="gramEnd"/>
      <w:r>
        <w:rPr>
          <w:sz w:val="22"/>
        </w:rPr>
        <w:t xml:space="preserve"> ± 1.62        47.45 ± 19.75       P &lt; .001 </w:t>
      </w:r>
    </w:p>
    <w:p w14:paraId="36EA0B9D" w14:textId="77777777" w:rsidR="00A61AAE" w:rsidRDefault="00507843">
      <w:pPr>
        <w:rPr>
          <w:sz w:val="22"/>
        </w:rPr>
      </w:pPr>
      <w:r>
        <w:rPr>
          <w:sz w:val="22"/>
        </w:rPr>
        <w:t>Progressive motility (</w:t>
      </w:r>
      <w:proofErr w:type="gramStart"/>
      <w:r>
        <w:rPr>
          <w:sz w:val="22"/>
        </w:rPr>
        <w:t xml:space="preserve">%)   </w:t>
      </w:r>
      <w:proofErr w:type="gramEnd"/>
      <w:r>
        <w:rPr>
          <w:sz w:val="22"/>
        </w:rPr>
        <w:t xml:space="preserve">      29.52 ± 9.04        66.05 ± 5.75        P&lt;.001</w:t>
      </w:r>
    </w:p>
    <w:p w14:paraId="4BCC53A9" w14:textId="77777777" w:rsidR="00A61AAE" w:rsidRDefault="00507843">
      <w:pPr>
        <w:rPr>
          <w:sz w:val="22"/>
        </w:rPr>
      </w:pPr>
      <w:r>
        <w:rPr>
          <w:sz w:val="22"/>
        </w:rPr>
        <w:t>Abnormal morphology (</w:t>
      </w:r>
      <w:proofErr w:type="gramStart"/>
      <w:r>
        <w:rPr>
          <w:sz w:val="22"/>
        </w:rPr>
        <w:t xml:space="preserve">%)   </w:t>
      </w:r>
      <w:proofErr w:type="gramEnd"/>
      <w:r>
        <w:rPr>
          <w:sz w:val="22"/>
        </w:rPr>
        <w:t xml:space="preserve">    62.42 ± 7.27        38.30 ± 7.42        P&lt;.001</w:t>
      </w:r>
    </w:p>
    <w:p w14:paraId="78B25B20" w14:textId="77777777" w:rsidR="00A61AAE" w:rsidRDefault="00507843">
      <w:pPr>
        <w:rPr>
          <w:sz w:val="22"/>
        </w:rPr>
      </w:pPr>
      <w:r>
        <w:rPr>
          <w:sz w:val="22"/>
        </w:rPr>
        <w:t>Dead sperm (</w:t>
      </w:r>
      <w:proofErr w:type="gramStart"/>
      <w:r>
        <w:rPr>
          <w:sz w:val="22"/>
        </w:rPr>
        <w:t xml:space="preserve">%)   </w:t>
      </w:r>
      <w:proofErr w:type="gramEnd"/>
      <w:r>
        <w:rPr>
          <w:sz w:val="22"/>
        </w:rPr>
        <w:t xml:space="preserve">             62.68 ± </w:t>
      </w:r>
      <w:r>
        <w:rPr>
          <w:sz w:val="22"/>
        </w:rPr>
        <w:t>5.67        37.85 ± 8.90        P&lt;.001</w:t>
      </w:r>
    </w:p>
    <w:p w14:paraId="6D5EC791" w14:textId="77777777" w:rsidR="00A61AAE" w:rsidRDefault="00507843">
      <w:pPr>
        <w:rPr>
          <w:sz w:val="22"/>
        </w:rPr>
      </w:pPr>
      <w:r>
        <w:rPr>
          <w:sz w:val="22"/>
        </w:rPr>
        <w:t>DNA Fragmentation Index (</w:t>
      </w:r>
      <w:proofErr w:type="gramStart"/>
      <w:r>
        <w:rPr>
          <w:sz w:val="22"/>
        </w:rPr>
        <w:t xml:space="preserve">%)   </w:t>
      </w:r>
      <w:proofErr w:type="gramEnd"/>
      <w:r>
        <w:rPr>
          <w:sz w:val="22"/>
        </w:rPr>
        <w:t xml:space="preserve"> 38.25 ± 8.26        17.20 ± 3.05        P&lt;.001</w:t>
      </w:r>
    </w:p>
    <w:p w14:paraId="681B0A12" w14:textId="77777777" w:rsidR="00A61AAE" w:rsidRDefault="00A61AAE">
      <w:pPr>
        <w:rPr>
          <w:sz w:val="22"/>
        </w:rPr>
      </w:pPr>
    </w:p>
    <w:p w14:paraId="705E533D" w14:textId="77777777" w:rsidR="00A61AAE" w:rsidRDefault="00507843">
      <w:pPr>
        <w:rPr>
          <w:sz w:val="22"/>
        </w:rPr>
      </w:pPr>
      <w:r>
        <w:rPr>
          <w:sz w:val="22"/>
        </w:rPr>
        <w:t>Values are expressed as mean ± standard deviation (SD).</w:t>
      </w:r>
    </w:p>
    <w:p w14:paraId="6DAC5148" w14:textId="77777777" w:rsidR="00A61AAE" w:rsidRDefault="00A61AAE">
      <w:pPr>
        <w:rPr>
          <w:sz w:val="22"/>
        </w:rPr>
      </w:pPr>
    </w:p>
    <w:p w14:paraId="06B71665" w14:textId="77777777" w:rsidR="00A61AAE" w:rsidRDefault="00A61AAE">
      <w:pPr>
        <w:rPr>
          <w:sz w:val="22"/>
        </w:rPr>
      </w:pPr>
    </w:p>
    <w:p w14:paraId="38E2CF13" w14:textId="77777777" w:rsidR="00A61AAE" w:rsidRDefault="00507843">
      <w:pPr>
        <w:rPr>
          <w:sz w:val="22"/>
        </w:rPr>
      </w:pPr>
      <w:r>
        <w:rPr>
          <w:sz w:val="22"/>
        </w:rPr>
        <w:t>After 12 weeks of intervention, the methionine group showed significant improvem</w:t>
      </w:r>
      <w:r>
        <w:rPr>
          <w:sz w:val="22"/>
        </w:rPr>
        <w:t>ents in key semen parameters. Progressive motility increased, while abnormal morphology and the percentage of dead sperm decreased significantly. In addition, a marked reduction in DFI was observed (all P&lt;.001). In contrast, sperm concentration did not sho</w:t>
      </w:r>
      <w:r>
        <w:rPr>
          <w:sz w:val="22"/>
        </w:rPr>
        <w:t>w a statistically significant change (P = .577). Detailed findings are presented in Table (2).</w:t>
      </w:r>
    </w:p>
    <w:p w14:paraId="702ED016" w14:textId="77777777" w:rsidR="00A61AAE" w:rsidRDefault="00A61AAE">
      <w:pPr>
        <w:rPr>
          <w:sz w:val="22"/>
        </w:rPr>
      </w:pPr>
    </w:p>
    <w:p w14:paraId="4EF1C112" w14:textId="77777777" w:rsidR="00A61AAE" w:rsidRDefault="00A61AAE">
      <w:pPr>
        <w:rPr>
          <w:sz w:val="22"/>
        </w:rPr>
      </w:pPr>
    </w:p>
    <w:p w14:paraId="2B88AABA" w14:textId="77777777" w:rsidR="00A61AAE" w:rsidRDefault="00507843">
      <w:pPr>
        <w:rPr>
          <w:sz w:val="22"/>
        </w:rPr>
      </w:pPr>
      <w:r>
        <w:rPr>
          <w:sz w:val="22"/>
        </w:rPr>
        <w:t>Table 2. Within-Group Comparison in the Methionine Group (n = 20)</w:t>
      </w:r>
    </w:p>
    <w:p w14:paraId="350A7D95" w14:textId="77777777" w:rsidR="00A61AAE" w:rsidRDefault="00A61AAE">
      <w:pPr>
        <w:rPr>
          <w:sz w:val="22"/>
        </w:rPr>
      </w:pPr>
    </w:p>
    <w:p w14:paraId="6E809910" w14:textId="77777777" w:rsidR="00A61AAE" w:rsidRDefault="00507843">
      <w:pPr>
        <w:rPr>
          <w:b/>
          <w:bCs/>
          <w:sz w:val="18"/>
          <w:szCs w:val="18"/>
        </w:rPr>
      </w:pPr>
      <w:r>
        <w:rPr>
          <w:b/>
          <w:bCs/>
          <w:sz w:val="18"/>
          <w:szCs w:val="18"/>
        </w:rPr>
        <w:t xml:space="preserve">Parameter   Pre-treatment (Mean ± </w:t>
      </w:r>
      <w:proofErr w:type="gramStart"/>
      <w:r>
        <w:rPr>
          <w:b/>
          <w:bCs/>
          <w:sz w:val="18"/>
          <w:szCs w:val="18"/>
        </w:rPr>
        <w:t xml:space="preserve">SD)   </w:t>
      </w:r>
      <w:proofErr w:type="gramEnd"/>
      <w:r>
        <w:rPr>
          <w:b/>
          <w:bCs/>
          <w:sz w:val="18"/>
          <w:szCs w:val="18"/>
        </w:rPr>
        <w:t>Post-treatment (Mean ± SD)  Mean Change (Δ ± SD) P V</w:t>
      </w:r>
      <w:r>
        <w:rPr>
          <w:b/>
          <w:bCs/>
          <w:sz w:val="18"/>
          <w:szCs w:val="18"/>
        </w:rPr>
        <w:t>alue</w:t>
      </w:r>
    </w:p>
    <w:p w14:paraId="567CF625" w14:textId="77777777" w:rsidR="00A61AAE" w:rsidRDefault="00507843">
      <w:pPr>
        <w:rPr>
          <w:sz w:val="18"/>
          <w:szCs w:val="18"/>
        </w:rPr>
      </w:pPr>
      <w:r>
        <w:rPr>
          <w:sz w:val="18"/>
          <w:szCs w:val="18"/>
        </w:rPr>
        <w:t>Sperm concentration (×10⁶/mL) 13.85 ± 1.81    13.75 ± 1.59          −0.10 ± 0.79          P = .577</w:t>
      </w:r>
    </w:p>
    <w:p w14:paraId="12FBC2AF" w14:textId="77777777" w:rsidR="00A61AAE" w:rsidRDefault="00507843">
      <w:pPr>
        <w:rPr>
          <w:sz w:val="18"/>
          <w:szCs w:val="18"/>
        </w:rPr>
      </w:pPr>
      <w:r>
        <w:rPr>
          <w:sz w:val="18"/>
          <w:szCs w:val="18"/>
        </w:rPr>
        <w:t>Progressive motility (</w:t>
      </w:r>
      <w:proofErr w:type="gramStart"/>
      <w:r>
        <w:rPr>
          <w:sz w:val="18"/>
          <w:szCs w:val="18"/>
        </w:rPr>
        <w:t xml:space="preserve">%)   </w:t>
      </w:r>
      <w:proofErr w:type="gramEnd"/>
      <w:r>
        <w:rPr>
          <w:sz w:val="18"/>
          <w:szCs w:val="18"/>
        </w:rPr>
        <w:t xml:space="preserve">    30.00 ± 9.75  54.00 ± 3.68            +24.00 ± 8.71         P&lt;.001</w:t>
      </w:r>
    </w:p>
    <w:p w14:paraId="5F6873DC" w14:textId="77777777" w:rsidR="00A61AAE" w:rsidRDefault="00507843">
      <w:pPr>
        <w:rPr>
          <w:sz w:val="18"/>
          <w:szCs w:val="18"/>
        </w:rPr>
      </w:pPr>
      <w:r>
        <w:rPr>
          <w:sz w:val="18"/>
          <w:szCs w:val="18"/>
        </w:rPr>
        <w:t>Abnormal morphology (</w:t>
      </w:r>
      <w:proofErr w:type="gramStart"/>
      <w:r>
        <w:rPr>
          <w:sz w:val="18"/>
          <w:szCs w:val="18"/>
        </w:rPr>
        <w:t xml:space="preserve">%)   </w:t>
      </w:r>
      <w:proofErr w:type="gramEnd"/>
      <w:r>
        <w:rPr>
          <w:sz w:val="18"/>
          <w:szCs w:val="18"/>
        </w:rPr>
        <w:t xml:space="preserve"> 61.75 ± 5.78   44.80 ± 3.52</w:t>
      </w:r>
      <w:r>
        <w:rPr>
          <w:sz w:val="18"/>
          <w:szCs w:val="18"/>
        </w:rPr>
        <w:t xml:space="preserve">           −16.95 ± 4.95          P&lt;.001</w:t>
      </w:r>
    </w:p>
    <w:p w14:paraId="4531B948" w14:textId="77777777" w:rsidR="00A61AAE" w:rsidRDefault="00507843">
      <w:pPr>
        <w:rPr>
          <w:sz w:val="18"/>
          <w:szCs w:val="18"/>
        </w:rPr>
      </w:pPr>
      <w:r>
        <w:rPr>
          <w:sz w:val="18"/>
          <w:szCs w:val="18"/>
        </w:rPr>
        <w:t>Dead sperm (</w:t>
      </w:r>
      <w:proofErr w:type="gramStart"/>
      <w:r>
        <w:rPr>
          <w:sz w:val="18"/>
          <w:szCs w:val="18"/>
        </w:rPr>
        <w:t xml:space="preserve">%)   </w:t>
      </w:r>
      <w:proofErr w:type="gramEnd"/>
      <w:r>
        <w:rPr>
          <w:sz w:val="18"/>
          <w:szCs w:val="18"/>
        </w:rPr>
        <w:t xml:space="preserve">         62.90 ± 5.33    46.10 ± 4.15           −16.80 ± 4.95          P&lt;.001</w:t>
      </w:r>
    </w:p>
    <w:p w14:paraId="1F9DCA63" w14:textId="77777777" w:rsidR="00A61AAE" w:rsidRDefault="00507843">
      <w:pPr>
        <w:rPr>
          <w:sz w:val="18"/>
          <w:szCs w:val="18"/>
        </w:rPr>
      </w:pPr>
      <w:r>
        <w:rPr>
          <w:sz w:val="18"/>
          <w:szCs w:val="18"/>
        </w:rPr>
        <w:t>DNA Fragmentation Index (%) 36.80 ± 7.67   19.05 ± 7.46            −17.75 ± 10.18         P&lt;.001</w:t>
      </w:r>
    </w:p>
    <w:p w14:paraId="0369F988" w14:textId="77777777" w:rsidR="00A61AAE" w:rsidRDefault="00A61AAE">
      <w:pPr>
        <w:rPr>
          <w:sz w:val="22"/>
        </w:rPr>
      </w:pPr>
    </w:p>
    <w:p w14:paraId="1396876A" w14:textId="77777777" w:rsidR="00A61AAE" w:rsidRDefault="00507843">
      <w:pPr>
        <w:rPr>
          <w:sz w:val="18"/>
          <w:szCs w:val="18"/>
        </w:rPr>
      </w:pPr>
      <w:r>
        <w:rPr>
          <w:sz w:val="18"/>
          <w:szCs w:val="18"/>
        </w:rPr>
        <w:t>Values are expressed a</w:t>
      </w:r>
      <w:r>
        <w:rPr>
          <w:sz w:val="18"/>
          <w:szCs w:val="18"/>
        </w:rPr>
        <w:t>s mean ± standard deviation (SD).</w:t>
      </w:r>
    </w:p>
    <w:p w14:paraId="10D5990B" w14:textId="77777777" w:rsidR="00A61AAE" w:rsidRDefault="00507843">
      <w:pPr>
        <w:rPr>
          <w:sz w:val="18"/>
          <w:szCs w:val="18"/>
        </w:rPr>
      </w:pPr>
      <w:r>
        <w:rPr>
          <w:sz w:val="18"/>
          <w:szCs w:val="18"/>
        </w:rPr>
        <w:t>Δ = Post-treatment minus Pre-treatment.</w:t>
      </w:r>
    </w:p>
    <w:p w14:paraId="6D5D02ED" w14:textId="77777777" w:rsidR="00A61AAE" w:rsidRDefault="00A61AAE">
      <w:pPr>
        <w:rPr>
          <w:sz w:val="22"/>
        </w:rPr>
      </w:pPr>
    </w:p>
    <w:p w14:paraId="24462653" w14:textId="77777777" w:rsidR="00A61AAE" w:rsidRDefault="00A61AAE">
      <w:pPr>
        <w:rPr>
          <w:sz w:val="22"/>
        </w:rPr>
      </w:pPr>
    </w:p>
    <w:p w14:paraId="32390B1B" w14:textId="77777777" w:rsidR="00A61AAE" w:rsidRDefault="00A61AAE">
      <w:pPr>
        <w:rPr>
          <w:sz w:val="22"/>
        </w:rPr>
      </w:pPr>
    </w:p>
    <w:p w14:paraId="516BD330" w14:textId="77777777" w:rsidR="00A61AAE" w:rsidRDefault="00507843">
      <w:pPr>
        <w:rPr>
          <w:sz w:val="22"/>
        </w:rPr>
      </w:pPr>
      <w:r>
        <w:rPr>
          <w:sz w:val="22"/>
        </w:rPr>
        <w:t xml:space="preserve">In the placebo group, no statistically significant differences were observed between pre- and post-treatment measurements. Sperm concentration, progressive motility, morphology, </w:t>
      </w:r>
      <w:r>
        <w:rPr>
          <w:sz w:val="22"/>
        </w:rPr>
        <w:t>dead sperm percentage, and DFI remained largely unchanged after the intervention period (Table 3).</w:t>
      </w:r>
    </w:p>
    <w:p w14:paraId="3091C41C" w14:textId="77777777" w:rsidR="00A61AAE" w:rsidRDefault="00A61AAE">
      <w:pPr>
        <w:rPr>
          <w:sz w:val="22"/>
        </w:rPr>
      </w:pPr>
    </w:p>
    <w:p w14:paraId="631D40AF" w14:textId="77777777" w:rsidR="00A61AAE" w:rsidRDefault="00A61AAE">
      <w:pPr>
        <w:rPr>
          <w:sz w:val="22"/>
        </w:rPr>
      </w:pPr>
    </w:p>
    <w:p w14:paraId="74476398" w14:textId="77777777" w:rsidR="00A61AAE" w:rsidRDefault="00A61AAE">
      <w:pPr>
        <w:rPr>
          <w:sz w:val="22"/>
        </w:rPr>
      </w:pPr>
    </w:p>
    <w:p w14:paraId="71C4BF3E" w14:textId="77777777" w:rsidR="00A61AAE" w:rsidRDefault="00A61AAE">
      <w:pPr>
        <w:rPr>
          <w:sz w:val="22"/>
        </w:rPr>
      </w:pPr>
    </w:p>
    <w:p w14:paraId="23E9A5A3" w14:textId="77777777" w:rsidR="00A61AAE" w:rsidRDefault="00A61AAE">
      <w:pPr>
        <w:rPr>
          <w:sz w:val="22"/>
        </w:rPr>
      </w:pPr>
    </w:p>
    <w:p w14:paraId="55841849" w14:textId="77777777" w:rsidR="00A61AAE" w:rsidRDefault="00507843">
      <w:pPr>
        <w:rPr>
          <w:sz w:val="18"/>
          <w:szCs w:val="18"/>
        </w:rPr>
      </w:pPr>
      <w:r>
        <w:rPr>
          <w:sz w:val="18"/>
          <w:szCs w:val="18"/>
        </w:rPr>
        <w:t>Table 3. Within-Group Comparison (Placebo Group, n = 20)</w:t>
      </w:r>
    </w:p>
    <w:p w14:paraId="47A47998" w14:textId="77777777" w:rsidR="00A61AAE" w:rsidRDefault="00A61AAE">
      <w:pPr>
        <w:rPr>
          <w:sz w:val="18"/>
          <w:szCs w:val="18"/>
        </w:rPr>
      </w:pPr>
    </w:p>
    <w:p w14:paraId="0BD9843A" w14:textId="77777777" w:rsidR="00A61AAE" w:rsidRDefault="00507843">
      <w:pPr>
        <w:rPr>
          <w:sz w:val="18"/>
          <w:szCs w:val="18"/>
        </w:rPr>
      </w:pPr>
      <w:r>
        <w:rPr>
          <w:sz w:val="18"/>
          <w:szCs w:val="18"/>
        </w:rPr>
        <w:t>Parameter                      Pre-treatment     Post-</w:t>
      </w:r>
      <w:proofErr w:type="gramStart"/>
      <w:r>
        <w:rPr>
          <w:sz w:val="18"/>
          <w:szCs w:val="18"/>
        </w:rPr>
        <w:t>treatment</w:t>
      </w:r>
      <w:proofErr w:type="gramEnd"/>
      <w:r>
        <w:rPr>
          <w:sz w:val="18"/>
          <w:szCs w:val="18"/>
        </w:rPr>
        <w:t xml:space="preserve">      Mean Change      P Value</w:t>
      </w:r>
    </w:p>
    <w:p w14:paraId="32B26DE7" w14:textId="77777777" w:rsidR="00A61AAE" w:rsidRDefault="00507843">
      <w:pPr>
        <w:rPr>
          <w:sz w:val="18"/>
          <w:szCs w:val="18"/>
        </w:rPr>
      </w:pPr>
      <w:r>
        <w:rPr>
          <w:sz w:val="18"/>
          <w:szCs w:val="18"/>
        </w:rPr>
        <w:tab/>
      </w:r>
      <w:r>
        <w:rPr>
          <w:sz w:val="18"/>
          <w:szCs w:val="18"/>
        </w:rPr>
        <w:tab/>
        <w:t xml:space="preserve">                      (Mean ± </w:t>
      </w:r>
      <w:proofErr w:type="gramStart"/>
      <w:r>
        <w:rPr>
          <w:sz w:val="18"/>
          <w:szCs w:val="18"/>
        </w:rPr>
        <w:t xml:space="preserve">SD)   </w:t>
      </w:r>
      <w:proofErr w:type="gramEnd"/>
      <w:r>
        <w:rPr>
          <w:sz w:val="18"/>
          <w:szCs w:val="18"/>
        </w:rPr>
        <w:tab/>
        <w:t xml:space="preserve">  (Mean ± SD) </w:t>
      </w:r>
      <w:r>
        <w:rPr>
          <w:sz w:val="18"/>
          <w:szCs w:val="18"/>
        </w:rPr>
        <w:tab/>
        <w:t xml:space="preserve">      (Δ ± SD)</w:t>
      </w:r>
    </w:p>
    <w:p w14:paraId="022EFFAD" w14:textId="77777777" w:rsidR="00A61AAE" w:rsidRDefault="00507843">
      <w:pPr>
        <w:rPr>
          <w:sz w:val="18"/>
          <w:szCs w:val="18"/>
        </w:rPr>
      </w:pPr>
      <w:r>
        <w:rPr>
          <w:sz w:val="18"/>
          <w:szCs w:val="18"/>
        </w:rPr>
        <w:t>Sperm concentration (×10⁶/mL)    13.55 ± 1.43      13.30 ± 1.22       −0.25 ± 0.64       P = .096</w:t>
      </w:r>
    </w:p>
    <w:p w14:paraId="601351A2" w14:textId="77777777" w:rsidR="00A61AAE" w:rsidRDefault="00507843">
      <w:pPr>
        <w:rPr>
          <w:sz w:val="18"/>
          <w:szCs w:val="18"/>
        </w:rPr>
      </w:pPr>
      <w:r>
        <w:rPr>
          <w:sz w:val="18"/>
          <w:szCs w:val="18"/>
        </w:rPr>
        <w:t>Progressive motility (</w:t>
      </w:r>
      <w:proofErr w:type="gramStart"/>
      <w:r>
        <w:rPr>
          <w:sz w:val="18"/>
          <w:szCs w:val="18"/>
        </w:rPr>
        <w:t xml:space="preserve">%)   </w:t>
      </w:r>
      <w:proofErr w:type="gramEnd"/>
      <w:r>
        <w:rPr>
          <w:sz w:val="18"/>
          <w:szCs w:val="18"/>
        </w:rPr>
        <w:t xml:space="preserve">        29.05 ± 8.50      29.35 ± 8.30       +0.30 ± 0.92     </w:t>
      </w:r>
      <w:r>
        <w:rPr>
          <w:sz w:val="18"/>
          <w:szCs w:val="18"/>
        </w:rPr>
        <w:t xml:space="preserve">  P = .163</w:t>
      </w:r>
    </w:p>
    <w:p w14:paraId="602FA020" w14:textId="77777777" w:rsidR="00A61AAE" w:rsidRDefault="00507843">
      <w:pPr>
        <w:rPr>
          <w:sz w:val="18"/>
          <w:szCs w:val="18"/>
        </w:rPr>
      </w:pPr>
      <w:r>
        <w:rPr>
          <w:sz w:val="18"/>
          <w:szCs w:val="18"/>
        </w:rPr>
        <w:t>Abnormal morphology (</w:t>
      </w:r>
      <w:proofErr w:type="gramStart"/>
      <w:r>
        <w:rPr>
          <w:sz w:val="18"/>
          <w:szCs w:val="18"/>
        </w:rPr>
        <w:t xml:space="preserve">%)   </w:t>
      </w:r>
      <w:proofErr w:type="gramEnd"/>
      <w:r>
        <w:rPr>
          <w:sz w:val="18"/>
          <w:szCs w:val="18"/>
        </w:rPr>
        <w:t xml:space="preserve">      63.10 ± 8.61      63.35 ± 8.39       +0.25 ± 1.16       P = .349</w:t>
      </w:r>
    </w:p>
    <w:p w14:paraId="1E1EC82A" w14:textId="77777777" w:rsidR="00A61AAE" w:rsidRDefault="00507843">
      <w:pPr>
        <w:rPr>
          <w:sz w:val="18"/>
          <w:szCs w:val="18"/>
        </w:rPr>
      </w:pPr>
      <w:r>
        <w:rPr>
          <w:sz w:val="18"/>
          <w:szCs w:val="18"/>
        </w:rPr>
        <w:t>Dead sperm (</w:t>
      </w:r>
      <w:proofErr w:type="gramStart"/>
      <w:r>
        <w:rPr>
          <w:sz w:val="18"/>
          <w:szCs w:val="18"/>
        </w:rPr>
        <w:t xml:space="preserve">%)   </w:t>
      </w:r>
      <w:proofErr w:type="gramEnd"/>
      <w:r>
        <w:rPr>
          <w:sz w:val="18"/>
          <w:szCs w:val="18"/>
        </w:rPr>
        <w:t xml:space="preserve">               62.45 ± 6.12      62.45 ± 5.80       0.00 ± 1.38        P = .999</w:t>
      </w:r>
    </w:p>
    <w:p w14:paraId="1DF1B340" w14:textId="77777777" w:rsidR="00A61AAE" w:rsidRDefault="00507843">
      <w:pPr>
        <w:rPr>
          <w:sz w:val="18"/>
          <w:szCs w:val="18"/>
        </w:rPr>
      </w:pPr>
      <w:r>
        <w:rPr>
          <w:sz w:val="18"/>
          <w:szCs w:val="18"/>
        </w:rPr>
        <w:t>DNA Fragmentation Index (</w:t>
      </w:r>
      <w:proofErr w:type="gramStart"/>
      <w:r>
        <w:rPr>
          <w:sz w:val="18"/>
          <w:szCs w:val="18"/>
        </w:rPr>
        <w:t xml:space="preserve">%)   </w:t>
      </w:r>
      <w:proofErr w:type="gramEnd"/>
      <w:r>
        <w:rPr>
          <w:sz w:val="18"/>
          <w:szCs w:val="18"/>
        </w:rPr>
        <w:t xml:space="preserve">   39.70 ± 8.77      </w:t>
      </w:r>
      <w:r>
        <w:rPr>
          <w:sz w:val="18"/>
          <w:szCs w:val="18"/>
        </w:rPr>
        <w:t>39.45 ± 8.53      −0.25 ± 0.97        P = .262</w:t>
      </w:r>
    </w:p>
    <w:p w14:paraId="5C76565F" w14:textId="77777777" w:rsidR="00A61AAE" w:rsidRDefault="00A61AAE">
      <w:pPr>
        <w:rPr>
          <w:sz w:val="18"/>
          <w:szCs w:val="18"/>
        </w:rPr>
      </w:pPr>
    </w:p>
    <w:p w14:paraId="42DC5639" w14:textId="77777777" w:rsidR="00A61AAE" w:rsidRDefault="00507843">
      <w:pPr>
        <w:rPr>
          <w:sz w:val="18"/>
          <w:szCs w:val="18"/>
        </w:rPr>
      </w:pPr>
      <w:r>
        <w:rPr>
          <w:sz w:val="18"/>
          <w:szCs w:val="18"/>
        </w:rPr>
        <w:t>Values are expressed as mean ± standard deviation (SD).</w:t>
      </w:r>
    </w:p>
    <w:p w14:paraId="19E4AF23" w14:textId="77777777" w:rsidR="00A61AAE" w:rsidRDefault="00507843">
      <w:pPr>
        <w:rPr>
          <w:sz w:val="22"/>
        </w:rPr>
      </w:pPr>
      <w:r>
        <w:rPr>
          <w:sz w:val="18"/>
          <w:szCs w:val="18"/>
        </w:rPr>
        <w:t>Δ = Post-treatment minus pre-treatment.</w:t>
      </w:r>
    </w:p>
    <w:p w14:paraId="751F90CD" w14:textId="77777777" w:rsidR="00A61AAE" w:rsidRDefault="00A61AAE">
      <w:pPr>
        <w:rPr>
          <w:sz w:val="22"/>
        </w:rPr>
      </w:pPr>
    </w:p>
    <w:p w14:paraId="5703066D" w14:textId="77777777" w:rsidR="00A61AAE" w:rsidRDefault="00507843">
      <w:pPr>
        <w:rPr>
          <w:sz w:val="22"/>
        </w:rPr>
      </w:pPr>
      <w:r>
        <w:rPr>
          <w:sz w:val="22"/>
        </w:rPr>
        <w:t xml:space="preserve">To evaluate the treatment effect, change scores (Δ = post-treatment minus pre-treatment) were compared between </w:t>
      </w:r>
      <w:r>
        <w:rPr>
          <w:sz w:val="22"/>
        </w:rPr>
        <w:t>the methionine and placebo groups. Between-group analysis showed significantly greater improvements in progressive motility, abnormal morphology, dead sperm percentage, and DFI in the methionine group compared with placebo (all P&lt;.001). These findings were</w:t>
      </w:r>
      <w:r>
        <w:rPr>
          <w:sz w:val="22"/>
        </w:rPr>
        <w:t xml:space="preserve"> associated with very large effect sizes (Cohen’s d&gt;2), indicating a strong treatment effect. No significant between-group difference was observed in sperm concentration. Comparative results are presented in Table (4).</w:t>
      </w:r>
    </w:p>
    <w:p w14:paraId="2A1A6A7A" w14:textId="77777777" w:rsidR="00A61AAE" w:rsidRDefault="00A61AAE">
      <w:pPr>
        <w:rPr>
          <w:sz w:val="22"/>
        </w:rPr>
      </w:pPr>
    </w:p>
    <w:p w14:paraId="52738CDB"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Table 4. Between-Group Comparison of</w:t>
      </w:r>
      <w:r>
        <w:rPr>
          <w:rFonts w:ascii="DejaVu Math TeX Gyre" w:eastAsia="DejaVu Math TeX Gyre" w:hAnsi="DejaVu Math TeX Gyre"/>
          <w:sz w:val="18"/>
          <w:szCs w:val="18"/>
        </w:rPr>
        <w:t xml:space="preserve"> Changes After 12 Weeks</w:t>
      </w:r>
    </w:p>
    <w:p w14:paraId="35EF92CA" w14:textId="77777777" w:rsidR="00A61AAE" w:rsidRDefault="00A61AAE">
      <w:pPr>
        <w:pStyle w:val="CommentText"/>
        <w:jc w:val="both"/>
        <w:rPr>
          <w:rFonts w:ascii="DejaVu Math TeX Gyre" w:eastAsia="DejaVu Math TeX Gyre" w:hAnsi="DejaVu Math TeX Gyre"/>
          <w:sz w:val="20"/>
          <w:szCs w:val="20"/>
        </w:rPr>
      </w:pPr>
    </w:p>
    <w:p w14:paraId="42DF1212" w14:textId="77777777" w:rsidR="00A61AAE" w:rsidRDefault="00507843">
      <w:pPr>
        <w:pStyle w:val="CommentText"/>
        <w:jc w:val="both"/>
        <w:rPr>
          <w:rFonts w:ascii="DejaVu Math TeX Gyre" w:eastAsia="DejaVu Math TeX Gyre" w:hAnsi="DejaVu Math TeX Gyre"/>
          <w:b/>
          <w:bCs/>
          <w:sz w:val="18"/>
          <w:szCs w:val="18"/>
        </w:rPr>
      </w:pPr>
      <w:r>
        <w:rPr>
          <w:rFonts w:ascii="DejaVu Math TeX Gyre" w:eastAsia="DejaVu Math TeX Gyre" w:hAnsi="DejaVu Math TeX Gyre"/>
          <w:b/>
          <w:bCs/>
          <w:sz w:val="18"/>
          <w:szCs w:val="18"/>
        </w:rPr>
        <w:t xml:space="preserve">Parameter                       </w:t>
      </w:r>
      <w:r>
        <w:rPr>
          <w:rFonts w:ascii="DejaVu Math TeX Gyre" w:hAnsi="DejaVu Math TeX Gyre"/>
          <w:b/>
          <w:bCs/>
          <w:sz w:val="18"/>
          <w:szCs w:val="18"/>
        </w:rPr>
        <w:t>Δ</w:t>
      </w:r>
      <w:r>
        <w:rPr>
          <w:rFonts w:ascii="DejaVu Math TeX Gyre" w:eastAsia="DejaVu Math TeX Gyre" w:hAnsi="DejaVu Math TeX Gyre"/>
          <w:b/>
          <w:bCs/>
          <w:sz w:val="18"/>
          <w:szCs w:val="18"/>
        </w:rPr>
        <w:t xml:space="preserve"> Methionine         </w:t>
      </w:r>
      <w:r>
        <w:rPr>
          <w:rFonts w:ascii="DejaVu Math TeX Gyre" w:hAnsi="DejaVu Math TeX Gyre"/>
          <w:b/>
          <w:bCs/>
          <w:sz w:val="18"/>
          <w:szCs w:val="18"/>
        </w:rPr>
        <w:t>Δ</w:t>
      </w:r>
      <w:r>
        <w:rPr>
          <w:rFonts w:ascii="DejaVu Math TeX Gyre" w:eastAsia="DejaVu Math TeX Gyre" w:hAnsi="DejaVu Math TeX Gyre"/>
          <w:b/>
          <w:bCs/>
          <w:sz w:val="18"/>
          <w:szCs w:val="18"/>
        </w:rPr>
        <w:t xml:space="preserve"> Placebo     Cohen</w:t>
      </w:r>
      <w:r>
        <w:rPr>
          <w:rFonts w:ascii="DejaVu Math TeX Gyre" w:hAnsi="DejaVu Math TeX Gyre"/>
          <w:b/>
          <w:bCs/>
          <w:sz w:val="18"/>
          <w:szCs w:val="18"/>
        </w:rPr>
        <w:t>’</w:t>
      </w:r>
      <w:r>
        <w:rPr>
          <w:rFonts w:ascii="DejaVu Math TeX Gyre" w:eastAsia="DejaVu Math TeX Gyre" w:hAnsi="DejaVu Math TeX Gyre"/>
          <w:b/>
          <w:bCs/>
          <w:sz w:val="18"/>
          <w:szCs w:val="18"/>
        </w:rPr>
        <w:t>s d   P Value</w:t>
      </w:r>
    </w:p>
    <w:p w14:paraId="02C50958" w14:textId="77777777" w:rsidR="00A61AAE" w:rsidRDefault="00507843">
      <w:pPr>
        <w:pStyle w:val="ii"/>
        <w:rPr>
          <w:b/>
          <w:bCs/>
          <w:sz w:val="18"/>
          <w:szCs w:val="18"/>
        </w:rPr>
      </w:pPr>
      <w:r>
        <w:rPr>
          <w:b/>
          <w:bCs/>
          <w:sz w:val="18"/>
          <w:szCs w:val="18"/>
        </w:rPr>
        <w:tab/>
      </w:r>
      <w:r>
        <w:rPr>
          <w:b/>
          <w:bCs/>
          <w:sz w:val="18"/>
          <w:szCs w:val="18"/>
        </w:rPr>
        <w:tab/>
      </w:r>
      <w:r>
        <w:rPr>
          <w:b/>
          <w:bCs/>
          <w:sz w:val="18"/>
          <w:szCs w:val="18"/>
        </w:rPr>
        <w:tab/>
        <w:t xml:space="preserve">                     </w:t>
      </w:r>
      <w:r>
        <w:rPr>
          <w:rFonts w:ascii="DejaVu Math TeX Gyre" w:eastAsia="DejaVu Math TeX Gyre" w:hAnsi="DejaVu Math TeX Gyre"/>
          <w:b/>
          <w:bCs/>
          <w:sz w:val="18"/>
          <w:szCs w:val="18"/>
        </w:rPr>
        <w:t xml:space="preserve">(Mean </w:t>
      </w:r>
      <w:r>
        <w:rPr>
          <w:rFonts w:ascii="DejaVu Math TeX Gyre" w:hAnsi="DejaVu Math TeX Gyre"/>
          <w:b/>
          <w:bCs/>
          <w:sz w:val="18"/>
          <w:szCs w:val="18"/>
        </w:rPr>
        <w:t>±</w:t>
      </w:r>
      <w:r>
        <w:rPr>
          <w:rFonts w:ascii="DejaVu Math TeX Gyre" w:eastAsia="DejaVu Math TeX Gyre" w:hAnsi="DejaVu Math TeX Gyre"/>
          <w:b/>
          <w:bCs/>
          <w:sz w:val="18"/>
          <w:szCs w:val="18"/>
        </w:rPr>
        <w:t xml:space="preserve"> </w:t>
      </w:r>
      <w:proofErr w:type="gramStart"/>
      <w:r>
        <w:rPr>
          <w:rFonts w:ascii="DejaVu Math TeX Gyre" w:eastAsia="DejaVu Math TeX Gyre" w:hAnsi="DejaVu Math TeX Gyre"/>
          <w:b/>
          <w:bCs/>
          <w:sz w:val="18"/>
          <w:szCs w:val="18"/>
        </w:rPr>
        <w:t xml:space="preserve">SD)   </w:t>
      </w:r>
      <w:proofErr w:type="gramEnd"/>
      <w:r>
        <w:rPr>
          <w:rFonts w:ascii="DejaVu Math TeX Gyre" w:eastAsia="DejaVu Math TeX Gyre" w:hAnsi="DejaVu Math TeX Gyre"/>
          <w:b/>
          <w:bCs/>
          <w:sz w:val="18"/>
          <w:szCs w:val="18"/>
        </w:rPr>
        <w:t xml:space="preserve">     (Mean </w:t>
      </w:r>
      <w:r>
        <w:rPr>
          <w:rFonts w:ascii="DejaVu Math TeX Gyre" w:hAnsi="DejaVu Math TeX Gyre"/>
          <w:b/>
          <w:bCs/>
          <w:sz w:val="18"/>
          <w:szCs w:val="18"/>
        </w:rPr>
        <w:t>±</w:t>
      </w:r>
      <w:r>
        <w:rPr>
          <w:rFonts w:ascii="DejaVu Math TeX Gyre" w:eastAsia="DejaVu Math TeX Gyre" w:hAnsi="DejaVu Math TeX Gyre"/>
          <w:b/>
          <w:bCs/>
          <w:sz w:val="18"/>
          <w:szCs w:val="18"/>
        </w:rPr>
        <w:t xml:space="preserve"> SD)</w:t>
      </w:r>
    </w:p>
    <w:p w14:paraId="5C042F69"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Sperm concentration(</w:t>
      </w:r>
      <w:r>
        <w:rPr>
          <w:rFonts w:ascii="DejaVu Math TeX Gyre" w:hAnsi="DejaVu Math TeX Gyre"/>
          <w:sz w:val="18"/>
          <w:szCs w:val="18"/>
        </w:rPr>
        <w:t>×</w:t>
      </w:r>
      <w:r>
        <w:rPr>
          <w:rFonts w:ascii="DejaVu Math TeX Gyre" w:eastAsia="DejaVu Math TeX Gyre" w:hAnsi="DejaVu Math TeX Gyre"/>
          <w:sz w:val="18"/>
          <w:szCs w:val="18"/>
        </w:rPr>
        <w:t>10</w:t>
      </w:r>
      <w:r>
        <w:rPr>
          <w:rFonts w:ascii="DejaVu Math TeX Gyre" w:hAnsi="DejaVu Math TeX Gyre"/>
          <w:sz w:val="18"/>
          <w:szCs w:val="18"/>
        </w:rPr>
        <w:t>⁶</w:t>
      </w:r>
      <w:r>
        <w:rPr>
          <w:rFonts w:ascii="DejaVu Math TeX Gyre" w:eastAsia="DejaVu Math TeX Gyre" w:hAnsi="DejaVu Math TeX Gyre"/>
          <w:sz w:val="18"/>
          <w:szCs w:val="18"/>
        </w:rPr>
        <w:t xml:space="preserve">/mL)   −0.10 </w:t>
      </w:r>
      <w:r>
        <w:rPr>
          <w:rFonts w:ascii="DejaVu Math TeX Gyre" w:hAnsi="DejaVu Math TeX Gyre"/>
          <w:sz w:val="18"/>
          <w:szCs w:val="18"/>
        </w:rPr>
        <w:t>±</w:t>
      </w:r>
      <w:r>
        <w:rPr>
          <w:rFonts w:ascii="DejaVu Math TeX Gyre" w:eastAsia="DejaVu Math TeX Gyre" w:hAnsi="DejaVu Math TeX Gyre"/>
          <w:sz w:val="18"/>
          <w:szCs w:val="18"/>
        </w:rPr>
        <w:t xml:space="preserve"> 0.79        −0.25 </w:t>
      </w:r>
      <w:r>
        <w:rPr>
          <w:rFonts w:ascii="DejaVu Math TeX Gyre" w:hAnsi="DejaVu Math TeX Gyre"/>
          <w:sz w:val="18"/>
          <w:szCs w:val="18"/>
        </w:rPr>
        <w:t>±</w:t>
      </w:r>
      <w:r>
        <w:rPr>
          <w:rFonts w:ascii="DejaVu Math TeX Gyre" w:eastAsia="DejaVu Math TeX Gyre" w:hAnsi="DejaVu Math TeX Gyre"/>
          <w:sz w:val="18"/>
          <w:szCs w:val="18"/>
        </w:rPr>
        <w:t xml:space="preserve"> 0.64      0.21     P = .513</w:t>
      </w:r>
    </w:p>
    <w:p w14:paraId="279BC310"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Progressive motility (</w:t>
      </w:r>
      <w:proofErr w:type="gramStart"/>
      <w:r>
        <w:rPr>
          <w:rFonts w:ascii="DejaVu Math TeX Gyre" w:eastAsia="DejaVu Math TeX Gyre" w:hAnsi="DejaVu Math TeX Gyre"/>
          <w:sz w:val="18"/>
          <w:szCs w:val="18"/>
        </w:rPr>
        <w:t xml:space="preserve">%)   </w:t>
      </w:r>
      <w:proofErr w:type="gramEnd"/>
      <w:r>
        <w:rPr>
          <w:rFonts w:ascii="DejaVu Math TeX Gyre" w:eastAsia="DejaVu Math TeX Gyre" w:hAnsi="DejaVu Math TeX Gyre"/>
          <w:sz w:val="18"/>
          <w:szCs w:val="18"/>
        </w:rPr>
        <w:t xml:space="preserve">       +24.00 </w:t>
      </w:r>
      <w:r>
        <w:rPr>
          <w:rFonts w:ascii="DejaVu Math TeX Gyre" w:hAnsi="DejaVu Math TeX Gyre"/>
          <w:sz w:val="18"/>
          <w:szCs w:val="18"/>
        </w:rPr>
        <w:t>±</w:t>
      </w:r>
      <w:r>
        <w:rPr>
          <w:rFonts w:ascii="DejaVu Math TeX Gyre" w:eastAsia="DejaVu Math TeX Gyre" w:hAnsi="DejaVu Math TeX Gyre"/>
          <w:sz w:val="18"/>
          <w:szCs w:val="18"/>
        </w:rPr>
        <w:t xml:space="preserve"> 8.71        +0.30 </w:t>
      </w:r>
      <w:r>
        <w:rPr>
          <w:rFonts w:ascii="DejaVu Math TeX Gyre" w:hAnsi="DejaVu Math TeX Gyre"/>
          <w:sz w:val="18"/>
          <w:szCs w:val="18"/>
        </w:rPr>
        <w:t>±</w:t>
      </w:r>
      <w:r>
        <w:rPr>
          <w:rFonts w:ascii="DejaVu Math TeX Gyre" w:eastAsia="DejaVu Math TeX Gyre" w:hAnsi="DejaVu Math TeX Gyre"/>
          <w:sz w:val="18"/>
          <w:szCs w:val="18"/>
        </w:rPr>
        <w:t xml:space="preserve"> 0.92      3.83    P&lt;.001</w:t>
      </w:r>
    </w:p>
    <w:p w14:paraId="1D970738"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Abnormal morphology (</w:t>
      </w:r>
      <w:proofErr w:type="gramStart"/>
      <w:r>
        <w:rPr>
          <w:rFonts w:ascii="DejaVu Math TeX Gyre" w:eastAsia="DejaVu Math TeX Gyre" w:hAnsi="DejaVu Math TeX Gyre"/>
          <w:sz w:val="18"/>
          <w:szCs w:val="18"/>
        </w:rPr>
        <w:t xml:space="preserve">%)   </w:t>
      </w:r>
      <w:proofErr w:type="gramEnd"/>
      <w:r>
        <w:rPr>
          <w:rFonts w:ascii="DejaVu Math TeX Gyre" w:eastAsia="DejaVu Math TeX Gyre" w:hAnsi="DejaVu Math TeX Gyre"/>
          <w:sz w:val="18"/>
          <w:szCs w:val="18"/>
        </w:rPr>
        <w:t xml:space="preserve">     −16.95 </w:t>
      </w:r>
      <w:r>
        <w:rPr>
          <w:rFonts w:ascii="DejaVu Math TeX Gyre" w:hAnsi="DejaVu Math TeX Gyre"/>
          <w:sz w:val="18"/>
          <w:szCs w:val="18"/>
        </w:rPr>
        <w:t>±</w:t>
      </w:r>
      <w:r>
        <w:rPr>
          <w:rFonts w:ascii="DejaVu Math TeX Gyre" w:eastAsia="DejaVu Math TeX Gyre" w:hAnsi="DejaVu Math TeX Gyre"/>
          <w:sz w:val="18"/>
          <w:szCs w:val="18"/>
        </w:rPr>
        <w:t xml:space="preserve"> 4.95       +0.25 </w:t>
      </w:r>
      <w:r>
        <w:rPr>
          <w:rFonts w:ascii="DejaVu Math TeX Gyre" w:hAnsi="DejaVu Math TeX Gyre"/>
          <w:sz w:val="18"/>
          <w:szCs w:val="18"/>
        </w:rPr>
        <w:t>±</w:t>
      </w:r>
      <w:r>
        <w:rPr>
          <w:rFonts w:ascii="DejaVu Math TeX Gyre" w:eastAsia="DejaVu Math TeX Gyre" w:hAnsi="DejaVu Math TeX Gyre"/>
          <w:sz w:val="18"/>
          <w:szCs w:val="18"/>
        </w:rPr>
        <w:t xml:space="preserve"> 1.16      4.79     P&lt;.001</w:t>
      </w:r>
    </w:p>
    <w:p w14:paraId="45FCB0FB"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Dead sperm (</w:t>
      </w:r>
      <w:proofErr w:type="gramStart"/>
      <w:r>
        <w:rPr>
          <w:rFonts w:ascii="DejaVu Math TeX Gyre" w:eastAsia="DejaVu Math TeX Gyre" w:hAnsi="DejaVu Math TeX Gyre"/>
          <w:sz w:val="18"/>
          <w:szCs w:val="18"/>
        </w:rPr>
        <w:t xml:space="preserve">%)   </w:t>
      </w:r>
      <w:proofErr w:type="gramEnd"/>
      <w:r>
        <w:rPr>
          <w:rFonts w:ascii="DejaVu Math TeX Gyre" w:eastAsia="DejaVu Math TeX Gyre" w:hAnsi="DejaVu Math TeX Gyre"/>
          <w:sz w:val="18"/>
          <w:szCs w:val="18"/>
        </w:rPr>
        <w:t xml:space="preserve">               −16.80 </w:t>
      </w:r>
      <w:r>
        <w:rPr>
          <w:rFonts w:ascii="DejaVu Math TeX Gyre" w:hAnsi="DejaVu Math TeX Gyre"/>
          <w:sz w:val="18"/>
          <w:szCs w:val="18"/>
        </w:rPr>
        <w:t>±</w:t>
      </w:r>
      <w:r>
        <w:rPr>
          <w:rFonts w:ascii="DejaVu Math TeX Gyre" w:eastAsia="DejaVu Math TeX Gyre" w:hAnsi="DejaVu Math TeX Gyre"/>
          <w:sz w:val="18"/>
          <w:szCs w:val="18"/>
        </w:rPr>
        <w:t xml:space="preserve"> 4.95        0.00 </w:t>
      </w:r>
      <w:r>
        <w:rPr>
          <w:rFonts w:ascii="DejaVu Math TeX Gyre" w:hAnsi="DejaVu Math TeX Gyre"/>
          <w:sz w:val="18"/>
          <w:szCs w:val="18"/>
        </w:rPr>
        <w:t>±</w:t>
      </w:r>
      <w:r>
        <w:rPr>
          <w:rFonts w:ascii="DejaVu Math TeX Gyre" w:eastAsia="DejaVu Math TeX Gyre" w:hAnsi="DejaVu Math TeX Gyre"/>
          <w:sz w:val="18"/>
          <w:szCs w:val="18"/>
        </w:rPr>
        <w:t xml:space="preserve"> 1.38       4.63     P&lt;.</w:t>
      </w:r>
      <w:r>
        <w:rPr>
          <w:rFonts w:ascii="DejaVu Math TeX Gyre" w:eastAsia="DejaVu Math TeX Gyre" w:hAnsi="DejaVu Math TeX Gyre"/>
          <w:sz w:val="18"/>
          <w:szCs w:val="18"/>
        </w:rPr>
        <w:t>001</w:t>
      </w:r>
    </w:p>
    <w:p w14:paraId="0A1E6B86"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DNA Fragmentation Index (</w:t>
      </w:r>
      <w:proofErr w:type="gramStart"/>
      <w:r>
        <w:rPr>
          <w:rFonts w:ascii="DejaVu Math TeX Gyre" w:eastAsia="DejaVu Math TeX Gyre" w:hAnsi="DejaVu Math TeX Gyre"/>
          <w:sz w:val="18"/>
          <w:szCs w:val="18"/>
        </w:rPr>
        <w:t xml:space="preserve">%)   </w:t>
      </w:r>
      <w:proofErr w:type="gramEnd"/>
      <w:r>
        <w:rPr>
          <w:rFonts w:ascii="DejaVu Math TeX Gyre" w:eastAsia="DejaVu Math TeX Gyre" w:hAnsi="DejaVu Math TeX Gyre"/>
          <w:sz w:val="18"/>
          <w:szCs w:val="18"/>
        </w:rPr>
        <w:t xml:space="preserve"> −17.75 </w:t>
      </w:r>
      <w:r>
        <w:rPr>
          <w:rFonts w:ascii="DejaVu Math TeX Gyre" w:hAnsi="DejaVu Math TeX Gyre"/>
          <w:sz w:val="18"/>
          <w:szCs w:val="18"/>
        </w:rPr>
        <w:t>±</w:t>
      </w:r>
      <w:r>
        <w:rPr>
          <w:rFonts w:ascii="DejaVu Math TeX Gyre" w:eastAsia="DejaVu Math TeX Gyre" w:hAnsi="DejaVu Math TeX Gyre"/>
          <w:sz w:val="18"/>
          <w:szCs w:val="18"/>
        </w:rPr>
        <w:t xml:space="preserve"> 10.18     −0.25 </w:t>
      </w:r>
      <w:r>
        <w:rPr>
          <w:rFonts w:ascii="DejaVu Math TeX Gyre" w:hAnsi="DejaVu Math TeX Gyre"/>
          <w:sz w:val="18"/>
          <w:szCs w:val="18"/>
        </w:rPr>
        <w:t>±</w:t>
      </w:r>
      <w:r>
        <w:rPr>
          <w:rFonts w:ascii="DejaVu Math TeX Gyre" w:eastAsia="DejaVu Math TeX Gyre" w:hAnsi="DejaVu Math TeX Gyre"/>
          <w:sz w:val="18"/>
          <w:szCs w:val="18"/>
        </w:rPr>
        <w:t xml:space="preserve"> 0.97       2.42     P&lt;.001</w:t>
      </w:r>
    </w:p>
    <w:p w14:paraId="4C0F9B17" w14:textId="77777777" w:rsidR="00A61AAE" w:rsidRDefault="00A61AAE">
      <w:pPr>
        <w:pStyle w:val="CommentText"/>
        <w:jc w:val="both"/>
        <w:rPr>
          <w:rFonts w:ascii="DejaVu Math TeX Gyre" w:eastAsia="DejaVu Math TeX Gyre" w:hAnsi="DejaVu Math TeX Gyre"/>
          <w:sz w:val="18"/>
          <w:szCs w:val="18"/>
        </w:rPr>
      </w:pPr>
    </w:p>
    <w:p w14:paraId="0DBDB007" w14:textId="77777777" w:rsidR="00A61AAE" w:rsidRDefault="00507843">
      <w:pPr>
        <w:pStyle w:val="CommentText"/>
        <w:jc w:val="both"/>
        <w:rPr>
          <w:rFonts w:ascii="DejaVu Math TeX Gyre" w:eastAsia="DejaVu Math TeX Gyre" w:hAnsi="DejaVu Math TeX Gyre"/>
          <w:sz w:val="18"/>
          <w:szCs w:val="18"/>
        </w:rPr>
      </w:pPr>
      <w:r>
        <w:rPr>
          <w:rFonts w:ascii="DejaVu Math TeX Gyre" w:eastAsia="DejaVu Math TeX Gyre" w:hAnsi="DejaVu Math TeX Gyre"/>
          <w:sz w:val="18"/>
          <w:szCs w:val="18"/>
        </w:rPr>
        <w:t xml:space="preserve">Values are expressed as mean </w:t>
      </w:r>
      <w:r>
        <w:rPr>
          <w:rFonts w:ascii="DejaVu Math TeX Gyre" w:hAnsi="DejaVu Math TeX Gyre"/>
          <w:sz w:val="18"/>
          <w:szCs w:val="18"/>
        </w:rPr>
        <w:t>±</w:t>
      </w:r>
      <w:r>
        <w:rPr>
          <w:rFonts w:ascii="DejaVu Math TeX Gyre" w:eastAsia="DejaVu Math TeX Gyre" w:hAnsi="DejaVu Math TeX Gyre"/>
          <w:sz w:val="18"/>
          <w:szCs w:val="18"/>
        </w:rPr>
        <w:t xml:space="preserve"> standard deviation (SD).</w:t>
      </w:r>
    </w:p>
    <w:p w14:paraId="4116BAE2" w14:textId="77777777" w:rsidR="00A61AAE" w:rsidRDefault="00507843">
      <w:pPr>
        <w:rPr>
          <w:sz w:val="22"/>
        </w:rPr>
      </w:pPr>
      <w:r>
        <w:rPr>
          <w:rFonts w:ascii="DejaVu Math TeX Gyre" w:hAnsi="DejaVu Math TeX Gyre"/>
          <w:sz w:val="18"/>
          <w:szCs w:val="18"/>
        </w:rPr>
        <w:t>Δ</w:t>
      </w:r>
      <w:r>
        <w:rPr>
          <w:rFonts w:ascii="DejaVu Math TeX Gyre" w:eastAsia="DejaVu Math TeX Gyre" w:hAnsi="DejaVu Math TeX Gyre"/>
          <w:sz w:val="18"/>
          <w:szCs w:val="18"/>
        </w:rPr>
        <w:t xml:space="preserve"> = Post-treatment minus pre-treatment.</w:t>
      </w:r>
    </w:p>
    <w:p w14:paraId="200C4EBD" w14:textId="77777777" w:rsidR="00A61AAE" w:rsidRDefault="00A61AAE">
      <w:pPr>
        <w:rPr>
          <w:sz w:val="22"/>
        </w:rPr>
      </w:pPr>
    </w:p>
    <w:p w14:paraId="13356BF3" w14:textId="77777777" w:rsidR="00A61AAE" w:rsidRDefault="00507843">
      <w:pPr>
        <w:rPr>
          <w:sz w:val="22"/>
        </w:rPr>
      </w:pPr>
      <w:r>
        <w:rPr>
          <w:sz w:val="22"/>
        </w:rPr>
        <w:t>Graphical analysis further supported these findings. The reduction in</w:t>
      </w:r>
      <w:r>
        <w:rPr>
          <w:sz w:val="22"/>
        </w:rPr>
        <w:t xml:space="preserve"> DFI was significantly greater in the methionine group compared with placebo (Figure 1). </w:t>
      </w:r>
    </w:p>
    <w:p w14:paraId="037B011A" w14:textId="77777777" w:rsidR="00A61AAE" w:rsidRDefault="00A61AAE">
      <w:pPr>
        <w:rPr>
          <w:sz w:val="22"/>
        </w:rPr>
      </w:pPr>
    </w:p>
    <w:p w14:paraId="20E60249" w14:textId="77777777" w:rsidR="00A61AAE" w:rsidRDefault="00A61AAE">
      <w:pPr>
        <w:rPr>
          <w:sz w:val="22"/>
        </w:rPr>
      </w:pPr>
    </w:p>
    <w:p w14:paraId="32F27B12" w14:textId="77777777" w:rsidR="00A61AAE" w:rsidRDefault="00507843">
      <w:pPr>
        <w:rPr>
          <w:sz w:val="22"/>
        </w:rPr>
      </w:pPr>
      <w:r>
        <w:rPr>
          <w:sz w:val="22"/>
        </w:rPr>
        <w:t>Figure 1. Between-group comparison of change in sperm DNA fragmentation index after 12 weeks of intervention.</w:t>
      </w:r>
    </w:p>
    <w:p w14:paraId="1B681F22" w14:textId="77777777" w:rsidR="00A61AAE" w:rsidRDefault="00A61AAE">
      <w:pPr>
        <w:rPr>
          <w:sz w:val="22"/>
        </w:rPr>
      </w:pPr>
    </w:p>
    <w:p w14:paraId="047F1AAC" w14:textId="77777777" w:rsidR="00A61AAE" w:rsidRDefault="00507843">
      <w:pPr>
        <w:rPr>
          <w:sz w:val="22"/>
        </w:rPr>
      </w:pPr>
      <w:r>
        <w:rPr>
          <w:noProof/>
          <w:sz w:val="22"/>
        </w:rPr>
        <w:drawing>
          <wp:inline distT="0" distB="0" distL="85723" distR="85723" wp14:anchorId="6F682B44" wp14:editId="0A50CA24">
            <wp:extent cx="3620015" cy="2491510"/>
            <wp:effectExtent l="0" t="0" r="0" b="0"/>
            <wp:docPr id="1" name="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 3"/>
                    <pic:cNvPicPr/>
                  </pic:nvPicPr>
                  <pic:blipFill>
                    <a:blip r:embed="rId6"/>
                    <a:stretch>
                      <a:fillRect/>
                    </a:stretch>
                  </pic:blipFill>
                  <pic:spPr>
                    <a:xfrm>
                      <a:off x="0" y="0"/>
                      <a:ext cx="3620015" cy="2491510"/>
                    </a:xfrm>
                    <a:prstGeom prst="rect">
                      <a:avLst/>
                    </a:prstGeom>
                    <a:noFill/>
                    <a:ln w="12700" cap="flat" cmpd="sng">
                      <a:noFill/>
                      <a:prstDash val="solid"/>
                      <a:miter/>
                    </a:ln>
                  </pic:spPr>
                </pic:pic>
              </a:graphicData>
            </a:graphic>
          </wp:inline>
        </w:drawing>
      </w:r>
    </w:p>
    <w:p w14:paraId="1B2ED842" w14:textId="77777777" w:rsidR="00A61AAE" w:rsidRDefault="00A61AAE">
      <w:pPr>
        <w:rPr>
          <w:sz w:val="22"/>
        </w:rPr>
      </w:pPr>
    </w:p>
    <w:p w14:paraId="6F2B100D" w14:textId="77777777" w:rsidR="00A61AAE" w:rsidRDefault="00507843">
      <w:pPr>
        <w:ind w:firstLineChars="150" w:firstLine="330"/>
        <w:rPr>
          <w:i/>
          <w:iCs/>
          <w:sz w:val="22"/>
        </w:rPr>
      </w:pPr>
      <w:r>
        <w:rPr>
          <w:i/>
          <w:iCs/>
          <w:sz w:val="22"/>
        </w:rPr>
        <w:t>Error bars represent standard deviation. P&lt;.001 be</w:t>
      </w:r>
      <w:r>
        <w:rPr>
          <w:i/>
          <w:iCs/>
          <w:sz w:val="22"/>
        </w:rPr>
        <w:t>tween groups.</w:t>
      </w:r>
    </w:p>
    <w:p w14:paraId="6213A5C7" w14:textId="77777777" w:rsidR="00A61AAE" w:rsidRDefault="00A61AAE">
      <w:pPr>
        <w:rPr>
          <w:sz w:val="22"/>
        </w:rPr>
      </w:pPr>
    </w:p>
    <w:p w14:paraId="26CBA23B" w14:textId="77777777" w:rsidR="00A61AAE" w:rsidRDefault="00507843">
      <w:pPr>
        <w:ind w:firstLineChars="50" w:firstLine="110"/>
        <w:rPr>
          <w:sz w:val="22"/>
        </w:rPr>
      </w:pPr>
      <w:r>
        <w:rPr>
          <w:sz w:val="22"/>
        </w:rPr>
        <w:t>Similarly, progressive motility increased markedly in the methionine group (Figure 2).</w:t>
      </w:r>
    </w:p>
    <w:p w14:paraId="6D1B6A3A" w14:textId="77777777" w:rsidR="00A61AAE" w:rsidRDefault="00A61AAE">
      <w:pPr>
        <w:rPr>
          <w:sz w:val="22"/>
        </w:rPr>
      </w:pPr>
    </w:p>
    <w:p w14:paraId="4FC72722" w14:textId="77777777" w:rsidR="00A61AAE" w:rsidRDefault="00507843">
      <w:pPr>
        <w:rPr>
          <w:sz w:val="22"/>
        </w:rPr>
      </w:pPr>
      <w:r>
        <w:rPr>
          <w:sz w:val="22"/>
        </w:rPr>
        <w:t xml:space="preserve">Figure 2. Between-group comparison of change in progressive sperm motility after 12 weeks of intervention. </w:t>
      </w:r>
    </w:p>
    <w:p w14:paraId="26352B21" w14:textId="77777777" w:rsidR="00A61AAE" w:rsidRDefault="00A61AAE">
      <w:pPr>
        <w:rPr>
          <w:sz w:val="22"/>
        </w:rPr>
      </w:pPr>
    </w:p>
    <w:p w14:paraId="60C45A6B" w14:textId="77777777" w:rsidR="00A61AAE" w:rsidRDefault="00507843">
      <w:pPr>
        <w:rPr>
          <w:sz w:val="22"/>
        </w:rPr>
      </w:pPr>
      <w:r>
        <w:rPr>
          <w:noProof/>
          <w:sz w:val="22"/>
        </w:rPr>
        <w:drawing>
          <wp:inline distT="0" distB="0" distL="85723" distR="85723" wp14:anchorId="5867730F" wp14:editId="13B5F832">
            <wp:extent cx="3604050" cy="1973550"/>
            <wp:effectExtent l="0" t="0" r="0" b="0"/>
            <wp:docPr id="4" name="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 6"/>
                    <pic:cNvPicPr/>
                  </pic:nvPicPr>
                  <pic:blipFill>
                    <a:blip r:embed="rId7"/>
                    <a:stretch>
                      <a:fillRect/>
                    </a:stretch>
                  </pic:blipFill>
                  <pic:spPr>
                    <a:xfrm>
                      <a:off x="0" y="0"/>
                      <a:ext cx="3604050" cy="1973550"/>
                    </a:xfrm>
                    <a:prstGeom prst="rect">
                      <a:avLst/>
                    </a:prstGeom>
                    <a:noFill/>
                    <a:ln w="12700" cap="flat" cmpd="sng">
                      <a:noFill/>
                      <a:prstDash val="solid"/>
                      <a:miter/>
                    </a:ln>
                  </pic:spPr>
                </pic:pic>
              </a:graphicData>
            </a:graphic>
          </wp:inline>
        </w:drawing>
      </w:r>
    </w:p>
    <w:p w14:paraId="67CD9502" w14:textId="77777777" w:rsidR="00A61AAE" w:rsidRDefault="00A61AAE">
      <w:pPr>
        <w:rPr>
          <w:sz w:val="22"/>
        </w:rPr>
      </w:pPr>
    </w:p>
    <w:p w14:paraId="54DA5B45" w14:textId="77777777" w:rsidR="00A61AAE" w:rsidRDefault="00507843">
      <w:pPr>
        <w:ind w:firstLineChars="50" w:firstLine="110"/>
        <w:rPr>
          <w:i/>
          <w:iCs/>
          <w:sz w:val="22"/>
        </w:rPr>
      </w:pPr>
      <w:r>
        <w:rPr>
          <w:i/>
          <w:iCs/>
          <w:sz w:val="22"/>
        </w:rPr>
        <w:t xml:space="preserve">Error bars represent standard deviation. </w:t>
      </w:r>
      <w:r>
        <w:rPr>
          <w:i/>
          <w:iCs/>
          <w:sz w:val="22"/>
        </w:rPr>
        <w:t xml:space="preserve">P &lt; .001 between groups.  </w:t>
      </w:r>
    </w:p>
    <w:p w14:paraId="57EC5555" w14:textId="77777777" w:rsidR="00A61AAE" w:rsidRDefault="00A61AAE">
      <w:pPr>
        <w:rPr>
          <w:i/>
          <w:iCs/>
          <w:sz w:val="22"/>
        </w:rPr>
      </w:pPr>
    </w:p>
    <w:p w14:paraId="209293F8" w14:textId="77777777" w:rsidR="00A61AAE" w:rsidRDefault="00A61AAE">
      <w:pPr>
        <w:rPr>
          <w:sz w:val="22"/>
        </w:rPr>
      </w:pPr>
    </w:p>
    <w:p w14:paraId="32434EC3" w14:textId="77777777" w:rsidR="00A61AAE" w:rsidRDefault="00A61AAE">
      <w:pPr>
        <w:rPr>
          <w:sz w:val="22"/>
        </w:rPr>
      </w:pPr>
    </w:p>
    <w:p w14:paraId="5B31551F" w14:textId="77777777" w:rsidR="00A61AAE" w:rsidRDefault="00A61AAE">
      <w:pPr>
        <w:rPr>
          <w:sz w:val="22"/>
        </w:rPr>
      </w:pPr>
    </w:p>
    <w:p w14:paraId="0E9B6EA4" w14:textId="77777777" w:rsidR="00A61AAE" w:rsidRDefault="00507843">
      <w:pPr>
        <w:rPr>
          <w:sz w:val="22"/>
        </w:rPr>
      </w:pPr>
      <w:r>
        <w:rPr>
          <w:sz w:val="22"/>
        </w:rPr>
        <w:t>Correlation analysis within the methionine group showed a moderate inverse relationship between changes in DFI and progressive motility (r = −0.41, P = .076), as illustrated in Figure (3).</w:t>
      </w:r>
    </w:p>
    <w:p w14:paraId="7BF03E06" w14:textId="77777777" w:rsidR="00A61AAE" w:rsidRDefault="00A61AAE">
      <w:pPr>
        <w:rPr>
          <w:sz w:val="22"/>
        </w:rPr>
      </w:pPr>
    </w:p>
    <w:p w14:paraId="4A887214" w14:textId="77777777" w:rsidR="00A61AAE" w:rsidRDefault="00507843">
      <w:pPr>
        <w:rPr>
          <w:sz w:val="22"/>
        </w:rPr>
      </w:pPr>
      <w:r>
        <w:rPr>
          <w:rFonts w:hint="eastAsia"/>
          <w:sz w:val="22"/>
        </w:rPr>
        <w:t xml:space="preserve">Figure 3. Correlation between </w:t>
      </w:r>
      <w:r>
        <w:rPr>
          <w:rFonts w:hint="eastAsia"/>
          <w:sz w:val="22"/>
        </w:rPr>
        <w:t>changes in sperm DNA fragmentation index (</w:t>
      </w:r>
      <w:r>
        <w:rPr>
          <w:rFonts w:hint="eastAsia"/>
          <w:sz w:val="22"/>
        </w:rPr>
        <w:t>Δ</w:t>
      </w:r>
      <w:r>
        <w:rPr>
          <w:rFonts w:hint="eastAsia"/>
          <w:sz w:val="22"/>
        </w:rPr>
        <w:t>DFI) and progressive sperm motility in the methionine group.</w:t>
      </w:r>
    </w:p>
    <w:p w14:paraId="6F8D3384" w14:textId="77777777" w:rsidR="00A61AAE" w:rsidRDefault="00507843">
      <w:pPr>
        <w:rPr>
          <w:sz w:val="22"/>
        </w:rPr>
      </w:pPr>
      <w:r>
        <w:rPr>
          <w:noProof/>
          <w:sz w:val="22"/>
        </w:rPr>
        <w:lastRenderedPageBreak/>
        <w:drawing>
          <wp:inline distT="0" distB="0" distL="85723" distR="85723" wp14:anchorId="46FF3F4D" wp14:editId="492C3C19">
            <wp:extent cx="3607651" cy="2706964"/>
            <wp:effectExtent l="0" t="0" r="0" b="0"/>
            <wp:docPr id="7" name="Imag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 9"/>
                    <pic:cNvPicPr/>
                  </pic:nvPicPr>
                  <pic:blipFill>
                    <a:blip r:embed="rId8"/>
                    <a:stretch>
                      <a:fillRect/>
                    </a:stretch>
                  </pic:blipFill>
                  <pic:spPr>
                    <a:xfrm>
                      <a:off x="0" y="0"/>
                      <a:ext cx="3607651" cy="2706964"/>
                    </a:xfrm>
                    <a:prstGeom prst="rect">
                      <a:avLst/>
                    </a:prstGeom>
                    <a:noFill/>
                    <a:ln w="12700" cap="flat" cmpd="sng">
                      <a:noFill/>
                      <a:prstDash val="solid"/>
                      <a:miter/>
                    </a:ln>
                  </pic:spPr>
                </pic:pic>
              </a:graphicData>
            </a:graphic>
          </wp:inline>
        </w:drawing>
      </w:r>
    </w:p>
    <w:p w14:paraId="16FE4F62" w14:textId="77777777" w:rsidR="00A61AAE" w:rsidRDefault="00507843">
      <w:pPr>
        <w:ind w:firstLineChars="300" w:firstLine="600"/>
        <w:rPr>
          <w:rFonts w:ascii="DejaVu Math TeX Gyre" w:eastAsia="DejaVu Math TeX Gyre" w:hAnsi="DejaVu Math TeX Gyre"/>
          <w:i/>
          <w:iCs/>
          <w:sz w:val="20"/>
          <w:szCs w:val="20"/>
        </w:rPr>
      </w:pPr>
      <w:r>
        <w:rPr>
          <w:rFonts w:ascii="DejaVu Math TeX Gyre" w:eastAsia="DejaVu Math TeX Gyre" w:hAnsi="DejaVu Math TeX Gyre"/>
          <w:i/>
          <w:iCs/>
          <w:sz w:val="20"/>
          <w:szCs w:val="20"/>
        </w:rPr>
        <w:t>Pearson correlation coefficient: r = −0.41, P = .076.</w:t>
      </w:r>
    </w:p>
    <w:p w14:paraId="353822F7" w14:textId="77777777" w:rsidR="00A61AAE" w:rsidRDefault="00A61AAE">
      <w:pPr>
        <w:ind w:firstLineChars="400" w:firstLine="800"/>
        <w:rPr>
          <w:rFonts w:ascii="DejaVu Math TeX Gyre" w:eastAsia="DejaVu Math TeX Gyre" w:hAnsi="DejaVu Math TeX Gyre"/>
          <w:sz w:val="20"/>
          <w:szCs w:val="20"/>
        </w:rPr>
      </w:pPr>
    </w:p>
    <w:p w14:paraId="45A238B2" w14:textId="77777777" w:rsidR="00A61AAE" w:rsidRDefault="00A61AAE">
      <w:pPr>
        <w:ind w:firstLineChars="400" w:firstLine="880"/>
        <w:rPr>
          <w:sz w:val="22"/>
        </w:rPr>
      </w:pPr>
    </w:p>
    <w:p w14:paraId="7B65CBC5" w14:textId="77777777" w:rsidR="00A61AAE" w:rsidRDefault="00507843">
      <w:pPr>
        <w:rPr>
          <w:sz w:val="22"/>
        </w:rPr>
      </w:pPr>
      <w:r>
        <w:rPr>
          <w:sz w:val="22"/>
        </w:rPr>
        <w:t>DISCUSSION</w:t>
      </w:r>
    </w:p>
    <w:p w14:paraId="0B472CDF" w14:textId="77777777" w:rsidR="00A61AAE" w:rsidRDefault="00A61AAE">
      <w:pPr>
        <w:ind w:firstLineChars="400" w:firstLine="880"/>
        <w:rPr>
          <w:sz w:val="22"/>
        </w:rPr>
      </w:pPr>
    </w:p>
    <w:p w14:paraId="4491147E" w14:textId="77777777" w:rsidR="00A61AAE" w:rsidRDefault="00507843">
      <w:pPr>
        <w:ind w:firstLineChars="400" w:firstLine="880"/>
        <w:rPr>
          <w:sz w:val="22"/>
        </w:rPr>
      </w:pPr>
      <w:r>
        <w:rPr>
          <w:sz w:val="22"/>
        </w:rPr>
        <w:t xml:space="preserve">Sperm DNA fragmentation (DFI) is increasingly recognized as a key determinant of </w:t>
      </w:r>
      <w:r>
        <w:rPr>
          <w:sz w:val="22"/>
        </w:rPr>
        <w:t>male reproductive potential. In this study, elevated DFI was strongly associated with impaired semen quality, supporting its role as an important marker of male infertility. These findings are consistent with previous evidence linking high DFI levels to po</w:t>
      </w:r>
      <w:r>
        <w:rPr>
          <w:sz w:val="22"/>
        </w:rPr>
        <w:t>or fertilization outcomes, compromised embryo development, and increased risk of miscarriage [9,10].</w:t>
      </w:r>
    </w:p>
    <w:p w14:paraId="0CCC096E" w14:textId="77777777" w:rsidR="00A61AAE" w:rsidRDefault="00A61AAE">
      <w:pPr>
        <w:ind w:firstLineChars="400" w:firstLine="880"/>
        <w:rPr>
          <w:sz w:val="22"/>
        </w:rPr>
      </w:pPr>
    </w:p>
    <w:p w14:paraId="0A928AC5" w14:textId="77777777" w:rsidR="00A61AAE" w:rsidRDefault="00507843">
      <w:pPr>
        <w:ind w:firstLineChars="400" w:firstLine="880"/>
        <w:rPr>
          <w:sz w:val="22"/>
        </w:rPr>
      </w:pPr>
      <w:r>
        <w:rPr>
          <w:sz w:val="22"/>
        </w:rPr>
        <w:t>Previous studies evaluating antioxidant therapy in male infertility have reported inconsistent findings. While some studies demonstrated improvements in D</w:t>
      </w:r>
      <w:r>
        <w:rPr>
          <w:sz w:val="22"/>
        </w:rPr>
        <w:t>FI without significant changes in semen parameters, others showed improvements in semen quality without a corresponding reduction in DNA fragmentation [11–13]. These discrepancies suggest that non-specific antioxidant approaches may not adequately target t</w:t>
      </w:r>
      <w:r>
        <w:rPr>
          <w:sz w:val="22"/>
        </w:rPr>
        <w:t>he molecular mechanisms underlying sperm chromatin instability.</w:t>
      </w:r>
    </w:p>
    <w:p w14:paraId="32E257D2" w14:textId="77777777" w:rsidR="00A61AAE" w:rsidRDefault="00A61AAE">
      <w:pPr>
        <w:ind w:firstLineChars="400" w:firstLine="880"/>
        <w:rPr>
          <w:sz w:val="22"/>
        </w:rPr>
      </w:pPr>
    </w:p>
    <w:p w14:paraId="304FEC3B" w14:textId="77777777" w:rsidR="00A61AAE" w:rsidRDefault="00507843">
      <w:pPr>
        <w:ind w:firstLineChars="400" w:firstLine="880"/>
        <w:rPr>
          <w:sz w:val="22"/>
        </w:rPr>
      </w:pPr>
      <w:r>
        <w:rPr>
          <w:sz w:val="22"/>
        </w:rPr>
        <w:t>In contrast, the present findings suggest that L-methionine may exert broader functional effects, improving sperm motility, morphology, and viability in addition to reducing DNA fragmentation</w:t>
      </w:r>
      <w:r>
        <w:rPr>
          <w:sz w:val="22"/>
        </w:rPr>
        <w:t>. This difference may be explained by its distinct mechanism of action. Unlike conventional antioxidants that primarily reduce oxidative stress, L-methionine plays a central role in one-carbon metabolism and methylation processes.</w:t>
      </w:r>
    </w:p>
    <w:p w14:paraId="05265E37" w14:textId="77777777" w:rsidR="00A61AAE" w:rsidRDefault="00A61AAE">
      <w:pPr>
        <w:ind w:firstLineChars="400" w:firstLine="880"/>
        <w:rPr>
          <w:sz w:val="22"/>
        </w:rPr>
      </w:pPr>
    </w:p>
    <w:p w14:paraId="2BF92219" w14:textId="77777777" w:rsidR="00A61AAE" w:rsidRDefault="00507843">
      <w:pPr>
        <w:ind w:firstLineChars="400" w:firstLine="880"/>
        <w:rPr>
          <w:sz w:val="22"/>
        </w:rPr>
      </w:pPr>
      <w:r>
        <w:rPr>
          <w:sz w:val="22"/>
        </w:rPr>
        <w:t>As a precursor of S-aden</w:t>
      </w:r>
      <w:r>
        <w:rPr>
          <w:sz w:val="22"/>
        </w:rPr>
        <w:t>osylmethionine (SAM), L-methionine contributes to DNA methylation, histone modification, and chromatin stabilization [15]. Disruption of these processes has been associated with increased susceptibility to DNA damage [16]. Therefore, restoration of methyla</w:t>
      </w:r>
      <w:r>
        <w:rPr>
          <w:sz w:val="22"/>
        </w:rPr>
        <w:t xml:space="preserve">tion capacity may represent a targeted strategy </w:t>
      </w:r>
      <w:r>
        <w:rPr>
          <w:sz w:val="22"/>
        </w:rPr>
        <w:lastRenderedPageBreak/>
        <w:t>for improving sperm genomic integrity.</w:t>
      </w:r>
    </w:p>
    <w:p w14:paraId="0F9DE2D1" w14:textId="77777777" w:rsidR="00A61AAE" w:rsidRDefault="00A61AAE">
      <w:pPr>
        <w:ind w:firstLineChars="400" w:firstLine="880"/>
        <w:rPr>
          <w:sz w:val="22"/>
        </w:rPr>
      </w:pPr>
    </w:p>
    <w:p w14:paraId="37131536" w14:textId="77777777" w:rsidR="00A61AAE" w:rsidRDefault="00507843">
      <w:pPr>
        <w:ind w:firstLineChars="400" w:firstLine="880"/>
        <w:rPr>
          <w:sz w:val="22"/>
        </w:rPr>
      </w:pPr>
      <w:r>
        <w:rPr>
          <w:sz w:val="22"/>
        </w:rPr>
        <w:t>The improvement in sperm morphology and motility may also be related to the role of methionine in protein synthesis and mitochondrial function. Previous studies have su</w:t>
      </w:r>
      <w:r>
        <w:rPr>
          <w:sz w:val="22"/>
        </w:rPr>
        <w:t>ggested that methionine metabolism is associated with enhanced sperm quality and motility [17,18]. These mechanisms collectively support the functional benefits observed in this study.</w:t>
      </w:r>
    </w:p>
    <w:p w14:paraId="722195AD" w14:textId="77777777" w:rsidR="00A61AAE" w:rsidRDefault="00A61AAE">
      <w:pPr>
        <w:ind w:firstLineChars="400" w:firstLine="880"/>
        <w:rPr>
          <w:sz w:val="22"/>
        </w:rPr>
      </w:pPr>
    </w:p>
    <w:p w14:paraId="0D77FE9E" w14:textId="77777777" w:rsidR="00A61AAE" w:rsidRDefault="00507843">
      <w:pPr>
        <w:ind w:firstLineChars="400" w:firstLine="880"/>
        <w:rPr>
          <w:sz w:val="22"/>
        </w:rPr>
      </w:pPr>
      <w:r>
        <w:rPr>
          <w:sz w:val="22"/>
        </w:rPr>
        <w:t>Notably, sperm concentration did not show significant improvement, whi</w:t>
      </w:r>
      <w:r>
        <w:rPr>
          <w:sz w:val="22"/>
        </w:rPr>
        <w:t>ch may reflect the longer duration required for spermatogenesis. This suggests that functional sperm parameters and DNA integrity may be more responsive to short-term metabolic interventions.</w:t>
      </w:r>
    </w:p>
    <w:p w14:paraId="4F6FB51C" w14:textId="77777777" w:rsidR="00A61AAE" w:rsidRDefault="00A61AAE">
      <w:pPr>
        <w:ind w:firstLineChars="400" w:firstLine="880"/>
        <w:rPr>
          <w:sz w:val="22"/>
        </w:rPr>
      </w:pPr>
    </w:p>
    <w:p w14:paraId="0B83D87A" w14:textId="77777777" w:rsidR="00A61AAE" w:rsidRDefault="00507843">
      <w:pPr>
        <w:ind w:firstLineChars="400" w:firstLine="880"/>
        <w:rPr>
          <w:sz w:val="22"/>
        </w:rPr>
      </w:pPr>
      <w:r>
        <w:rPr>
          <w:sz w:val="22"/>
        </w:rPr>
        <w:t xml:space="preserve">From a clinical perspective, improving sperm DNA integrity may </w:t>
      </w:r>
      <w:r>
        <w:rPr>
          <w:sz w:val="22"/>
        </w:rPr>
        <w:t>have important implications for assisted reproductive techniques. Although clinical outcomes such as pregnancy and live birth rates were not assessed, the observed improvements in DFI provide a rationale for further investigation in this area.</w:t>
      </w:r>
    </w:p>
    <w:p w14:paraId="5C1489F9" w14:textId="77777777" w:rsidR="00A61AAE" w:rsidRDefault="00A61AAE">
      <w:pPr>
        <w:ind w:firstLineChars="400" w:firstLine="880"/>
        <w:rPr>
          <w:sz w:val="22"/>
        </w:rPr>
      </w:pPr>
    </w:p>
    <w:p w14:paraId="1AFE0481" w14:textId="77777777" w:rsidR="00A61AAE" w:rsidRDefault="00507843">
      <w:pPr>
        <w:ind w:firstLineChars="400" w:firstLine="880"/>
        <w:rPr>
          <w:sz w:val="22"/>
        </w:rPr>
      </w:pPr>
      <w:r>
        <w:rPr>
          <w:sz w:val="22"/>
        </w:rPr>
        <w:t>The strengt</w:t>
      </w:r>
      <w:r>
        <w:rPr>
          <w:sz w:val="22"/>
        </w:rPr>
        <w:t>hs of this study include its randomized, placebo-controlled design and the targeted inclusion of patients with elevated DFI. However, several limitations should be acknowledged, including the relatively small sample size and the lack of assessment of methy</w:t>
      </w:r>
      <w:r>
        <w:rPr>
          <w:sz w:val="22"/>
        </w:rPr>
        <w:t>lation or oxidative stress biomarkers.</w:t>
      </w:r>
    </w:p>
    <w:p w14:paraId="1DFF83AF" w14:textId="77777777" w:rsidR="00A61AAE" w:rsidRDefault="00A61AAE">
      <w:pPr>
        <w:ind w:firstLineChars="400" w:firstLine="880"/>
        <w:rPr>
          <w:sz w:val="22"/>
        </w:rPr>
      </w:pPr>
    </w:p>
    <w:p w14:paraId="6E6B9A9A" w14:textId="77777777" w:rsidR="00A61AAE" w:rsidRDefault="00507843">
      <w:pPr>
        <w:ind w:firstLineChars="400" w:firstLine="880"/>
        <w:rPr>
          <w:sz w:val="22"/>
        </w:rPr>
      </w:pPr>
      <w:r>
        <w:rPr>
          <w:sz w:val="22"/>
        </w:rPr>
        <w:t xml:space="preserve">A potential controversy raised by this study is whether targeted metabolic modulation may be more effective than conventional antioxidant therapy in improving sperm DNA integrity. Future studies with larger sample </w:t>
      </w:r>
      <w:r>
        <w:rPr>
          <w:sz w:val="22"/>
        </w:rPr>
        <w:t>sizes and molecular endpoints are needed to further evaluate this hypothesis and to assess clinical reproductive outcomes.</w:t>
      </w:r>
    </w:p>
    <w:p w14:paraId="3116F178" w14:textId="77777777" w:rsidR="00A61AAE" w:rsidRDefault="00A61AAE">
      <w:pPr>
        <w:ind w:firstLineChars="400" w:firstLine="880"/>
        <w:rPr>
          <w:sz w:val="22"/>
        </w:rPr>
      </w:pPr>
    </w:p>
    <w:p w14:paraId="583A553F" w14:textId="77777777" w:rsidR="00A61AAE" w:rsidRDefault="00507843">
      <w:pPr>
        <w:rPr>
          <w:sz w:val="22"/>
        </w:rPr>
      </w:pPr>
      <w:r>
        <w:rPr>
          <w:sz w:val="22"/>
        </w:rPr>
        <w:t>conclusion</w:t>
      </w:r>
    </w:p>
    <w:p w14:paraId="50E524C2" w14:textId="77777777" w:rsidR="00A61AAE" w:rsidRDefault="00507843">
      <w:pPr>
        <w:rPr>
          <w:sz w:val="22"/>
        </w:rPr>
      </w:pPr>
      <w:r>
        <w:rPr>
          <w:sz w:val="22"/>
        </w:rPr>
        <w:t xml:space="preserve"> L-methionine supplementation improves sperm DNA integrity and functional semen parameters in infertile men with elevated</w:t>
      </w:r>
      <w:r>
        <w:rPr>
          <w:sz w:val="22"/>
        </w:rPr>
        <w:t xml:space="preserve"> DFI, with minimal effect on sperm concentration. These findings suggest that targeting methylation-dependent pathways may represent a promising therapeutic strategy for male infertility associated with genomic instability.</w:t>
      </w:r>
    </w:p>
    <w:p w14:paraId="01BFFC46" w14:textId="77777777" w:rsidR="00A61AAE" w:rsidRDefault="00A61AAE">
      <w:pPr>
        <w:rPr>
          <w:sz w:val="22"/>
        </w:rPr>
      </w:pPr>
    </w:p>
    <w:p w14:paraId="3BD6B13D" w14:textId="77777777" w:rsidR="00A61AAE" w:rsidRDefault="00A61AAE">
      <w:pPr>
        <w:ind w:firstLineChars="200" w:firstLine="440"/>
        <w:rPr>
          <w:sz w:val="22"/>
        </w:rPr>
      </w:pPr>
      <w:bookmarkStart w:id="0" w:name="_GoBack"/>
      <w:bookmarkEnd w:id="0"/>
    </w:p>
    <w:p w14:paraId="365A3233" w14:textId="77777777" w:rsidR="00A61AAE" w:rsidRDefault="00507843">
      <w:pPr>
        <w:rPr>
          <w:sz w:val="22"/>
        </w:rPr>
      </w:pPr>
      <w:r>
        <w:rPr>
          <w:sz w:val="22"/>
        </w:rPr>
        <w:t xml:space="preserve">Conflicts of Interest </w:t>
      </w:r>
    </w:p>
    <w:p w14:paraId="3D449B7B" w14:textId="77777777" w:rsidR="00A61AAE" w:rsidRDefault="00507843">
      <w:pPr>
        <w:ind w:firstLineChars="200" w:firstLine="440"/>
        <w:rPr>
          <w:sz w:val="22"/>
        </w:rPr>
      </w:pPr>
      <w:r>
        <w:rPr>
          <w:sz w:val="22"/>
        </w:rPr>
        <w:t>The authors declare that t</w:t>
      </w:r>
      <w:r>
        <w:rPr>
          <w:sz w:val="22"/>
        </w:rPr>
        <w:t>here are no conflicts of interest regarding the publication of this study. This research did not receive any specific grant from funding agencies in the public, commercial, or not-for-profit sectors.</w:t>
      </w:r>
    </w:p>
    <w:p w14:paraId="44A69451" w14:textId="77777777" w:rsidR="00680770" w:rsidRDefault="00680770">
      <w:pPr>
        <w:ind w:firstLineChars="200" w:firstLine="440"/>
        <w:rPr>
          <w:sz w:val="22"/>
        </w:rPr>
      </w:pPr>
    </w:p>
    <w:p w14:paraId="769EE12F" w14:textId="77777777" w:rsidR="00680770" w:rsidRDefault="00680770">
      <w:pPr>
        <w:ind w:firstLineChars="200" w:firstLine="440"/>
        <w:rPr>
          <w:sz w:val="22"/>
        </w:rPr>
      </w:pPr>
    </w:p>
    <w:p w14:paraId="76817425" w14:textId="77777777" w:rsidR="00680770" w:rsidRPr="00680770" w:rsidRDefault="00680770" w:rsidP="00680770">
      <w:pPr>
        <w:widowControl/>
        <w:spacing w:after="200" w:line="276" w:lineRule="auto"/>
        <w:jc w:val="left"/>
        <w:rPr>
          <w:rFonts w:ascii="Arial" w:eastAsia="Times New Roman" w:hAnsi="Arial"/>
          <w:b/>
          <w:bCs/>
          <w:kern w:val="0"/>
          <w:sz w:val="22"/>
          <w:lang w:val="en-GB" w:eastAsia="en-GB"/>
        </w:rPr>
      </w:pPr>
      <w:r w:rsidRPr="00680770">
        <w:rPr>
          <w:rFonts w:ascii="Arial" w:eastAsia="Times New Roman" w:hAnsi="Arial"/>
          <w:b/>
          <w:bCs/>
          <w:kern w:val="0"/>
          <w:sz w:val="22"/>
          <w:lang w:val="en-GB" w:eastAsia="en-GB"/>
        </w:rPr>
        <w:t>COMPETING INTERESTS DISCLAIMER:</w:t>
      </w:r>
    </w:p>
    <w:p w14:paraId="5F519AE3" w14:textId="77777777" w:rsidR="00680770" w:rsidRPr="00680770" w:rsidRDefault="00680770" w:rsidP="00680770">
      <w:pPr>
        <w:widowControl/>
        <w:spacing w:after="200" w:line="276" w:lineRule="auto"/>
        <w:jc w:val="left"/>
        <w:rPr>
          <w:rFonts w:ascii="Calibri" w:eastAsia="Times New Roman" w:hAnsi="Calibri" w:cs="Times New Roman"/>
          <w:kern w:val="0"/>
          <w:sz w:val="22"/>
          <w:lang w:val="en-GB" w:eastAsia="en-GB"/>
        </w:rPr>
      </w:pPr>
      <w:r w:rsidRPr="00680770">
        <w:rPr>
          <w:rFonts w:ascii="Arial" w:eastAsia="Times New Roman" w:hAnsi="Arial"/>
          <w:kern w:val="0"/>
          <w:sz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35F1BF2A" w14:textId="77777777" w:rsidR="00680770" w:rsidRDefault="00680770">
      <w:pPr>
        <w:ind w:firstLineChars="200" w:firstLine="440"/>
        <w:rPr>
          <w:sz w:val="22"/>
        </w:rPr>
      </w:pPr>
    </w:p>
    <w:p w14:paraId="0C0D8611" w14:textId="77777777" w:rsidR="00A61AAE" w:rsidRDefault="00A61AAE">
      <w:pPr>
        <w:rPr>
          <w:sz w:val="22"/>
        </w:rPr>
      </w:pPr>
    </w:p>
    <w:p w14:paraId="7DDCFF7B" w14:textId="77777777" w:rsidR="00A61AAE" w:rsidRDefault="00507843">
      <w:pPr>
        <w:pStyle w:val="CommentText"/>
        <w:jc w:val="both"/>
        <w:rPr>
          <w:rFonts w:ascii="DejaVu Math TeX Gyre" w:eastAsia="DejaVu Math TeX Gyre" w:hAnsi="DejaVu Math TeX Gyre"/>
          <w:b/>
          <w:bCs/>
          <w:sz w:val="20"/>
          <w:szCs w:val="20"/>
        </w:rPr>
      </w:pPr>
      <w:r>
        <w:rPr>
          <w:rFonts w:ascii="DejaVu Math TeX Gyre" w:eastAsia="DejaVu Math TeX Gyre" w:hAnsi="DejaVu Math TeX Gyre"/>
          <w:b/>
          <w:bCs/>
          <w:sz w:val="20"/>
          <w:szCs w:val="20"/>
        </w:rPr>
        <w:t>References</w:t>
      </w:r>
    </w:p>
    <w:p w14:paraId="22421290" w14:textId="77777777" w:rsidR="00A61AAE" w:rsidRDefault="00A61AAE">
      <w:pPr>
        <w:pStyle w:val="CommentText"/>
        <w:jc w:val="both"/>
        <w:rPr>
          <w:rFonts w:ascii="DejaVu Math TeX Gyre" w:eastAsia="DejaVu Math TeX Gyre" w:hAnsi="DejaVu Math TeX Gyre"/>
          <w:b/>
          <w:bCs/>
          <w:sz w:val="20"/>
          <w:szCs w:val="20"/>
        </w:rPr>
      </w:pPr>
    </w:p>
    <w:p w14:paraId="5BCEE1F9"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 M. Vander </w:t>
      </w:r>
      <w:proofErr w:type="spellStart"/>
      <w:r>
        <w:rPr>
          <w:rFonts w:ascii="DejaVu Math TeX Gyre" w:eastAsia="DejaVu Math TeX Gyre" w:hAnsi="DejaVu Math TeX Gyre"/>
          <w:sz w:val="20"/>
          <w:szCs w:val="20"/>
        </w:rPr>
        <w:t>Borght</w:t>
      </w:r>
      <w:proofErr w:type="spellEnd"/>
      <w:r>
        <w:rPr>
          <w:rFonts w:ascii="DejaVu Math TeX Gyre" w:eastAsia="DejaVu Math TeX Gyre" w:hAnsi="DejaVu Math TeX Gyre"/>
          <w:sz w:val="20"/>
          <w:szCs w:val="20"/>
        </w:rPr>
        <w:t xml:space="preserve"> and C. Wyns, </w:t>
      </w:r>
      <w:r>
        <w:rPr>
          <w:rFonts w:ascii="DejaVu Math TeX Gyre" w:hAnsi="DejaVu Math TeX Gyre"/>
          <w:sz w:val="20"/>
          <w:szCs w:val="20"/>
        </w:rPr>
        <w:t>“</w:t>
      </w:r>
      <w:r>
        <w:rPr>
          <w:rFonts w:ascii="DejaVu Math TeX Gyre" w:eastAsia="DejaVu Math TeX Gyre" w:hAnsi="DejaVu Math TeX Gyre"/>
          <w:sz w:val="20"/>
          <w:szCs w:val="20"/>
        </w:rPr>
        <w:t xml:space="preserve">Fertility and infertility: </w:t>
      </w:r>
      <w:r>
        <w:rPr>
          <w:rFonts w:ascii="DejaVu Math TeX Gyre" w:eastAsia="DejaVu Math TeX Gyre" w:hAnsi="DejaVu Math TeX Gyre"/>
          <w:sz w:val="20"/>
          <w:szCs w:val="20"/>
        </w:rPr>
        <w:t>Definition and epidemiology,</w:t>
      </w:r>
      <w:r>
        <w:rPr>
          <w:rFonts w:ascii="DejaVu Math TeX Gyre" w:hAnsi="DejaVu Math TeX Gyre"/>
          <w:sz w:val="20"/>
          <w:szCs w:val="20"/>
        </w:rPr>
        <w:t>”</w:t>
      </w:r>
      <w:r>
        <w:rPr>
          <w:rFonts w:ascii="DejaVu Math TeX Gyre" w:eastAsia="DejaVu Math TeX Gyre" w:hAnsi="DejaVu Math TeX Gyre"/>
          <w:sz w:val="20"/>
          <w:szCs w:val="20"/>
        </w:rPr>
        <w:t xml:space="preserve"> Clin. </w:t>
      </w:r>
      <w:proofErr w:type="spellStart"/>
      <w:r>
        <w:rPr>
          <w:rFonts w:ascii="DejaVu Math TeX Gyre" w:eastAsia="DejaVu Math TeX Gyre" w:hAnsi="DejaVu Math TeX Gyre"/>
          <w:sz w:val="20"/>
          <w:szCs w:val="20"/>
        </w:rPr>
        <w:t>Biochem</w:t>
      </w:r>
      <w:proofErr w:type="spellEnd"/>
      <w:r>
        <w:rPr>
          <w:rFonts w:ascii="DejaVu Math TeX Gyre" w:eastAsia="DejaVu Math TeX Gyre" w:hAnsi="DejaVu Math TeX Gyre"/>
          <w:sz w:val="20"/>
          <w:szCs w:val="20"/>
        </w:rPr>
        <w:t>., vol. 62, pp. 2</w:t>
      </w:r>
      <w:r>
        <w:rPr>
          <w:rFonts w:ascii="DejaVu Math TeX Gyre" w:hAnsi="DejaVu Math TeX Gyre"/>
          <w:sz w:val="20"/>
          <w:szCs w:val="20"/>
        </w:rPr>
        <w:t>–</w:t>
      </w:r>
      <w:r>
        <w:rPr>
          <w:rFonts w:ascii="DejaVu Math TeX Gyre" w:eastAsia="DejaVu Math TeX Gyre" w:hAnsi="DejaVu Math TeX Gyre"/>
          <w:sz w:val="20"/>
          <w:szCs w:val="20"/>
        </w:rPr>
        <w:t>10, 2018.</w:t>
      </w:r>
    </w:p>
    <w:p w14:paraId="2ABFE81F"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[2] P. </w:t>
      </w:r>
      <w:proofErr w:type="spellStart"/>
      <w:r>
        <w:rPr>
          <w:rFonts w:ascii="DejaVu Math TeX Gyre" w:eastAsia="DejaVu Math TeX Gyre" w:hAnsi="DejaVu Math TeX Gyre"/>
          <w:sz w:val="20"/>
          <w:szCs w:val="20"/>
        </w:rPr>
        <w:t>Thonneau</w:t>
      </w:r>
      <w:proofErr w:type="spellEnd"/>
      <w:r>
        <w:rPr>
          <w:rFonts w:ascii="DejaVu Math TeX Gyre" w:eastAsia="DejaVu Math TeX Gyre" w:hAnsi="DejaVu Math TeX Gyre"/>
          <w:sz w:val="20"/>
          <w:szCs w:val="20"/>
        </w:rPr>
        <w:t xml:space="preserve"> et al., </w:t>
      </w:r>
      <w:r>
        <w:rPr>
          <w:rFonts w:ascii="DejaVu Math TeX Gyre" w:hAnsi="DejaVu Math TeX Gyre"/>
          <w:sz w:val="20"/>
          <w:szCs w:val="20"/>
        </w:rPr>
        <w:t>“</w:t>
      </w:r>
      <w:r>
        <w:rPr>
          <w:rFonts w:ascii="DejaVu Math TeX Gyre" w:eastAsia="DejaVu Math TeX Gyre" w:hAnsi="DejaVu Math TeX Gyre"/>
          <w:sz w:val="20"/>
          <w:szCs w:val="20"/>
        </w:rPr>
        <w:t>Incidence and main causes of infertility in a resident population (1,850,000) of three French regions (1988</w:t>
      </w:r>
      <w:r>
        <w:rPr>
          <w:rFonts w:ascii="DejaVu Math TeX Gyre" w:hAnsi="DejaVu Math TeX Gyre"/>
          <w:sz w:val="20"/>
          <w:szCs w:val="20"/>
        </w:rPr>
        <w:t>–</w:t>
      </w:r>
      <w:r>
        <w:rPr>
          <w:rFonts w:ascii="DejaVu Math TeX Gyre" w:eastAsia="DejaVu Math TeX Gyre" w:hAnsi="DejaVu Math TeX Gyre"/>
          <w:sz w:val="20"/>
          <w:szCs w:val="20"/>
        </w:rPr>
        <w:t>1989),</w:t>
      </w:r>
      <w:r>
        <w:rPr>
          <w:rFonts w:ascii="DejaVu Math TeX Gyre" w:hAnsi="DejaVu Math TeX Gyre"/>
          <w:sz w:val="20"/>
          <w:szCs w:val="20"/>
        </w:rPr>
        <w:t>”</w:t>
      </w:r>
      <w:r>
        <w:rPr>
          <w:rFonts w:ascii="DejaVu Math TeX Gyre" w:eastAsia="DejaVu Math TeX Gyre" w:hAnsi="DejaVu Math TeX Gyre"/>
          <w:sz w:val="20"/>
          <w:szCs w:val="20"/>
        </w:rPr>
        <w:t xml:space="preserve"> Hum. </w:t>
      </w:r>
      <w:proofErr w:type="spellStart"/>
      <w:r>
        <w:rPr>
          <w:rFonts w:ascii="DejaVu Math TeX Gyre" w:eastAsia="DejaVu Math TeX Gyre" w:hAnsi="DejaVu Math TeX Gyre"/>
          <w:sz w:val="20"/>
          <w:szCs w:val="20"/>
        </w:rPr>
        <w:t>Reprod</w:t>
      </w:r>
      <w:proofErr w:type="spellEnd"/>
      <w:r>
        <w:rPr>
          <w:rFonts w:ascii="DejaVu Math TeX Gyre" w:eastAsia="DejaVu Math TeX Gyre" w:hAnsi="DejaVu Math TeX Gyre"/>
          <w:sz w:val="20"/>
          <w:szCs w:val="20"/>
        </w:rPr>
        <w:t>., vol. 6, no. 6, pp. 811</w:t>
      </w:r>
      <w:r>
        <w:rPr>
          <w:rFonts w:ascii="DejaVu Math TeX Gyre" w:hAnsi="DejaVu Math TeX Gyre"/>
          <w:sz w:val="20"/>
          <w:szCs w:val="20"/>
        </w:rPr>
        <w:t>–</w:t>
      </w:r>
      <w:r>
        <w:rPr>
          <w:rFonts w:ascii="DejaVu Math TeX Gyre" w:eastAsia="DejaVu Math TeX Gyre" w:hAnsi="DejaVu Math TeX Gyre"/>
          <w:sz w:val="20"/>
          <w:szCs w:val="20"/>
        </w:rPr>
        <w:t>816, 19</w:t>
      </w:r>
      <w:r>
        <w:rPr>
          <w:rFonts w:ascii="DejaVu Math TeX Gyre" w:eastAsia="DejaVu Math TeX Gyre" w:hAnsi="DejaVu Math TeX Gyre"/>
          <w:sz w:val="20"/>
          <w:szCs w:val="20"/>
        </w:rPr>
        <w:t>91.</w:t>
      </w:r>
    </w:p>
    <w:p w14:paraId="1F38BEDC"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[3] C. L. R. Barratt et al., </w:t>
      </w:r>
      <w:r>
        <w:rPr>
          <w:rFonts w:ascii="DejaVu Math TeX Gyre" w:hAnsi="DejaVu Math TeX Gyre"/>
          <w:sz w:val="20"/>
          <w:szCs w:val="20"/>
        </w:rPr>
        <w:t>“</w:t>
      </w:r>
      <w:r>
        <w:rPr>
          <w:rFonts w:ascii="DejaVu Math TeX Gyre" w:eastAsia="DejaVu Math TeX Gyre" w:hAnsi="DejaVu Math TeX Gyre"/>
          <w:sz w:val="20"/>
          <w:szCs w:val="20"/>
        </w:rPr>
        <w:t>The diagnosis of male infertility: Evidence supporting global WHO guidance and future research priorities,</w:t>
      </w:r>
      <w:r>
        <w:rPr>
          <w:rFonts w:ascii="DejaVu Math TeX Gyre" w:hAnsi="DejaVu Math TeX Gyre"/>
          <w:sz w:val="20"/>
          <w:szCs w:val="20"/>
        </w:rPr>
        <w:t>”</w:t>
      </w:r>
      <w:r>
        <w:rPr>
          <w:rFonts w:ascii="DejaVu Math TeX Gyre" w:eastAsia="DejaVu Math TeX Gyre" w:hAnsi="DejaVu Math TeX Gyre"/>
          <w:sz w:val="20"/>
          <w:szCs w:val="20"/>
        </w:rPr>
        <w:t xml:space="preserve"> Hum. </w:t>
      </w:r>
      <w:proofErr w:type="spellStart"/>
      <w:r>
        <w:rPr>
          <w:rFonts w:ascii="DejaVu Math TeX Gyre" w:eastAsia="DejaVu Math TeX Gyre" w:hAnsi="DejaVu Math TeX Gyre"/>
          <w:sz w:val="20"/>
          <w:szCs w:val="20"/>
        </w:rPr>
        <w:t>Reprod</w:t>
      </w:r>
      <w:proofErr w:type="spellEnd"/>
      <w:r>
        <w:rPr>
          <w:rFonts w:ascii="DejaVu Math TeX Gyre" w:eastAsia="DejaVu Math TeX Gyre" w:hAnsi="DejaVu Math TeX Gyre"/>
          <w:sz w:val="20"/>
          <w:szCs w:val="20"/>
        </w:rPr>
        <w:t>. Update, vol. 23, no. 6, pp. 660</w:t>
      </w:r>
      <w:r>
        <w:rPr>
          <w:rFonts w:ascii="DejaVu Math TeX Gyre" w:hAnsi="DejaVu Math TeX Gyre"/>
          <w:sz w:val="20"/>
          <w:szCs w:val="20"/>
        </w:rPr>
        <w:t>–</w:t>
      </w:r>
      <w:r>
        <w:rPr>
          <w:rFonts w:ascii="DejaVu Math TeX Gyre" w:eastAsia="DejaVu Math TeX Gyre" w:hAnsi="DejaVu Math TeX Gyre"/>
          <w:sz w:val="20"/>
          <w:szCs w:val="20"/>
        </w:rPr>
        <w:t>680, 2017.</w:t>
      </w:r>
    </w:p>
    <w:p w14:paraId="5EFED057"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[4] M. Sigman, L. I. Lipshultz, and S. S. Howards, *Office</w:t>
      </w:r>
      <w:r>
        <w:rPr>
          <w:rFonts w:ascii="DejaVu Math TeX Gyre" w:eastAsia="DejaVu Math TeX Gyre" w:hAnsi="DejaVu Math TeX Gyre"/>
          <w:sz w:val="20"/>
          <w:szCs w:val="20"/>
        </w:rPr>
        <w:t xml:space="preserve"> Evaluation of the </w:t>
      </w:r>
      <w:proofErr w:type="spellStart"/>
      <w:r>
        <w:rPr>
          <w:rFonts w:ascii="DejaVu Math TeX Gyre" w:eastAsia="DejaVu Math TeX Gyre" w:hAnsi="DejaVu Math TeX Gyre"/>
          <w:sz w:val="20"/>
          <w:szCs w:val="20"/>
        </w:rPr>
        <w:t>Subfertile</w:t>
      </w:r>
      <w:proofErr w:type="spellEnd"/>
      <w:r>
        <w:rPr>
          <w:rFonts w:ascii="DejaVu Math TeX Gyre" w:eastAsia="DejaVu Math TeX Gyre" w:hAnsi="DejaVu Math TeX Gyre"/>
          <w:sz w:val="20"/>
          <w:szCs w:val="20"/>
        </w:rPr>
        <w:t xml:space="preserve"> Male*, 4th ed. New York, NY, USA: Cambridge Univ. Press, 2009, pp. 176.</w:t>
      </w:r>
    </w:p>
    <w:p w14:paraId="708B9250"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[5] N. Zhao, X. L. Lu, J. T. Li, and J. M. Zhang, </w:t>
      </w:r>
      <w:r>
        <w:rPr>
          <w:rFonts w:ascii="DejaVu Math TeX Gyre" w:hAnsi="DejaVu Math TeX Gyre"/>
          <w:sz w:val="20"/>
          <w:szCs w:val="20"/>
        </w:rPr>
        <w:t>“</w:t>
      </w:r>
      <w:r>
        <w:rPr>
          <w:rFonts w:ascii="DejaVu Math TeX Gyre" w:eastAsia="DejaVu Math TeX Gyre" w:hAnsi="DejaVu Math TeX Gyre"/>
          <w:sz w:val="20"/>
          <w:szCs w:val="20"/>
        </w:rPr>
        <w:t xml:space="preserve">Treatment of idiopathic </w:t>
      </w:r>
      <w:proofErr w:type="spellStart"/>
      <w:r>
        <w:rPr>
          <w:rFonts w:ascii="DejaVu Math TeX Gyre" w:eastAsia="DejaVu Math TeX Gyre" w:hAnsi="DejaVu Math TeX Gyre"/>
          <w:sz w:val="20"/>
          <w:szCs w:val="20"/>
        </w:rPr>
        <w:t>oligozoospermia</w:t>
      </w:r>
      <w:proofErr w:type="spellEnd"/>
      <w:r>
        <w:rPr>
          <w:rFonts w:ascii="DejaVu Math TeX Gyre" w:eastAsia="DejaVu Math TeX Gyre" w:hAnsi="DejaVu Math TeX Gyre"/>
          <w:sz w:val="20"/>
          <w:szCs w:val="20"/>
        </w:rPr>
        <w:t xml:space="preserve"> with combined human chorionic gonadotropin and human menopausal</w:t>
      </w:r>
      <w:r>
        <w:rPr>
          <w:rFonts w:ascii="DejaVu Math TeX Gyre" w:eastAsia="DejaVu Math TeX Gyre" w:hAnsi="DejaVu Math TeX Gyre"/>
          <w:sz w:val="20"/>
          <w:szCs w:val="20"/>
        </w:rPr>
        <w:t xml:space="preserve"> gonadotrophin: A randomized, double-blind, placebo-controlled clinical study,</w:t>
      </w:r>
      <w:r>
        <w:rPr>
          <w:rFonts w:ascii="DejaVu Math TeX Gyre" w:hAnsi="DejaVu Math TeX Gyre"/>
          <w:sz w:val="20"/>
          <w:szCs w:val="20"/>
        </w:rPr>
        <w:t>”</w:t>
      </w:r>
      <w:r>
        <w:rPr>
          <w:rFonts w:ascii="DejaVu Math TeX Gyre" w:eastAsia="DejaVu Math TeX Gyre" w:hAnsi="DejaVu Math TeX Gyre"/>
          <w:sz w:val="20"/>
          <w:szCs w:val="20"/>
        </w:rPr>
        <w:t xml:space="preserve"> </w:t>
      </w:r>
      <w:proofErr w:type="spellStart"/>
      <w:r>
        <w:rPr>
          <w:rFonts w:ascii="DejaVu Math TeX Gyre" w:eastAsia="DejaVu Math TeX Gyre" w:hAnsi="DejaVu Math TeX Gyre"/>
          <w:sz w:val="20"/>
          <w:szCs w:val="20"/>
        </w:rPr>
        <w:t>Andrologia</w:t>
      </w:r>
      <w:proofErr w:type="spellEnd"/>
      <w:r>
        <w:rPr>
          <w:rFonts w:ascii="DejaVu Math TeX Gyre" w:eastAsia="DejaVu Math TeX Gyre" w:hAnsi="DejaVu Math TeX Gyre"/>
          <w:sz w:val="20"/>
          <w:szCs w:val="20"/>
        </w:rPr>
        <w:t>, vol. 51, no. 6, Art. no. e13271, 2019.</w:t>
      </w:r>
    </w:p>
    <w:p w14:paraId="3578F8CE"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[6] Y. Zhang et al., </w:t>
      </w:r>
      <w:r>
        <w:rPr>
          <w:rFonts w:ascii="DejaVu Math TeX Gyre" w:hAnsi="DejaVu Math TeX Gyre"/>
          <w:sz w:val="20"/>
          <w:szCs w:val="20"/>
        </w:rPr>
        <w:t>“</w:t>
      </w:r>
      <w:r>
        <w:rPr>
          <w:rFonts w:ascii="DejaVu Math TeX Gyre" w:eastAsia="DejaVu Math TeX Gyre" w:hAnsi="DejaVu Math TeX Gyre"/>
          <w:sz w:val="20"/>
          <w:szCs w:val="20"/>
        </w:rPr>
        <w:t>Methionine restriction: Association with redox homeostasis and implications for aging and disease,</w:t>
      </w:r>
      <w:r>
        <w:rPr>
          <w:rFonts w:ascii="DejaVu Math TeX Gyre" w:hAnsi="DejaVu Math TeX Gyre"/>
          <w:sz w:val="20"/>
          <w:szCs w:val="20"/>
        </w:rPr>
        <w:t>”</w:t>
      </w:r>
      <w:r>
        <w:rPr>
          <w:rFonts w:ascii="DejaVu Math TeX Gyre" w:eastAsia="DejaVu Math TeX Gyre" w:hAnsi="DejaVu Math TeX Gyre"/>
          <w:sz w:val="20"/>
          <w:szCs w:val="20"/>
        </w:rPr>
        <w:t xml:space="preserve"> Red</w:t>
      </w:r>
      <w:r>
        <w:rPr>
          <w:rFonts w:ascii="DejaVu Math TeX Gyre" w:eastAsia="DejaVu Math TeX Gyre" w:hAnsi="DejaVu Math TeX Gyre"/>
          <w:sz w:val="20"/>
          <w:szCs w:val="20"/>
        </w:rPr>
        <w:t>ox Biol., vol. 57, Art. no. 102464, 2022.</w:t>
      </w:r>
    </w:p>
    <w:p w14:paraId="7CEDC67B"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[7] L. Lauinger and P. Kaiser, </w:t>
      </w:r>
      <w:r>
        <w:rPr>
          <w:rFonts w:ascii="DejaVu Math TeX Gyre" w:hAnsi="DejaVu Math TeX Gyre"/>
          <w:sz w:val="20"/>
          <w:szCs w:val="20"/>
        </w:rPr>
        <w:t>“</w:t>
      </w:r>
      <w:r>
        <w:rPr>
          <w:rFonts w:ascii="DejaVu Math TeX Gyre" w:eastAsia="DejaVu Math TeX Gyre" w:hAnsi="DejaVu Math TeX Gyre"/>
          <w:sz w:val="20"/>
          <w:szCs w:val="20"/>
        </w:rPr>
        <w:t>Sensing and signaling of methionine metabolism,</w:t>
      </w:r>
      <w:r>
        <w:rPr>
          <w:rFonts w:ascii="DejaVu Math TeX Gyre" w:hAnsi="DejaVu Math TeX Gyre"/>
          <w:sz w:val="20"/>
          <w:szCs w:val="20"/>
        </w:rPr>
        <w:t>”</w:t>
      </w:r>
      <w:r>
        <w:rPr>
          <w:rFonts w:ascii="DejaVu Math TeX Gyre" w:eastAsia="DejaVu Math TeX Gyre" w:hAnsi="DejaVu Math TeX Gyre"/>
          <w:sz w:val="20"/>
          <w:szCs w:val="20"/>
        </w:rPr>
        <w:t xml:space="preserve"> Metabolites, vol. 11, no. 2, Art. no. 83, 2021.</w:t>
      </w:r>
    </w:p>
    <w:p w14:paraId="48E4601C"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[8] M. </w:t>
      </w:r>
      <w:proofErr w:type="spellStart"/>
      <w:r>
        <w:rPr>
          <w:rFonts w:ascii="DejaVu Math TeX Gyre" w:eastAsia="DejaVu Math TeX Gyre" w:hAnsi="DejaVu Math TeX Gyre"/>
          <w:sz w:val="20"/>
          <w:szCs w:val="20"/>
        </w:rPr>
        <w:t>Sepidarkish</w:t>
      </w:r>
      <w:proofErr w:type="spellEnd"/>
      <w:r>
        <w:rPr>
          <w:rFonts w:ascii="DejaVu Math TeX Gyre" w:eastAsia="DejaVu Math TeX Gyre" w:hAnsi="DejaVu Math TeX Gyre"/>
          <w:sz w:val="20"/>
          <w:szCs w:val="20"/>
        </w:rPr>
        <w:t xml:space="preserve"> et al., </w:t>
      </w:r>
      <w:r>
        <w:rPr>
          <w:rFonts w:ascii="DejaVu Math TeX Gyre" w:hAnsi="DejaVu Math TeX Gyre"/>
          <w:sz w:val="20"/>
          <w:szCs w:val="20"/>
        </w:rPr>
        <w:t>“</w:t>
      </w:r>
      <w:r>
        <w:rPr>
          <w:rFonts w:ascii="DejaVu Math TeX Gyre" w:eastAsia="DejaVu Math TeX Gyre" w:hAnsi="DejaVu Math TeX Gyre"/>
          <w:sz w:val="20"/>
          <w:szCs w:val="20"/>
        </w:rPr>
        <w:t>The effect of body mass index on sperm DNA fragmentation:</w:t>
      </w:r>
      <w:r>
        <w:rPr>
          <w:rFonts w:ascii="DejaVu Math TeX Gyre" w:eastAsia="DejaVu Math TeX Gyre" w:hAnsi="DejaVu Math TeX Gyre"/>
          <w:sz w:val="20"/>
          <w:szCs w:val="20"/>
        </w:rPr>
        <w:t xml:space="preserve"> A systematic review and meta-analysis,</w:t>
      </w:r>
      <w:r>
        <w:rPr>
          <w:rFonts w:ascii="DejaVu Math TeX Gyre" w:hAnsi="DejaVu Math TeX Gyre"/>
          <w:sz w:val="20"/>
          <w:szCs w:val="20"/>
        </w:rPr>
        <w:t>”</w:t>
      </w:r>
      <w:r>
        <w:rPr>
          <w:rFonts w:ascii="DejaVu Math TeX Gyre" w:eastAsia="DejaVu Math TeX Gyre" w:hAnsi="DejaVu Math TeX Gyre"/>
          <w:sz w:val="20"/>
          <w:szCs w:val="20"/>
        </w:rPr>
        <w:t xml:space="preserve"> Int. J. </w:t>
      </w:r>
      <w:proofErr w:type="spellStart"/>
      <w:r>
        <w:rPr>
          <w:rFonts w:ascii="DejaVu Math TeX Gyre" w:eastAsia="DejaVu Math TeX Gyre" w:hAnsi="DejaVu Math TeX Gyre"/>
          <w:sz w:val="20"/>
          <w:szCs w:val="20"/>
        </w:rPr>
        <w:t>Obes</w:t>
      </w:r>
      <w:proofErr w:type="spellEnd"/>
      <w:r>
        <w:rPr>
          <w:rFonts w:ascii="DejaVu Math TeX Gyre" w:eastAsia="DejaVu Math TeX Gyre" w:hAnsi="DejaVu Math TeX Gyre"/>
          <w:sz w:val="20"/>
          <w:szCs w:val="20"/>
        </w:rPr>
        <w:t>., vol. 44, no. 3, pp. 549</w:t>
      </w:r>
      <w:r>
        <w:rPr>
          <w:rFonts w:ascii="DejaVu Math TeX Gyre" w:hAnsi="DejaVu Math TeX Gyre"/>
          <w:sz w:val="20"/>
          <w:szCs w:val="20"/>
        </w:rPr>
        <w:t>–</w:t>
      </w:r>
      <w:r>
        <w:rPr>
          <w:rFonts w:ascii="DejaVu Math TeX Gyre" w:eastAsia="DejaVu Math TeX Gyre" w:hAnsi="DejaVu Math TeX Gyre"/>
          <w:sz w:val="20"/>
          <w:szCs w:val="20"/>
        </w:rPr>
        <w:t>558, 2020.</w:t>
      </w:r>
    </w:p>
    <w:p w14:paraId="7C47DCB9"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[9] L. </w:t>
      </w:r>
      <w:proofErr w:type="spellStart"/>
      <w:r>
        <w:rPr>
          <w:rFonts w:ascii="DejaVu Math TeX Gyre" w:eastAsia="DejaVu Math TeX Gyre" w:hAnsi="DejaVu Math TeX Gyre"/>
          <w:sz w:val="20"/>
          <w:szCs w:val="20"/>
        </w:rPr>
        <w:t>Kooshesh</w:t>
      </w:r>
      <w:proofErr w:type="spellEnd"/>
      <w:r>
        <w:rPr>
          <w:rFonts w:ascii="DejaVu Math TeX Gyre" w:eastAsia="DejaVu Math TeX Gyre" w:hAnsi="DejaVu Math TeX Gyre"/>
          <w:sz w:val="20"/>
          <w:szCs w:val="20"/>
        </w:rPr>
        <w:t xml:space="preserve"> et al., </w:t>
      </w:r>
      <w:r>
        <w:rPr>
          <w:rFonts w:ascii="DejaVu Math TeX Gyre" w:hAnsi="DejaVu Math TeX Gyre"/>
          <w:sz w:val="20"/>
          <w:szCs w:val="20"/>
        </w:rPr>
        <w:t>“</w:t>
      </w:r>
      <w:r>
        <w:rPr>
          <w:rFonts w:ascii="DejaVu Math TeX Gyre" w:eastAsia="DejaVu Math TeX Gyre" w:hAnsi="DejaVu Math TeX Gyre"/>
          <w:sz w:val="20"/>
          <w:szCs w:val="20"/>
        </w:rPr>
        <w:t>Effect of letrozole on sperm parameters, chromatin status, and reactive oxygen species levels in idiopathic oligo/</w:t>
      </w:r>
      <w:proofErr w:type="spellStart"/>
      <w:r>
        <w:rPr>
          <w:rFonts w:ascii="DejaVu Math TeX Gyre" w:eastAsia="DejaVu Math TeX Gyre" w:hAnsi="DejaVu Math TeX Gyre"/>
          <w:sz w:val="20"/>
          <w:szCs w:val="20"/>
        </w:rPr>
        <w:t>astheno</w:t>
      </w:r>
      <w:proofErr w:type="spellEnd"/>
      <w:r>
        <w:rPr>
          <w:rFonts w:ascii="DejaVu Math TeX Gyre" w:eastAsia="DejaVu Math TeX Gyre" w:hAnsi="DejaVu Math TeX Gyre"/>
          <w:sz w:val="20"/>
          <w:szCs w:val="20"/>
        </w:rPr>
        <w:t>/</w:t>
      </w:r>
      <w:proofErr w:type="spellStart"/>
      <w:r>
        <w:rPr>
          <w:rFonts w:ascii="DejaVu Math TeX Gyre" w:eastAsia="DejaVu Math TeX Gyre" w:hAnsi="DejaVu Math TeX Gyre"/>
          <w:sz w:val="20"/>
          <w:szCs w:val="20"/>
        </w:rPr>
        <w:t>teratozoospermia</w:t>
      </w:r>
      <w:proofErr w:type="spellEnd"/>
      <w:r>
        <w:rPr>
          <w:rFonts w:ascii="DejaVu Math TeX Gyre" w:eastAsia="DejaVu Math TeX Gyre" w:hAnsi="DejaVu Math TeX Gyre"/>
          <w:sz w:val="20"/>
          <w:szCs w:val="20"/>
        </w:rPr>
        <w:t>,</w:t>
      </w:r>
      <w:r>
        <w:rPr>
          <w:rFonts w:ascii="DejaVu Math TeX Gyre" w:hAnsi="DejaVu Math TeX Gyre"/>
          <w:sz w:val="20"/>
          <w:szCs w:val="20"/>
        </w:rPr>
        <w:t>”</w:t>
      </w:r>
      <w:r>
        <w:rPr>
          <w:rFonts w:ascii="DejaVu Math TeX Gyre" w:eastAsia="DejaVu Math TeX Gyre" w:hAnsi="DejaVu Math TeX Gyre"/>
          <w:sz w:val="20"/>
          <w:szCs w:val="20"/>
        </w:rPr>
        <w:t xml:space="preserve"> </w:t>
      </w:r>
      <w:proofErr w:type="spellStart"/>
      <w:r>
        <w:rPr>
          <w:rFonts w:ascii="DejaVu Math TeX Gyre" w:eastAsia="DejaVu Math TeX Gyre" w:hAnsi="DejaVu Math TeX Gyre"/>
          <w:sz w:val="20"/>
          <w:szCs w:val="20"/>
        </w:rPr>
        <w:t>Reprod</w:t>
      </w:r>
      <w:proofErr w:type="spellEnd"/>
      <w:r>
        <w:rPr>
          <w:rFonts w:ascii="DejaVu Math TeX Gyre" w:eastAsia="DejaVu Math TeX Gyre" w:hAnsi="DejaVu Math TeX Gyre"/>
          <w:sz w:val="20"/>
          <w:szCs w:val="20"/>
        </w:rPr>
        <w:t>. Biol. Endocrinol., vol. 18, no. 1, Art. no. 47, 2020.</w:t>
      </w:r>
    </w:p>
    <w:p w14:paraId="6BEB9B24"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[10] L. Simon, B. Emery, and D. T. Carrell, </w:t>
      </w:r>
      <w:r>
        <w:rPr>
          <w:rFonts w:ascii="DejaVu Math TeX Gyre" w:hAnsi="DejaVu Math TeX Gyre"/>
          <w:sz w:val="20"/>
          <w:szCs w:val="20"/>
        </w:rPr>
        <w:t>“</w:t>
      </w:r>
      <w:r>
        <w:rPr>
          <w:rFonts w:ascii="DejaVu Math TeX Gyre" w:eastAsia="DejaVu Math TeX Gyre" w:hAnsi="DejaVu Math TeX Gyre"/>
          <w:sz w:val="20"/>
          <w:szCs w:val="20"/>
        </w:rPr>
        <w:t>Sperm DNA fragmentation: Consequences for reproduction,</w:t>
      </w:r>
      <w:r>
        <w:rPr>
          <w:rFonts w:ascii="DejaVu Math TeX Gyre" w:hAnsi="DejaVu Math TeX Gyre"/>
          <w:sz w:val="20"/>
          <w:szCs w:val="20"/>
        </w:rPr>
        <w:t>”</w:t>
      </w:r>
      <w:r>
        <w:rPr>
          <w:rFonts w:ascii="DejaVu Math TeX Gyre" w:eastAsia="DejaVu Math TeX Gyre" w:hAnsi="DejaVu Math TeX Gyre"/>
          <w:sz w:val="20"/>
          <w:szCs w:val="20"/>
        </w:rPr>
        <w:t xml:space="preserve"> Adv. Exp. Med. Biol., vol. 1166, pp. 87</w:t>
      </w:r>
      <w:r>
        <w:rPr>
          <w:rFonts w:ascii="DejaVu Math TeX Gyre" w:hAnsi="DejaVu Math TeX Gyre"/>
          <w:sz w:val="20"/>
          <w:szCs w:val="20"/>
        </w:rPr>
        <w:t>–</w:t>
      </w:r>
      <w:r>
        <w:rPr>
          <w:rFonts w:ascii="DejaVu Math TeX Gyre" w:eastAsia="DejaVu Math TeX Gyre" w:hAnsi="DejaVu Math TeX Gyre"/>
          <w:sz w:val="20"/>
          <w:szCs w:val="20"/>
        </w:rPr>
        <w:t>105, 2019.</w:t>
      </w:r>
    </w:p>
    <w:p w14:paraId="48ABB0AF"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[11] P. Humaidan et al., </w:t>
      </w:r>
      <w:r>
        <w:rPr>
          <w:rFonts w:ascii="DejaVu Math TeX Gyre" w:hAnsi="DejaVu Math TeX Gyre"/>
          <w:sz w:val="20"/>
          <w:szCs w:val="20"/>
        </w:rPr>
        <w:t>“</w:t>
      </w:r>
      <w:r>
        <w:rPr>
          <w:rFonts w:ascii="DejaVu Math TeX Gyre" w:eastAsia="DejaVu Math TeX Gyre" w:hAnsi="DejaVu Math TeX Gyre"/>
          <w:sz w:val="20"/>
          <w:szCs w:val="20"/>
        </w:rPr>
        <w:t>The combined e</w:t>
      </w:r>
      <w:r>
        <w:rPr>
          <w:rFonts w:ascii="DejaVu Math TeX Gyre" w:eastAsia="DejaVu Math TeX Gyre" w:hAnsi="DejaVu Math TeX Gyre"/>
          <w:sz w:val="20"/>
          <w:szCs w:val="20"/>
        </w:rPr>
        <w:t>ffect of lifestyle intervention and antioxidant therapy on sperm DNA fragmentation and seminal oxidative stress in IVF patients: A pilot study,</w:t>
      </w:r>
      <w:r>
        <w:rPr>
          <w:rFonts w:ascii="DejaVu Math TeX Gyre" w:hAnsi="DejaVu Math TeX Gyre"/>
          <w:sz w:val="20"/>
          <w:szCs w:val="20"/>
        </w:rPr>
        <w:t>”</w:t>
      </w:r>
      <w:r>
        <w:rPr>
          <w:rFonts w:ascii="DejaVu Math TeX Gyre" w:eastAsia="DejaVu Math TeX Gyre" w:hAnsi="DejaVu Math TeX Gyre"/>
          <w:sz w:val="20"/>
          <w:szCs w:val="20"/>
        </w:rPr>
        <w:t xml:space="preserve"> Int. Braz. J. Urol., vol. 48, no. 1, pp. 131</w:t>
      </w:r>
      <w:r>
        <w:rPr>
          <w:rFonts w:ascii="DejaVu Math TeX Gyre" w:hAnsi="DejaVu Math TeX Gyre"/>
          <w:sz w:val="20"/>
          <w:szCs w:val="20"/>
        </w:rPr>
        <w:t>–</w:t>
      </w:r>
      <w:r>
        <w:rPr>
          <w:rFonts w:ascii="DejaVu Math TeX Gyre" w:eastAsia="DejaVu Math TeX Gyre" w:hAnsi="DejaVu Math TeX Gyre"/>
          <w:sz w:val="20"/>
          <w:szCs w:val="20"/>
        </w:rPr>
        <w:t>156, 2022.</w:t>
      </w:r>
    </w:p>
    <w:p w14:paraId="7DA6061B"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[12] A. Agarwal et al., </w:t>
      </w:r>
      <w:r>
        <w:rPr>
          <w:rFonts w:ascii="DejaVu Math TeX Gyre" w:hAnsi="DejaVu Math TeX Gyre"/>
          <w:sz w:val="20"/>
          <w:szCs w:val="20"/>
        </w:rPr>
        <w:t>“</w:t>
      </w:r>
      <w:r>
        <w:rPr>
          <w:rFonts w:ascii="DejaVu Math TeX Gyre" w:eastAsia="DejaVu Math TeX Gyre" w:hAnsi="DejaVu Math TeX Gyre"/>
          <w:sz w:val="20"/>
          <w:szCs w:val="20"/>
        </w:rPr>
        <w:t xml:space="preserve">Impact of antioxidant therapy </w:t>
      </w:r>
      <w:r>
        <w:rPr>
          <w:rFonts w:ascii="DejaVu Math TeX Gyre" w:eastAsia="DejaVu Math TeX Gyre" w:hAnsi="DejaVu Math TeX Gyre"/>
          <w:sz w:val="20"/>
          <w:szCs w:val="20"/>
        </w:rPr>
        <w:t>on natural pregnancy outcomes and semen parameters in infertile men: A systematic review and meta-analysis of randomized controlled trials,</w:t>
      </w:r>
      <w:r>
        <w:rPr>
          <w:rFonts w:ascii="DejaVu Math TeX Gyre" w:hAnsi="DejaVu Math TeX Gyre"/>
          <w:sz w:val="20"/>
          <w:szCs w:val="20"/>
        </w:rPr>
        <w:t>”</w:t>
      </w:r>
      <w:r>
        <w:rPr>
          <w:rFonts w:ascii="DejaVu Math TeX Gyre" w:eastAsia="DejaVu Math TeX Gyre" w:hAnsi="DejaVu Math TeX Gyre"/>
          <w:sz w:val="20"/>
          <w:szCs w:val="20"/>
        </w:rPr>
        <w:t xml:space="preserve"> World J. </w:t>
      </w:r>
      <w:proofErr w:type="spellStart"/>
      <w:r>
        <w:rPr>
          <w:rFonts w:ascii="DejaVu Math TeX Gyre" w:eastAsia="DejaVu Math TeX Gyre" w:hAnsi="DejaVu Math TeX Gyre"/>
          <w:sz w:val="20"/>
          <w:szCs w:val="20"/>
        </w:rPr>
        <w:t>Mens</w:t>
      </w:r>
      <w:proofErr w:type="spellEnd"/>
      <w:r>
        <w:rPr>
          <w:rFonts w:ascii="DejaVu Math TeX Gyre" w:eastAsia="DejaVu Math TeX Gyre" w:hAnsi="DejaVu Math TeX Gyre"/>
          <w:sz w:val="20"/>
          <w:szCs w:val="20"/>
        </w:rPr>
        <w:t xml:space="preserve"> Health, vol. 41, no. 1, pp. 14</w:t>
      </w:r>
      <w:r>
        <w:rPr>
          <w:rFonts w:ascii="DejaVu Math TeX Gyre" w:hAnsi="DejaVu Math TeX Gyre"/>
          <w:sz w:val="20"/>
          <w:szCs w:val="20"/>
        </w:rPr>
        <w:t>–</w:t>
      </w:r>
      <w:r>
        <w:rPr>
          <w:rFonts w:ascii="DejaVu Math TeX Gyre" w:eastAsia="DejaVu Math TeX Gyre" w:hAnsi="DejaVu Math TeX Gyre"/>
          <w:sz w:val="20"/>
          <w:szCs w:val="20"/>
        </w:rPr>
        <w:t>48, 2023.</w:t>
      </w:r>
    </w:p>
    <w:p w14:paraId="65454686"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[13] A. Patki et al., </w:t>
      </w:r>
      <w:r>
        <w:rPr>
          <w:rFonts w:ascii="DejaVu Math TeX Gyre" w:hAnsi="DejaVu Math TeX Gyre"/>
          <w:sz w:val="20"/>
          <w:szCs w:val="20"/>
        </w:rPr>
        <w:t>“</w:t>
      </w:r>
      <w:r>
        <w:rPr>
          <w:rFonts w:ascii="DejaVu Math TeX Gyre" w:eastAsia="DejaVu Math TeX Gyre" w:hAnsi="DejaVu Math TeX Gyre"/>
          <w:sz w:val="20"/>
          <w:szCs w:val="20"/>
        </w:rPr>
        <w:t>Impact of antioxidants on semen param</w:t>
      </w:r>
      <w:r>
        <w:rPr>
          <w:rFonts w:ascii="DejaVu Math TeX Gyre" w:eastAsia="DejaVu Math TeX Gyre" w:hAnsi="DejaVu Math TeX Gyre"/>
          <w:sz w:val="20"/>
          <w:szCs w:val="20"/>
        </w:rPr>
        <w:t xml:space="preserve">eters and DNA fragmentation in </w:t>
      </w:r>
      <w:proofErr w:type="spellStart"/>
      <w:r>
        <w:rPr>
          <w:rFonts w:ascii="DejaVu Math TeX Gyre" w:eastAsia="DejaVu Math TeX Gyre" w:hAnsi="DejaVu Math TeX Gyre"/>
          <w:sz w:val="20"/>
          <w:szCs w:val="20"/>
        </w:rPr>
        <w:t>subfertile</w:t>
      </w:r>
      <w:proofErr w:type="spellEnd"/>
      <w:r>
        <w:rPr>
          <w:rFonts w:ascii="DejaVu Math TeX Gyre" w:eastAsia="DejaVu Math TeX Gyre" w:hAnsi="DejaVu Math TeX Gyre"/>
          <w:sz w:val="20"/>
          <w:szCs w:val="20"/>
        </w:rPr>
        <w:t xml:space="preserve"> males: A randomized, double-blind, placebo-controlled clinical trial,</w:t>
      </w:r>
      <w:r>
        <w:rPr>
          <w:rFonts w:ascii="DejaVu Math TeX Gyre" w:hAnsi="DejaVu Math TeX Gyre"/>
          <w:sz w:val="20"/>
          <w:szCs w:val="20"/>
        </w:rPr>
        <w:t>”</w:t>
      </w:r>
      <w:r>
        <w:rPr>
          <w:rFonts w:ascii="DejaVu Math TeX Gyre" w:eastAsia="DejaVu Math TeX Gyre" w:hAnsi="DejaVu Math TeX Gyre"/>
          <w:sz w:val="20"/>
          <w:szCs w:val="20"/>
        </w:rPr>
        <w:t xml:space="preserve"> Transl. Clin. </w:t>
      </w:r>
      <w:proofErr w:type="spellStart"/>
      <w:r>
        <w:rPr>
          <w:rFonts w:ascii="DejaVu Math TeX Gyre" w:eastAsia="DejaVu Math TeX Gyre" w:hAnsi="DejaVu Math TeX Gyre"/>
          <w:sz w:val="20"/>
          <w:szCs w:val="20"/>
        </w:rPr>
        <w:t>Pharmacol</w:t>
      </w:r>
      <w:proofErr w:type="spellEnd"/>
      <w:r>
        <w:rPr>
          <w:rFonts w:ascii="DejaVu Math TeX Gyre" w:eastAsia="DejaVu Math TeX Gyre" w:hAnsi="DejaVu Math TeX Gyre"/>
          <w:sz w:val="20"/>
          <w:szCs w:val="20"/>
        </w:rPr>
        <w:t>., vol. 31, no. 1, pp. 28</w:t>
      </w:r>
      <w:r>
        <w:rPr>
          <w:rFonts w:ascii="DejaVu Math TeX Gyre" w:hAnsi="DejaVu Math TeX Gyre"/>
          <w:sz w:val="20"/>
          <w:szCs w:val="20"/>
        </w:rPr>
        <w:t>–</w:t>
      </w:r>
      <w:r>
        <w:rPr>
          <w:rFonts w:ascii="DejaVu Math TeX Gyre" w:eastAsia="DejaVu Math TeX Gyre" w:hAnsi="DejaVu Math TeX Gyre"/>
          <w:sz w:val="20"/>
          <w:szCs w:val="20"/>
        </w:rPr>
        <w:t>39, 2023.</w:t>
      </w:r>
    </w:p>
    <w:p w14:paraId="2DAF6151"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[14] S. Dutta, A. Majzoub, and A. Agarwal, </w:t>
      </w:r>
      <w:r>
        <w:rPr>
          <w:rFonts w:ascii="DejaVu Math TeX Gyre" w:hAnsi="DejaVu Math TeX Gyre"/>
          <w:sz w:val="20"/>
          <w:szCs w:val="20"/>
        </w:rPr>
        <w:t>“</w:t>
      </w:r>
      <w:r>
        <w:rPr>
          <w:rFonts w:ascii="DejaVu Math TeX Gyre" w:eastAsia="DejaVu Math TeX Gyre" w:hAnsi="DejaVu Math TeX Gyre"/>
          <w:sz w:val="20"/>
          <w:szCs w:val="20"/>
        </w:rPr>
        <w:t>Oxidative stress and sperm function: A s</w:t>
      </w:r>
      <w:r>
        <w:rPr>
          <w:rFonts w:ascii="DejaVu Math TeX Gyre" w:eastAsia="DejaVu Math TeX Gyre" w:hAnsi="DejaVu Math TeX Gyre"/>
          <w:sz w:val="20"/>
          <w:szCs w:val="20"/>
        </w:rPr>
        <w:t>ystematic review on evaluation and management,</w:t>
      </w:r>
      <w:r>
        <w:rPr>
          <w:rFonts w:ascii="DejaVu Math TeX Gyre" w:hAnsi="DejaVu Math TeX Gyre"/>
          <w:sz w:val="20"/>
          <w:szCs w:val="20"/>
        </w:rPr>
        <w:t>”</w:t>
      </w:r>
      <w:r>
        <w:rPr>
          <w:rFonts w:ascii="DejaVu Math TeX Gyre" w:eastAsia="DejaVu Math TeX Gyre" w:hAnsi="DejaVu Math TeX Gyre"/>
          <w:sz w:val="20"/>
          <w:szCs w:val="20"/>
        </w:rPr>
        <w:t xml:space="preserve"> Arab J. Urol., vol. 17, no. 2, pp. 87</w:t>
      </w:r>
      <w:r>
        <w:rPr>
          <w:rFonts w:ascii="DejaVu Math TeX Gyre" w:hAnsi="DejaVu Math TeX Gyre"/>
          <w:sz w:val="20"/>
          <w:szCs w:val="20"/>
        </w:rPr>
        <w:t>–</w:t>
      </w:r>
      <w:r>
        <w:rPr>
          <w:rFonts w:ascii="DejaVu Math TeX Gyre" w:eastAsia="DejaVu Math TeX Gyre" w:hAnsi="DejaVu Math TeX Gyre"/>
          <w:sz w:val="20"/>
          <w:szCs w:val="20"/>
        </w:rPr>
        <w:t>97, 2019.</w:t>
      </w:r>
    </w:p>
    <w:p w14:paraId="3C3523B6"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[15] D. B. McQueen, J. Zhang, and J. C. Robins, </w:t>
      </w:r>
      <w:r>
        <w:rPr>
          <w:rFonts w:ascii="DejaVu Math TeX Gyre" w:hAnsi="DejaVu Math TeX Gyre"/>
          <w:sz w:val="20"/>
          <w:szCs w:val="20"/>
        </w:rPr>
        <w:t>“</w:t>
      </w:r>
      <w:r>
        <w:rPr>
          <w:rFonts w:ascii="DejaVu Math TeX Gyre" w:eastAsia="DejaVu Math TeX Gyre" w:hAnsi="DejaVu Math TeX Gyre"/>
          <w:sz w:val="20"/>
          <w:szCs w:val="20"/>
        </w:rPr>
        <w:t>Sperm DNA fragmentation and recurrent pregnancy loss: A systematic review and meta-analysis,</w:t>
      </w:r>
      <w:r>
        <w:rPr>
          <w:rFonts w:ascii="DejaVu Math TeX Gyre" w:hAnsi="DejaVu Math TeX Gyre"/>
          <w:sz w:val="20"/>
          <w:szCs w:val="20"/>
        </w:rPr>
        <w:t>”</w:t>
      </w:r>
      <w:r>
        <w:rPr>
          <w:rFonts w:ascii="DejaVu Math TeX Gyre" w:eastAsia="DejaVu Math TeX Gyre" w:hAnsi="DejaVu Math TeX Gyre"/>
          <w:sz w:val="20"/>
          <w:szCs w:val="20"/>
        </w:rPr>
        <w:t xml:space="preserve"> Fertil. </w:t>
      </w:r>
      <w:proofErr w:type="spellStart"/>
      <w:r>
        <w:rPr>
          <w:rFonts w:ascii="DejaVu Math TeX Gyre" w:eastAsia="DejaVu Math TeX Gyre" w:hAnsi="DejaVu Math TeX Gyre"/>
          <w:sz w:val="20"/>
          <w:szCs w:val="20"/>
        </w:rPr>
        <w:t>Steril</w:t>
      </w:r>
      <w:proofErr w:type="spellEnd"/>
      <w:r>
        <w:rPr>
          <w:rFonts w:ascii="DejaVu Math TeX Gyre" w:eastAsia="DejaVu Math TeX Gyre" w:hAnsi="DejaVu Math TeX Gyre"/>
          <w:sz w:val="20"/>
          <w:szCs w:val="20"/>
        </w:rPr>
        <w:t xml:space="preserve">., </w:t>
      </w:r>
      <w:r>
        <w:rPr>
          <w:rFonts w:ascii="DejaVu Math TeX Gyre" w:eastAsia="DejaVu Math TeX Gyre" w:hAnsi="DejaVu Math TeX Gyre"/>
          <w:sz w:val="20"/>
          <w:szCs w:val="20"/>
        </w:rPr>
        <w:t>vol. 112, no. 1, pp. 54</w:t>
      </w:r>
      <w:r>
        <w:rPr>
          <w:rFonts w:ascii="DejaVu Math TeX Gyre" w:hAnsi="DejaVu Math TeX Gyre"/>
          <w:sz w:val="20"/>
          <w:szCs w:val="20"/>
        </w:rPr>
        <w:t>–</w:t>
      </w:r>
      <w:proofErr w:type="gramStart"/>
      <w:r>
        <w:rPr>
          <w:rFonts w:ascii="DejaVu Math TeX Gyre" w:eastAsia="DejaVu Math TeX Gyre" w:hAnsi="DejaVu Math TeX Gyre"/>
          <w:sz w:val="20"/>
          <w:szCs w:val="20"/>
        </w:rPr>
        <w:t>60.e</w:t>
      </w:r>
      <w:proofErr w:type="gramEnd"/>
      <w:r>
        <w:rPr>
          <w:rFonts w:ascii="DejaVu Math TeX Gyre" w:eastAsia="DejaVu Math TeX Gyre" w:hAnsi="DejaVu Math TeX Gyre"/>
          <w:sz w:val="20"/>
          <w:szCs w:val="20"/>
        </w:rPr>
        <w:t>3, 2019.</w:t>
      </w:r>
    </w:p>
    <w:p w14:paraId="5DA7DB4D"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[16] C. Castellini et al., </w:t>
      </w:r>
      <w:r>
        <w:rPr>
          <w:rFonts w:ascii="DejaVu Math TeX Gyre" w:hAnsi="DejaVu Math TeX Gyre"/>
          <w:sz w:val="20"/>
          <w:szCs w:val="20"/>
        </w:rPr>
        <w:t>“</w:t>
      </w:r>
      <w:r>
        <w:rPr>
          <w:rFonts w:ascii="DejaVu Math TeX Gyre" w:eastAsia="DejaVu Math TeX Gyre" w:hAnsi="DejaVu Math TeX Gyre"/>
          <w:sz w:val="20"/>
          <w:szCs w:val="20"/>
        </w:rPr>
        <w:t xml:space="preserve">Relationship between </w:t>
      </w:r>
      <w:proofErr w:type="spellStart"/>
      <w:r>
        <w:rPr>
          <w:rFonts w:ascii="DejaVu Math TeX Gyre" w:eastAsia="DejaVu Math TeX Gyre" w:hAnsi="DejaVu Math TeX Gyre"/>
          <w:sz w:val="20"/>
          <w:szCs w:val="20"/>
        </w:rPr>
        <w:t>leukocytospermia</w:t>
      </w:r>
      <w:proofErr w:type="spellEnd"/>
      <w:r>
        <w:rPr>
          <w:rFonts w:ascii="DejaVu Math TeX Gyre" w:eastAsia="DejaVu Math TeX Gyre" w:hAnsi="DejaVu Math TeX Gyre"/>
          <w:sz w:val="20"/>
          <w:szCs w:val="20"/>
        </w:rPr>
        <w:t xml:space="preserve"> and reproductive potential after </w:t>
      </w:r>
      <w:r>
        <w:rPr>
          <w:rFonts w:ascii="DejaVu Math TeX Gyre" w:eastAsia="DejaVu Math TeX Gyre" w:hAnsi="DejaVu Math TeX Gyre"/>
          <w:sz w:val="20"/>
          <w:szCs w:val="20"/>
        </w:rPr>
        <w:lastRenderedPageBreak/>
        <w:t>assisted reproductive technology: A systematic review and meta-analysis,</w:t>
      </w:r>
      <w:r>
        <w:rPr>
          <w:rFonts w:ascii="DejaVu Math TeX Gyre" w:hAnsi="DejaVu Math TeX Gyre"/>
          <w:sz w:val="20"/>
          <w:szCs w:val="20"/>
        </w:rPr>
        <w:t>”</w:t>
      </w:r>
      <w:r>
        <w:rPr>
          <w:rFonts w:ascii="DejaVu Math TeX Gyre" w:eastAsia="DejaVu Math TeX Gyre" w:hAnsi="DejaVu Math TeX Gyre"/>
          <w:sz w:val="20"/>
          <w:szCs w:val="20"/>
        </w:rPr>
        <w:t xml:space="preserve"> Andrology, vol. 8, no. 1, pp. 125</w:t>
      </w:r>
      <w:r>
        <w:rPr>
          <w:rFonts w:ascii="DejaVu Math TeX Gyre" w:hAnsi="DejaVu Math TeX Gyre"/>
          <w:sz w:val="20"/>
          <w:szCs w:val="20"/>
        </w:rPr>
        <w:t>–</w:t>
      </w:r>
      <w:r>
        <w:rPr>
          <w:rFonts w:ascii="DejaVu Math TeX Gyre" w:eastAsia="DejaVu Math TeX Gyre" w:hAnsi="DejaVu Math TeX Gyre"/>
          <w:sz w:val="20"/>
          <w:szCs w:val="20"/>
        </w:rPr>
        <w:t>135, 2020.</w:t>
      </w:r>
    </w:p>
    <w:p w14:paraId="0B94FF2E" w14:textId="77777777" w:rsidR="00A61AAE" w:rsidRDefault="00507843">
      <w:pPr>
        <w:pStyle w:val="CommentText"/>
        <w:jc w:val="both"/>
        <w:rPr>
          <w:rFonts w:ascii="DejaVu Math TeX Gyre" w:eastAsia="DejaVu Math TeX Gyre" w:hAnsi="DejaVu Math TeX Gyre"/>
          <w:sz w:val="20"/>
          <w:szCs w:val="20"/>
        </w:rPr>
      </w:pPr>
      <w:r>
        <w:rPr>
          <w:rFonts w:ascii="DejaVu Math TeX Gyre" w:eastAsia="DejaVu Math TeX Gyre" w:hAnsi="DejaVu Math TeX Gyre"/>
          <w:sz w:val="20"/>
          <w:szCs w:val="20"/>
        </w:rPr>
        <w:t>[</w:t>
      </w:r>
      <w:r>
        <w:rPr>
          <w:rFonts w:ascii="DejaVu Math TeX Gyre" w:eastAsia="DejaVu Math TeX Gyre" w:hAnsi="DejaVu Math TeX Gyre"/>
          <w:sz w:val="20"/>
          <w:szCs w:val="20"/>
        </w:rPr>
        <w:t xml:space="preserve">17] D. C. Gonzalez et al., </w:t>
      </w:r>
      <w:r>
        <w:rPr>
          <w:rFonts w:ascii="DejaVu Math TeX Gyre" w:hAnsi="DejaVu Math TeX Gyre"/>
          <w:sz w:val="20"/>
          <w:szCs w:val="20"/>
        </w:rPr>
        <w:t>“</w:t>
      </w:r>
      <w:r>
        <w:rPr>
          <w:rFonts w:ascii="DejaVu Math TeX Gyre" w:eastAsia="DejaVu Math TeX Gyre" w:hAnsi="DejaVu Math TeX Gyre"/>
          <w:sz w:val="20"/>
          <w:szCs w:val="20"/>
        </w:rPr>
        <w:t>Advanced paternal age and sperm DNA fragmentation: A systematic review,</w:t>
      </w:r>
      <w:r>
        <w:rPr>
          <w:rFonts w:ascii="DejaVu Math TeX Gyre" w:hAnsi="DejaVu Math TeX Gyre"/>
          <w:sz w:val="20"/>
          <w:szCs w:val="20"/>
        </w:rPr>
        <w:t>”</w:t>
      </w:r>
      <w:r>
        <w:rPr>
          <w:rFonts w:ascii="DejaVu Math TeX Gyre" w:eastAsia="DejaVu Math TeX Gyre" w:hAnsi="DejaVu Math TeX Gyre"/>
          <w:sz w:val="20"/>
          <w:szCs w:val="20"/>
        </w:rPr>
        <w:t xml:space="preserve"> World J. </w:t>
      </w:r>
      <w:proofErr w:type="spellStart"/>
      <w:r>
        <w:rPr>
          <w:rFonts w:ascii="DejaVu Math TeX Gyre" w:eastAsia="DejaVu Math TeX Gyre" w:hAnsi="DejaVu Math TeX Gyre"/>
          <w:sz w:val="20"/>
          <w:szCs w:val="20"/>
        </w:rPr>
        <w:t>Mens</w:t>
      </w:r>
      <w:proofErr w:type="spellEnd"/>
      <w:r>
        <w:rPr>
          <w:rFonts w:ascii="DejaVu Math TeX Gyre" w:eastAsia="DejaVu Math TeX Gyre" w:hAnsi="DejaVu Math TeX Gyre"/>
          <w:sz w:val="20"/>
          <w:szCs w:val="20"/>
        </w:rPr>
        <w:t xml:space="preserve"> Health, vol. 40, no. 1, pp. 104</w:t>
      </w:r>
      <w:r>
        <w:rPr>
          <w:rFonts w:ascii="DejaVu Math TeX Gyre" w:hAnsi="DejaVu Math TeX Gyre"/>
          <w:sz w:val="20"/>
          <w:szCs w:val="20"/>
        </w:rPr>
        <w:t>–</w:t>
      </w:r>
      <w:r>
        <w:rPr>
          <w:rFonts w:ascii="DejaVu Math TeX Gyre" w:eastAsia="DejaVu Math TeX Gyre" w:hAnsi="DejaVu Math TeX Gyre"/>
          <w:sz w:val="20"/>
          <w:szCs w:val="20"/>
        </w:rPr>
        <w:t>115, 2022.</w:t>
      </w:r>
    </w:p>
    <w:p w14:paraId="6E0E31E5" w14:textId="77777777" w:rsidR="00A61AAE" w:rsidRDefault="00507843">
      <w:pPr>
        <w:rPr>
          <w:rFonts w:ascii="DejaVu Math TeX Gyre" w:eastAsia="DejaVu Math TeX Gyre" w:hAnsi="DejaVu Math TeX Gyre"/>
          <w:sz w:val="20"/>
          <w:szCs w:val="20"/>
        </w:rPr>
      </w:pPr>
      <w:r>
        <w:rPr>
          <w:rFonts w:ascii="DejaVu Math TeX Gyre" w:eastAsia="DejaVu Math TeX Gyre" w:hAnsi="DejaVu Math TeX Gyre"/>
          <w:sz w:val="20"/>
          <w:szCs w:val="20"/>
        </w:rPr>
        <w:t xml:space="preserve">[18] K. Coyan, N. </w:t>
      </w:r>
      <w:proofErr w:type="spellStart"/>
      <w:r>
        <w:rPr>
          <w:rFonts w:ascii="DejaVu Math TeX Gyre" w:eastAsia="DejaVu Math TeX Gyre" w:hAnsi="DejaVu Math TeX Gyre"/>
          <w:sz w:val="20"/>
          <w:szCs w:val="20"/>
        </w:rPr>
        <w:t>Baspinar</w:t>
      </w:r>
      <w:proofErr w:type="spellEnd"/>
      <w:r>
        <w:rPr>
          <w:rFonts w:ascii="DejaVu Math TeX Gyre" w:eastAsia="DejaVu Math TeX Gyre" w:hAnsi="DejaVu Math TeX Gyre"/>
          <w:sz w:val="20"/>
          <w:szCs w:val="20"/>
        </w:rPr>
        <w:t xml:space="preserve">, M. N. </w:t>
      </w:r>
      <w:proofErr w:type="spellStart"/>
      <w:r>
        <w:rPr>
          <w:rFonts w:ascii="DejaVu Math TeX Gyre" w:eastAsia="DejaVu Math TeX Gyre" w:hAnsi="DejaVu Math TeX Gyre"/>
          <w:sz w:val="20"/>
          <w:szCs w:val="20"/>
        </w:rPr>
        <w:t>Bucak</w:t>
      </w:r>
      <w:proofErr w:type="spellEnd"/>
      <w:r>
        <w:rPr>
          <w:rFonts w:ascii="DejaVu Math TeX Gyre" w:eastAsia="DejaVu Math TeX Gyre" w:hAnsi="DejaVu Math TeX Gyre"/>
          <w:sz w:val="20"/>
          <w:szCs w:val="20"/>
        </w:rPr>
        <w:t xml:space="preserve">, and P. P. Akalin, </w:t>
      </w:r>
      <w:r>
        <w:rPr>
          <w:rFonts w:ascii="DejaVu Math TeX Gyre" w:hAnsi="DejaVu Math TeX Gyre"/>
          <w:sz w:val="20"/>
          <w:szCs w:val="20"/>
        </w:rPr>
        <w:t>“</w:t>
      </w:r>
      <w:r>
        <w:rPr>
          <w:rFonts w:ascii="DejaVu Math TeX Gyre" w:eastAsia="DejaVu Math TeX Gyre" w:hAnsi="DejaVu Math TeX Gyre"/>
          <w:sz w:val="20"/>
          <w:szCs w:val="20"/>
        </w:rPr>
        <w:t>Influence of methionine and dithioeryt</w:t>
      </w:r>
      <w:r>
        <w:rPr>
          <w:rFonts w:ascii="DejaVu Math TeX Gyre" w:eastAsia="DejaVu Math TeX Gyre" w:hAnsi="DejaVu Math TeX Gyre"/>
          <w:sz w:val="20"/>
          <w:szCs w:val="20"/>
        </w:rPr>
        <w:t>hritol on sperm motility, lipid peroxidation, and antioxidant capacities during liquid storage of ram semen,</w:t>
      </w:r>
      <w:r>
        <w:rPr>
          <w:rFonts w:ascii="DejaVu Math TeX Gyre" w:hAnsi="DejaVu Math TeX Gyre"/>
          <w:sz w:val="20"/>
          <w:szCs w:val="20"/>
        </w:rPr>
        <w:t>”</w:t>
      </w:r>
      <w:r>
        <w:rPr>
          <w:rFonts w:ascii="DejaVu Math TeX Gyre" w:eastAsia="DejaVu Math TeX Gyre" w:hAnsi="DejaVu Math TeX Gyre"/>
          <w:sz w:val="20"/>
          <w:szCs w:val="20"/>
        </w:rPr>
        <w:t xml:space="preserve"> </w:t>
      </w:r>
      <w:proofErr w:type="spellStart"/>
      <w:r>
        <w:rPr>
          <w:rFonts w:ascii="DejaVu Math TeX Gyre" w:eastAsia="DejaVu Math TeX Gyre" w:hAnsi="DejaVu Math TeX Gyre"/>
          <w:sz w:val="20"/>
          <w:szCs w:val="20"/>
        </w:rPr>
        <w:t>Reprod</w:t>
      </w:r>
      <w:proofErr w:type="spellEnd"/>
      <w:r>
        <w:rPr>
          <w:rFonts w:ascii="DejaVu Math TeX Gyre" w:eastAsia="DejaVu Math TeX Gyre" w:hAnsi="DejaVu Math TeX Gyre"/>
          <w:sz w:val="20"/>
          <w:szCs w:val="20"/>
        </w:rPr>
        <w:t xml:space="preserve">. </w:t>
      </w:r>
      <w:proofErr w:type="spellStart"/>
      <w:r>
        <w:rPr>
          <w:rFonts w:ascii="DejaVu Math TeX Gyre" w:eastAsia="DejaVu Math TeX Gyre" w:hAnsi="DejaVu Math TeX Gyre"/>
          <w:sz w:val="20"/>
          <w:szCs w:val="20"/>
        </w:rPr>
        <w:t>Domest</w:t>
      </w:r>
      <w:proofErr w:type="spellEnd"/>
      <w:r>
        <w:rPr>
          <w:rFonts w:ascii="DejaVu Math TeX Gyre" w:eastAsia="DejaVu Math TeX Gyre" w:hAnsi="DejaVu Math TeX Gyre"/>
          <w:sz w:val="20"/>
          <w:szCs w:val="20"/>
        </w:rPr>
        <w:t>. Anim., vol. 54, no. 3, pp. 426</w:t>
      </w:r>
      <w:r>
        <w:rPr>
          <w:rFonts w:ascii="DejaVu Math TeX Gyre" w:hAnsi="DejaVu Math TeX Gyre"/>
          <w:sz w:val="20"/>
          <w:szCs w:val="20"/>
        </w:rPr>
        <w:t>–</w:t>
      </w:r>
      <w:r>
        <w:rPr>
          <w:rFonts w:ascii="DejaVu Math TeX Gyre" w:eastAsia="DejaVu Math TeX Gyre" w:hAnsi="DejaVu Math TeX Gyre"/>
          <w:sz w:val="20"/>
          <w:szCs w:val="20"/>
        </w:rPr>
        <w:t>433, 2019.</w:t>
      </w:r>
    </w:p>
    <w:p w14:paraId="319D0226" w14:textId="77777777" w:rsidR="00A61AAE" w:rsidRDefault="00A61AAE">
      <w:pPr>
        <w:rPr>
          <w:sz w:val="22"/>
        </w:rPr>
      </w:pPr>
    </w:p>
    <w:sectPr w:rsidR="00A61AA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9AF84" w14:textId="77777777" w:rsidR="00507843" w:rsidRDefault="00507843" w:rsidP="008F704C">
      <w:r>
        <w:separator/>
      </w:r>
    </w:p>
  </w:endnote>
  <w:endnote w:type="continuationSeparator" w:id="0">
    <w:p w14:paraId="707B2563" w14:textId="77777777" w:rsidR="00507843" w:rsidRDefault="00507843" w:rsidP="008F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jaVu Math TeX Gyre">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A2CB7" w14:textId="77777777" w:rsidR="008F704C" w:rsidRDefault="008F7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CACD" w14:textId="77777777" w:rsidR="008F704C" w:rsidRDefault="008F7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C38F" w14:textId="77777777" w:rsidR="008F704C" w:rsidRDefault="008F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CA70E" w14:textId="77777777" w:rsidR="00507843" w:rsidRDefault="00507843" w:rsidP="008F704C">
      <w:r>
        <w:separator/>
      </w:r>
    </w:p>
  </w:footnote>
  <w:footnote w:type="continuationSeparator" w:id="0">
    <w:p w14:paraId="7A7D2E37" w14:textId="77777777" w:rsidR="00507843" w:rsidRDefault="00507843" w:rsidP="008F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E3F1" w14:textId="2B426F47" w:rsidR="008F704C" w:rsidRDefault="008F704C">
    <w:pPr>
      <w:pStyle w:val="Header"/>
    </w:pPr>
    <w:r>
      <w:rPr>
        <w:noProof/>
      </w:rPr>
      <w:pict w14:anchorId="45D8D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4360"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Roboto&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53A01" w14:textId="626B2500" w:rsidR="008F704C" w:rsidRDefault="008F704C">
    <w:pPr>
      <w:pStyle w:val="Header"/>
    </w:pPr>
    <w:r>
      <w:rPr>
        <w:noProof/>
      </w:rPr>
      <w:pict w14:anchorId="64D88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4361"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Roboto&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C59E" w14:textId="793A3297" w:rsidR="008F704C" w:rsidRDefault="008F704C">
    <w:pPr>
      <w:pStyle w:val="Header"/>
    </w:pPr>
    <w:r>
      <w:rPr>
        <w:noProof/>
      </w:rPr>
      <w:pict w14:anchorId="3CD2A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4359"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Roboto&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growAutofit/>
    <w:useFELayout/>
    <w:compatSetting w:name="compatibilityMode" w:uri="http://schemas.microsoft.com/office/word" w:val="14"/>
    <w:compatSetting w:name="useWord2013TrackBottomHyphenation" w:uri="http://schemas.microsoft.com/office/word" w:val="1"/>
  </w:compat>
  <w:rsids>
    <w:rsidRoot w:val="00A61AAE"/>
    <w:rsid w:val="0006553C"/>
    <w:rsid w:val="00081905"/>
    <w:rsid w:val="003B61EE"/>
    <w:rsid w:val="00507843"/>
    <w:rsid w:val="00680770"/>
    <w:rsid w:val="008F704C"/>
    <w:rsid w:val="00A61AAE"/>
    <w:rsid w:val="00DA5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F80BF"/>
  <w15:docId w15:val="{6C9C2C3E-FF68-4F1C-B8D8-5E085D06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Roboto" w:eastAsia="Roboto" w:hAnsi="Roboto" w:cs="Arial"/>
      <w:kern w:val="2"/>
      <w:sz w:val="21"/>
      <w:szCs w:val="22"/>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semiHidden/>
    <w:unhideWhenUsed/>
    <w:qFormat/>
    <w:pPr>
      <w:keepNext/>
      <w:keepLines/>
      <w:spacing w:before="260" w:after="260" w:line="415" w:lineRule="auto"/>
      <w:outlineLvl w:val="1"/>
    </w:pPr>
    <w:rPr>
      <w:b/>
      <w:bCs/>
      <w:sz w:val="32"/>
      <w:szCs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i">
    <w:name w:val="ii"/>
    <w:pPr>
      <w:widowControl w:val="0"/>
      <w:jc w:val="both"/>
    </w:pPr>
    <w:rPr>
      <w:rFonts w:ascii="Roboto" w:eastAsia="Roboto" w:hAnsi="Roboto" w:cs="Arial"/>
      <w:kern w:val="2"/>
      <w:sz w:val="28"/>
      <w:szCs w:val="22"/>
    </w:rPr>
  </w:style>
  <w:style w:type="paragraph" w:customStyle="1" w:styleId="i">
    <w:name w:val="i"/>
    <w:basedOn w:val="Normal"/>
    <w:rPr>
      <w:sz w:val="32"/>
    </w:rPr>
  </w:style>
  <w:style w:type="paragraph" w:styleId="CommentText">
    <w:name w:val="annotation text"/>
    <w:pPr>
      <w:widowControl w:val="0"/>
    </w:pPr>
    <w:rPr>
      <w:rFonts w:ascii="Roboto" w:eastAsia="Roboto" w:hAnsi="Roboto" w:cs="Arial"/>
      <w:kern w:val="2"/>
      <w:sz w:val="21"/>
      <w:szCs w:val="22"/>
    </w:rPr>
  </w:style>
  <w:style w:type="character" w:styleId="Hyperlink">
    <w:name w:val="Hyperlink"/>
    <w:basedOn w:val="DefaultParagraphFont"/>
    <w:uiPriority w:val="99"/>
    <w:unhideWhenUsed/>
    <w:rsid w:val="00DA5BC0"/>
    <w:rPr>
      <w:color w:val="0563C1" w:themeColor="hyperlink"/>
      <w:u w:val="single"/>
    </w:rPr>
  </w:style>
  <w:style w:type="character" w:styleId="UnresolvedMention">
    <w:name w:val="Unresolved Mention"/>
    <w:basedOn w:val="DefaultParagraphFont"/>
    <w:uiPriority w:val="99"/>
    <w:semiHidden/>
    <w:unhideWhenUsed/>
    <w:rsid w:val="00DA5BC0"/>
    <w:rPr>
      <w:color w:val="605E5C"/>
      <w:shd w:val="clear" w:color="auto" w:fill="E1DFDD"/>
    </w:rPr>
  </w:style>
  <w:style w:type="paragraph" w:styleId="Header">
    <w:name w:val="header"/>
    <w:basedOn w:val="Normal"/>
    <w:link w:val="HeaderChar"/>
    <w:uiPriority w:val="99"/>
    <w:unhideWhenUsed/>
    <w:rsid w:val="008F704C"/>
    <w:pPr>
      <w:tabs>
        <w:tab w:val="center" w:pos="4680"/>
        <w:tab w:val="right" w:pos="9360"/>
      </w:tabs>
    </w:pPr>
  </w:style>
  <w:style w:type="character" w:customStyle="1" w:styleId="HeaderChar">
    <w:name w:val="Header Char"/>
    <w:basedOn w:val="DefaultParagraphFont"/>
    <w:link w:val="Header"/>
    <w:uiPriority w:val="99"/>
    <w:rsid w:val="008F704C"/>
    <w:rPr>
      <w:rFonts w:ascii="Roboto" w:eastAsia="Roboto" w:hAnsi="Roboto" w:cs="Arial"/>
      <w:kern w:val="2"/>
      <w:sz w:val="21"/>
      <w:szCs w:val="22"/>
    </w:rPr>
  </w:style>
  <w:style w:type="paragraph" w:styleId="Footer">
    <w:name w:val="footer"/>
    <w:basedOn w:val="Normal"/>
    <w:link w:val="FooterChar"/>
    <w:uiPriority w:val="99"/>
    <w:unhideWhenUsed/>
    <w:rsid w:val="008F704C"/>
    <w:pPr>
      <w:tabs>
        <w:tab w:val="center" w:pos="4680"/>
        <w:tab w:val="right" w:pos="9360"/>
      </w:tabs>
    </w:pPr>
  </w:style>
  <w:style w:type="character" w:customStyle="1" w:styleId="FooterChar">
    <w:name w:val="Footer Char"/>
    <w:basedOn w:val="DefaultParagraphFont"/>
    <w:link w:val="Footer"/>
    <w:uiPriority w:val="99"/>
    <w:rsid w:val="008F704C"/>
    <w:rPr>
      <w:rFonts w:ascii="Roboto" w:eastAsia="Roboto" w:hAnsi="Roboto"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11</Pages>
  <Words>3353</Words>
  <Characters>19117</Characters>
  <Application>Microsoft Office Word</Application>
  <DocSecurity>0</DocSecurity>
  <Lines>159</Lines>
  <Paragraphs>44</Paragraphs>
  <ScaleCrop>false</ScaleCrop>
  <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12</cp:revision>
  <dcterms:created xsi:type="dcterms:W3CDTF">2024-04-26T01:38:00Z</dcterms:created>
  <dcterms:modified xsi:type="dcterms:W3CDTF">2026-04-11T13:14:00Z</dcterms:modified>
</cp:coreProperties>
</file>