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F6B6" w14:textId="106BC1A9" w:rsidR="00362EBC" w:rsidRDefault="00362EBC" w:rsidP="00362EBC">
      <w:pPr>
        <w:rPr>
          <w:b/>
          <w:bCs/>
          <w:sz w:val="36"/>
          <w:szCs w:val="36"/>
          <w:lang w:val="en-US"/>
        </w:rPr>
      </w:pPr>
      <w:r w:rsidRPr="00362EBC">
        <w:rPr>
          <w:b/>
          <w:bCs/>
          <w:sz w:val="36"/>
          <w:szCs w:val="36"/>
          <w:lang w:val="en-US"/>
        </w:rPr>
        <w:t>Mini-percutaneous nephrolithotomy: what are the real benefits compared to standard PCNL?</w:t>
      </w:r>
      <w:r w:rsidR="00F33E24">
        <w:rPr>
          <w:b/>
          <w:bCs/>
          <w:sz w:val="36"/>
          <w:szCs w:val="36"/>
          <w:lang w:val="en-US"/>
        </w:rPr>
        <w:t xml:space="preserve"> </w:t>
      </w:r>
      <w:r w:rsidRPr="00362EBC">
        <w:rPr>
          <w:b/>
          <w:bCs/>
          <w:sz w:val="36"/>
          <w:szCs w:val="36"/>
          <w:lang w:val="en-US"/>
        </w:rPr>
        <w:t xml:space="preserve">Single-center experience and comparative analysis with </w:t>
      </w:r>
      <w:r w:rsidR="000943A5" w:rsidRPr="00362EBC">
        <w:rPr>
          <w:b/>
          <w:bCs/>
          <w:sz w:val="36"/>
          <w:szCs w:val="36"/>
          <w:lang w:val="en-US"/>
        </w:rPr>
        <w:t>literature</w:t>
      </w:r>
    </w:p>
    <w:p w14:paraId="7ACC93D6" w14:textId="474765CF" w:rsidR="00362EBC" w:rsidRPr="00362EBC" w:rsidRDefault="00362EBC" w:rsidP="00F33E24">
      <w:bookmarkStart w:id="0" w:name="_GoBack"/>
      <w:bookmarkEnd w:id="0"/>
    </w:p>
    <w:p w14:paraId="4A3159C3" w14:textId="60236A26" w:rsidR="00362EBC" w:rsidRPr="00362EBC" w:rsidRDefault="00362EBC" w:rsidP="00362EBC">
      <w:pPr>
        <w:rPr>
          <w:b/>
          <w:bCs/>
          <w:sz w:val="36"/>
          <w:szCs w:val="36"/>
          <w:u w:val="single"/>
          <w:lang w:val="en-US"/>
        </w:rPr>
      </w:pPr>
      <w:r w:rsidRPr="00362EBC">
        <w:rPr>
          <w:b/>
          <w:bCs/>
          <w:sz w:val="36"/>
          <w:szCs w:val="36"/>
          <w:lang w:val="en-US"/>
        </w:rPr>
        <w:t xml:space="preserve"> </w:t>
      </w:r>
      <w:r w:rsidRPr="00362EBC">
        <w:rPr>
          <w:b/>
          <w:bCs/>
          <w:sz w:val="36"/>
          <w:szCs w:val="36"/>
          <w:u w:val="single"/>
          <w:lang w:val="en-US"/>
        </w:rPr>
        <w:t>Abstract</w:t>
      </w:r>
    </w:p>
    <w:p w14:paraId="624D74CA" w14:textId="77777777" w:rsidR="00362EBC" w:rsidRPr="00362EBC" w:rsidRDefault="00362EBC" w:rsidP="00362EBC">
      <w:pPr>
        <w:rPr>
          <w:b/>
          <w:bCs/>
          <w:lang w:val="en-US"/>
        </w:rPr>
      </w:pPr>
      <w:r w:rsidRPr="00362EBC">
        <w:rPr>
          <w:b/>
          <w:bCs/>
          <w:lang w:val="en-US"/>
        </w:rPr>
        <w:t>Introduction</w:t>
      </w:r>
    </w:p>
    <w:p w14:paraId="50865940" w14:textId="77777777" w:rsidR="00362EBC" w:rsidRPr="00362EBC" w:rsidRDefault="00362EBC" w:rsidP="00362EBC">
      <w:pPr>
        <w:rPr>
          <w:lang w:val="en-US"/>
        </w:rPr>
      </w:pPr>
      <w:r w:rsidRPr="00362EBC">
        <w:rPr>
          <w:lang w:val="en-US"/>
        </w:rPr>
        <w:t>Percutaneous nephrolithotomy (PCNL) is the standard treatment for renal stones ≥ 2 cm. However, the size of the percutaneous tract is associated with non-negligible morbidity, particularly bleeding complications. The miniaturization of instruments has led to the development of mini-PCNL, aiming to reduce parenchymal injury while maintaining satisfactory efficacy.</w:t>
      </w:r>
    </w:p>
    <w:p w14:paraId="1845057C" w14:textId="77777777" w:rsidR="00362EBC" w:rsidRPr="00362EBC" w:rsidRDefault="00362EBC" w:rsidP="00362EBC">
      <w:pPr>
        <w:rPr>
          <w:b/>
          <w:bCs/>
          <w:lang w:val="en-US"/>
        </w:rPr>
      </w:pPr>
      <w:r w:rsidRPr="00362EBC">
        <w:rPr>
          <w:b/>
          <w:bCs/>
          <w:lang w:val="en-US"/>
        </w:rPr>
        <w:t>Objective</w:t>
      </w:r>
    </w:p>
    <w:p w14:paraId="5B5475B7" w14:textId="0A67B636" w:rsidR="00362EBC" w:rsidRPr="00362EBC" w:rsidRDefault="00362EBC" w:rsidP="00362EBC">
      <w:pPr>
        <w:rPr>
          <w:lang w:val="en-US"/>
        </w:rPr>
      </w:pPr>
      <w:r w:rsidRPr="00362EBC">
        <w:rPr>
          <w:lang w:val="en-US"/>
        </w:rPr>
        <w:t>To evaluate the efficacy and morbidity of mini-PCNL in our clinical practice and to compare our results with those reported in the literature.</w:t>
      </w:r>
    </w:p>
    <w:p w14:paraId="5234E344" w14:textId="77777777" w:rsidR="00362EBC" w:rsidRPr="00362EBC" w:rsidRDefault="00362EBC" w:rsidP="00362EBC">
      <w:pPr>
        <w:rPr>
          <w:b/>
          <w:bCs/>
          <w:lang w:val="en-US"/>
        </w:rPr>
      </w:pPr>
      <w:r w:rsidRPr="00362EBC">
        <w:rPr>
          <w:b/>
          <w:bCs/>
          <w:lang w:val="en-US"/>
        </w:rPr>
        <w:t>Materials and Methods</w:t>
      </w:r>
    </w:p>
    <w:p w14:paraId="51FF9639" w14:textId="77777777" w:rsidR="00362EBC" w:rsidRPr="00362EBC" w:rsidRDefault="00362EBC" w:rsidP="00362EBC">
      <w:pPr>
        <w:rPr>
          <w:lang w:val="en-US"/>
        </w:rPr>
      </w:pPr>
      <w:r w:rsidRPr="00362EBC">
        <w:rPr>
          <w:lang w:val="en-US"/>
        </w:rPr>
        <w:t xml:space="preserve">This is a retrospective single-center study including 48 patients who underwent mini-PCNL between 2023 and 2026. The analyzed parameters included demographic data, stone characteristics (size, location, density in Hounsfield units), operative time, stone-free rate, complications according to the </w:t>
      </w:r>
      <w:proofErr w:type="spellStart"/>
      <w:r w:rsidRPr="00362EBC">
        <w:rPr>
          <w:lang w:val="en-US"/>
        </w:rPr>
        <w:t>Clavien</w:t>
      </w:r>
      <w:proofErr w:type="spellEnd"/>
      <w:r w:rsidRPr="00362EBC">
        <w:rPr>
          <w:lang w:val="en-US"/>
        </w:rPr>
        <w:t>–</w:t>
      </w:r>
      <w:proofErr w:type="spellStart"/>
      <w:r w:rsidRPr="00362EBC">
        <w:rPr>
          <w:lang w:val="en-US"/>
        </w:rPr>
        <w:t>Dindo</w:t>
      </w:r>
      <w:proofErr w:type="spellEnd"/>
      <w:r w:rsidRPr="00362EBC">
        <w:rPr>
          <w:lang w:val="en-US"/>
        </w:rPr>
        <w:t xml:space="preserve"> classification, transfusion rate, and length of hospital stay.</w:t>
      </w:r>
    </w:p>
    <w:p w14:paraId="1BB40BD6" w14:textId="77777777" w:rsidR="00362EBC" w:rsidRPr="00362EBC" w:rsidRDefault="00362EBC" w:rsidP="00362EBC">
      <w:pPr>
        <w:rPr>
          <w:b/>
          <w:bCs/>
          <w:lang w:val="en-US"/>
        </w:rPr>
      </w:pPr>
      <w:r w:rsidRPr="00362EBC">
        <w:rPr>
          <w:b/>
          <w:bCs/>
          <w:lang w:val="en-US"/>
        </w:rPr>
        <w:t>Results</w:t>
      </w:r>
    </w:p>
    <w:p w14:paraId="1350C10A" w14:textId="41126DA7" w:rsidR="00362EBC" w:rsidRPr="00362EBC" w:rsidRDefault="00362EBC" w:rsidP="00362EBC">
      <w:pPr>
        <w:rPr>
          <w:b/>
          <w:bCs/>
          <w:lang w:val="en-US"/>
        </w:rPr>
      </w:pPr>
      <w:r w:rsidRPr="00362EBC">
        <w:rPr>
          <w:lang w:val="en-US"/>
        </w:rPr>
        <w:t>The mean age was 53.6 years (range: 24–75 years), with a female predominance (59%). Stones were radiopaque in 94% of cases, with a density &gt;1000 Hounsfield units in 52.6% of cases. Stones larger than 20 mm accounted for 58.8% of cases.</w:t>
      </w:r>
      <w:r w:rsidRPr="00362EBC">
        <w:rPr>
          <w:rFonts w:ascii="Times New Roman" w:eastAsia="Times New Roman" w:hAnsi="Times New Roman" w:cs="Times New Roman"/>
          <w:b/>
          <w:bCs/>
          <w:kern w:val="0"/>
          <w:sz w:val="27"/>
          <w:szCs w:val="27"/>
          <w:lang w:val="en-US" w:eastAsia="fr-FR"/>
          <w14:ligatures w14:val="none"/>
        </w:rPr>
        <w:t xml:space="preserve"> </w:t>
      </w:r>
      <w:r w:rsidRPr="00362EBC">
        <w:rPr>
          <w:lang w:val="en-US"/>
        </w:rPr>
        <w:t xml:space="preserve">Operative time ranged between 100 and 120 minutes in 97% of cases. The mean length of hospital stay was 2–3 </w:t>
      </w:r>
      <w:proofErr w:type="spellStart"/>
      <w:proofErr w:type="gramStart"/>
      <w:r w:rsidRPr="00362EBC">
        <w:rPr>
          <w:lang w:val="en-US"/>
        </w:rPr>
        <w:t>days.The</w:t>
      </w:r>
      <w:proofErr w:type="spellEnd"/>
      <w:proofErr w:type="gramEnd"/>
      <w:r w:rsidRPr="00362EBC">
        <w:rPr>
          <w:lang w:val="en-US"/>
        </w:rPr>
        <w:t xml:space="preserve"> initial stone-free rate (SFR) was 79.4%. Additional treatment (flexible ureteroscopy or extracorporeal shock wave lithotripsy) was required in 20.6% of </w:t>
      </w:r>
      <w:proofErr w:type="spellStart"/>
      <w:proofErr w:type="gramStart"/>
      <w:r w:rsidRPr="00362EBC">
        <w:rPr>
          <w:lang w:val="en-US"/>
        </w:rPr>
        <w:t>patients.Hemorrhagic</w:t>
      </w:r>
      <w:proofErr w:type="spellEnd"/>
      <w:proofErr w:type="gramEnd"/>
      <w:r w:rsidRPr="00362EBC">
        <w:rPr>
          <w:lang w:val="en-US"/>
        </w:rPr>
        <w:t xml:space="preserve"> complications and transfusion rate were 4.2%, while infectious complications occurred in 2.1% of cases.</w:t>
      </w:r>
    </w:p>
    <w:p w14:paraId="52E3D184" w14:textId="77777777" w:rsidR="00362EBC" w:rsidRPr="00362EBC" w:rsidRDefault="00362EBC" w:rsidP="00362EBC">
      <w:pPr>
        <w:rPr>
          <w:b/>
          <w:bCs/>
          <w:lang w:val="en-US"/>
        </w:rPr>
      </w:pPr>
      <w:r w:rsidRPr="00362EBC">
        <w:rPr>
          <w:b/>
          <w:bCs/>
          <w:lang w:val="en-US"/>
        </w:rPr>
        <w:t>Conclusion</w:t>
      </w:r>
    </w:p>
    <w:p w14:paraId="08E990E5" w14:textId="77777777" w:rsidR="00362EBC" w:rsidRPr="00362EBC" w:rsidRDefault="00362EBC" w:rsidP="00362EBC">
      <w:pPr>
        <w:rPr>
          <w:lang w:val="en-US"/>
        </w:rPr>
      </w:pPr>
      <w:r w:rsidRPr="00362EBC">
        <w:rPr>
          <w:lang w:val="en-US"/>
        </w:rPr>
        <w:t>Mini-percutaneous nephrolithotomy (mini-PCNL) is an effective and less invasive technique, allowing a reduction in hemorrhagic morbidity and length of hospital stay.</w:t>
      </w:r>
    </w:p>
    <w:p w14:paraId="03684FCD" w14:textId="77777777" w:rsidR="00362EBC" w:rsidRPr="00362EBC" w:rsidRDefault="00362EBC" w:rsidP="00362EBC">
      <w:pPr>
        <w:rPr>
          <w:lang w:val="en-US"/>
        </w:rPr>
      </w:pPr>
      <w:r w:rsidRPr="00362EBC">
        <w:rPr>
          <w:lang w:val="en-US"/>
        </w:rPr>
        <w:t>The stone-free rate remains satisfactory despite a high proportion of large and dense stones.</w:t>
      </w:r>
    </w:p>
    <w:p w14:paraId="53CA1E33" w14:textId="77777777" w:rsidR="00362EBC" w:rsidRPr="00362EBC" w:rsidRDefault="00362EBC" w:rsidP="00362EBC">
      <w:pPr>
        <w:rPr>
          <w:lang w:val="en-US"/>
        </w:rPr>
      </w:pPr>
      <w:r w:rsidRPr="00362EBC">
        <w:rPr>
          <w:lang w:val="en-US"/>
        </w:rPr>
        <w:lastRenderedPageBreak/>
        <w:t>Careful patient selection remains essential to optimize outcomes. Standard PCNL still retains its role in the management of large and complex stones.</w:t>
      </w:r>
    </w:p>
    <w:p w14:paraId="0BF5633F" w14:textId="09CAB971" w:rsidR="00362EBC" w:rsidRDefault="00362EBC" w:rsidP="00362EBC"/>
    <w:p w14:paraId="7E297F2C" w14:textId="77777777" w:rsidR="00F33E24" w:rsidRDefault="00F33E24" w:rsidP="00F33E24">
      <w:r>
        <w:t>Keywords</w:t>
      </w:r>
    </w:p>
    <w:p w14:paraId="53CC6B60" w14:textId="1900AB9B" w:rsidR="00F33E24" w:rsidRPr="00362EBC" w:rsidRDefault="00F33E24" w:rsidP="00F33E24">
      <w:r>
        <w:t>Mini-</w:t>
      </w:r>
      <w:proofErr w:type="spellStart"/>
      <w:r>
        <w:t>percutaneous</w:t>
      </w:r>
      <w:proofErr w:type="spellEnd"/>
      <w:r>
        <w:t xml:space="preserve"> </w:t>
      </w:r>
      <w:proofErr w:type="spellStart"/>
      <w:r>
        <w:t>nephrolithotomy</w:t>
      </w:r>
      <w:proofErr w:type="spellEnd"/>
      <w:r>
        <w:t xml:space="preserve"> (mini-PCNL), </w:t>
      </w:r>
      <w:proofErr w:type="spellStart"/>
      <w:r>
        <w:t>Percutaneous</w:t>
      </w:r>
      <w:proofErr w:type="spellEnd"/>
      <w:r>
        <w:t xml:space="preserve"> </w:t>
      </w:r>
      <w:proofErr w:type="spellStart"/>
      <w:r>
        <w:t>nephrolithotomy</w:t>
      </w:r>
      <w:proofErr w:type="spellEnd"/>
      <w:r>
        <w:t xml:space="preserve"> (PCNL), </w:t>
      </w:r>
      <w:proofErr w:type="spellStart"/>
      <w:r>
        <w:t>Urolithiasis</w:t>
      </w:r>
      <w:proofErr w:type="spellEnd"/>
      <w:r>
        <w:t xml:space="preserve">, </w:t>
      </w:r>
      <w:proofErr w:type="spellStart"/>
      <w:r>
        <w:t>Renal</w:t>
      </w:r>
      <w:proofErr w:type="spellEnd"/>
      <w:r>
        <w:t xml:space="preserve"> stones, Stone-free rate, </w:t>
      </w:r>
      <w:proofErr w:type="spellStart"/>
      <w:r>
        <w:t>Morbidity</w:t>
      </w:r>
      <w:proofErr w:type="spellEnd"/>
      <w:r>
        <w:t xml:space="preserve">, Complications, </w:t>
      </w:r>
      <w:proofErr w:type="spellStart"/>
      <w:r>
        <w:t>Clavien</w:t>
      </w:r>
      <w:proofErr w:type="spellEnd"/>
      <w:r>
        <w:t>–</w:t>
      </w:r>
      <w:proofErr w:type="spellStart"/>
      <w:r>
        <w:t>Dindo</w:t>
      </w:r>
      <w:proofErr w:type="spellEnd"/>
      <w:r>
        <w:t xml:space="preserve"> classification, </w:t>
      </w:r>
      <w:proofErr w:type="spellStart"/>
      <w:r>
        <w:t>Endourology</w:t>
      </w:r>
      <w:proofErr w:type="spellEnd"/>
      <w:r>
        <w:t xml:space="preserve">, </w:t>
      </w:r>
      <w:proofErr w:type="spellStart"/>
      <w:proofErr w:type="gramStart"/>
      <w:r>
        <w:t>Holmium:YAG</w:t>
      </w:r>
      <w:proofErr w:type="spellEnd"/>
      <w:proofErr w:type="gramEnd"/>
      <w:r>
        <w:t xml:space="preserve"> laser</w:t>
      </w:r>
    </w:p>
    <w:p w14:paraId="5FED1DC2" w14:textId="77777777" w:rsidR="00362EBC" w:rsidRPr="00362EBC" w:rsidRDefault="00362EBC" w:rsidP="00362EBC">
      <w:pPr>
        <w:rPr>
          <w:b/>
          <w:bCs/>
          <w:sz w:val="36"/>
          <w:szCs w:val="36"/>
          <w:u w:val="single"/>
          <w:lang w:val="en-US"/>
        </w:rPr>
      </w:pPr>
      <w:r w:rsidRPr="00362EBC">
        <w:rPr>
          <w:b/>
          <w:bCs/>
          <w:sz w:val="36"/>
          <w:szCs w:val="36"/>
          <w:u w:val="single"/>
          <w:lang w:val="en-US"/>
        </w:rPr>
        <w:t>Introduction</w:t>
      </w:r>
    </w:p>
    <w:p w14:paraId="269B8C52" w14:textId="77777777" w:rsidR="00362EBC" w:rsidRPr="00362EBC" w:rsidRDefault="00362EBC" w:rsidP="00362EBC">
      <w:pPr>
        <w:rPr>
          <w:lang w:val="en-US"/>
        </w:rPr>
      </w:pPr>
      <w:r w:rsidRPr="00362EBC">
        <w:rPr>
          <w:lang w:val="en-US"/>
        </w:rPr>
        <w:t xml:space="preserve">Urolithiasis is a common condition in urology, with an increasing global incidence </w:t>
      </w:r>
      <w:r w:rsidRPr="00362EBC">
        <w:rPr>
          <w:b/>
          <w:bCs/>
          <w:lang w:val="en-US"/>
        </w:rPr>
        <w:t>[1]</w:t>
      </w:r>
      <w:r w:rsidRPr="00362EBC">
        <w:rPr>
          <w:lang w:val="en-US"/>
        </w:rPr>
        <w:t xml:space="preserve">. Percutaneous nephrolithotomy (PCNL) is considered the standard treatment for large renal stones (&gt; 2 cm) </w:t>
      </w:r>
      <w:r w:rsidRPr="00362EBC">
        <w:rPr>
          <w:b/>
          <w:bCs/>
          <w:lang w:val="en-US"/>
        </w:rPr>
        <w:t>[2]</w:t>
      </w:r>
      <w:r w:rsidRPr="00362EBC">
        <w:rPr>
          <w:lang w:val="en-US"/>
        </w:rPr>
        <w:t xml:space="preserve">. However, this technique is associated with non-negligible morbidity, particularly bleeding-related complications </w:t>
      </w:r>
      <w:r w:rsidRPr="00362EBC">
        <w:rPr>
          <w:b/>
          <w:bCs/>
          <w:lang w:val="en-US"/>
        </w:rPr>
        <w:t>[3]</w:t>
      </w:r>
      <w:r w:rsidRPr="00362EBC">
        <w:rPr>
          <w:lang w:val="en-US"/>
        </w:rPr>
        <w:t>.</w:t>
      </w:r>
    </w:p>
    <w:p w14:paraId="3862EE65" w14:textId="77777777" w:rsidR="00362EBC" w:rsidRPr="00362EBC" w:rsidRDefault="00362EBC" w:rsidP="00362EBC">
      <w:pPr>
        <w:rPr>
          <w:lang w:val="en-US"/>
        </w:rPr>
      </w:pPr>
      <w:r w:rsidRPr="00362EBC">
        <w:rPr>
          <w:lang w:val="en-US"/>
        </w:rPr>
        <w:t xml:space="preserve">To reduce this morbidity, mini-percutaneous nephrolithotomy (mini-PCNL), using a tract size of 12 to 22 Fr, has been developed </w:t>
      </w:r>
      <w:r w:rsidRPr="00362EBC">
        <w:rPr>
          <w:b/>
          <w:bCs/>
          <w:lang w:val="en-US"/>
        </w:rPr>
        <w:t>[4]</w:t>
      </w:r>
      <w:r w:rsidRPr="00362EBC">
        <w:rPr>
          <w:lang w:val="en-US"/>
        </w:rPr>
        <w:t xml:space="preserve">. Several studies have demonstrated that mini-PCNL achieves stone-free rates comparable to standard PCNL (≈ 85–95%), with a significant reduction in blood loss, transfusion rate, and length of hospital stay </w:t>
      </w:r>
      <w:r w:rsidRPr="00362EBC">
        <w:rPr>
          <w:b/>
          <w:bCs/>
          <w:lang w:val="en-US"/>
        </w:rPr>
        <w:t>[5,6]</w:t>
      </w:r>
      <w:r w:rsidRPr="00362EBC">
        <w:rPr>
          <w:lang w:val="en-US"/>
        </w:rPr>
        <w:t>.</w:t>
      </w:r>
    </w:p>
    <w:p w14:paraId="466072E8" w14:textId="77777777" w:rsidR="00362EBC" w:rsidRPr="00362EBC" w:rsidRDefault="00362EBC" w:rsidP="00362EBC">
      <w:pPr>
        <w:rPr>
          <w:lang w:val="en-US"/>
        </w:rPr>
      </w:pPr>
      <w:r w:rsidRPr="00362EBC">
        <w:rPr>
          <w:lang w:val="en-US"/>
        </w:rPr>
        <w:t>The aim of this study is to evaluate the outcomes and safety of mini-PCNL in our experience and to compare them with those reported for standard PCNL in the literature.</w:t>
      </w:r>
    </w:p>
    <w:p w14:paraId="7D24FC6E" w14:textId="0AB2D4C0" w:rsidR="00362EBC" w:rsidRPr="00362EBC" w:rsidRDefault="00362EBC" w:rsidP="00362EBC"/>
    <w:p w14:paraId="0EF4F31D" w14:textId="77777777" w:rsidR="00362EBC" w:rsidRPr="00362EBC" w:rsidRDefault="00362EBC" w:rsidP="00362EBC">
      <w:pPr>
        <w:rPr>
          <w:b/>
          <w:bCs/>
          <w:sz w:val="36"/>
          <w:szCs w:val="36"/>
          <w:u w:val="single"/>
          <w:lang w:val="en-US"/>
        </w:rPr>
      </w:pPr>
      <w:r w:rsidRPr="00362EBC">
        <w:rPr>
          <w:b/>
          <w:bCs/>
          <w:sz w:val="36"/>
          <w:szCs w:val="36"/>
          <w:u w:val="single"/>
          <w:lang w:val="en-US"/>
        </w:rPr>
        <w:t>Materials and Methods</w:t>
      </w:r>
    </w:p>
    <w:p w14:paraId="661F496B" w14:textId="77777777" w:rsidR="00362EBC" w:rsidRPr="00362EBC" w:rsidRDefault="00362EBC" w:rsidP="00362EBC">
      <w:pPr>
        <w:rPr>
          <w:lang w:val="en-US"/>
        </w:rPr>
      </w:pPr>
      <w:r w:rsidRPr="00362EBC">
        <w:rPr>
          <w:lang w:val="en-US"/>
        </w:rPr>
        <w:t>This is a retrospective single-center study including 48 patients who underwent mini-percutaneous nephrolithotomy (mini-PCNL) over a three-year period, from June 2023 to January 2026, at the Department of Urology, Mohammed VI University Hospital in Tangier.</w:t>
      </w:r>
    </w:p>
    <w:p w14:paraId="59507C50" w14:textId="77777777" w:rsidR="00362EBC" w:rsidRDefault="00362EBC" w:rsidP="00362EBC">
      <w:pPr>
        <w:rPr>
          <w:lang w:val="en-US"/>
        </w:rPr>
      </w:pPr>
      <w:r w:rsidRPr="00362EBC">
        <w:rPr>
          <w:lang w:val="en-US"/>
        </w:rPr>
        <w:t>The department is a regional referral center for percutaneous renal surgery, receiving patients referred from various healthcare institutions in northern Morocco. All included patients presented with one or more renal pelvic and/or calyceal stones measuring greater than 20 mm.</w:t>
      </w:r>
    </w:p>
    <w:p w14:paraId="237B6D12" w14:textId="77777777" w:rsidR="00362EBC" w:rsidRPr="00362EBC" w:rsidRDefault="00362EBC" w:rsidP="00362EBC">
      <w:pPr>
        <w:rPr>
          <w:b/>
          <w:bCs/>
          <w:sz w:val="36"/>
          <w:szCs w:val="36"/>
          <w:u w:val="single"/>
          <w:lang w:val="en-US"/>
        </w:rPr>
      </w:pPr>
      <w:r w:rsidRPr="00362EBC">
        <w:rPr>
          <w:b/>
          <w:bCs/>
          <w:sz w:val="36"/>
          <w:szCs w:val="36"/>
          <w:u w:val="single"/>
          <w:lang w:val="en-US"/>
        </w:rPr>
        <w:t>Exclusion Criteria</w:t>
      </w:r>
    </w:p>
    <w:p w14:paraId="5114114C" w14:textId="77777777" w:rsidR="00362EBC" w:rsidRPr="00362EBC" w:rsidRDefault="00362EBC" w:rsidP="00362EBC">
      <w:pPr>
        <w:rPr>
          <w:lang w:val="en-US"/>
        </w:rPr>
      </w:pPr>
      <w:r w:rsidRPr="00362EBC">
        <w:rPr>
          <w:lang w:val="en-US"/>
        </w:rPr>
        <w:t>Patients presenting with anatomical conditions associated with a higher risk of complications were excluded, including colonic interposition between the kidney and the lumbar wall, intraparenchymal calcifications, thinned renal parenchyma, as well as patients with coagulation disorders.</w:t>
      </w:r>
    </w:p>
    <w:p w14:paraId="34E6A856" w14:textId="77777777" w:rsidR="00362EBC" w:rsidRPr="00362EBC" w:rsidRDefault="00362EBC" w:rsidP="00362EBC">
      <w:pPr>
        <w:rPr>
          <w:b/>
          <w:bCs/>
          <w:sz w:val="36"/>
          <w:szCs w:val="36"/>
          <w:u w:val="single"/>
          <w:lang w:val="en-US"/>
        </w:rPr>
      </w:pPr>
      <w:r w:rsidRPr="00362EBC">
        <w:rPr>
          <w:b/>
          <w:bCs/>
          <w:sz w:val="36"/>
          <w:szCs w:val="36"/>
          <w:u w:val="single"/>
          <w:lang w:val="en-US"/>
        </w:rPr>
        <w:lastRenderedPageBreak/>
        <w:t>Results</w:t>
      </w:r>
    </w:p>
    <w:p w14:paraId="76BF9985" w14:textId="68AF2D47" w:rsidR="00362EBC" w:rsidRDefault="00362EBC" w:rsidP="000943A5">
      <w:pPr>
        <w:rPr>
          <w:lang w:val="en-US"/>
        </w:rPr>
      </w:pPr>
      <w:r w:rsidRPr="00362EBC">
        <w:rPr>
          <w:lang w:val="en-US"/>
        </w:rPr>
        <w:t>The mean age of the patients was 53.6 years (range: 24–75 years). The study population was characterized by a female predominance (58.3%), with a female-to-male ratio of 1.4.</w:t>
      </w:r>
      <w:r w:rsidR="000943A5">
        <w:rPr>
          <w:lang w:val="en-US"/>
        </w:rPr>
        <w:t xml:space="preserve"> </w:t>
      </w:r>
      <w:r w:rsidRPr="00362EBC">
        <w:rPr>
          <w:lang w:val="en-US"/>
        </w:rPr>
        <w:t xml:space="preserve">The majority of patients (85.4%) had no prior urological history. Reported histories included extracorporeal shock wave lithotripsy (ESWL) (4.16%), ipsilateral PCNL (4.16%), and ipsilateral </w:t>
      </w:r>
      <w:proofErr w:type="spellStart"/>
      <w:r w:rsidRPr="00362EBC">
        <w:rPr>
          <w:lang w:val="en-US"/>
        </w:rPr>
        <w:t>lumbotomy</w:t>
      </w:r>
      <w:proofErr w:type="spellEnd"/>
      <w:r w:rsidRPr="00362EBC">
        <w:rPr>
          <w:lang w:val="en-US"/>
        </w:rPr>
        <w:t xml:space="preserve"> (6.25%</w:t>
      </w:r>
      <w:proofErr w:type="gramStart"/>
      <w:r w:rsidRPr="00362EBC">
        <w:rPr>
          <w:lang w:val="en-US"/>
        </w:rPr>
        <w:t>).Renal</w:t>
      </w:r>
      <w:proofErr w:type="gramEnd"/>
      <w:r w:rsidRPr="00362EBC">
        <w:rPr>
          <w:lang w:val="en-US"/>
        </w:rPr>
        <w:t xml:space="preserve"> colic was the main presenting complaint, observed in 61.8% of patients, followed by intermittent flank pain (32.4%). Other less frequent presentations included irritative urinary symptoms, hematuria, spontaneous passage of stones, or incidental findings on </w:t>
      </w:r>
      <w:proofErr w:type="spellStart"/>
      <w:proofErr w:type="gramStart"/>
      <w:r w:rsidRPr="00362EBC">
        <w:rPr>
          <w:lang w:val="en-US"/>
        </w:rPr>
        <w:t>imaging.Clinical</w:t>
      </w:r>
      <w:proofErr w:type="spellEnd"/>
      <w:proofErr w:type="gramEnd"/>
      <w:r w:rsidRPr="00362EBC">
        <w:rPr>
          <w:lang w:val="en-US"/>
        </w:rPr>
        <w:t xml:space="preserve"> examination was normal in 83% of patients, while flank tenderness on percussion was noted in 17% of </w:t>
      </w:r>
      <w:proofErr w:type="spellStart"/>
      <w:r w:rsidRPr="00362EBC">
        <w:rPr>
          <w:lang w:val="en-US"/>
        </w:rPr>
        <w:t>cases.The</w:t>
      </w:r>
      <w:proofErr w:type="spellEnd"/>
      <w:r w:rsidRPr="00362EBC">
        <w:rPr>
          <w:lang w:val="en-US"/>
        </w:rPr>
        <w:t xml:space="preserve"> mean preoperative serum creatinine level was 12 mg/L (range: 6–24 mg/L). Three cases of renal insufficiency were </w:t>
      </w:r>
      <w:proofErr w:type="spellStart"/>
      <w:proofErr w:type="gramStart"/>
      <w:r w:rsidRPr="00362EBC">
        <w:rPr>
          <w:lang w:val="en-US"/>
        </w:rPr>
        <w:t>observed.Urine</w:t>
      </w:r>
      <w:proofErr w:type="spellEnd"/>
      <w:proofErr w:type="gramEnd"/>
      <w:r w:rsidRPr="00362EBC">
        <w:rPr>
          <w:lang w:val="en-US"/>
        </w:rPr>
        <w:t xml:space="preserve"> culture was sterile in 72% of cases and positive in 28%, with a predominance of </w:t>
      </w:r>
      <w:r w:rsidRPr="00362EBC">
        <w:rPr>
          <w:i/>
          <w:iCs/>
          <w:lang w:val="en-US"/>
        </w:rPr>
        <w:t xml:space="preserve">Escherichia </w:t>
      </w:r>
      <w:proofErr w:type="spellStart"/>
      <w:r w:rsidRPr="00362EBC">
        <w:rPr>
          <w:i/>
          <w:iCs/>
          <w:lang w:val="en-US"/>
        </w:rPr>
        <w:t>coli</w:t>
      </w:r>
      <w:r w:rsidRPr="00362EBC">
        <w:rPr>
          <w:lang w:val="en-US"/>
        </w:rPr>
        <w:t>.The</w:t>
      </w:r>
      <w:proofErr w:type="spellEnd"/>
      <w:r w:rsidRPr="00362EBC">
        <w:rPr>
          <w:lang w:val="en-US"/>
        </w:rPr>
        <w:t xml:space="preserve"> mean preoperative hemoglobin level was 13 g/dL, with a mean decrease of 0.77 g/dL postoperatively. The transfusion rate was 1.8% (1 case). Coagulation parameters were normal in all </w:t>
      </w:r>
      <w:proofErr w:type="spellStart"/>
      <w:proofErr w:type="gramStart"/>
      <w:r w:rsidRPr="00362EBC">
        <w:rPr>
          <w:lang w:val="en-US"/>
        </w:rPr>
        <w:t>patients.Radiological</w:t>
      </w:r>
      <w:proofErr w:type="spellEnd"/>
      <w:proofErr w:type="gramEnd"/>
      <w:r w:rsidRPr="00362EBC">
        <w:rPr>
          <w:lang w:val="en-US"/>
        </w:rPr>
        <w:t xml:space="preserve"> assessment included plain abdominal radiography (KUB), renal ultrasound, and especially computed tomography (CT scan), which was the reference imaging modality. CT allowed precise evaluation of stone location, size, density, and anatomical relationships with adjacent </w:t>
      </w:r>
      <w:proofErr w:type="spellStart"/>
      <w:proofErr w:type="gramStart"/>
      <w:r w:rsidRPr="00362EBC">
        <w:rPr>
          <w:lang w:val="en-US"/>
        </w:rPr>
        <w:t>organs.On</w:t>
      </w:r>
      <w:proofErr w:type="spellEnd"/>
      <w:proofErr w:type="gramEnd"/>
      <w:r w:rsidRPr="00362EBC">
        <w:rPr>
          <w:lang w:val="en-US"/>
        </w:rPr>
        <w:t xml:space="preserve"> CT scan, stone distribution showed a predominance of pelvic stones, accounting for 38.2% of cases. Calyceal locations were distributed as follows: middle calyx (29.4%), lower calyx (17.6%), and upper calyx (14.7%). No cases of isolated pyelocaliceal junction stones were identified in our series.</w:t>
      </w:r>
    </w:p>
    <w:p w14:paraId="7F4B8A71" w14:textId="78246914" w:rsidR="00362EBC" w:rsidRDefault="00362EBC" w:rsidP="00362EBC">
      <w:pPr>
        <w:rPr>
          <w:lang w:val="en-US"/>
        </w:rPr>
      </w:pPr>
      <w:r w:rsidRPr="00362EBC">
        <w:rPr>
          <w:noProof/>
          <w:lang w:val="en-US"/>
        </w:rPr>
        <w:drawing>
          <wp:inline distT="0" distB="0" distL="0" distR="0" wp14:anchorId="27E025AB" wp14:editId="1B8123D3">
            <wp:extent cx="2508531" cy="1994784"/>
            <wp:effectExtent l="0" t="0" r="6350" b="5715"/>
            <wp:docPr id="952871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71243" name=""/>
                    <pic:cNvPicPr/>
                  </pic:nvPicPr>
                  <pic:blipFill>
                    <a:blip r:embed="rId6"/>
                    <a:stretch>
                      <a:fillRect/>
                    </a:stretch>
                  </pic:blipFill>
                  <pic:spPr>
                    <a:xfrm>
                      <a:off x="0" y="0"/>
                      <a:ext cx="2517112" cy="2001608"/>
                    </a:xfrm>
                    <a:prstGeom prst="rect">
                      <a:avLst/>
                    </a:prstGeom>
                  </pic:spPr>
                </pic:pic>
              </a:graphicData>
            </a:graphic>
          </wp:inline>
        </w:drawing>
      </w:r>
    </w:p>
    <w:p w14:paraId="2FC8D94D" w14:textId="77777777" w:rsidR="00362EBC" w:rsidRPr="00362EBC" w:rsidRDefault="00362EBC" w:rsidP="00362EBC">
      <w:pPr>
        <w:rPr>
          <w:b/>
          <w:bCs/>
          <w:lang w:val="en-US"/>
        </w:rPr>
      </w:pPr>
      <w:r w:rsidRPr="00362EBC">
        <w:rPr>
          <w:b/>
          <w:bCs/>
          <w:lang w:val="en-US"/>
        </w:rPr>
        <w:t>Figure 1: Stone location on computed tomography (CT scan)</w:t>
      </w:r>
    </w:p>
    <w:p w14:paraId="081A1E16" w14:textId="2368FC19" w:rsidR="00362EBC" w:rsidRDefault="00362EBC" w:rsidP="000943A5">
      <w:pPr>
        <w:rPr>
          <w:lang w:val="en-US"/>
        </w:rPr>
      </w:pPr>
      <w:r w:rsidRPr="00362EBC">
        <w:rPr>
          <w:lang w:val="en-US"/>
        </w:rPr>
        <w:t xml:space="preserve">The left kidney was the most frequently affected (62% of cases). The mean stone size was 19.6 mm, with a range from 17 to 30 </w:t>
      </w:r>
      <w:proofErr w:type="spellStart"/>
      <w:proofErr w:type="gramStart"/>
      <w:r w:rsidRPr="00362EBC">
        <w:rPr>
          <w:lang w:val="en-US"/>
        </w:rPr>
        <w:t>mm.Stone</w:t>
      </w:r>
      <w:proofErr w:type="spellEnd"/>
      <w:proofErr w:type="gramEnd"/>
      <w:r w:rsidRPr="00362EBC">
        <w:rPr>
          <w:lang w:val="en-US"/>
        </w:rPr>
        <w:t xml:space="preserve"> density was predominantly high (&gt;1000 Hounsfield units) in 52.6% of cases, intermediate in 31.6%, and low in 15.8% of cases.</w:t>
      </w:r>
    </w:p>
    <w:p w14:paraId="54587339" w14:textId="77777777" w:rsidR="00362EBC" w:rsidRPr="00362EBC" w:rsidRDefault="00362EBC" w:rsidP="00362EBC">
      <w:pPr>
        <w:rPr>
          <w:lang w:val="en-US"/>
        </w:rPr>
      </w:pPr>
    </w:p>
    <w:tbl>
      <w:tblPr>
        <w:tblStyle w:val="TableGrid"/>
        <w:tblW w:w="0" w:type="auto"/>
        <w:tblLook w:val="04A0" w:firstRow="1" w:lastRow="0" w:firstColumn="1" w:lastColumn="0" w:noHBand="0" w:noVBand="1"/>
      </w:tblPr>
      <w:tblGrid>
        <w:gridCol w:w="4320"/>
        <w:gridCol w:w="4320"/>
      </w:tblGrid>
      <w:tr w:rsidR="00362EBC" w14:paraId="7A1A3EB6" w14:textId="77777777" w:rsidTr="00E62129">
        <w:tc>
          <w:tcPr>
            <w:tcW w:w="4320" w:type="dxa"/>
          </w:tcPr>
          <w:p w14:paraId="6D00E517" w14:textId="77777777" w:rsidR="00362EBC" w:rsidRDefault="00362EBC" w:rsidP="00E62129">
            <w:r>
              <w:t>Size (mm)</w:t>
            </w:r>
          </w:p>
        </w:tc>
        <w:tc>
          <w:tcPr>
            <w:tcW w:w="4320" w:type="dxa"/>
          </w:tcPr>
          <w:p w14:paraId="56619EE9" w14:textId="77777777" w:rsidR="00362EBC" w:rsidRDefault="00362EBC" w:rsidP="00E62129">
            <w:r>
              <w:t>Percentage (%)</w:t>
            </w:r>
          </w:p>
        </w:tc>
      </w:tr>
      <w:tr w:rsidR="00362EBC" w14:paraId="789186C4" w14:textId="77777777" w:rsidTr="00E62129">
        <w:tc>
          <w:tcPr>
            <w:tcW w:w="4320" w:type="dxa"/>
          </w:tcPr>
          <w:p w14:paraId="5BE4C5CD" w14:textId="77777777" w:rsidR="00362EBC" w:rsidRDefault="00362EBC" w:rsidP="00E62129">
            <w:r>
              <w:t>&lt; 15 mm</w:t>
            </w:r>
          </w:p>
        </w:tc>
        <w:tc>
          <w:tcPr>
            <w:tcW w:w="4320" w:type="dxa"/>
          </w:tcPr>
          <w:p w14:paraId="728522B6" w14:textId="77777777" w:rsidR="00362EBC" w:rsidRDefault="00362EBC" w:rsidP="00E62129">
            <w:r>
              <w:t>11.8%</w:t>
            </w:r>
          </w:p>
        </w:tc>
      </w:tr>
      <w:tr w:rsidR="00362EBC" w14:paraId="69C44BB6" w14:textId="77777777" w:rsidTr="00E62129">
        <w:tc>
          <w:tcPr>
            <w:tcW w:w="4320" w:type="dxa"/>
          </w:tcPr>
          <w:p w14:paraId="01EC07B7" w14:textId="77777777" w:rsidR="00362EBC" w:rsidRDefault="00362EBC" w:rsidP="00E62129">
            <w:r>
              <w:t>15–20 mm</w:t>
            </w:r>
          </w:p>
        </w:tc>
        <w:tc>
          <w:tcPr>
            <w:tcW w:w="4320" w:type="dxa"/>
          </w:tcPr>
          <w:p w14:paraId="56F0AA5B" w14:textId="77777777" w:rsidR="00362EBC" w:rsidRDefault="00362EBC" w:rsidP="00E62129">
            <w:r>
              <w:t>8.8%</w:t>
            </w:r>
          </w:p>
        </w:tc>
      </w:tr>
      <w:tr w:rsidR="00362EBC" w14:paraId="4A22B533" w14:textId="77777777" w:rsidTr="00E62129">
        <w:tc>
          <w:tcPr>
            <w:tcW w:w="4320" w:type="dxa"/>
          </w:tcPr>
          <w:p w14:paraId="2A99701E" w14:textId="77777777" w:rsidR="00362EBC" w:rsidRDefault="00362EBC" w:rsidP="00E62129">
            <w:r>
              <w:lastRenderedPageBreak/>
              <w:t>&gt; 20 mm</w:t>
            </w:r>
          </w:p>
        </w:tc>
        <w:tc>
          <w:tcPr>
            <w:tcW w:w="4320" w:type="dxa"/>
          </w:tcPr>
          <w:p w14:paraId="5B6EF10F" w14:textId="77777777" w:rsidR="00362EBC" w:rsidRDefault="00362EBC" w:rsidP="00E62129">
            <w:r>
              <w:t>58.8%</w:t>
            </w:r>
          </w:p>
        </w:tc>
      </w:tr>
    </w:tbl>
    <w:p w14:paraId="5FADBF5E" w14:textId="4FD25CA5" w:rsidR="00362EBC" w:rsidRDefault="00362EBC" w:rsidP="00362EBC">
      <w:pPr>
        <w:rPr>
          <w:b/>
          <w:bCs/>
          <w:lang w:val="en-US"/>
        </w:rPr>
      </w:pPr>
      <w:r w:rsidRPr="00362EBC">
        <w:rPr>
          <w:b/>
          <w:bCs/>
          <w:lang w:val="en-US"/>
        </w:rPr>
        <w:t>Table</w:t>
      </w:r>
      <w:r w:rsidR="00AB3F9C">
        <w:rPr>
          <w:b/>
          <w:bCs/>
          <w:lang w:val="en-US"/>
        </w:rPr>
        <w:t xml:space="preserve"> 1</w:t>
      </w:r>
      <w:r w:rsidRPr="00362EBC">
        <w:rPr>
          <w:b/>
          <w:bCs/>
          <w:lang w:val="en-US"/>
        </w:rPr>
        <w:t>: Classification of stones according to size</w:t>
      </w:r>
    </w:p>
    <w:p w14:paraId="12859D3F" w14:textId="77777777" w:rsidR="003542BB" w:rsidRDefault="003542BB" w:rsidP="00362EBC">
      <w:pPr>
        <w:rPr>
          <w:b/>
          <w:bCs/>
          <w:lang w:val="en-US"/>
        </w:rPr>
      </w:pPr>
    </w:p>
    <w:p w14:paraId="0D1D073B" w14:textId="0D9C15DD" w:rsidR="003542BB" w:rsidRPr="000234C1" w:rsidRDefault="003542BB" w:rsidP="000943A5">
      <w:pPr>
        <w:spacing w:after="200" w:line="276" w:lineRule="auto"/>
        <w:rPr>
          <w:lang w:val="en-US"/>
        </w:rPr>
      </w:pPr>
      <w:r w:rsidRPr="000234C1">
        <w:rPr>
          <w:lang w:val="en-US"/>
        </w:rPr>
        <w:t>In our series, mini-percutaneous nephrolithotomy (mini-PCNL) was mainly indicated for renal stones of significant size, with a predominance of pelvic locations. In addition, failure of extracorporeal shock wave lithotripsy (ESWL) was observed in 6% of patients, representing a secondary indication for mini-</w:t>
      </w:r>
      <w:proofErr w:type="spellStart"/>
      <w:r w:rsidRPr="000234C1">
        <w:rPr>
          <w:lang w:val="en-US"/>
        </w:rPr>
        <w:t>PCNL.Several</w:t>
      </w:r>
      <w:proofErr w:type="spellEnd"/>
      <w:r w:rsidRPr="000234C1">
        <w:rPr>
          <w:lang w:val="en-US"/>
        </w:rPr>
        <w:t xml:space="preserve"> factors likely to make mini-PCNL technically more challenging were identified, including obesity, previous renal surgery, anatomical abnormalities (ectopic kidney, malrotation), absence of collecting system dilation, the presence of large or multiple stones, and high stone density. Furthermore, the small caliber of the instruments used (14–20 Fr), intraoperative bleeding, and increased intrarenal pressure may also complicate the procedure and increase the risk of infection.</w:t>
      </w:r>
    </w:p>
    <w:p w14:paraId="2DAB201A" w14:textId="77777777" w:rsidR="003542BB" w:rsidRPr="000234C1" w:rsidRDefault="003542BB" w:rsidP="003542BB">
      <w:pPr>
        <w:spacing w:after="200" w:line="276" w:lineRule="auto"/>
        <w:rPr>
          <w:lang w:val="en-US"/>
        </w:rPr>
      </w:pPr>
    </w:p>
    <w:p w14:paraId="18FB4BBB" w14:textId="77777777" w:rsidR="003542BB" w:rsidRPr="000234C1" w:rsidRDefault="003542BB" w:rsidP="003542BB">
      <w:pPr>
        <w:spacing w:after="200" w:line="276" w:lineRule="auto"/>
        <w:rPr>
          <w:b/>
          <w:bCs/>
          <w:sz w:val="36"/>
          <w:szCs w:val="36"/>
          <w:lang w:val="en-US"/>
        </w:rPr>
      </w:pPr>
      <w:r w:rsidRPr="000234C1">
        <w:rPr>
          <w:b/>
          <w:bCs/>
          <w:sz w:val="36"/>
          <w:szCs w:val="36"/>
          <w:lang w:val="en-US"/>
        </w:rPr>
        <w:t>Discussion</w:t>
      </w:r>
    </w:p>
    <w:p w14:paraId="0B1D8AE0" w14:textId="40327847" w:rsidR="003542BB" w:rsidRPr="000234C1" w:rsidRDefault="003542BB" w:rsidP="000943A5">
      <w:pPr>
        <w:spacing w:after="200" w:line="276" w:lineRule="auto"/>
        <w:rPr>
          <w:lang w:val="en-US"/>
        </w:rPr>
      </w:pPr>
      <w:r w:rsidRPr="000234C1">
        <w:rPr>
          <w:lang w:val="en-US"/>
        </w:rPr>
        <w:t xml:space="preserve">This single-center study analyzes the outcomes of mini-percutaneous nephrolithotomy (mini-PCNL) and compares them with data from the literature regarding standard PCNL. In our series, the overall success rate of mini-PCNL reached 94%, which is consistent with previously reported results, where stone-free rates generally range from 90% to 98% depending on stone size and location </w:t>
      </w:r>
      <w:r w:rsidRPr="000234C1">
        <w:rPr>
          <w:b/>
          <w:bCs/>
          <w:lang w:val="en-US"/>
        </w:rPr>
        <w:t>[1</w:t>
      </w:r>
      <w:proofErr w:type="gramStart"/>
      <w:r w:rsidRPr="000234C1">
        <w:rPr>
          <w:b/>
          <w:bCs/>
          <w:lang w:val="en-US"/>
        </w:rPr>
        <w:t>]</w:t>
      </w:r>
      <w:r w:rsidRPr="000234C1">
        <w:rPr>
          <w:lang w:val="en-US"/>
        </w:rPr>
        <w:t>.Residual</w:t>
      </w:r>
      <w:proofErr w:type="gramEnd"/>
      <w:r w:rsidRPr="000234C1">
        <w:rPr>
          <w:lang w:val="en-US"/>
        </w:rPr>
        <w:t xml:space="preserve"> stone fragments were observed in 6% of patients, requiring additional treatment with extracorporeal shock wave lithotripsy (ESWL), with satisfactory outcomes after a single session in most cases. These findings are consistent with those reported by Mishra et al., who described high success rates, reaching up to 100% for mini-PCNL in moderate-sized stones </w:t>
      </w:r>
      <w:r w:rsidRPr="000234C1">
        <w:rPr>
          <w:b/>
          <w:bCs/>
          <w:lang w:val="en-US"/>
        </w:rPr>
        <w:t>[2]</w:t>
      </w:r>
      <w:r w:rsidRPr="000234C1">
        <w:rPr>
          <w:lang w:val="en-US"/>
        </w:rPr>
        <w:t xml:space="preserve">.Several studies, including those by Zhong et al. and </w:t>
      </w:r>
      <w:proofErr w:type="spellStart"/>
      <w:r w:rsidRPr="000234C1">
        <w:rPr>
          <w:lang w:val="en-US"/>
        </w:rPr>
        <w:t>Kirac</w:t>
      </w:r>
      <w:proofErr w:type="spellEnd"/>
      <w:r w:rsidRPr="000234C1">
        <w:rPr>
          <w:lang w:val="en-US"/>
        </w:rPr>
        <w:t xml:space="preserve"> et al., have also confirmed the effectiveness of mini-PCNL, reporting stone clearance rates exceeding 90%, highlighting its role in the management of renal lithiasis </w:t>
      </w:r>
      <w:r w:rsidRPr="000234C1">
        <w:rPr>
          <w:b/>
          <w:bCs/>
          <w:lang w:val="en-US"/>
        </w:rPr>
        <w:t>[3,4]</w:t>
      </w:r>
      <w:r w:rsidRPr="000234C1">
        <w:rPr>
          <w:lang w:val="en-US"/>
        </w:rPr>
        <w:t xml:space="preserve">.The randomized trial by Cheng et al. demonstrated that, for staghorn calculi, there is no significant difference between mini-PCNL and standard PCNL in terms of stone-free rate </w:t>
      </w:r>
      <w:r w:rsidRPr="000234C1">
        <w:rPr>
          <w:b/>
          <w:bCs/>
          <w:lang w:val="en-US"/>
        </w:rPr>
        <w:t>[5]</w:t>
      </w:r>
      <w:r w:rsidRPr="000234C1">
        <w:rPr>
          <w:lang w:val="en-US"/>
        </w:rPr>
        <w:t xml:space="preserve">. However, mini-PCNL appears to be more effective in the treatment of multiple stones, with a success rate of 85.2% compared to 70% for standard PCNL </w:t>
      </w:r>
      <w:r w:rsidRPr="000234C1">
        <w:rPr>
          <w:b/>
          <w:bCs/>
          <w:lang w:val="en-US"/>
        </w:rPr>
        <w:t>[5</w:t>
      </w:r>
      <w:proofErr w:type="gramStart"/>
      <w:r w:rsidRPr="000234C1">
        <w:rPr>
          <w:b/>
          <w:bCs/>
          <w:lang w:val="en-US"/>
        </w:rPr>
        <w:t>]</w:t>
      </w:r>
      <w:r w:rsidRPr="000234C1">
        <w:rPr>
          <w:lang w:val="en-US"/>
        </w:rPr>
        <w:t>.The</w:t>
      </w:r>
      <w:proofErr w:type="gramEnd"/>
      <w:r w:rsidRPr="000234C1">
        <w:rPr>
          <w:lang w:val="en-US"/>
        </w:rPr>
        <w:t xml:space="preserve"> choice of percutaneous access is a key factor influencing treatment outcomes. The study by </w:t>
      </w:r>
      <w:proofErr w:type="spellStart"/>
      <w:r w:rsidRPr="000234C1">
        <w:rPr>
          <w:lang w:val="en-US"/>
        </w:rPr>
        <w:t>Netto</w:t>
      </w:r>
      <w:proofErr w:type="spellEnd"/>
      <w:r w:rsidRPr="000234C1">
        <w:rPr>
          <w:lang w:val="en-US"/>
        </w:rPr>
        <w:t xml:space="preserve"> et al. showed that upper pole access provides a higher stone-free rate (87.5%) compared to multiple accesses (84.8%) or middle/lower calyceal access (80%) </w:t>
      </w:r>
      <w:r w:rsidRPr="000234C1">
        <w:rPr>
          <w:b/>
          <w:bCs/>
          <w:lang w:val="en-US"/>
        </w:rPr>
        <w:t>[6]</w:t>
      </w:r>
      <w:r w:rsidRPr="000234C1">
        <w:rPr>
          <w:lang w:val="en-US"/>
        </w:rPr>
        <w:t xml:space="preserve">.Finally, the results reported by </w:t>
      </w:r>
      <w:proofErr w:type="spellStart"/>
      <w:r w:rsidRPr="000234C1">
        <w:rPr>
          <w:lang w:val="en-US"/>
        </w:rPr>
        <w:t>Benchekroun</w:t>
      </w:r>
      <w:proofErr w:type="spellEnd"/>
      <w:r w:rsidRPr="000234C1">
        <w:rPr>
          <w:lang w:val="en-US"/>
        </w:rPr>
        <w:t xml:space="preserve"> et al. showed a stone-free rate of 92% at three months after PCNL, with limited need for additional treatments </w:t>
      </w:r>
      <w:r w:rsidRPr="000234C1">
        <w:rPr>
          <w:b/>
          <w:bCs/>
          <w:lang w:val="en-US"/>
        </w:rPr>
        <w:t>[10]</w:t>
      </w:r>
      <w:r w:rsidRPr="000234C1">
        <w:rPr>
          <w:lang w:val="en-US"/>
        </w:rPr>
        <w:t xml:space="preserve">.Thus, the findings of our study confirm that mini-PCNL is an effective therapeutic alternative to standard PCNL, allowing high stone clearance rates, particularly for moderate-sized or multiple </w:t>
      </w:r>
      <w:proofErr w:type="spellStart"/>
      <w:r w:rsidRPr="000234C1">
        <w:rPr>
          <w:lang w:val="en-US"/>
        </w:rPr>
        <w:t>stones.Operative</w:t>
      </w:r>
      <w:proofErr w:type="spellEnd"/>
      <w:r w:rsidRPr="000234C1">
        <w:rPr>
          <w:lang w:val="en-US"/>
        </w:rPr>
        <w:t xml:space="preserve"> time is an essential parameter in the comparative evaluation of mini-PCNL and standard PCNL. In our series, the mean operative time was 110 minutes, which is consistent with data reported in the literature </w:t>
      </w:r>
      <w:r w:rsidRPr="000234C1">
        <w:rPr>
          <w:b/>
          <w:bCs/>
          <w:lang w:val="en-US"/>
        </w:rPr>
        <w:lastRenderedPageBreak/>
        <w:t>[11]</w:t>
      </w:r>
      <w:r w:rsidRPr="000234C1">
        <w:rPr>
          <w:lang w:val="en-US"/>
        </w:rPr>
        <w:t xml:space="preserve">.Several studies have reported a slightly longer operative time for mini-PCNL due to instrument miniaturization and the use of </w:t>
      </w:r>
      <w:proofErr w:type="spellStart"/>
      <w:r w:rsidRPr="000234C1">
        <w:rPr>
          <w:lang w:val="en-US"/>
        </w:rPr>
        <w:t>Holmium:YAG</w:t>
      </w:r>
      <w:proofErr w:type="spellEnd"/>
      <w:r w:rsidRPr="000234C1">
        <w:rPr>
          <w:lang w:val="en-US"/>
        </w:rPr>
        <w:t xml:space="preserve"> laser lithotripsy </w:t>
      </w:r>
      <w:r w:rsidRPr="000234C1">
        <w:rPr>
          <w:b/>
          <w:bCs/>
          <w:lang w:val="en-US"/>
        </w:rPr>
        <w:t>[12]</w:t>
      </w:r>
      <w:r w:rsidRPr="000234C1">
        <w:rPr>
          <w:lang w:val="en-US"/>
        </w:rPr>
        <w:t xml:space="preserve">.In the literature, Giusti et al. reported comparable operative times between different PCNL techniques </w:t>
      </w:r>
      <w:r w:rsidRPr="000234C1">
        <w:rPr>
          <w:b/>
          <w:bCs/>
          <w:lang w:val="en-US"/>
        </w:rPr>
        <w:t>[11]</w:t>
      </w:r>
      <w:r w:rsidRPr="000234C1">
        <w:rPr>
          <w:lang w:val="en-US"/>
        </w:rPr>
        <w:t xml:space="preserve">.Conversely, several authors, including Mishra et al., </w:t>
      </w:r>
      <w:proofErr w:type="spellStart"/>
      <w:r w:rsidRPr="000234C1">
        <w:rPr>
          <w:lang w:val="en-US"/>
        </w:rPr>
        <w:t>Ozden</w:t>
      </w:r>
      <w:proofErr w:type="spellEnd"/>
      <w:r w:rsidRPr="000234C1">
        <w:rPr>
          <w:lang w:val="en-US"/>
        </w:rPr>
        <w:t xml:space="preserve"> et al., and </w:t>
      </w:r>
      <w:proofErr w:type="spellStart"/>
      <w:r w:rsidRPr="000234C1">
        <w:rPr>
          <w:lang w:val="en-US"/>
        </w:rPr>
        <w:t>Tanriverdi</w:t>
      </w:r>
      <w:proofErr w:type="spellEnd"/>
      <w:r w:rsidRPr="000234C1">
        <w:rPr>
          <w:lang w:val="en-US"/>
        </w:rPr>
        <w:t xml:space="preserve"> et al., have reported longer operative times for mini-PCNL compared to standard PCNL </w:t>
      </w:r>
      <w:r w:rsidRPr="000234C1">
        <w:rPr>
          <w:b/>
          <w:bCs/>
          <w:lang w:val="en-US"/>
        </w:rPr>
        <w:t>[8,13,14]</w:t>
      </w:r>
      <w:r w:rsidRPr="000234C1">
        <w:rPr>
          <w:lang w:val="en-US"/>
        </w:rPr>
        <w:t xml:space="preserve">.In our experience, the operative time appears satisfactory and </w:t>
      </w:r>
      <w:proofErr w:type="spellStart"/>
      <w:r w:rsidRPr="000234C1">
        <w:rPr>
          <w:lang w:val="en-US"/>
        </w:rPr>
        <w:t>competitive.Complications</w:t>
      </w:r>
      <w:proofErr w:type="spellEnd"/>
      <w:r w:rsidRPr="000234C1">
        <w:rPr>
          <w:lang w:val="en-US"/>
        </w:rPr>
        <w:t xml:space="preserve"> of mini-percutaneous nephrolithotomy (mini-PCNL) represent a key element in the assessment of its safety. In the literature, overall complication rates range from 11.9% to 37.9%, compared with 16.2% to 60.3% for standard PCNL </w:t>
      </w:r>
      <w:r w:rsidRPr="000234C1">
        <w:rPr>
          <w:b/>
          <w:bCs/>
          <w:lang w:val="en-US"/>
        </w:rPr>
        <w:t>[15</w:t>
      </w:r>
      <w:proofErr w:type="gramStart"/>
      <w:r w:rsidRPr="000234C1">
        <w:rPr>
          <w:b/>
          <w:bCs/>
          <w:lang w:val="en-US"/>
        </w:rPr>
        <w:t>]</w:t>
      </w:r>
      <w:r w:rsidRPr="000234C1">
        <w:rPr>
          <w:lang w:val="en-US"/>
        </w:rPr>
        <w:t>.In</w:t>
      </w:r>
      <w:proofErr w:type="gramEnd"/>
      <w:r w:rsidRPr="000234C1">
        <w:rPr>
          <w:lang w:val="en-US"/>
        </w:rPr>
        <w:t xml:space="preserve"> our series, the overall complication rate was 31.25%, which remains consistent with published data </w:t>
      </w:r>
      <w:r w:rsidRPr="000234C1">
        <w:rPr>
          <w:b/>
          <w:bCs/>
          <w:lang w:val="en-US"/>
        </w:rPr>
        <w:t>[15]</w:t>
      </w:r>
      <w:r w:rsidRPr="000234C1">
        <w:rPr>
          <w:lang w:val="en-US"/>
        </w:rPr>
        <w:t>. Most complications were of low severity (</w:t>
      </w:r>
      <w:proofErr w:type="spellStart"/>
      <w:r w:rsidRPr="000234C1">
        <w:rPr>
          <w:lang w:val="en-US"/>
        </w:rPr>
        <w:t>Clavien</w:t>
      </w:r>
      <w:proofErr w:type="spellEnd"/>
      <w:r w:rsidRPr="000234C1">
        <w:rPr>
          <w:lang w:val="en-US"/>
        </w:rPr>
        <w:t>–</w:t>
      </w:r>
      <w:proofErr w:type="spellStart"/>
      <w:r w:rsidRPr="000234C1">
        <w:rPr>
          <w:lang w:val="en-US"/>
        </w:rPr>
        <w:t>Dindo</w:t>
      </w:r>
      <w:proofErr w:type="spellEnd"/>
      <w:r w:rsidRPr="000234C1">
        <w:rPr>
          <w:lang w:val="en-US"/>
        </w:rPr>
        <w:t xml:space="preserve"> grades I and II), mainly consisting of postoperative hematuria (10.4%), renal colic (10.4%), and urinary extravasation (2.1%). Infectious complications were rare, with a postoperative pyelonephritis rate of 2.1%, comparable to those reported in the literature </w:t>
      </w:r>
      <w:r w:rsidRPr="000234C1">
        <w:rPr>
          <w:b/>
          <w:bCs/>
          <w:lang w:val="en-US"/>
        </w:rPr>
        <w:t>[16]</w:t>
      </w:r>
      <w:r w:rsidRPr="000234C1">
        <w:rPr>
          <w:lang w:val="en-US"/>
        </w:rPr>
        <w:t xml:space="preserve">.Hemorrhagic complications, which are a major concern in percutaneous surgery, were limited in our study, with an intraoperative bleeding rate of 4.2% and a mean hemoglobin drop of 0.77 g/dL, which is lower than that reported for standard PCNL (up to 3.5 g/dL) </w:t>
      </w:r>
      <w:r w:rsidRPr="000234C1">
        <w:rPr>
          <w:b/>
          <w:bCs/>
          <w:lang w:val="en-US"/>
        </w:rPr>
        <w:t>[17]</w:t>
      </w:r>
      <w:r w:rsidRPr="000234C1">
        <w:rPr>
          <w:lang w:val="en-US"/>
        </w:rPr>
        <w:t xml:space="preserve">. According to Qin et al. (2022), the transfusion rate was also low, confirming the advantage of tract miniaturization in reducing parenchymal trauma </w:t>
      </w:r>
      <w:r w:rsidRPr="000234C1">
        <w:rPr>
          <w:b/>
          <w:bCs/>
          <w:lang w:val="en-US"/>
        </w:rPr>
        <w:t>[1</w:t>
      </w:r>
      <w:proofErr w:type="gramStart"/>
      <w:r w:rsidRPr="000234C1">
        <w:rPr>
          <w:b/>
          <w:bCs/>
          <w:lang w:val="en-US"/>
        </w:rPr>
        <w:t>]</w:t>
      </w:r>
      <w:r w:rsidRPr="000234C1">
        <w:rPr>
          <w:lang w:val="en-US"/>
        </w:rPr>
        <w:t>.No</w:t>
      </w:r>
      <w:proofErr w:type="gramEnd"/>
      <w:r w:rsidRPr="000234C1">
        <w:rPr>
          <w:lang w:val="en-US"/>
        </w:rPr>
        <w:t xml:space="preserve"> complications involving adjacent organs were observed in our series, although the literature reports low but non-negligible rates, particularly in cases of </w:t>
      </w:r>
      <w:proofErr w:type="spellStart"/>
      <w:r w:rsidRPr="000234C1">
        <w:rPr>
          <w:lang w:val="en-US"/>
        </w:rPr>
        <w:t>supracostal</w:t>
      </w:r>
      <w:proofErr w:type="spellEnd"/>
      <w:r w:rsidRPr="000234C1">
        <w:rPr>
          <w:lang w:val="en-US"/>
        </w:rPr>
        <w:t xml:space="preserve"> access </w:t>
      </w:r>
      <w:r w:rsidRPr="000234C1">
        <w:rPr>
          <w:b/>
          <w:bCs/>
          <w:lang w:val="en-US"/>
        </w:rPr>
        <w:t>[18]</w:t>
      </w:r>
      <w:r w:rsidRPr="000234C1">
        <w:rPr>
          <w:lang w:val="en-US"/>
        </w:rPr>
        <w:t xml:space="preserve">. Infectious complications remain related to increased intrarenal pressure and urinary bacterial load </w:t>
      </w:r>
      <w:r w:rsidRPr="000234C1">
        <w:rPr>
          <w:b/>
          <w:bCs/>
          <w:lang w:val="en-US"/>
        </w:rPr>
        <w:t>[19</w:t>
      </w:r>
      <w:proofErr w:type="gramStart"/>
      <w:r w:rsidRPr="000234C1">
        <w:rPr>
          <w:b/>
          <w:bCs/>
          <w:lang w:val="en-US"/>
        </w:rPr>
        <w:t>]</w:t>
      </w:r>
      <w:r w:rsidRPr="000234C1">
        <w:rPr>
          <w:lang w:val="en-US"/>
        </w:rPr>
        <w:t>.Urinary</w:t>
      </w:r>
      <w:proofErr w:type="gramEnd"/>
      <w:r w:rsidRPr="000234C1">
        <w:rPr>
          <w:lang w:val="en-US"/>
        </w:rPr>
        <w:t xml:space="preserve"> complications, such as urinary fistulas or extravasation, are generally benign and respond well to appropriate drainage </w:t>
      </w:r>
      <w:r w:rsidRPr="000234C1">
        <w:rPr>
          <w:b/>
          <w:bCs/>
          <w:lang w:val="en-US"/>
        </w:rPr>
        <w:t>[20]</w:t>
      </w:r>
      <w:r w:rsidRPr="000234C1">
        <w:rPr>
          <w:lang w:val="en-US"/>
        </w:rPr>
        <w:t xml:space="preserve">.According to Sharma G, Sharma A, </w:t>
      </w:r>
      <w:proofErr w:type="spellStart"/>
      <w:r w:rsidRPr="000234C1">
        <w:rPr>
          <w:lang w:val="en-US"/>
        </w:rPr>
        <w:t>Devana</w:t>
      </w:r>
      <w:proofErr w:type="spellEnd"/>
      <w:r w:rsidRPr="000234C1">
        <w:rPr>
          <w:lang w:val="en-US"/>
        </w:rPr>
        <w:t xml:space="preserve"> SK, Singh SK. </w:t>
      </w:r>
      <w:r w:rsidRPr="000234C1">
        <w:rPr>
          <w:i/>
          <w:iCs/>
          <w:lang w:val="en-US"/>
        </w:rPr>
        <w:t>Mini versus standard percutaneous nephrolithotomy for the management of renal stone disease: systematic review and meta-analysis of randomized controlled trials</w:t>
      </w:r>
      <w:r w:rsidRPr="000234C1">
        <w:rPr>
          <w:lang w:val="en-US"/>
        </w:rPr>
        <w:t xml:space="preserve"> (Eur </w:t>
      </w:r>
      <w:proofErr w:type="spellStart"/>
      <w:r w:rsidRPr="000234C1">
        <w:rPr>
          <w:lang w:val="en-US"/>
        </w:rPr>
        <w:t>Urol</w:t>
      </w:r>
      <w:proofErr w:type="spellEnd"/>
      <w:r w:rsidRPr="000234C1">
        <w:rPr>
          <w:lang w:val="en-US"/>
        </w:rPr>
        <w:t xml:space="preserve"> Focus. 2022;8(5):1376–1385), overall complications are lower with mini</w:t>
      </w:r>
      <w:r w:rsidR="000943A5">
        <w:rPr>
          <w:lang w:val="en-US"/>
        </w:rPr>
        <w:t xml:space="preserve"> </w:t>
      </w:r>
      <w:r w:rsidRPr="000234C1">
        <w:rPr>
          <w:lang w:val="en-US"/>
        </w:rPr>
        <w:t xml:space="preserve">PCNL (RR ≈ 0.89; p ≈ 0.01), with fewer blood transfusions and a smaller hemoglobin drop in the mini-PCNL </w:t>
      </w:r>
      <w:proofErr w:type="spellStart"/>
      <w:r w:rsidRPr="000234C1">
        <w:rPr>
          <w:lang w:val="en-US"/>
        </w:rPr>
        <w:t>group.Thus</w:t>
      </w:r>
      <w:proofErr w:type="spellEnd"/>
      <w:r w:rsidRPr="000234C1">
        <w:rPr>
          <w:lang w:val="en-US"/>
        </w:rPr>
        <w:t xml:space="preserve">, the findings of our study confirm that mini-PCNL is a safe and effective technique, associated with overall low morbidity and predominantly minor complications, with a safety profile at least comparable, if not superior, to that of standard PCNL </w:t>
      </w:r>
      <w:r w:rsidRPr="000234C1">
        <w:rPr>
          <w:b/>
          <w:bCs/>
          <w:lang w:val="en-US"/>
        </w:rPr>
        <w:t>[22,26]</w:t>
      </w:r>
      <w:r w:rsidRPr="000234C1">
        <w:rPr>
          <w:lang w:val="en-US"/>
        </w:rPr>
        <w:t xml:space="preserve">. This supports our results showing fewer complications with mini-PCNL compared to standard </w:t>
      </w:r>
      <w:proofErr w:type="spellStart"/>
      <w:r w:rsidRPr="000234C1">
        <w:rPr>
          <w:lang w:val="en-US"/>
        </w:rPr>
        <w:t>PCNL.Mini</w:t>
      </w:r>
      <w:proofErr w:type="spellEnd"/>
      <w:r w:rsidRPr="000234C1">
        <w:rPr>
          <w:lang w:val="en-US"/>
        </w:rPr>
        <w:t xml:space="preserve">-percutaneous nephrolithotomy represents a minimally invasive alternative aimed at reducing morbidity while maintaining satisfactory therapeutic efficacy </w:t>
      </w:r>
      <w:r w:rsidRPr="000234C1">
        <w:rPr>
          <w:b/>
          <w:bCs/>
          <w:lang w:val="en-US"/>
        </w:rPr>
        <w:t>[23</w:t>
      </w:r>
      <w:proofErr w:type="gramStart"/>
      <w:r w:rsidRPr="000234C1">
        <w:rPr>
          <w:b/>
          <w:bCs/>
          <w:lang w:val="en-US"/>
        </w:rPr>
        <w:t>]</w:t>
      </w:r>
      <w:r w:rsidRPr="000234C1">
        <w:rPr>
          <w:lang w:val="en-US"/>
        </w:rPr>
        <w:t>.Renal</w:t>
      </w:r>
      <w:proofErr w:type="gramEnd"/>
      <w:r w:rsidRPr="000234C1">
        <w:rPr>
          <w:lang w:val="en-US"/>
        </w:rPr>
        <w:t xml:space="preserve"> stones can lead to upper urinary tract obstruction and infection, thereby increasing the risk of renal impairment and chronic kidney </w:t>
      </w:r>
      <w:proofErr w:type="spellStart"/>
      <w:r w:rsidRPr="000234C1">
        <w:rPr>
          <w:lang w:val="en-US"/>
        </w:rPr>
        <w:t>disease.End</w:t>
      </w:r>
      <w:proofErr w:type="spellEnd"/>
      <w:r w:rsidRPr="000234C1">
        <w:rPr>
          <w:lang w:val="en-US"/>
        </w:rPr>
        <w:t xml:space="preserve">-stage renal disease </w:t>
      </w:r>
      <w:r w:rsidRPr="000234C1">
        <w:rPr>
          <w:b/>
          <w:bCs/>
          <w:lang w:val="en-US"/>
        </w:rPr>
        <w:t>[36–37]</w:t>
      </w:r>
      <w:r w:rsidRPr="000234C1">
        <w:rPr>
          <w:lang w:val="en-US"/>
        </w:rPr>
        <w:t xml:space="preserve">. Therefore, effective methods for stone removal are required to preserve renal function </w:t>
      </w:r>
      <w:r w:rsidRPr="000234C1">
        <w:rPr>
          <w:b/>
          <w:bCs/>
          <w:lang w:val="en-US"/>
        </w:rPr>
        <w:t>[38]</w:t>
      </w:r>
      <w:r w:rsidRPr="000234C1">
        <w:rPr>
          <w:lang w:val="en-US"/>
        </w:rPr>
        <w:t xml:space="preserve">.In the management of patients with large renal stones associated with renal insufficiency, it is essential to achieve an acceptable stone-free rate, avoid serious complications, and improve or stabilize renal function, which represent major challenges of PCNL </w:t>
      </w:r>
      <w:r w:rsidRPr="000234C1">
        <w:rPr>
          <w:b/>
          <w:bCs/>
          <w:lang w:val="en-US"/>
        </w:rPr>
        <w:t>[39,40]</w:t>
      </w:r>
      <w:r w:rsidRPr="000234C1">
        <w:rPr>
          <w:lang w:val="en-US"/>
        </w:rPr>
        <w:t xml:space="preserve">.The efficacy and safety of mini-percutaneous nephrolithotomy (MPCNL) and standard PCNL (SPCNL) in patients with normal </w:t>
      </w:r>
      <w:r w:rsidRPr="000234C1">
        <w:rPr>
          <w:lang w:val="en-US"/>
        </w:rPr>
        <w:lastRenderedPageBreak/>
        <w:t xml:space="preserve">renal function have been widely recognized; however, there is no clear consensus regarding the most appropriate approach </w:t>
      </w:r>
      <w:r w:rsidRPr="000234C1">
        <w:rPr>
          <w:b/>
          <w:bCs/>
          <w:lang w:val="en-US"/>
        </w:rPr>
        <w:t>[12,41]</w:t>
      </w:r>
      <w:r w:rsidRPr="000234C1">
        <w:rPr>
          <w:lang w:val="en-US"/>
        </w:rPr>
        <w:t xml:space="preserve">.Previous studies have shown that PCNL can improve or preserve renal function in patients with renal insufficiency, although with higher complication rates compared to patients with normal renal function </w:t>
      </w:r>
      <w:r w:rsidRPr="000234C1">
        <w:rPr>
          <w:b/>
          <w:bCs/>
          <w:lang w:val="en-US"/>
        </w:rPr>
        <w:t>[42]</w:t>
      </w:r>
      <w:r w:rsidRPr="000234C1">
        <w:rPr>
          <w:lang w:val="en-US"/>
        </w:rPr>
        <w:t xml:space="preserve">. However, few studies have directly compared the outcomes of MPCNL and SPCNL in patients with renal </w:t>
      </w:r>
      <w:proofErr w:type="spellStart"/>
      <w:r w:rsidRPr="000234C1">
        <w:rPr>
          <w:lang w:val="en-US"/>
        </w:rPr>
        <w:t>insufficiency.Previous</w:t>
      </w:r>
      <w:proofErr w:type="spellEnd"/>
      <w:r w:rsidRPr="000234C1">
        <w:rPr>
          <w:lang w:val="en-US"/>
        </w:rPr>
        <w:t xml:space="preserve"> studies have also demonstrated that renal insufficiency is associated with an increased risk of perioperative blood transfusion, due to pathophysiological mechanisms such as platelet–vessel wall dysfunction and coagulation abnormalities in these patients </w:t>
      </w:r>
      <w:r w:rsidRPr="000234C1">
        <w:rPr>
          <w:b/>
          <w:bCs/>
          <w:lang w:val="en-US"/>
        </w:rPr>
        <w:t>[43]</w:t>
      </w:r>
      <w:r w:rsidRPr="000234C1">
        <w:rPr>
          <w:lang w:val="en-US"/>
        </w:rPr>
        <w:t xml:space="preserve">.The transfusion rate in PCNL among patients with chronic kidney disease was reported to be 12.8%, which is higher than that observed in patients with normal renal function (approximately 7%) </w:t>
      </w:r>
      <w:r w:rsidRPr="000234C1">
        <w:rPr>
          <w:b/>
          <w:bCs/>
          <w:lang w:val="en-US"/>
        </w:rPr>
        <w:t>[42,44]</w:t>
      </w:r>
      <w:r w:rsidRPr="000234C1">
        <w:rPr>
          <w:lang w:val="en-US"/>
        </w:rPr>
        <w:t xml:space="preserve">.In patients with renal stones associated with renal insufficiency, PCNL remains a challenging procedure, as it may not improve renal function or may be associated with higher complication rates. Evidence has shown that complication rates after PCNL are higher in patients with renal insufficiency compared to those with normal renal function, with rates of 31.9% and 20.53%, respectively </w:t>
      </w:r>
      <w:r w:rsidRPr="000234C1">
        <w:rPr>
          <w:b/>
          <w:bCs/>
          <w:lang w:val="en-US"/>
        </w:rPr>
        <w:t>[42,45</w:t>
      </w:r>
      <w:r w:rsidR="00FF2B95" w:rsidRPr="000234C1">
        <w:rPr>
          <w:b/>
          <w:bCs/>
          <w:lang w:val="en-US"/>
        </w:rPr>
        <w:t>]</w:t>
      </w:r>
      <w:r w:rsidR="00FF2B95" w:rsidRPr="000234C1">
        <w:rPr>
          <w:lang w:val="en-US"/>
        </w:rPr>
        <w:t>. However</w:t>
      </w:r>
      <w:r w:rsidRPr="000234C1">
        <w:rPr>
          <w:lang w:val="en-US"/>
        </w:rPr>
        <w:t xml:space="preserve">, studies comparing complication rates between MPCNL and SPCNL in patients with renal insufficiency remain limited. In the present study, according to the </w:t>
      </w:r>
      <w:proofErr w:type="spellStart"/>
      <w:r w:rsidRPr="000234C1">
        <w:rPr>
          <w:lang w:val="en-US"/>
        </w:rPr>
        <w:t>Clavien</w:t>
      </w:r>
      <w:proofErr w:type="spellEnd"/>
      <w:r w:rsidRPr="000234C1">
        <w:rPr>
          <w:lang w:val="en-US"/>
        </w:rPr>
        <w:t>–</w:t>
      </w:r>
      <w:proofErr w:type="spellStart"/>
      <w:r w:rsidRPr="000234C1">
        <w:rPr>
          <w:lang w:val="en-US"/>
        </w:rPr>
        <w:t>Dindo</w:t>
      </w:r>
      <w:proofErr w:type="spellEnd"/>
      <w:r w:rsidRPr="000234C1">
        <w:rPr>
          <w:lang w:val="en-US"/>
        </w:rPr>
        <w:t xml:space="preserve"> classification, no statistically significant difference was observed between the two groups in terms of overall complications. Patients were further stratified into CKD stage 3 and stage 4 subgroups, with no significant differences in postoperative complication </w:t>
      </w:r>
      <w:proofErr w:type="spellStart"/>
      <w:proofErr w:type="gramStart"/>
      <w:r w:rsidRPr="000234C1">
        <w:rPr>
          <w:lang w:val="en-US"/>
        </w:rPr>
        <w:t>rates.In</w:t>
      </w:r>
      <w:proofErr w:type="spellEnd"/>
      <w:proofErr w:type="gramEnd"/>
      <w:r w:rsidRPr="000234C1">
        <w:rPr>
          <w:lang w:val="en-US"/>
        </w:rPr>
        <w:t xml:space="preserve"> the present study, </w:t>
      </w:r>
      <w:r w:rsidR="00FF2B95" w:rsidRPr="000234C1">
        <w:rPr>
          <w:lang w:val="en-US"/>
        </w:rPr>
        <w:t>most</w:t>
      </w:r>
      <w:r w:rsidRPr="000234C1">
        <w:rPr>
          <w:lang w:val="en-US"/>
        </w:rPr>
        <w:t xml:space="preserve"> patients with renal insufficiency in both the MPCNL and SPCNL groups experienced improvement or stabilization of renal function at 1 month postoperatively, with comparable and manageable overall complication rates. These findings may help urologists guide management and counseling of patients with renal insufficiency and renal stones.</w:t>
      </w:r>
    </w:p>
    <w:p w14:paraId="21938832" w14:textId="63C2EEB3" w:rsidR="003542BB" w:rsidRPr="003542BB" w:rsidRDefault="003542BB" w:rsidP="000943A5">
      <w:pPr>
        <w:spacing w:after="200" w:line="276" w:lineRule="auto"/>
        <w:rPr>
          <w:lang w:val="en-US"/>
        </w:rPr>
      </w:pPr>
      <w:r w:rsidRPr="000234C1">
        <w:rPr>
          <w:lang w:val="en-US"/>
        </w:rPr>
        <w:t xml:space="preserve">In our series, postoperative pain was generally low, which is consistent with literature data demonstrating a significant reduction in pain with miniaturized techniques </w:t>
      </w:r>
      <w:r w:rsidRPr="000234C1">
        <w:rPr>
          <w:b/>
          <w:bCs/>
          <w:lang w:val="en-US"/>
        </w:rPr>
        <w:t>[24]</w:t>
      </w:r>
      <w:r w:rsidRPr="000234C1">
        <w:rPr>
          <w:lang w:val="en-US"/>
        </w:rPr>
        <w:t xml:space="preserve">.In our series, the mean length of hospital stay was 2 days, with good postoperative recovery, which is significantly shorter than that reported in the literature for standard PCNL (3–7 days) </w:t>
      </w:r>
      <w:r w:rsidRPr="000234C1">
        <w:rPr>
          <w:b/>
          <w:bCs/>
          <w:lang w:val="en-US"/>
        </w:rPr>
        <w:t>[25]</w:t>
      </w:r>
      <w:r w:rsidRPr="000234C1">
        <w:rPr>
          <w:lang w:val="en-US"/>
        </w:rPr>
        <w:t xml:space="preserve">.Regarding lithotripsy, the use of the </w:t>
      </w:r>
      <w:proofErr w:type="spellStart"/>
      <w:r w:rsidRPr="000234C1">
        <w:rPr>
          <w:lang w:val="en-US"/>
        </w:rPr>
        <w:t>Holmium:YAG</w:t>
      </w:r>
      <w:proofErr w:type="spellEnd"/>
      <w:r w:rsidRPr="000234C1">
        <w:rPr>
          <w:lang w:val="en-US"/>
        </w:rPr>
        <w:t xml:space="preserve"> laser appears particularly effective, allowing finer stone fragmentation and reducing the need for additional procedures </w:t>
      </w:r>
      <w:r w:rsidRPr="000234C1">
        <w:rPr>
          <w:b/>
          <w:bCs/>
          <w:lang w:val="en-US"/>
        </w:rPr>
        <w:t>[26]</w:t>
      </w:r>
      <w:r w:rsidRPr="000234C1">
        <w:rPr>
          <w:lang w:val="en-US"/>
        </w:rPr>
        <w:t>.</w:t>
      </w:r>
    </w:p>
    <w:p w14:paraId="33DCA627" w14:textId="77777777" w:rsidR="003542BB" w:rsidRPr="000234C1" w:rsidRDefault="003542BB" w:rsidP="003542BB">
      <w:pPr>
        <w:spacing w:after="200" w:line="276" w:lineRule="auto"/>
        <w:rPr>
          <w:lang w:val="en-US"/>
        </w:rPr>
      </w:pPr>
      <w:r>
        <w:rPr>
          <w:noProof/>
        </w:rPr>
        <w:drawing>
          <wp:inline distT="0" distB="0" distL="0" distR="0" wp14:anchorId="2AF64732" wp14:editId="25C08060">
            <wp:extent cx="1858645" cy="1508760"/>
            <wp:effectExtent l="0" t="0" r="8255" b="0"/>
            <wp:docPr id="118648581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6583"/>
                    <a:stretch>
                      <a:fillRect/>
                    </a:stretch>
                  </pic:blipFill>
                  <pic:spPr bwMode="auto">
                    <a:xfrm>
                      <a:off x="0" y="0"/>
                      <a:ext cx="1939171" cy="1574127"/>
                    </a:xfrm>
                    <a:prstGeom prst="rect">
                      <a:avLst/>
                    </a:prstGeom>
                    <a:noFill/>
                    <a:ln>
                      <a:noFill/>
                    </a:ln>
                    <a:extLst>
                      <a:ext uri="{53640926-AAD7-44D8-BBD7-CCE9431645EC}">
                        <a14:shadowObscured xmlns:a14="http://schemas.microsoft.com/office/drawing/2010/main"/>
                      </a:ext>
                    </a:extLst>
                  </pic:spPr>
                </pic:pic>
              </a:graphicData>
            </a:graphic>
          </wp:inline>
        </w:drawing>
      </w:r>
    </w:p>
    <w:p w14:paraId="32DF04A7" w14:textId="77777777" w:rsidR="003542BB" w:rsidRDefault="003542BB" w:rsidP="003542BB"/>
    <w:p w14:paraId="30C25662" w14:textId="77777777" w:rsidR="003542BB" w:rsidRPr="003542BB" w:rsidRDefault="003542BB" w:rsidP="003542BB">
      <w:pPr>
        <w:rPr>
          <w:lang w:val="en-US"/>
        </w:rPr>
      </w:pPr>
      <w:r w:rsidRPr="003542BB">
        <w:rPr>
          <w:lang w:val="en-US"/>
        </w:rPr>
        <w:t>Figure 2: Holmium laser fiber and laser generator</w:t>
      </w:r>
    </w:p>
    <w:p w14:paraId="45F0A321" w14:textId="773CB379" w:rsidR="003542BB" w:rsidRPr="0051139B" w:rsidRDefault="003542BB" w:rsidP="000943A5">
      <w:pPr>
        <w:spacing w:after="200" w:line="276" w:lineRule="auto"/>
        <w:rPr>
          <w:lang w:val="en-US"/>
        </w:rPr>
      </w:pPr>
      <w:r w:rsidRPr="0051139B">
        <w:rPr>
          <w:lang w:val="en-US"/>
        </w:rPr>
        <w:lastRenderedPageBreak/>
        <w:t xml:space="preserve">Lower calyx stones represent a particular challenge in endourology, for which mini-percutaneous nephrolithotomy (mini-PCNL) plays a central role in the therapeutic strategy </w:t>
      </w:r>
      <w:r w:rsidRPr="0051139B">
        <w:rPr>
          <w:b/>
          <w:bCs/>
          <w:lang w:val="en-US"/>
        </w:rPr>
        <w:t>[27]</w:t>
      </w:r>
      <w:r w:rsidRPr="0051139B">
        <w:rPr>
          <w:lang w:val="en-US"/>
        </w:rPr>
        <w:t xml:space="preserve">.Recent recommendations, particularly those of the European Association of Urology (EAU 2025), indicate that mini-PCNL (12–22 Fr) and standard PCNL (&gt;22 Fr) provide comparable stone-free rates, while mini-PCNL is associated with a significant reduction in bleeding, transfusion rate, and length of hospital stay </w:t>
      </w:r>
      <w:r w:rsidRPr="0051139B">
        <w:rPr>
          <w:b/>
          <w:bCs/>
          <w:lang w:val="en-US"/>
        </w:rPr>
        <w:t>[21]</w:t>
      </w:r>
      <w:r w:rsidRPr="0051139B">
        <w:rPr>
          <w:lang w:val="en-US"/>
        </w:rPr>
        <w:t xml:space="preserve">. The American Urological Association guidelines also confirm that, for renal stones up to 3 cm, both techniques can be considered </w:t>
      </w:r>
      <w:r w:rsidRPr="0051139B">
        <w:rPr>
          <w:b/>
          <w:bCs/>
          <w:lang w:val="en-US"/>
        </w:rPr>
        <w:t>[28]</w:t>
      </w:r>
      <w:r w:rsidRPr="0051139B">
        <w:rPr>
          <w:lang w:val="en-US"/>
        </w:rPr>
        <w:t xml:space="preserve">.Randomized trials, notably that of Aggarwal et al. (2024), have shown that for lower calyx stones measuring 1–2 cm, mini-PCNL achieves stone-free rates comparable to standard PCNL, with a significant reduction in hemoglobin drop, analgesic requirements, and hospital stay </w:t>
      </w:r>
      <w:r w:rsidRPr="0051139B">
        <w:rPr>
          <w:b/>
          <w:bCs/>
          <w:lang w:val="en-US"/>
        </w:rPr>
        <w:t>[27]</w:t>
      </w:r>
      <w:r w:rsidRPr="0051139B">
        <w:rPr>
          <w:lang w:val="en-US"/>
        </w:rPr>
        <w:t xml:space="preserve">. These findings are supported by other prospective studies and meta-analyses, which highlight similar efficacy between the two techniques, with lower morbidity in favor of mini-PCNL </w:t>
      </w:r>
      <w:r w:rsidRPr="0051139B">
        <w:rPr>
          <w:b/>
          <w:bCs/>
          <w:lang w:val="en-US"/>
        </w:rPr>
        <w:t>[30,31]</w:t>
      </w:r>
      <w:r w:rsidRPr="0051139B">
        <w:rPr>
          <w:lang w:val="en-US"/>
        </w:rPr>
        <w:t xml:space="preserve">.According to </w:t>
      </w:r>
      <w:proofErr w:type="spellStart"/>
      <w:r w:rsidRPr="0051139B">
        <w:rPr>
          <w:lang w:val="en-US"/>
        </w:rPr>
        <w:t>Kankaria</w:t>
      </w:r>
      <w:proofErr w:type="spellEnd"/>
      <w:r w:rsidRPr="0051139B">
        <w:rPr>
          <w:lang w:val="en-US"/>
        </w:rPr>
        <w:t xml:space="preserve"> et al. (2024), in a randomized controlled trial comparing super-mini PCNL (SMP) with suction to standard PCNL for renal stones measuring 1.5–3 cm, SMP demonstrated comparable efficacy in terms of stone-free rate. However, SMP was associated with significantly reduced morbidity, including decreased postoperative pain, shorter hospital </w:t>
      </w:r>
      <w:r w:rsidR="00FF2B95" w:rsidRPr="0051139B">
        <w:rPr>
          <w:lang w:val="en-US"/>
        </w:rPr>
        <w:t>stays</w:t>
      </w:r>
      <w:r w:rsidRPr="0051139B">
        <w:rPr>
          <w:lang w:val="en-US"/>
        </w:rPr>
        <w:t>, and a lower rate of severe complications (</w:t>
      </w:r>
      <w:proofErr w:type="spellStart"/>
      <w:r w:rsidRPr="0051139B">
        <w:rPr>
          <w:lang w:val="en-US"/>
        </w:rPr>
        <w:t>Clavien</w:t>
      </w:r>
      <w:proofErr w:type="spellEnd"/>
      <w:r w:rsidRPr="0051139B">
        <w:rPr>
          <w:lang w:val="en-US"/>
        </w:rPr>
        <w:t xml:space="preserve"> ≥ III). These results are mainly explained by the smaller tract size and the use of a suction system, which improves fragment clearance and reduces intrarenal pressure, thereby lowering infectious and hemorrhagic risks. However, SMP was associated with a longer operative time, likely due to instrument miniaturization and technical limitations in fragment extraction.</w:t>
      </w:r>
    </w:p>
    <w:p w14:paraId="69DC3596" w14:textId="77777777" w:rsidR="000943A5" w:rsidRDefault="003542BB" w:rsidP="000943A5">
      <w:pPr>
        <w:spacing w:after="200" w:line="276" w:lineRule="auto"/>
        <w:rPr>
          <w:lang w:val="en-US"/>
        </w:rPr>
      </w:pPr>
      <w:r w:rsidRPr="0051139B">
        <w:rPr>
          <w:lang w:val="en-US"/>
        </w:rPr>
        <w:t xml:space="preserve">Ahmed et al. (2025) </w:t>
      </w:r>
      <w:r w:rsidRPr="0051139B">
        <w:rPr>
          <w:b/>
          <w:bCs/>
          <w:lang w:val="en-US"/>
        </w:rPr>
        <w:t>[29]</w:t>
      </w:r>
      <w:r w:rsidRPr="0051139B">
        <w:rPr>
          <w:lang w:val="en-US"/>
        </w:rPr>
        <w:t xml:space="preserve"> conducted a comparative study evaluating mini-PCNL versus standard PCNL using the concept of the “trifecta outcome,” which integrates stone-free rate, absence of significant complications, and absence of auxiliary procedures.</w:t>
      </w:r>
    </w:p>
    <w:p w14:paraId="3CC96D5A" w14:textId="4000A6F1" w:rsidR="003542BB" w:rsidRPr="0051139B" w:rsidRDefault="003542BB" w:rsidP="000943A5">
      <w:pPr>
        <w:spacing w:after="200" w:line="276" w:lineRule="auto"/>
        <w:rPr>
          <w:lang w:val="en-US"/>
        </w:rPr>
      </w:pPr>
      <w:proofErr w:type="spellStart"/>
      <w:r w:rsidRPr="0051139B">
        <w:rPr>
          <w:lang w:val="en-US"/>
        </w:rPr>
        <w:t>Memmos</w:t>
      </w:r>
      <w:proofErr w:type="spellEnd"/>
      <w:r w:rsidRPr="0051139B">
        <w:rPr>
          <w:lang w:val="en-US"/>
        </w:rPr>
        <w:t xml:space="preserve"> et al. (2023) </w:t>
      </w:r>
      <w:r w:rsidRPr="0051139B">
        <w:rPr>
          <w:b/>
          <w:bCs/>
          <w:lang w:val="en-US"/>
        </w:rPr>
        <w:t>[35]</w:t>
      </w:r>
      <w:r w:rsidRPr="0051139B">
        <w:rPr>
          <w:lang w:val="en-US"/>
        </w:rPr>
        <w:t xml:space="preserve">, in a randomized controlled trial, evaluated the impact of standard PCNL, mini-PCNL, and retrograde intrarenal surgery (RIRS) on renal injury biomarkers, providing a complementary pathophysiological perspective to conventional clinical outcomes. Their results showed that mini-PCNL is associated with less renal injury compared to standard PCNL, as evidenced by lower postoperative levels of tubular and glomerular injury biomarkers. These findings suggest that tract miniaturization reduces renal parenchymal trauma and limits the functional impact of the </w:t>
      </w:r>
      <w:proofErr w:type="spellStart"/>
      <w:proofErr w:type="gramStart"/>
      <w:r w:rsidRPr="0051139B">
        <w:rPr>
          <w:lang w:val="en-US"/>
        </w:rPr>
        <w:t>procedure.Furthermore</w:t>
      </w:r>
      <w:proofErr w:type="spellEnd"/>
      <w:proofErr w:type="gramEnd"/>
      <w:r w:rsidRPr="0051139B">
        <w:rPr>
          <w:lang w:val="en-US"/>
        </w:rPr>
        <w:t>, the efficacy of mini-PCNL in terms of stone-free rate remained comparable to that of standard PCNL, confirming that reduced invasiveness does not necessarily compromise effectiveness. In patients with renal insufficiency, mini-PCNL appears to be a particularly relevant alternative, balancing lithiasis clearance with reduced morbidity while promoting preservation of renal function.</w:t>
      </w:r>
    </w:p>
    <w:p w14:paraId="6A22D91D" w14:textId="16360BB6" w:rsidR="003542BB" w:rsidRPr="0051139B" w:rsidRDefault="003542BB" w:rsidP="000943A5">
      <w:pPr>
        <w:spacing w:after="200" w:line="276" w:lineRule="auto"/>
        <w:rPr>
          <w:lang w:val="en-US"/>
        </w:rPr>
      </w:pPr>
      <w:r w:rsidRPr="0051139B">
        <w:rPr>
          <w:lang w:val="en-US"/>
        </w:rPr>
        <w:t xml:space="preserve">The results of this study showed that standard PCNL achieved a higher stone-free rate compared to mini-PCNL (93.3% vs 76.7%). However, mini-PCNL was associated with lower </w:t>
      </w:r>
      <w:r w:rsidRPr="0051139B">
        <w:rPr>
          <w:lang w:val="en-US"/>
        </w:rPr>
        <w:lastRenderedPageBreak/>
        <w:t xml:space="preserve">morbidity, with a reduction in postoperative complications. In addition, patients treated with mini-PCNL more frequently required auxiliary procedures, likely due to the smaller tract size and technical limitations in stone fragmentation and </w:t>
      </w:r>
      <w:proofErr w:type="spellStart"/>
      <w:r w:rsidRPr="0051139B">
        <w:rPr>
          <w:lang w:val="en-US"/>
        </w:rPr>
        <w:t>extraction.These</w:t>
      </w:r>
      <w:proofErr w:type="spellEnd"/>
      <w:r w:rsidRPr="0051139B">
        <w:rPr>
          <w:lang w:val="en-US"/>
        </w:rPr>
        <w:t xml:space="preserve"> findings suggest that although mini-PCNL offers a favorable safety </w:t>
      </w:r>
      <w:proofErr w:type="spellStart"/>
      <w:r w:rsidRPr="0051139B">
        <w:rPr>
          <w:lang w:val="en-US"/>
        </w:rPr>
        <w:t>profile,a</w:t>
      </w:r>
      <w:proofErr w:type="spellEnd"/>
      <w:r w:rsidRPr="0051139B">
        <w:rPr>
          <w:lang w:val="en-US"/>
        </w:rPr>
        <w:t xml:space="preserve"> more favorable safety profile, standard PCNL may retain an advantage in terms of maximal efficacy, particularly for large or complex </w:t>
      </w:r>
      <w:proofErr w:type="spellStart"/>
      <w:r w:rsidRPr="0051139B">
        <w:rPr>
          <w:lang w:val="en-US"/>
        </w:rPr>
        <w:t>stones.The</w:t>
      </w:r>
      <w:proofErr w:type="spellEnd"/>
      <w:r w:rsidRPr="0051139B">
        <w:rPr>
          <w:lang w:val="en-US"/>
        </w:rPr>
        <w:t xml:space="preserve"> choice of percutaneous access is a key determinant of outcomes. The subcostal approach appears to be the safest, providing success rates comparable to the </w:t>
      </w:r>
      <w:proofErr w:type="spellStart"/>
      <w:r w:rsidRPr="0051139B">
        <w:rPr>
          <w:lang w:val="en-US"/>
        </w:rPr>
        <w:t>supracostal</w:t>
      </w:r>
      <w:proofErr w:type="spellEnd"/>
      <w:r w:rsidRPr="0051139B">
        <w:rPr>
          <w:lang w:val="en-US"/>
        </w:rPr>
        <w:t xml:space="preserve"> approach while reducing the risk of thoracic complications </w:t>
      </w:r>
      <w:r w:rsidRPr="0051139B">
        <w:rPr>
          <w:b/>
          <w:bCs/>
          <w:lang w:val="en-US"/>
        </w:rPr>
        <w:t>[6]</w:t>
      </w:r>
      <w:r w:rsidRPr="0051139B">
        <w:rPr>
          <w:lang w:val="en-US"/>
        </w:rPr>
        <w:t xml:space="preserve">. In contrast, the </w:t>
      </w:r>
      <w:proofErr w:type="spellStart"/>
      <w:r w:rsidRPr="0051139B">
        <w:rPr>
          <w:lang w:val="en-US"/>
        </w:rPr>
        <w:t>supracostal</w:t>
      </w:r>
      <w:proofErr w:type="spellEnd"/>
      <w:r w:rsidRPr="0051139B">
        <w:rPr>
          <w:lang w:val="en-US"/>
        </w:rPr>
        <w:t xml:space="preserve"> approach allows more direct access to the upper pyelocaliceal system and remains indicated in complex cases, albeit at the cost of a higher pleuropulmonary risk </w:t>
      </w:r>
      <w:r w:rsidRPr="0051139B">
        <w:rPr>
          <w:b/>
          <w:bCs/>
          <w:lang w:val="en-US"/>
        </w:rPr>
        <w:t>[32]</w:t>
      </w:r>
      <w:r w:rsidRPr="0051139B">
        <w:rPr>
          <w:lang w:val="en-US"/>
        </w:rPr>
        <w:t xml:space="preserve">.Data from the literature indicate that, although lithiasis clearance is comparable between the two approaches, the </w:t>
      </w:r>
      <w:proofErr w:type="spellStart"/>
      <w:r w:rsidRPr="0051139B">
        <w:rPr>
          <w:lang w:val="en-US"/>
        </w:rPr>
        <w:t>supracostal</w:t>
      </w:r>
      <w:proofErr w:type="spellEnd"/>
      <w:r w:rsidRPr="0051139B">
        <w:rPr>
          <w:lang w:val="en-US"/>
        </w:rPr>
        <w:t xml:space="preserve"> route is associated with a significantly increased risk of hydrothorax and thoracic complications, requiring careful patient selection </w:t>
      </w:r>
      <w:r w:rsidRPr="0051139B">
        <w:rPr>
          <w:b/>
          <w:bCs/>
          <w:lang w:val="en-US"/>
        </w:rPr>
        <w:t>[32,33]</w:t>
      </w:r>
      <w:r w:rsidRPr="0051139B">
        <w:rPr>
          <w:lang w:val="en-US"/>
        </w:rPr>
        <w:t xml:space="preserve">.Thus, mini-PCNL appears to be an effective and safe technique, particularly suitable for lower calyx stones measuring 1–2 cm, allowing high stone-free rates with reduced morbidity </w:t>
      </w:r>
      <w:r w:rsidRPr="0051139B">
        <w:rPr>
          <w:b/>
          <w:bCs/>
          <w:lang w:val="en-US"/>
        </w:rPr>
        <w:t>[31–35]</w:t>
      </w:r>
      <w:r w:rsidRPr="0051139B">
        <w:rPr>
          <w:lang w:val="en-US"/>
        </w:rPr>
        <w:t>. The choice of technique and access should be individualized according to anatomical characteristics, stone burden, and surgeon experience.</w:t>
      </w:r>
    </w:p>
    <w:p w14:paraId="55F021BF" w14:textId="77777777" w:rsidR="003542BB" w:rsidRPr="0051139B" w:rsidRDefault="003542BB" w:rsidP="003542BB">
      <w:pPr>
        <w:spacing w:after="200" w:line="276" w:lineRule="auto"/>
        <w:rPr>
          <w:b/>
          <w:bCs/>
          <w:sz w:val="36"/>
          <w:szCs w:val="36"/>
          <w:lang w:val="en-US"/>
        </w:rPr>
      </w:pPr>
      <w:r w:rsidRPr="0051139B">
        <w:rPr>
          <w:b/>
          <w:bCs/>
          <w:sz w:val="36"/>
          <w:szCs w:val="36"/>
          <w:lang w:val="en-US"/>
        </w:rPr>
        <w:t>Conclusion</w:t>
      </w:r>
    </w:p>
    <w:p w14:paraId="101FB1D7" w14:textId="0C89BB2F" w:rsidR="003542BB" w:rsidRDefault="003542BB" w:rsidP="000943A5">
      <w:pPr>
        <w:spacing w:after="200" w:line="276" w:lineRule="auto"/>
        <w:rPr>
          <w:lang w:val="en-US"/>
        </w:rPr>
      </w:pPr>
      <w:r w:rsidRPr="0051139B">
        <w:rPr>
          <w:lang w:val="en-US"/>
        </w:rPr>
        <w:t xml:space="preserve">Mini-percutaneous nephrolithotomy (mini-PCNL) represents a major advancement in percutaneous renal surgery, providing lithiasis clearance comparable to standard PCNL while significantly reducing morbidity, particularly hemorrhagic complications, as well as length of hospital stay </w:t>
      </w:r>
      <w:r w:rsidRPr="0051139B">
        <w:rPr>
          <w:b/>
          <w:bCs/>
          <w:lang w:val="en-US"/>
        </w:rPr>
        <w:t>[1,34</w:t>
      </w:r>
      <w:proofErr w:type="gramStart"/>
      <w:r w:rsidRPr="0051139B">
        <w:rPr>
          <w:b/>
          <w:bCs/>
          <w:lang w:val="en-US"/>
        </w:rPr>
        <w:t>]</w:t>
      </w:r>
      <w:r w:rsidRPr="0051139B">
        <w:rPr>
          <w:lang w:val="en-US"/>
        </w:rPr>
        <w:t>.In</w:t>
      </w:r>
      <w:proofErr w:type="gramEnd"/>
      <w:r w:rsidRPr="0051139B">
        <w:rPr>
          <w:lang w:val="en-US"/>
        </w:rPr>
        <w:t xml:space="preserve"> our series, the results are consistent with the literature, demonstrating high stone-free rates and a favorable safety profile dominated by minor complications. These findings are in line with recent meta-analyses and international guidelines, which position mini-PCNL as a preferred minimally invasive alternative, particularly for moderate-sized renal stones and selected complex cases </w:t>
      </w:r>
      <w:r w:rsidRPr="0051139B">
        <w:rPr>
          <w:b/>
          <w:bCs/>
          <w:lang w:val="en-US"/>
        </w:rPr>
        <w:t>[21,34]</w:t>
      </w:r>
      <w:r w:rsidRPr="0051139B">
        <w:rPr>
          <w:lang w:val="en-US"/>
        </w:rPr>
        <w:t xml:space="preserve">.However, some limitations persist, including a potentially longer operative time and reduced efficacy for large stones, sometimes requiring auxiliary procedures or a staged approach </w:t>
      </w:r>
      <w:r w:rsidRPr="0051139B">
        <w:rPr>
          <w:b/>
          <w:bCs/>
          <w:lang w:val="en-US"/>
        </w:rPr>
        <w:t>[1,27]</w:t>
      </w:r>
      <w:r w:rsidRPr="0051139B">
        <w:rPr>
          <w:lang w:val="en-US"/>
        </w:rPr>
        <w:t xml:space="preserve">.Therefore, mini-PCNL should be integrated into an individualized therapeutic strategy, taking into account anatomical features, stone burden, and surgeon experience. Standard PCNL nevertheless retains a key role in the management of large and complex stones </w:t>
      </w:r>
      <w:r w:rsidRPr="0051139B">
        <w:rPr>
          <w:b/>
          <w:bCs/>
          <w:lang w:val="en-US"/>
        </w:rPr>
        <w:t>[18,34</w:t>
      </w:r>
      <w:proofErr w:type="gramStart"/>
      <w:r w:rsidRPr="0051139B">
        <w:rPr>
          <w:b/>
          <w:bCs/>
          <w:lang w:val="en-US"/>
        </w:rPr>
        <w:t>]</w:t>
      </w:r>
      <w:r w:rsidRPr="0051139B">
        <w:rPr>
          <w:lang w:val="en-US"/>
        </w:rPr>
        <w:t>.A</w:t>
      </w:r>
      <w:proofErr w:type="gramEnd"/>
      <w:r w:rsidRPr="0051139B">
        <w:rPr>
          <w:lang w:val="en-US"/>
        </w:rPr>
        <w:t xml:space="preserve"> multidisciplinary approach, combined with careful patient selection, remains essential to optimize outcomes and improve patient prognosis </w:t>
      </w:r>
      <w:r w:rsidRPr="0051139B">
        <w:rPr>
          <w:b/>
          <w:bCs/>
          <w:lang w:val="en-US"/>
        </w:rPr>
        <w:t>[21]</w:t>
      </w:r>
      <w:r w:rsidRPr="0051139B">
        <w:rPr>
          <w:lang w:val="en-US"/>
        </w:rPr>
        <w:t>.</w:t>
      </w:r>
    </w:p>
    <w:p w14:paraId="5E1151B2" w14:textId="77777777" w:rsidR="00580861" w:rsidRDefault="00580861" w:rsidP="000943A5">
      <w:pPr>
        <w:spacing w:after="200" w:line="276" w:lineRule="auto"/>
        <w:rPr>
          <w:lang w:val="en-US"/>
        </w:rPr>
      </w:pPr>
    </w:p>
    <w:p w14:paraId="57160FFE" w14:textId="77777777" w:rsidR="00580861" w:rsidRPr="00580861" w:rsidRDefault="00580861" w:rsidP="00580861">
      <w:pPr>
        <w:spacing w:after="200" w:line="276" w:lineRule="auto"/>
        <w:rPr>
          <w:lang w:val="en-US"/>
        </w:rPr>
      </w:pPr>
      <w:r w:rsidRPr="00580861">
        <w:rPr>
          <w:lang w:val="en-US"/>
        </w:rPr>
        <w:t>COMPETING INTERESTS DISCLAIMER:</w:t>
      </w:r>
    </w:p>
    <w:p w14:paraId="69F64B56" w14:textId="047063EF" w:rsidR="00580861" w:rsidRDefault="00580861" w:rsidP="00580861">
      <w:pPr>
        <w:spacing w:after="200" w:line="276" w:lineRule="auto"/>
        <w:rPr>
          <w:lang w:val="en-US"/>
        </w:rPr>
      </w:pPr>
      <w:r w:rsidRPr="00580861">
        <w:rPr>
          <w:lang w:val="en-US"/>
        </w:rPr>
        <w:t>Authors have declared that they have no known competing financial interests OR non-financial interests OR personal relationships that could have appeared to influence the work reported in this paper.</w:t>
      </w:r>
    </w:p>
    <w:p w14:paraId="43261891" w14:textId="77777777" w:rsidR="00580861" w:rsidRDefault="00580861" w:rsidP="000943A5">
      <w:pPr>
        <w:spacing w:after="200" w:line="276" w:lineRule="auto"/>
        <w:rPr>
          <w:lang w:val="en-US"/>
        </w:rPr>
      </w:pPr>
    </w:p>
    <w:p w14:paraId="4CD40177" w14:textId="77777777" w:rsidR="002F2850" w:rsidRPr="002F2850" w:rsidRDefault="002F2850" w:rsidP="002F2850">
      <w:pPr>
        <w:rPr>
          <w:b/>
          <w:bCs/>
          <w:sz w:val="36"/>
          <w:szCs w:val="36"/>
        </w:rPr>
      </w:pPr>
      <w:r w:rsidRPr="002F2850">
        <w:rPr>
          <w:b/>
          <w:bCs/>
          <w:sz w:val="36"/>
          <w:szCs w:val="36"/>
        </w:rPr>
        <w:t>Références</w:t>
      </w:r>
    </w:p>
    <w:p w14:paraId="7C49034D" w14:textId="77777777" w:rsidR="002F2850" w:rsidRPr="00C242EA" w:rsidRDefault="002F2850" w:rsidP="002F2850">
      <w:r>
        <w:t xml:space="preserve">1 </w:t>
      </w:r>
      <w:r w:rsidRPr="00C242EA">
        <w:t xml:space="preserve">Sharma G, et al. Mini vs standard PCNL. </w:t>
      </w:r>
      <w:proofErr w:type="spellStart"/>
      <w:r w:rsidRPr="00C242EA">
        <w:t>Eur</w:t>
      </w:r>
      <w:proofErr w:type="spellEnd"/>
      <w:r w:rsidRPr="00C242EA">
        <w:t xml:space="preserve"> </w:t>
      </w:r>
      <w:proofErr w:type="spellStart"/>
      <w:r w:rsidRPr="00C242EA">
        <w:t>Urol</w:t>
      </w:r>
      <w:proofErr w:type="spellEnd"/>
      <w:r w:rsidRPr="00C242EA">
        <w:t xml:space="preserve"> Focus. 2022. </w:t>
      </w:r>
    </w:p>
    <w:p w14:paraId="18108F58" w14:textId="77777777" w:rsidR="002F2850" w:rsidRPr="00C242EA" w:rsidRDefault="002F2850" w:rsidP="002F2850">
      <w:pPr>
        <w:jc w:val="both"/>
      </w:pPr>
      <w:r>
        <w:t xml:space="preserve">2 </w:t>
      </w:r>
      <w:proofErr w:type="spellStart"/>
      <w:r w:rsidRPr="00C242EA">
        <w:t>Mishra</w:t>
      </w:r>
      <w:proofErr w:type="spellEnd"/>
      <w:r w:rsidRPr="00C242EA">
        <w:t xml:space="preserve"> S, et al. Mini-PCNL </w:t>
      </w:r>
      <w:proofErr w:type="spellStart"/>
      <w:r w:rsidRPr="00C242EA">
        <w:t>outcomes</w:t>
      </w:r>
      <w:proofErr w:type="spellEnd"/>
      <w:r w:rsidRPr="00C242EA">
        <w:t xml:space="preserve">. J </w:t>
      </w:r>
      <w:proofErr w:type="spellStart"/>
      <w:r w:rsidRPr="00C242EA">
        <w:t>Endourol</w:t>
      </w:r>
      <w:proofErr w:type="spellEnd"/>
      <w:r w:rsidRPr="00C242EA">
        <w:t xml:space="preserve">. </w:t>
      </w:r>
    </w:p>
    <w:p w14:paraId="4E57EBE0" w14:textId="77777777" w:rsidR="002F2850" w:rsidRDefault="002F2850" w:rsidP="002F2850">
      <w:pPr>
        <w:jc w:val="both"/>
      </w:pPr>
      <w:proofErr w:type="gramStart"/>
      <w:r>
        <w:t xml:space="preserve">3  </w:t>
      </w:r>
      <w:r w:rsidRPr="00C242EA">
        <w:t>Zhong</w:t>
      </w:r>
      <w:proofErr w:type="gramEnd"/>
      <w:r w:rsidRPr="00C242EA">
        <w:t xml:space="preserve"> W, et al. Mini-PCNL </w:t>
      </w:r>
      <w:proofErr w:type="spellStart"/>
      <w:r w:rsidRPr="00C242EA">
        <w:t>outcomes</w:t>
      </w:r>
      <w:proofErr w:type="spellEnd"/>
      <w:r w:rsidRPr="00C242EA">
        <w:t xml:space="preserve">. </w:t>
      </w:r>
      <w:proofErr w:type="spellStart"/>
      <w:r w:rsidRPr="00C242EA">
        <w:t>Urology</w:t>
      </w:r>
      <w:proofErr w:type="spellEnd"/>
      <w:r w:rsidRPr="00C242EA">
        <w:t xml:space="preserve">. </w:t>
      </w:r>
    </w:p>
    <w:p w14:paraId="1E00C01A" w14:textId="77777777" w:rsidR="002F2850" w:rsidRPr="00E77C9E" w:rsidRDefault="002F2850" w:rsidP="002F2850">
      <w:pPr>
        <w:pStyle w:val="ListParagraph"/>
        <w:ind w:left="0"/>
        <w:jc w:val="both"/>
      </w:pPr>
      <w:proofErr w:type="gramStart"/>
      <w:r>
        <w:t xml:space="preserve">4  </w:t>
      </w:r>
      <w:proofErr w:type="spellStart"/>
      <w:r w:rsidRPr="00C242EA">
        <w:t>Kirac</w:t>
      </w:r>
      <w:proofErr w:type="spellEnd"/>
      <w:proofErr w:type="gramEnd"/>
      <w:r w:rsidRPr="00C242EA">
        <w:t xml:space="preserve"> M, et al. </w:t>
      </w:r>
      <w:r w:rsidRPr="00E77C9E">
        <w:t xml:space="preserve">Mini-PCNL </w:t>
      </w:r>
      <w:proofErr w:type="spellStart"/>
      <w:r w:rsidRPr="00E77C9E">
        <w:t>study</w:t>
      </w:r>
      <w:proofErr w:type="spellEnd"/>
      <w:r w:rsidRPr="00E77C9E">
        <w:t xml:space="preserve">. </w:t>
      </w:r>
      <w:proofErr w:type="spellStart"/>
      <w:r w:rsidRPr="00E77C9E">
        <w:t>Urolithiasis</w:t>
      </w:r>
      <w:proofErr w:type="spellEnd"/>
      <w:r w:rsidRPr="00E77C9E">
        <w:t xml:space="preserve">. </w:t>
      </w:r>
    </w:p>
    <w:p w14:paraId="1DD6631D" w14:textId="77777777" w:rsidR="002F2850" w:rsidRPr="00E77C9E" w:rsidRDefault="002F2850" w:rsidP="002F2850">
      <w:pPr>
        <w:pStyle w:val="ListParagraph"/>
        <w:ind w:left="0"/>
        <w:jc w:val="both"/>
      </w:pPr>
    </w:p>
    <w:p w14:paraId="44A515D1" w14:textId="77777777" w:rsidR="002F2850" w:rsidRPr="002F2850" w:rsidRDefault="002F2850" w:rsidP="002F2850">
      <w:pPr>
        <w:pStyle w:val="ListParagraph"/>
        <w:spacing w:after="120"/>
        <w:ind w:left="0"/>
        <w:jc w:val="both"/>
      </w:pPr>
      <w:r w:rsidRPr="00E77C9E">
        <w:t xml:space="preserve">5 Cheng F, et al. </w:t>
      </w:r>
      <w:proofErr w:type="spellStart"/>
      <w:r w:rsidRPr="002F2850">
        <w:t>Randomized</w:t>
      </w:r>
      <w:proofErr w:type="spellEnd"/>
      <w:r w:rsidRPr="002F2850">
        <w:t xml:space="preserve"> trial mini vs standard PCNL. </w:t>
      </w:r>
    </w:p>
    <w:p w14:paraId="0C42DB4E" w14:textId="77777777" w:rsidR="002F2850" w:rsidRPr="00C242EA" w:rsidRDefault="002F2850" w:rsidP="002F2850">
      <w:pPr>
        <w:jc w:val="both"/>
      </w:pPr>
      <w:r>
        <w:t xml:space="preserve">6 </w:t>
      </w:r>
      <w:r w:rsidRPr="00C242EA">
        <w:t xml:space="preserve">Netto NR, et al. </w:t>
      </w:r>
      <w:proofErr w:type="spellStart"/>
      <w:r w:rsidRPr="00C242EA">
        <w:t>Percutaneous</w:t>
      </w:r>
      <w:proofErr w:type="spellEnd"/>
      <w:r w:rsidRPr="00C242EA">
        <w:t xml:space="preserve"> </w:t>
      </w:r>
      <w:proofErr w:type="spellStart"/>
      <w:r w:rsidRPr="00C242EA">
        <w:t>access</w:t>
      </w:r>
      <w:proofErr w:type="spellEnd"/>
      <w:r w:rsidRPr="00C242EA">
        <w:t xml:space="preserve"> </w:t>
      </w:r>
      <w:proofErr w:type="spellStart"/>
      <w:r w:rsidRPr="00C242EA">
        <w:t>outcomes</w:t>
      </w:r>
      <w:proofErr w:type="spellEnd"/>
      <w:r w:rsidRPr="00C242EA">
        <w:t xml:space="preserve">. J </w:t>
      </w:r>
      <w:proofErr w:type="spellStart"/>
      <w:r w:rsidRPr="00C242EA">
        <w:t>Urol</w:t>
      </w:r>
      <w:proofErr w:type="spellEnd"/>
    </w:p>
    <w:p w14:paraId="7BE3F3C8" w14:textId="77777777" w:rsidR="002F2850" w:rsidRPr="0045141D" w:rsidRDefault="002F2850" w:rsidP="002F2850">
      <w:pPr>
        <w:jc w:val="both"/>
        <w:rPr>
          <w:lang w:val="en-US"/>
        </w:rPr>
      </w:pPr>
      <w:r w:rsidRPr="00E77C9E">
        <w:t xml:space="preserve">9 Zhong W, et al. </w:t>
      </w:r>
      <w:r w:rsidRPr="00C242EA">
        <w:rPr>
          <w:lang w:val="en-US"/>
        </w:rPr>
        <w:t xml:space="preserve">Clinical outcomes of mini-PCNL. Urology. </w:t>
      </w:r>
    </w:p>
    <w:p w14:paraId="730C458D" w14:textId="77777777" w:rsidR="002F2850" w:rsidRPr="00A616C0" w:rsidRDefault="002F2850" w:rsidP="002F2850">
      <w:pPr>
        <w:spacing w:after="0" w:line="240" w:lineRule="auto"/>
        <w:jc w:val="both"/>
        <w:rPr>
          <w:rFonts w:ascii="Times New Roman" w:eastAsia="Times New Roman" w:hAnsi="Times New Roman" w:cs="Times New Roman"/>
          <w:kern w:val="0"/>
          <w:lang w:val="en-US" w:eastAsia="fr-FR"/>
          <w14:ligatures w14:val="none"/>
        </w:rPr>
      </w:pPr>
      <w:proofErr w:type="gramStart"/>
      <w:r w:rsidRPr="00E77C9E">
        <w:rPr>
          <w:rFonts w:ascii="Times New Roman" w:eastAsia="Times New Roman" w:hAnsi="Symbol" w:cs="Times New Roman"/>
          <w:kern w:val="0"/>
          <w:lang w:val="en-US" w:eastAsia="fr-FR"/>
          <w14:ligatures w14:val="none"/>
        </w:rPr>
        <w:t xml:space="preserve">10  </w:t>
      </w:r>
      <w:proofErr w:type="spellStart"/>
      <w:r w:rsidRPr="00A616C0">
        <w:rPr>
          <w:rFonts w:ascii="Times New Roman" w:eastAsia="Times New Roman" w:hAnsi="Times New Roman" w:cs="Times New Roman"/>
          <w:kern w:val="0"/>
          <w:lang w:val="en-US" w:eastAsia="fr-FR"/>
          <w14:ligatures w14:val="none"/>
        </w:rPr>
        <w:t>Benchekroun</w:t>
      </w:r>
      <w:proofErr w:type="spellEnd"/>
      <w:proofErr w:type="gramEnd"/>
      <w:r w:rsidRPr="00A616C0">
        <w:rPr>
          <w:rFonts w:ascii="Times New Roman" w:eastAsia="Times New Roman" w:hAnsi="Times New Roman" w:cs="Times New Roman"/>
          <w:kern w:val="0"/>
          <w:lang w:val="en-US" w:eastAsia="fr-FR"/>
          <w14:ligatures w14:val="none"/>
        </w:rPr>
        <w:t xml:space="preserve"> A, et al. Outcomes of PCNL. </w:t>
      </w:r>
    </w:p>
    <w:p w14:paraId="38D522D7" w14:textId="77777777" w:rsidR="002F2850" w:rsidRPr="00C242EA" w:rsidRDefault="002F2850" w:rsidP="002F2850">
      <w:pPr>
        <w:pStyle w:val="ListParagraph"/>
        <w:spacing w:after="0" w:line="240" w:lineRule="auto"/>
        <w:ind w:left="1080"/>
        <w:jc w:val="both"/>
        <w:rPr>
          <w:rFonts w:ascii="Times New Roman" w:eastAsia="Times New Roman" w:hAnsi="Times New Roman" w:cs="Times New Roman"/>
          <w:kern w:val="0"/>
          <w:lang w:val="en-US" w:eastAsia="fr-FR"/>
          <w14:ligatures w14:val="none"/>
        </w:rPr>
      </w:pPr>
    </w:p>
    <w:p w14:paraId="63A66C3E" w14:textId="77777777" w:rsidR="002F2850" w:rsidRPr="00A616C0" w:rsidRDefault="002F2850" w:rsidP="002F2850">
      <w:pPr>
        <w:spacing w:after="0" w:line="240" w:lineRule="auto"/>
        <w:jc w:val="both"/>
        <w:rPr>
          <w:rFonts w:ascii="Times New Roman" w:eastAsia="Times New Roman" w:hAnsi="Times New Roman" w:cs="Times New Roman"/>
          <w:kern w:val="0"/>
          <w:lang w:val="en-US" w:eastAsia="fr-FR"/>
          <w14:ligatures w14:val="none"/>
        </w:rPr>
      </w:pPr>
      <w:proofErr w:type="gramStart"/>
      <w:r w:rsidRPr="00E77C9E">
        <w:rPr>
          <w:rFonts w:ascii="Times New Roman" w:eastAsia="Times New Roman" w:hAnsi="Symbol" w:cs="Times New Roman"/>
          <w:kern w:val="0"/>
          <w:lang w:val="en-US" w:eastAsia="fr-FR"/>
          <w14:ligatures w14:val="none"/>
        </w:rPr>
        <w:t>11</w:t>
      </w:r>
      <w:r w:rsidRPr="00A616C0">
        <w:rPr>
          <w:rFonts w:ascii="Times New Roman" w:eastAsia="Times New Roman" w:hAnsi="Times New Roman" w:cs="Times New Roman"/>
          <w:kern w:val="0"/>
          <w:lang w:val="en-US" w:eastAsia="fr-FR"/>
          <w14:ligatures w14:val="none"/>
        </w:rPr>
        <w:t xml:space="preserve">  Giusti</w:t>
      </w:r>
      <w:proofErr w:type="gramEnd"/>
      <w:r w:rsidRPr="00A616C0">
        <w:rPr>
          <w:rFonts w:ascii="Times New Roman" w:eastAsia="Times New Roman" w:hAnsi="Times New Roman" w:cs="Times New Roman"/>
          <w:kern w:val="0"/>
          <w:lang w:val="en-US" w:eastAsia="fr-FR"/>
          <w14:ligatures w14:val="none"/>
        </w:rPr>
        <w:t xml:space="preserve"> G, et al. Operative time in PCNL techniques. </w:t>
      </w:r>
    </w:p>
    <w:p w14:paraId="02937413" w14:textId="77777777" w:rsidR="002F2850" w:rsidRPr="00C242EA" w:rsidRDefault="002F2850" w:rsidP="002F2850">
      <w:pPr>
        <w:pStyle w:val="ListParagraph"/>
        <w:spacing w:after="0" w:line="240" w:lineRule="auto"/>
        <w:ind w:left="1080"/>
        <w:jc w:val="both"/>
        <w:rPr>
          <w:rFonts w:ascii="Times New Roman" w:eastAsia="Times New Roman" w:hAnsi="Times New Roman" w:cs="Times New Roman"/>
          <w:kern w:val="0"/>
          <w:lang w:val="en-US" w:eastAsia="fr-FR"/>
          <w14:ligatures w14:val="none"/>
        </w:rPr>
      </w:pPr>
    </w:p>
    <w:p w14:paraId="6DD89F71" w14:textId="77777777" w:rsidR="002F2850" w:rsidRPr="00A616C0" w:rsidRDefault="002F2850" w:rsidP="002F2850">
      <w:pPr>
        <w:spacing w:after="0" w:line="240" w:lineRule="auto"/>
        <w:jc w:val="both"/>
        <w:rPr>
          <w:rFonts w:ascii="Times New Roman" w:eastAsia="Times New Roman" w:hAnsi="Times New Roman" w:cs="Times New Roman"/>
          <w:kern w:val="0"/>
          <w:lang w:eastAsia="fr-FR"/>
          <w14:ligatures w14:val="none"/>
        </w:rPr>
      </w:pPr>
      <w:r w:rsidRPr="00E77C9E">
        <w:rPr>
          <w:rFonts w:ascii="Times New Roman" w:eastAsia="Times New Roman" w:hAnsi="Symbol" w:cs="Times New Roman"/>
          <w:kern w:val="0"/>
          <w:lang w:val="en-US" w:eastAsia="fr-FR"/>
          <w14:ligatures w14:val="none"/>
        </w:rPr>
        <w:t xml:space="preserve">12 </w:t>
      </w:r>
      <w:r w:rsidRPr="00A616C0">
        <w:rPr>
          <w:rFonts w:ascii="Times New Roman" w:eastAsia="Times New Roman" w:hAnsi="Times New Roman" w:cs="Times New Roman"/>
          <w:kern w:val="0"/>
          <w:lang w:val="en-US" w:eastAsia="fr-FR"/>
          <w14:ligatures w14:val="none"/>
        </w:rPr>
        <w:t xml:space="preserve">  Zeng G, et al. Miniaturized PCNL and laser fragmentation. </w:t>
      </w:r>
      <w:proofErr w:type="spellStart"/>
      <w:r w:rsidRPr="00A616C0">
        <w:rPr>
          <w:rFonts w:ascii="Times New Roman" w:eastAsia="Times New Roman" w:hAnsi="Times New Roman" w:cs="Times New Roman"/>
          <w:kern w:val="0"/>
          <w:lang w:eastAsia="fr-FR"/>
          <w14:ligatures w14:val="none"/>
        </w:rPr>
        <w:t>Eur</w:t>
      </w:r>
      <w:proofErr w:type="spellEnd"/>
      <w:r w:rsidRPr="00A616C0">
        <w:rPr>
          <w:rFonts w:ascii="Times New Roman" w:eastAsia="Times New Roman" w:hAnsi="Times New Roman" w:cs="Times New Roman"/>
          <w:kern w:val="0"/>
          <w:lang w:eastAsia="fr-FR"/>
          <w14:ligatures w14:val="none"/>
        </w:rPr>
        <w:t xml:space="preserve"> </w:t>
      </w:r>
      <w:proofErr w:type="spellStart"/>
      <w:r w:rsidRPr="00A616C0">
        <w:rPr>
          <w:rFonts w:ascii="Times New Roman" w:eastAsia="Times New Roman" w:hAnsi="Times New Roman" w:cs="Times New Roman"/>
          <w:kern w:val="0"/>
          <w:lang w:eastAsia="fr-FR"/>
          <w14:ligatures w14:val="none"/>
        </w:rPr>
        <w:t>Urol</w:t>
      </w:r>
      <w:proofErr w:type="spellEnd"/>
      <w:r w:rsidRPr="00A616C0">
        <w:rPr>
          <w:rFonts w:ascii="Times New Roman" w:eastAsia="Times New Roman" w:hAnsi="Times New Roman" w:cs="Times New Roman"/>
          <w:kern w:val="0"/>
          <w:lang w:eastAsia="fr-FR"/>
          <w14:ligatures w14:val="none"/>
        </w:rPr>
        <w:t xml:space="preserve">. </w:t>
      </w:r>
    </w:p>
    <w:p w14:paraId="2A69A824" w14:textId="77777777" w:rsidR="002F2850" w:rsidRPr="00C242EA" w:rsidRDefault="002F2850" w:rsidP="002F2850">
      <w:pPr>
        <w:pStyle w:val="ListParagraph"/>
        <w:spacing w:after="0" w:line="240" w:lineRule="auto"/>
        <w:ind w:left="1080"/>
        <w:jc w:val="both"/>
        <w:rPr>
          <w:rFonts w:ascii="Times New Roman" w:eastAsia="Times New Roman" w:hAnsi="Times New Roman" w:cs="Times New Roman"/>
          <w:kern w:val="0"/>
          <w:lang w:eastAsia="fr-FR"/>
          <w14:ligatures w14:val="none"/>
        </w:rPr>
      </w:pPr>
    </w:p>
    <w:p w14:paraId="326441D3" w14:textId="77777777" w:rsidR="002F2850" w:rsidRPr="00A616C0" w:rsidRDefault="002F2850" w:rsidP="002F2850">
      <w:pPr>
        <w:spacing w:after="0" w:line="240" w:lineRule="auto"/>
        <w:jc w:val="both"/>
        <w:rPr>
          <w:rFonts w:ascii="Times New Roman" w:eastAsia="Times New Roman" w:hAnsi="Times New Roman" w:cs="Times New Roman"/>
          <w:kern w:val="0"/>
          <w:lang w:eastAsia="fr-FR"/>
          <w14:ligatures w14:val="none"/>
        </w:rPr>
      </w:pPr>
      <w:r w:rsidRPr="00A616C0">
        <w:rPr>
          <w:rFonts w:ascii="Times New Roman" w:eastAsia="Times New Roman" w:hAnsi="Symbol" w:cs="Times New Roman"/>
          <w:kern w:val="0"/>
          <w:lang w:eastAsia="fr-FR"/>
          <w14:ligatures w14:val="none"/>
        </w:rPr>
        <w:t>1</w:t>
      </w:r>
      <w:r>
        <w:rPr>
          <w:rFonts w:ascii="Times New Roman" w:eastAsia="Times New Roman" w:hAnsi="Symbol" w:cs="Times New Roman"/>
          <w:kern w:val="0"/>
          <w:lang w:eastAsia="fr-FR"/>
          <w14:ligatures w14:val="none"/>
        </w:rPr>
        <w:t>3</w:t>
      </w:r>
      <w:r w:rsidRPr="00A616C0">
        <w:rPr>
          <w:rFonts w:ascii="Times New Roman" w:eastAsia="Times New Roman" w:hAnsi="Times New Roman" w:cs="Times New Roman"/>
          <w:kern w:val="0"/>
          <w:lang w:eastAsia="fr-FR"/>
          <w14:ligatures w14:val="none"/>
        </w:rPr>
        <w:t xml:space="preserve"> </w:t>
      </w:r>
      <w:proofErr w:type="spellStart"/>
      <w:r w:rsidRPr="00A616C0">
        <w:rPr>
          <w:rFonts w:ascii="Times New Roman" w:eastAsia="Times New Roman" w:hAnsi="Times New Roman" w:cs="Times New Roman"/>
          <w:kern w:val="0"/>
          <w:lang w:eastAsia="fr-FR"/>
          <w14:ligatures w14:val="none"/>
        </w:rPr>
        <w:t>Ozden</w:t>
      </w:r>
      <w:proofErr w:type="spellEnd"/>
      <w:r w:rsidRPr="00A616C0">
        <w:rPr>
          <w:rFonts w:ascii="Times New Roman" w:eastAsia="Times New Roman" w:hAnsi="Times New Roman" w:cs="Times New Roman"/>
          <w:kern w:val="0"/>
          <w:lang w:eastAsia="fr-FR"/>
          <w14:ligatures w14:val="none"/>
        </w:rPr>
        <w:t xml:space="preserve"> E, et al. Mini vs standard PCNL </w:t>
      </w:r>
      <w:proofErr w:type="spellStart"/>
      <w:r w:rsidRPr="00A616C0">
        <w:rPr>
          <w:rFonts w:ascii="Times New Roman" w:eastAsia="Times New Roman" w:hAnsi="Times New Roman" w:cs="Times New Roman"/>
          <w:kern w:val="0"/>
          <w:lang w:eastAsia="fr-FR"/>
          <w14:ligatures w14:val="none"/>
        </w:rPr>
        <w:t>comparison</w:t>
      </w:r>
      <w:proofErr w:type="spellEnd"/>
      <w:r w:rsidRPr="00A616C0">
        <w:rPr>
          <w:rFonts w:ascii="Times New Roman" w:eastAsia="Times New Roman" w:hAnsi="Times New Roman" w:cs="Times New Roman"/>
          <w:kern w:val="0"/>
          <w:lang w:eastAsia="fr-FR"/>
          <w14:ligatures w14:val="none"/>
        </w:rPr>
        <w:t xml:space="preserve">. </w:t>
      </w:r>
    </w:p>
    <w:p w14:paraId="4B3DFFD6" w14:textId="77777777" w:rsidR="002F2850" w:rsidRPr="00C242EA" w:rsidRDefault="002F2850" w:rsidP="002F2850">
      <w:pPr>
        <w:pStyle w:val="ListParagraph"/>
        <w:spacing w:after="0" w:line="240" w:lineRule="auto"/>
        <w:ind w:left="1080"/>
        <w:jc w:val="both"/>
        <w:rPr>
          <w:rFonts w:ascii="Times New Roman" w:eastAsia="Times New Roman" w:hAnsi="Times New Roman" w:cs="Times New Roman"/>
          <w:kern w:val="0"/>
          <w:lang w:eastAsia="fr-FR"/>
          <w14:ligatures w14:val="none"/>
        </w:rPr>
      </w:pPr>
    </w:p>
    <w:p w14:paraId="248C99D3"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proofErr w:type="gramStart"/>
      <w:r w:rsidRPr="00A616C0">
        <w:rPr>
          <w:rFonts w:ascii="Times New Roman" w:eastAsia="Times New Roman" w:hAnsi="Symbol" w:cs="Times New Roman"/>
          <w:kern w:val="0"/>
          <w:lang w:eastAsia="fr-FR"/>
          <w14:ligatures w14:val="none"/>
        </w:rPr>
        <w:t>1</w:t>
      </w:r>
      <w:r>
        <w:rPr>
          <w:rFonts w:ascii="Times New Roman" w:eastAsia="Times New Roman" w:hAnsi="Symbol" w:cs="Times New Roman"/>
          <w:kern w:val="0"/>
          <w:lang w:eastAsia="fr-FR"/>
          <w14:ligatures w14:val="none"/>
        </w:rPr>
        <w:t>4</w:t>
      </w:r>
      <w:r w:rsidRPr="00A616C0">
        <w:rPr>
          <w:rFonts w:ascii="Times New Roman" w:eastAsia="Times New Roman" w:hAnsi="Times New Roman" w:cs="Times New Roman"/>
          <w:kern w:val="0"/>
          <w:lang w:eastAsia="fr-FR"/>
          <w14:ligatures w14:val="none"/>
        </w:rPr>
        <w:t xml:space="preserve">  </w:t>
      </w:r>
      <w:proofErr w:type="spellStart"/>
      <w:r w:rsidRPr="00A616C0">
        <w:rPr>
          <w:rFonts w:ascii="Times New Roman" w:eastAsia="Times New Roman" w:hAnsi="Times New Roman" w:cs="Times New Roman"/>
          <w:kern w:val="0"/>
          <w:lang w:eastAsia="fr-FR"/>
          <w14:ligatures w14:val="none"/>
        </w:rPr>
        <w:t>Tanriverdi</w:t>
      </w:r>
      <w:proofErr w:type="spellEnd"/>
      <w:proofErr w:type="gramEnd"/>
      <w:r w:rsidRPr="00A616C0">
        <w:rPr>
          <w:rFonts w:ascii="Times New Roman" w:eastAsia="Times New Roman" w:hAnsi="Times New Roman" w:cs="Times New Roman"/>
          <w:kern w:val="0"/>
          <w:lang w:eastAsia="fr-FR"/>
          <w14:ligatures w14:val="none"/>
        </w:rPr>
        <w:t xml:space="preserve"> O, et al. Comparative PCNL </w:t>
      </w:r>
      <w:proofErr w:type="spellStart"/>
      <w:r w:rsidRPr="00A616C0">
        <w:rPr>
          <w:rFonts w:ascii="Times New Roman" w:eastAsia="Times New Roman" w:hAnsi="Times New Roman" w:cs="Times New Roman"/>
          <w:kern w:val="0"/>
          <w:lang w:eastAsia="fr-FR"/>
          <w14:ligatures w14:val="none"/>
        </w:rPr>
        <w:t>outcomes</w:t>
      </w:r>
      <w:proofErr w:type="spellEnd"/>
      <w:r w:rsidRPr="00A616C0">
        <w:rPr>
          <w:rFonts w:ascii="Times New Roman" w:eastAsia="Times New Roman" w:hAnsi="Times New Roman" w:cs="Times New Roman"/>
          <w:kern w:val="0"/>
          <w:lang w:eastAsia="fr-FR"/>
          <w14:ligatures w14:val="none"/>
        </w:rPr>
        <w:t xml:space="preserve">. </w:t>
      </w:r>
    </w:p>
    <w:p w14:paraId="40F5E867" w14:textId="77777777" w:rsidR="002F2850" w:rsidRPr="00A616C0" w:rsidRDefault="002F2850" w:rsidP="002F2850">
      <w:pPr>
        <w:spacing w:after="0" w:line="240" w:lineRule="auto"/>
        <w:jc w:val="both"/>
        <w:rPr>
          <w:rFonts w:ascii="Times New Roman" w:eastAsia="Times New Roman" w:hAnsi="Times New Roman" w:cs="Times New Roman"/>
          <w:kern w:val="0"/>
          <w:lang w:eastAsia="fr-FR"/>
          <w14:ligatures w14:val="none"/>
        </w:rPr>
      </w:pPr>
    </w:p>
    <w:p w14:paraId="34E18C76" w14:textId="77777777" w:rsidR="002F2850" w:rsidRPr="002F2850" w:rsidRDefault="002F2850" w:rsidP="002F2850">
      <w:pPr>
        <w:jc w:val="both"/>
        <w:rPr>
          <w:lang w:val="en-US"/>
        </w:rPr>
      </w:pPr>
      <w:proofErr w:type="gramStart"/>
      <w:r w:rsidRPr="00A616C0">
        <w:rPr>
          <w:rFonts w:ascii="Times New Roman" w:eastAsia="Times New Roman" w:hAnsi="Symbol" w:cs="Times New Roman"/>
          <w:kern w:val="0"/>
          <w:lang w:eastAsia="fr-FR"/>
          <w14:ligatures w14:val="none"/>
        </w:rPr>
        <w:t>1</w:t>
      </w:r>
      <w:r>
        <w:rPr>
          <w:rFonts w:ascii="Times New Roman" w:eastAsia="Times New Roman" w:hAnsi="Symbol" w:cs="Times New Roman"/>
          <w:kern w:val="0"/>
          <w:lang w:eastAsia="fr-FR"/>
          <w14:ligatures w14:val="none"/>
        </w:rPr>
        <w:t>5</w:t>
      </w:r>
      <w:r w:rsidRPr="00A616C0">
        <w:rPr>
          <w:rFonts w:ascii="Times New Roman" w:eastAsia="Times New Roman" w:hAnsi="Times New Roman" w:cs="Times New Roman"/>
          <w:kern w:val="0"/>
          <w:lang w:eastAsia="fr-FR"/>
          <w14:ligatures w14:val="none"/>
        </w:rPr>
        <w:t xml:space="preserve">  </w:t>
      </w:r>
      <w:proofErr w:type="spellStart"/>
      <w:r w:rsidRPr="00A616C0">
        <w:rPr>
          <w:rFonts w:ascii="Times New Roman" w:eastAsia="Times New Roman" w:hAnsi="Times New Roman" w:cs="Times New Roman"/>
          <w:kern w:val="0"/>
          <w:lang w:eastAsia="fr-FR"/>
          <w14:ligatures w14:val="none"/>
        </w:rPr>
        <w:t>Labate</w:t>
      </w:r>
      <w:proofErr w:type="spellEnd"/>
      <w:proofErr w:type="gramEnd"/>
      <w:r w:rsidRPr="00A616C0">
        <w:rPr>
          <w:rFonts w:ascii="Times New Roman" w:eastAsia="Times New Roman" w:hAnsi="Times New Roman" w:cs="Times New Roman"/>
          <w:kern w:val="0"/>
          <w:lang w:eastAsia="fr-FR"/>
          <w14:ligatures w14:val="none"/>
        </w:rPr>
        <w:t xml:space="preserve"> G, et al. </w:t>
      </w:r>
      <w:r w:rsidRPr="002F2850">
        <w:rPr>
          <w:rFonts w:ascii="Times New Roman" w:eastAsia="Times New Roman" w:hAnsi="Times New Roman" w:cs="Times New Roman"/>
          <w:kern w:val="0"/>
          <w:lang w:val="en-US" w:eastAsia="fr-FR"/>
          <w14:ligatures w14:val="none"/>
        </w:rPr>
        <w:t xml:space="preserve">The CROES PCNL global study. J </w:t>
      </w:r>
      <w:proofErr w:type="spellStart"/>
      <w:r w:rsidRPr="002F2850">
        <w:rPr>
          <w:rFonts w:ascii="Times New Roman" w:eastAsia="Times New Roman" w:hAnsi="Times New Roman" w:cs="Times New Roman"/>
          <w:kern w:val="0"/>
          <w:lang w:val="en-US" w:eastAsia="fr-FR"/>
          <w14:ligatures w14:val="none"/>
        </w:rPr>
        <w:t>Endourol</w:t>
      </w:r>
      <w:proofErr w:type="spellEnd"/>
      <w:r w:rsidRPr="002F2850">
        <w:rPr>
          <w:rFonts w:ascii="Times New Roman" w:eastAsia="Times New Roman" w:hAnsi="Times New Roman" w:cs="Times New Roman"/>
          <w:kern w:val="0"/>
          <w:lang w:val="en-US" w:eastAsia="fr-FR"/>
          <w14:ligatures w14:val="none"/>
        </w:rPr>
        <w:t>. 2011.</w:t>
      </w:r>
    </w:p>
    <w:p w14:paraId="4BD66AED" w14:textId="77777777" w:rsidR="002F2850" w:rsidRPr="002F2850" w:rsidRDefault="002F2850" w:rsidP="002F2850">
      <w:pPr>
        <w:spacing w:after="0" w:line="240" w:lineRule="auto"/>
        <w:jc w:val="both"/>
        <w:rPr>
          <w:rFonts w:ascii="Times New Roman" w:eastAsia="Times New Roman" w:hAnsi="Times New Roman" w:cs="Times New Roman"/>
          <w:kern w:val="0"/>
          <w:lang w:val="en-US" w:eastAsia="fr-FR"/>
          <w14:ligatures w14:val="none"/>
        </w:rPr>
      </w:pPr>
      <w:proofErr w:type="gramStart"/>
      <w:r w:rsidRPr="002F2850">
        <w:rPr>
          <w:rFonts w:ascii="Times New Roman" w:eastAsia="Times New Roman" w:hAnsi="Symbol" w:cs="Times New Roman"/>
          <w:kern w:val="0"/>
          <w:lang w:val="en-US" w:eastAsia="fr-FR"/>
          <w14:ligatures w14:val="none"/>
        </w:rPr>
        <w:t xml:space="preserve">16  </w:t>
      </w:r>
      <w:r w:rsidRPr="002F2850">
        <w:rPr>
          <w:rFonts w:ascii="Times New Roman" w:eastAsia="Times New Roman" w:hAnsi="Times New Roman" w:cs="Times New Roman"/>
          <w:kern w:val="0"/>
          <w:lang w:val="en-US" w:eastAsia="fr-FR"/>
          <w14:ligatures w14:val="none"/>
        </w:rPr>
        <w:t>Zhong</w:t>
      </w:r>
      <w:proofErr w:type="gramEnd"/>
      <w:r w:rsidRPr="002F2850">
        <w:rPr>
          <w:rFonts w:ascii="Times New Roman" w:eastAsia="Times New Roman" w:hAnsi="Times New Roman" w:cs="Times New Roman"/>
          <w:kern w:val="0"/>
          <w:lang w:val="en-US" w:eastAsia="fr-FR"/>
          <w14:ligatures w14:val="none"/>
        </w:rPr>
        <w:t xml:space="preserve"> W, et al. Infectious complications after PCNL. Urology.</w:t>
      </w:r>
    </w:p>
    <w:p w14:paraId="7BD0DAB0" w14:textId="77777777" w:rsidR="002F2850" w:rsidRPr="002F2850" w:rsidRDefault="002F2850" w:rsidP="002F2850">
      <w:pPr>
        <w:spacing w:after="0" w:line="240" w:lineRule="auto"/>
        <w:jc w:val="both"/>
        <w:rPr>
          <w:rFonts w:ascii="Times New Roman" w:eastAsia="Times New Roman" w:hAnsi="Times New Roman" w:cs="Times New Roman"/>
          <w:kern w:val="0"/>
          <w:lang w:val="en-US" w:eastAsia="fr-FR"/>
          <w14:ligatures w14:val="none"/>
        </w:rPr>
      </w:pPr>
      <w:r w:rsidRPr="002F2850">
        <w:rPr>
          <w:rFonts w:ascii="Times New Roman" w:eastAsia="Times New Roman" w:hAnsi="Times New Roman" w:cs="Times New Roman"/>
          <w:kern w:val="0"/>
          <w:lang w:val="en-US" w:eastAsia="fr-FR"/>
          <w14:ligatures w14:val="none"/>
        </w:rPr>
        <w:t xml:space="preserve"> </w:t>
      </w:r>
    </w:p>
    <w:p w14:paraId="166294EA"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r w:rsidRPr="002F2850">
        <w:rPr>
          <w:rFonts w:ascii="Times New Roman" w:eastAsia="Times New Roman" w:hAnsi="Symbol" w:cs="Times New Roman"/>
          <w:kern w:val="0"/>
          <w:lang w:val="en-US" w:eastAsia="fr-FR"/>
          <w14:ligatures w14:val="none"/>
        </w:rPr>
        <w:t xml:space="preserve">17 </w:t>
      </w:r>
      <w:r w:rsidRPr="002F2850">
        <w:rPr>
          <w:rFonts w:ascii="Times New Roman" w:eastAsia="Times New Roman" w:hAnsi="Times New Roman" w:cs="Times New Roman"/>
          <w:kern w:val="0"/>
          <w:lang w:val="en-US" w:eastAsia="fr-FR"/>
          <w14:ligatures w14:val="none"/>
        </w:rPr>
        <w:t xml:space="preserve">Qin P, et al. Mini-PCNL vs standard PCNL. </w:t>
      </w:r>
      <w:r w:rsidRPr="00C242EA">
        <w:rPr>
          <w:rFonts w:ascii="Times New Roman" w:eastAsia="Times New Roman" w:hAnsi="Times New Roman" w:cs="Times New Roman"/>
          <w:kern w:val="0"/>
          <w:lang w:eastAsia="fr-FR"/>
          <w14:ligatures w14:val="none"/>
        </w:rPr>
        <w:t xml:space="preserve">Int </w:t>
      </w:r>
      <w:proofErr w:type="spellStart"/>
      <w:r w:rsidRPr="00C242EA">
        <w:rPr>
          <w:rFonts w:ascii="Times New Roman" w:eastAsia="Times New Roman" w:hAnsi="Times New Roman" w:cs="Times New Roman"/>
          <w:kern w:val="0"/>
          <w:lang w:eastAsia="fr-FR"/>
          <w14:ligatures w14:val="none"/>
        </w:rPr>
        <w:t>Braz</w:t>
      </w:r>
      <w:proofErr w:type="spellEnd"/>
      <w:r w:rsidRPr="00C242EA">
        <w:rPr>
          <w:rFonts w:ascii="Times New Roman" w:eastAsia="Times New Roman" w:hAnsi="Times New Roman" w:cs="Times New Roman"/>
          <w:kern w:val="0"/>
          <w:lang w:eastAsia="fr-FR"/>
          <w14:ligatures w14:val="none"/>
        </w:rPr>
        <w:t xml:space="preserve"> J </w:t>
      </w:r>
      <w:proofErr w:type="spellStart"/>
      <w:r w:rsidRPr="00C242EA">
        <w:rPr>
          <w:rFonts w:ascii="Times New Roman" w:eastAsia="Times New Roman" w:hAnsi="Times New Roman" w:cs="Times New Roman"/>
          <w:kern w:val="0"/>
          <w:lang w:eastAsia="fr-FR"/>
          <w14:ligatures w14:val="none"/>
        </w:rPr>
        <w:t>Urol</w:t>
      </w:r>
      <w:proofErr w:type="spellEnd"/>
      <w:r w:rsidRPr="00C242EA">
        <w:rPr>
          <w:rFonts w:ascii="Times New Roman" w:eastAsia="Times New Roman" w:hAnsi="Times New Roman" w:cs="Times New Roman"/>
          <w:kern w:val="0"/>
          <w:lang w:eastAsia="fr-FR"/>
          <w14:ligatures w14:val="none"/>
        </w:rPr>
        <w:t>. 2022.</w:t>
      </w:r>
    </w:p>
    <w:p w14:paraId="5EF79BF7"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r w:rsidRPr="00C242EA">
        <w:rPr>
          <w:rFonts w:ascii="Times New Roman" w:eastAsia="Times New Roman" w:hAnsi="Times New Roman" w:cs="Times New Roman"/>
          <w:kern w:val="0"/>
          <w:lang w:eastAsia="fr-FR"/>
          <w14:ligatures w14:val="none"/>
        </w:rPr>
        <w:t xml:space="preserve"> </w:t>
      </w:r>
    </w:p>
    <w:p w14:paraId="5C272D18"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proofErr w:type="gramStart"/>
      <w:r>
        <w:rPr>
          <w:rFonts w:ascii="Times New Roman" w:eastAsia="Times New Roman" w:hAnsi="Symbol" w:cs="Times New Roman"/>
          <w:kern w:val="0"/>
          <w:lang w:eastAsia="fr-FR"/>
          <w14:ligatures w14:val="none"/>
        </w:rPr>
        <w:t>18</w:t>
      </w:r>
      <w:r w:rsidRPr="00C242EA">
        <w:rPr>
          <w:rFonts w:ascii="Times New Roman" w:eastAsia="Times New Roman" w:hAnsi="Times New Roman" w:cs="Times New Roman"/>
          <w:kern w:val="0"/>
          <w:lang w:eastAsia="fr-FR"/>
          <w14:ligatures w14:val="none"/>
        </w:rPr>
        <w:t xml:space="preserve">  Michel</w:t>
      </w:r>
      <w:proofErr w:type="gramEnd"/>
      <w:r w:rsidRPr="00C242EA">
        <w:rPr>
          <w:rFonts w:ascii="Times New Roman" w:eastAsia="Times New Roman" w:hAnsi="Times New Roman" w:cs="Times New Roman"/>
          <w:kern w:val="0"/>
          <w:lang w:eastAsia="fr-FR"/>
          <w14:ligatures w14:val="none"/>
        </w:rPr>
        <w:t xml:space="preserve"> MS, et al. Complications in PCNL. </w:t>
      </w:r>
      <w:proofErr w:type="spellStart"/>
      <w:r w:rsidRPr="00C242EA">
        <w:rPr>
          <w:rFonts w:ascii="Times New Roman" w:eastAsia="Times New Roman" w:hAnsi="Times New Roman" w:cs="Times New Roman"/>
          <w:kern w:val="0"/>
          <w:lang w:eastAsia="fr-FR"/>
          <w14:ligatures w14:val="none"/>
        </w:rPr>
        <w:t>Eur</w:t>
      </w:r>
      <w:proofErr w:type="spellEnd"/>
      <w:r w:rsidRPr="00C242EA">
        <w:rPr>
          <w:rFonts w:ascii="Times New Roman" w:eastAsia="Times New Roman" w:hAnsi="Times New Roman" w:cs="Times New Roman"/>
          <w:kern w:val="0"/>
          <w:lang w:eastAsia="fr-FR"/>
          <w14:ligatures w14:val="none"/>
        </w:rPr>
        <w:t xml:space="preserve"> </w:t>
      </w:r>
      <w:proofErr w:type="spellStart"/>
      <w:r w:rsidRPr="00C242EA">
        <w:rPr>
          <w:rFonts w:ascii="Times New Roman" w:eastAsia="Times New Roman" w:hAnsi="Times New Roman" w:cs="Times New Roman"/>
          <w:kern w:val="0"/>
          <w:lang w:eastAsia="fr-FR"/>
          <w14:ligatures w14:val="none"/>
        </w:rPr>
        <w:t>Urol</w:t>
      </w:r>
      <w:proofErr w:type="spellEnd"/>
      <w:r w:rsidRPr="00C242EA">
        <w:rPr>
          <w:rFonts w:ascii="Times New Roman" w:eastAsia="Times New Roman" w:hAnsi="Times New Roman" w:cs="Times New Roman"/>
          <w:kern w:val="0"/>
          <w:lang w:eastAsia="fr-FR"/>
          <w14:ligatures w14:val="none"/>
        </w:rPr>
        <w:t>. 2007.</w:t>
      </w:r>
    </w:p>
    <w:p w14:paraId="65F9CDCE"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r w:rsidRPr="00C242EA">
        <w:rPr>
          <w:rFonts w:ascii="Times New Roman" w:eastAsia="Times New Roman" w:hAnsi="Times New Roman" w:cs="Times New Roman"/>
          <w:kern w:val="0"/>
          <w:lang w:eastAsia="fr-FR"/>
          <w14:ligatures w14:val="none"/>
        </w:rPr>
        <w:t xml:space="preserve"> </w:t>
      </w:r>
    </w:p>
    <w:p w14:paraId="3B593ABE"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19 </w:t>
      </w:r>
      <w:r w:rsidRPr="00C242EA">
        <w:rPr>
          <w:rFonts w:ascii="Times New Roman" w:eastAsia="Times New Roman" w:hAnsi="Times New Roman" w:cs="Times New Roman"/>
          <w:kern w:val="0"/>
          <w:lang w:eastAsia="fr-FR"/>
          <w14:ligatures w14:val="none"/>
        </w:rPr>
        <w:t xml:space="preserve">Zeng G, et al. </w:t>
      </w:r>
      <w:r w:rsidRPr="00C242EA">
        <w:rPr>
          <w:rFonts w:ascii="Times New Roman" w:eastAsia="Times New Roman" w:hAnsi="Times New Roman" w:cs="Times New Roman"/>
          <w:kern w:val="0"/>
          <w:lang w:val="en-US" w:eastAsia="fr-FR"/>
          <w14:ligatures w14:val="none"/>
        </w:rPr>
        <w:t xml:space="preserve">Intrarenal pressure and infection risk. </w:t>
      </w:r>
      <w:proofErr w:type="spellStart"/>
      <w:r w:rsidRPr="00C242EA">
        <w:rPr>
          <w:rFonts w:ascii="Times New Roman" w:eastAsia="Times New Roman" w:hAnsi="Times New Roman" w:cs="Times New Roman"/>
          <w:kern w:val="0"/>
          <w:lang w:eastAsia="fr-FR"/>
          <w14:ligatures w14:val="none"/>
        </w:rPr>
        <w:t>Eur</w:t>
      </w:r>
      <w:proofErr w:type="spellEnd"/>
      <w:r w:rsidRPr="00C242EA">
        <w:rPr>
          <w:rFonts w:ascii="Times New Roman" w:eastAsia="Times New Roman" w:hAnsi="Times New Roman" w:cs="Times New Roman"/>
          <w:kern w:val="0"/>
          <w:lang w:eastAsia="fr-FR"/>
          <w14:ligatures w14:val="none"/>
        </w:rPr>
        <w:t xml:space="preserve"> </w:t>
      </w:r>
      <w:proofErr w:type="spellStart"/>
      <w:r w:rsidRPr="00C242EA">
        <w:rPr>
          <w:rFonts w:ascii="Times New Roman" w:eastAsia="Times New Roman" w:hAnsi="Times New Roman" w:cs="Times New Roman"/>
          <w:kern w:val="0"/>
          <w:lang w:eastAsia="fr-FR"/>
          <w14:ligatures w14:val="none"/>
        </w:rPr>
        <w:t>Urol</w:t>
      </w:r>
      <w:proofErr w:type="spellEnd"/>
      <w:r w:rsidRPr="00C242EA">
        <w:rPr>
          <w:rFonts w:ascii="Times New Roman" w:eastAsia="Times New Roman" w:hAnsi="Times New Roman" w:cs="Times New Roman"/>
          <w:kern w:val="0"/>
          <w:lang w:eastAsia="fr-FR"/>
          <w14:ligatures w14:val="none"/>
        </w:rPr>
        <w:t>.</w:t>
      </w:r>
    </w:p>
    <w:p w14:paraId="692F5BDE"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r w:rsidRPr="00C242EA">
        <w:rPr>
          <w:rFonts w:ascii="Times New Roman" w:eastAsia="Times New Roman" w:hAnsi="Times New Roman" w:cs="Times New Roman"/>
          <w:kern w:val="0"/>
          <w:lang w:eastAsia="fr-FR"/>
          <w14:ligatures w14:val="none"/>
        </w:rPr>
        <w:t xml:space="preserve"> </w:t>
      </w:r>
    </w:p>
    <w:p w14:paraId="58E4537A"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proofErr w:type="gramStart"/>
      <w:r>
        <w:rPr>
          <w:rFonts w:ascii="Times New Roman" w:eastAsia="Times New Roman" w:hAnsi="Symbol" w:cs="Times New Roman"/>
          <w:kern w:val="0"/>
          <w:lang w:eastAsia="fr-FR"/>
          <w14:ligatures w14:val="none"/>
        </w:rPr>
        <w:t>20</w:t>
      </w:r>
      <w:r w:rsidRPr="00C242EA">
        <w:rPr>
          <w:rFonts w:ascii="Times New Roman" w:eastAsia="Times New Roman" w:hAnsi="Times New Roman" w:cs="Times New Roman"/>
          <w:kern w:val="0"/>
          <w:lang w:eastAsia="fr-FR"/>
          <w14:ligatures w14:val="none"/>
        </w:rPr>
        <w:t xml:space="preserve">  </w:t>
      </w:r>
      <w:proofErr w:type="spellStart"/>
      <w:r w:rsidRPr="00C242EA">
        <w:rPr>
          <w:rFonts w:ascii="Times New Roman" w:eastAsia="Times New Roman" w:hAnsi="Times New Roman" w:cs="Times New Roman"/>
          <w:kern w:val="0"/>
          <w:lang w:eastAsia="fr-FR"/>
          <w14:ligatures w14:val="none"/>
        </w:rPr>
        <w:t>Skolarikos</w:t>
      </w:r>
      <w:proofErr w:type="spellEnd"/>
      <w:proofErr w:type="gramEnd"/>
      <w:r w:rsidRPr="00C242EA">
        <w:rPr>
          <w:rFonts w:ascii="Times New Roman" w:eastAsia="Times New Roman" w:hAnsi="Times New Roman" w:cs="Times New Roman"/>
          <w:kern w:val="0"/>
          <w:lang w:eastAsia="fr-FR"/>
          <w14:ligatures w14:val="none"/>
        </w:rPr>
        <w:t xml:space="preserve"> A, et al. Complications of PCNL. </w:t>
      </w:r>
      <w:proofErr w:type="spellStart"/>
      <w:r w:rsidRPr="00C242EA">
        <w:rPr>
          <w:rFonts w:ascii="Times New Roman" w:eastAsia="Times New Roman" w:hAnsi="Times New Roman" w:cs="Times New Roman"/>
          <w:kern w:val="0"/>
          <w:lang w:eastAsia="fr-FR"/>
          <w14:ligatures w14:val="none"/>
        </w:rPr>
        <w:t>Eur</w:t>
      </w:r>
      <w:proofErr w:type="spellEnd"/>
      <w:r w:rsidRPr="00C242EA">
        <w:rPr>
          <w:rFonts w:ascii="Times New Roman" w:eastAsia="Times New Roman" w:hAnsi="Times New Roman" w:cs="Times New Roman"/>
          <w:kern w:val="0"/>
          <w:lang w:eastAsia="fr-FR"/>
          <w14:ligatures w14:val="none"/>
        </w:rPr>
        <w:t xml:space="preserve"> </w:t>
      </w:r>
      <w:proofErr w:type="spellStart"/>
      <w:r w:rsidRPr="00C242EA">
        <w:rPr>
          <w:rFonts w:ascii="Times New Roman" w:eastAsia="Times New Roman" w:hAnsi="Times New Roman" w:cs="Times New Roman"/>
          <w:kern w:val="0"/>
          <w:lang w:eastAsia="fr-FR"/>
          <w14:ligatures w14:val="none"/>
        </w:rPr>
        <w:t>Urol</w:t>
      </w:r>
      <w:proofErr w:type="spellEnd"/>
      <w:r w:rsidRPr="00C242EA">
        <w:rPr>
          <w:rFonts w:ascii="Times New Roman" w:eastAsia="Times New Roman" w:hAnsi="Times New Roman" w:cs="Times New Roman"/>
          <w:kern w:val="0"/>
          <w:lang w:eastAsia="fr-FR"/>
          <w14:ligatures w14:val="none"/>
        </w:rPr>
        <w:t xml:space="preserve">. </w:t>
      </w:r>
    </w:p>
    <w:p w14:paraId="4A634483"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p>
    <w:p w14:paraId="5D484395"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Symbol" w:cs="Times New Roman"/>
          <w:kern w:val="0"/>
          <w:lang w:eastAsia="fr-FR"/>
          <w14:ligatures w14:val="none"/>
        </w:rPr>
        <w:t xml:space="preserve">21 </w:t>
      </w:r>
      <w:r w:rsidRPr="00C242EA">
        <w:rPr>
          <w:rFonts w:ascii="Times New Roman" w:eastAsia="Times New Roman" w:hAnsi="Times New Roman" w:cs="Times New Roman"/>
          <w:kern w:val="0"/>
          <w:lang w:eastAsia="fr-FR"/>
          <w14:ligatures w14:val="none"/>
        </w:rPr>
        <w:t xml:space="preserve">Türk C, et al. EAU Guidelines on </w:t>
      </w:r>
      <w:proofErr w:type="spellStart"/>
      <w:r w:rsidRPr="00C242EA">
        <w:rPr>
          <w:rFonts w:ascii="Times New Roman" w:eastAsia="Times New Roman" w:hAnsi="Times New Roman" w:cs="Times New Roman"/>
          <w:kern w:val="0"/>
          <w:lang w:eastAsia="fr-FR"/>
          <w14:ligatures w14:val="none"/>
        </w:rPr>
        <w:t>Urolithiasis</w:t>
      </w:r>
      <w:proofErr w:type="spellEnd"/>
      <w:r w:rsidRPr="00C242EA">
        <w:rPr>
          <w:rFonts w:ascii="Times New Roman" w:eastAsia="Times New Roman" w:hAnsi="Times New Roman" w:cs="Times New Roman"/>
          <w:kern w:val="0"/>
          <w:lang w:eastAsia="fr-FR"/>
          <w14:ligatures w14:val="none"/>
        </w:rPr>
        <w:t>. 2025.</w:t>
      </w:r>
    </w:p>
    <w:p w14:paraId="38559DD8"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r w:rsidRPr="00C242EA">
        <w:rPr>
          <w:rFonts w:ascii="Times New Roman" w:eastAsia="Times New Roman" w:hAnsi="Times New Roman" w:cs="Times New Roman"/>
          <w:kern w:val="0"/>
          <w:lang w:eastAsia="fr-FR"/>
          <w14:ligatures w14:val="none"/>
        </w:rPr>
        <w:t xml:space="preserve"> </w:t>
      </w:r>
    </w:p>
    <w:p w14:paraId="479544D4" w14:textId="77777777" w:rsidR="002F2850" w:rsidRPr="002F2850" w:rsidRDefault="002F2850" w:rsidP="002F2850">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Symbol" w:cs="Times New Roman"/>
          <w:kern w:val="0"/>
          <w:lang w:eastAsia="fr-FR"/>
          <w14:ligatures w14:val="none"/>
        </w:rPr>
        <w:t xml:space="preserve">22 </w:t>
      </w:r>
      <w:r w:rsidRPr="00C242EA">
        <w:rPr>
          <w:rFonts w:ascii="Times New Roman" w:eastAsia="Times New Roman" w:hAnsi="Times New Roman" w:cs="Times New Roman"/>
          <w:kern w:val="0"/>
          <w:lang w:eastAsia="fr-FR"/>
          <w14:ligatures w14:val="none"/>
        </w:rPr>
        <w:t xml:space="preserve">Zeng G, et al. </w:t>
      </w:r>
      <w:proofErr w:type="spellStart"/>
      <w:r w:rsidRPr="002F2850">
        <w:rPr>
          <w:rFonts w:ascii="Times New Roman" w:eastAsia="Times New Roman" w:hAnsi="Times New Roman" w:cs="Times New Roman"/>
          <w:kern w:val="0"/>
          <w:lang w:eastAsia="fr-FR"/>
          <w14:ligatures w14:val="none"/>
        </w:rPr>
        <w:t>Miniaturized</w:t>
      </w:r>
      <w:proofErr w:type="spellEnd"/>
      <w:r w:rsidRPr="002F2850">
        <w:rPr>
          <w:rFonts w:ascii="Times New Roman" w:eastAsia="Times New Roman" w:hAnsi="Times New Roman" w:cs="Times New Roman"/>
          <w:kern w:val="0"/>
          <w:lang w:eastAsia="fr-FR"/>
          <w14:ligatures w14:val="none"/>
        </w:rPr>
        <w:t xml:space="preserve"> PCNL </w:t>
      </w:r>
      <w:proofErr w:type="spellStart"/>
      <w:r w:rsidRPr="002F2850">
        <w:rPr>
          <w:rFonts w:ascii="Times New Roman" w:eastAsia="Times New Roman" w:hAnsi="Times New Roman" w:cs="Times New Roman"/>
          <w:kern w:val="0"/>
          <w:lang w:eastAsia="fr-FR"/>
          <w14:ligatures w14:val="none"/>
        </w:rPr>
        <w:t>review</w:t>
      </w:r>
      <w:proofErr w:type="spellEnd"/>
      <w:r w:rsidRPr="002F2850">
        <w:rPr>
          <w:rFonts w:ascii="Times New Roman" w:eastAsia="Times New Roman" w:hAnsi="Times New Roman" w:cs="Times New Roman"/>
          <w:kern w:val="0"/>
          <w:lang w:eastAsia="fr-FR"/>
          <w14:ligatures w14:val="none"/>
        </w:rPr>
        <w:t xml:space="preserve">. </w:t>
      </w:r>
      <w:proofErr w:type="spellStart"/>
      <w:r w:rsidRPr="002F2850">
        <w:rPr>
          <w:rFonts w:ascii="Times New Roman" w:eastAsia="Times New Roman" w:hAnsi="Times New Roman" w:cs="Times New Roman"/>
          <w:kern w:val="0"/>
          <w:lang w:eastAsia="fr-FR"/>
          <w14:ligatures w14:val="none"/>
        </w:rPr>
        <w:t>Eur</w:t>
      </w:r>
      <w:proofErr w:type="spellEnd"/>
      <w:r w:rsidRPr="002F2850">
        <w:rPr>
          <w:rFonts w:ascii="Times New Roman" w:eastAsia="Times New Roman" w:hAnsi="Times New Roman" w:cs="Times New Roman"/>
          <w:kern w:val="0"/>
          <w:lang w:eastAsia="fr-FR"/>
          <w14:ligatures w14:val="none"/>
        </w:rPr>
        <w:t xml:space="preserve"> </w:t>
      </w:r>
      <w:proofErr w:type="spellStart"/>
      <w:r w:rsidRPr="002F2850">
        <w:rPr>
          <w:rFonts w:ascii="Times New Roman" w:eastAsia="Times New Roman" w:hAnsi="Times New Roman" w:cs="Times New Roman"/>
          <w:kern w:val="0"/>
          <w:lang w:eastAsia="fr-FR"/>
          <w14:ligatures w14:val="none"/>
        </w:rPr>
        <w:t>Urol</w:t>
      </w:r>
      <w:proofErr w:type="spellEnd"/>
      <w:r w:rsidRPr="002F2850">
        <w:rPr>
          <w:rFonts w:ascii="Times New Roman" w:eastAsia="Times New Roman" w:hAnsi="Times New Roman" w:cs="Times New Roman"/>
          <w:kern w:val="0"/>
          <w:lang w:eastAsia="fr-FR"/>
          <w14:ligatures w14:val="none"/>
        </w:rPr>
        <w:t xml:space="preserve">. 2018. </w:t>
      </w:r>
    </w:p>
    <w:p w14:paraId="447E5F4B" w14:textId="77777777" w:rsidR="002F2850" w:rsidRPr="002F2850" w:rsidRDefault="002F2850" w:rsidP="002F2850">
      <w:pPr>
        <w:spacing w:after="0" w:line="240" w:lineRule="auto"/>
        <w:jc w:val="both"/>
        <w:rPr>
          <w:rFonts w:ascii="Times New Roman" w:eastAsia="Times New Roman" w:hAnsi="Times New Roman" w:cs="Times New Roman"/>
          <w:kern w:val="0"/>
          <w:lang w:eastAsia="fr-FR"/>
          <w14:ligatures w14:val="none"/>
        </w:rPr>
      </w:pPr>
    </w:p>
    <w:p w14:paraId="3F1A97C3"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Symbol" w:cs="Times New Roman"/>
          <w:kern w:val="0"/>
          <w:lang w:eastAsia="fr-FR"/>
          <w14:ligatures w14:val="none"/>
        </w:rPr>
        <w:t xml:space="preserve">23 </w:t>
      </w:r>
      <w:proofErr w:type="spellStart"/>
      <w:r w:rsidRPr="00C242EA">
        <w:rPr>
          <w:rFonts w:ascii="Times New Roman" w:eastAsia="Times New Roman" w:hAnsi="Times New Roman" w:cs="Times New Roman"/>
          <w:kern w:val="0"/>
          <w:lang w:eastAsia="fr-FR"/>
          <w14:ligatures w14:val="none"/>
        </w:rPr>
        <w:t>Jackman</w:t>
      </w:r>
      <w:proofErr w:type="spellEnd"/>
      <w:r w:rsidRPr="00C242EA">
        <w:rPr>
          <w:rFonts w:ascii="Times New Roman" w:eastAsia="Times New Roman" w:hAnsi="Times New Roman" w:cs="Times New Roman"/>
          <w:kern w:val="0"/>
          <w:lang w:eastAsia="fr-FR"/>
          <w14:ligatures w14:val="none"/>
        </w:rPr>
        <w:t xml:space="preserve"> SV, et al. Mini-</w:t>
      </w:r>
      <w:proofErr w:type="spellStart"/>
      <w:r w:rsidRPr="00C242EA">
        <w:rPr>
          <w:rFonts w:ascii="Times New Roman" w:eastAsia="Times New Roman" w:hAnsi="Times New Roman" w:cs="Times New Roman"/>
          <w:kern w:val="0"/>
          <w:lang w:eastAsia="fr-FR"/>
          <w14:ligatures w14:val="none"/>
        </w:rPr>
        <w:t>perc</w:t>
      </w:r>
      <w:proofErr w:type="spellEnd"/>
      <w:r w:rsidRPr="00C242EA">
        <w:rPr>
          <w:rFonts w:ascii="Times New Roman" w:eastAsia="Times New Roman" w:hAnsi="Times New Roman" w:cs="Times New Roman"/>
          <w:kern w:val="0"/>
          <w:lang w:eastAsia="fr-FR"/>
          <w14:ligatures w14:val="none"/>
        </w:rPr>
        <w:t xml:space="preserve"> technique. J </w:t>
      </w:r>
      <w:proofErr w:type="spellStart"/>
      <w:r w:rsidRPr="00C242EA">
        <w:rPr>
          <w:rFonts w:ascii="Times New Roman" w:eastAsia="Times New Roman" w:hAnsi="Times New Roman" w:cs="Times New Roman"/>
          <w:kern w:val="0"/>
          <w:lang w:eastAsia="fr-FR"/>
          <w14:ligatures w14:val="none"/>
        </w:rPr>
        <w:t>Endourol</w:t>
      </w:r>
      <w:proofErr w:type="spellEnd"/>
      <w:r w:rsidRPr="00C242EA">
        <w:rPr>
          <w:rFonts w:ascii="Times New Roman" w:eastAsia="Times New Roman" w:hAnsi="Times New Roman" w:cs="Times New Roman"/>
          <w:kern w:val="0"/>
          <w:lang w:eastAsia="fr-FR"/>
          <w14:ligatures w14:val="none"/>
        </w:rPr>
        <w:t xml:space="preserve">. 1998. </w:t>
      </w:r>
    </w:p>
    <w:p w14:paraId="7A3CF3AB"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p>
    <w:p w14:paraId="0F5CF38A"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proofErr w:type="gramStart"/>
      <w:r>
        <w:rPr>
          <w:rFonts w:ascii="Times New Roman" w:eastAsia="Times New Roman" w:hAnsi="Symbol" w:cs="Times New Roman"/>
          <w:kern w:val="0"/>
          <w:lang w:eastAsia="fr-FR"/>
          <w14:ligatures w14:val="none"/>
        </w:rPr>
        <w:t xml:space="preserve">24 </w:t>
      </w:r>
      <w:r w:rsidRPr="00C242EA">
        <w:rPr>
          <w:rFonts w:ascii="Times New Roman" w:eastAsia="Times New Roman" w:hAnsi="Times New Roman" w:cs="Times New Roman"/>
          <w:kern w:val="0"/>
          <w:lang w:eastAsia="fr-FR"/>
          <w14:ligatures w14:val="none"/>
        </w:rPr>
        <w:t xml:space="preserve"> Giusti</w:t>
      </w:r>
      <w:proofErr w:type="gramEnd"/>
      <w:r w:rsidRPr="00C242EA">
        <w:rPr>
          <w:rFonts w:ascii="Times New Roman" w:eastAsia="Times New Roman" w:hAnsi="Times New Roman" w:cs="Times New Roman"/>
          <w:kern w:val="0"/>
          <w:lang w:eastAsia="fr-FR"/>
          <w14:ligatures w14:val="none"/>
        </w:rPr>
        <w:t xml:space="preserve"> G, et al. Pain </w:t>
      </w:r>
      <w:proofErr w:type="spellStart"/>
      <w:r w:rsidRPr="00C242EA">
        <w:rPr>
          <w:rFonts w:ascii="Times New Roman" w:eastAsia="Times New Roman" w:hAnsi="Times New Roman" w:cs="Times New Roman"/>
          <w:kern w:val="0"/>
          <w:lang w:eastAsia="fr-FR"/>
          <w14:ligatures w14:val="none"/>
        </w:rPr>
        <w:t>outcomes</w:t>
      </w:r>
      <w:proofErr w:type="spellEnd"/>
      <w:r w:rsidRPr="00C242EA">
        <w:rPr>
          <w:rFonts w:ascii="Times New Roman" w:eastAsia="Times New Roman" w:hAnsi="Times New Roman" w:cs="Times New Roman"/>
          <w:kern w:val="0"/>
          <w:lang w:eastAsia="fr-FR"/>
          <w14:ligatures w14:val="none"/>
        </w:rPr>
        <w:t xml:space="preserve"> in mini-PCNL. </w:t>
      </w:r>
    </w:p>
    <w:p w14:paraId="7BF7B7E4"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p>
    <w:p w14:paraId="69569FF6" w14:textId="77777777" w:rsidR="002F2850" w:rsidRPr="002F2850" w:rsidRDefault="002F2850" w:rsidP="002F2850">
      <w:pPr>
        <w:spacing w:after="0" w:line="240" w:lineRule="auto"/>
        <w:jc w:val="both"/>
        <w:rPr>
          <w:rFonts w:ascii="Times New Roman" w:eastAsia="Times New Roman" w:hAnsi="Times New Roman" w:cs="Times New Roman"/>
          <w:kern w:val="0"/>
          <w:lang w:val="en-US" w:eastAsia="fr-FR"/>
          <w14:ligatures w14:val="none"/>
        </w:rPr>
      </w:pPr>
      <w:r w:rsidRPr="00E77C9E">
        <w:rPr>
          <w:rFonts w:ascii="Times New Roman" w:eastAsia="Times New Roman" w:hAnsi="Symbol" w:cs="Times New Roman"/>
          <w:kern w:val="0"/>
          <w:lang w:eastAsia="fr-FR"/>
          <w14:ligatures w14:val="none"/>
        </w:rPr>
        <w:t xml:space="preserve">25 </w:t>
      </w:r>
      <w:r w:rsidRPr="00E77C9E">
        <w:rPr>
          <w:rFonts w:ascii="Times New Roman" w:eastAsia="Times New Roman" w:hAnsi="Times New Roman" w:cs="Times New Roman"/>
          <w:kern w:val="0"/>
          <w:lang w:eastAsia="fr-FR"/>
          <w14:ligatures w14:val="none"/>
        </w:rPr>
        <w:t xml:space="preserve">Türk C, et al. </w:t>
      </w:r>
      <w:r w:rsidRPr="002F2850">
        <w:rPr>
          <w:rFonts w:ascii="Times New Roman" w:eastAsia="Times New Roman" w:hAnsi="Times New Roman" w:cs="Times New Roman"/>
          <w:kern w:val="0"/>
          <w:lang w:val="en-US" w:eastAsia="fr-FR"/>
          <w14:ligatures w14:val="none"/>
        </w:rPr>
        <w:t>EAU Guidelines (hospital stay data)</w:t>
      </w:r>
    </w:p>
    <w:p w14:paraId="3B437D34" w14:textId="77777777" w:rsidR="002F2850" w:rsidRPr="002F2850"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27270FC1" w14:textId="77777777" w:rsidR="002F2850" w:rsidRDefault="002F2850" w:rsidP="002F2850">
      <w:pPr>
        <w:spacing w:after="0" w:line="240" w:lineRule="auto"/>
        <w:jc w:val="both"/>
        <w:rPr>
          <w:rFonts w:ascii="Times New Roman" w:eastAsia="Times New Roman" w:hAnsi="Times New Roman" w:cs="Times New Roman"/>
          <w:kern w:val="0"/>
          <w:lang w:val="en-US" w:eastAsia="fr-FR"/>
          <w14:ligatures w14:val="none"/>
        </w:rPr>
      </w:pPr>
      <w:r w:rsidRPr="00E77C9E">
        <w:rPr>
          <w:rFonts w:ascii="Times New Roman" w:eastAsia="Times New Roman" w:hAnsi="Symbol" w:cs="Times New Roman"/>
          <w:kern w:val="0"/>
          <w:lang w:val="en-US" w:eastAsia="fr-FR"/>
          <w14:ligatures w14:val="none"/>
        </w:rPr>
        <w:t xml:space="preserve">26 </w:t>
      </w:r>
      <w:r w:rsidRPr="00C242EA">
        <w:rPr>
          <w:rFonts w:ascii="Times New Roman" w:eastAsia="Times New Roman" w:hAnsi="Times New Roman" w:cs="Times New Roman"/>
          <w:kern w:val="0"/>
          <w:lang w:val="en-US" w:eastAsia="fr-FR"/>
          <w14:ligatures w14:val="none"/>
        </w:rPr>
        <w:t xml:space="preserve">Zeng G, et al. </w:t>
      </w:r>
      <w:proofErr w:type="spellStart"/>
      <w:proofErr w:type="gramStart"/>
      <w:r w:rsidRPr="00C242EA">
        <w:rPr>
          <w:rFonts w:ascii="Times New Roman" w:eastAsia="Times New Roman" w:hAnsi="Times New Roman" w:cs="Times New Roman"/>
          <w:kern w:val="0"/>
          <w:lang w:val="en-US" w:eastAsia="fr-FR"/>
          <w14:ligatures w14:val="none"/>
        </w:rPr>
        <w:t>Holmium:YAG</w:t>
      </w:r>
      <w:proofErr w:type="spellEnd"/>
      <w:proofErr w:type="gramEnd"/>
      <w:r w:rsidRPr="00C242EA">
        <w:rPr>
          <w:rFonts w:ascii="Times New Roman" w:eastAsia="Times New Roman" w:hAnsi="Times New Roman" w:cs="Times New Roman"/>
          <w:kern w:val="0"/>
          <w:lang w:val="en-US" w:eastAsia="fr-FR"/>
          <w14:ligatures w14:val="none"/>
        </w:rPr>
        <w:t xml:space="preserve"> lithotripsy. </w:t>
      </w:r>
    </w:p>
    <w:p w14:paraId="20942D1E" w14:textId="77777777" w:rsidR="002F2850" w:rsidRPr="00C242EA"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6F938EBE" w14:textId="77777777" w:rsidR="002F2850" w:rsidRDefault="002F2850" w:rsidP="002F2850">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Symbol" w:cs="Times New Roman"/>
          <w:kern w:val="0"/>
          <w:lang w:eastAsia="fr-FR"/>
          <w14:ligatures w14:val="none"/>
        </w:rPr>
        <w:t xml:space="preserve">27 </w:t>
      </w:r>
      <w:proofErr w:type="spellStart"/>
      <w:r w:rsidRPr="00C242EA">
        <w:rPr>
          <w:rFonts w:ascii="Times New Roman" w:eastAsia="Times New Roman" w:hAnsi="Times New Roman" w:cs="Times New Roman"/>
          <w:kern w:val="0"/>
          <w:lang w:eastAsia="fr-FR"/>
          <w14:ligatures w14:val="none"/>
        </w:rPr>
        <w:t>Aggarwal</w:t>
      </w:r>
      <w:proofErr w:type="spellEnd"/>
      <w:r w:rsidRPr="00C242EA">
        <w:rPr>
          <w:rFonts w:ascii="Times New Roman" w:eastAsia="Times New Roman" w:hAnsi="Times New Roman" w:cs="Times New Roman"/>
          <w:kern w:val="0"/>
          <w:lang w:eastAsia="fr-FR"/>
          <w14:ligatures w14:val="none"/>
        </w:rPr>
        <w:t xml:space="preserve"> KP, et al. </w:t>
      </w:r>
      <w:proofErr w:type="spellStart"/>
      <w:r w:rsidRPr="00C242EA">
        <w:rPr>
          <w:rFonts w:ascii="Times New Roman" w:eastAsia="Times New Roman" w:hAnsi="Times New Roman" w:cs="Times New Roman"/>
          <w:kern w:val="0"/>
          <w:lang w:eastAsia="fr-FR"/>
          <w14:ligatures w14:val="none"/>
        </w:rPr>
        <w:t>Lower</w:t>
      </w:r>
      <w:proofErr w:type="spellEnd"/>
      <w:r w:rsidRPr="00C242EA">
        <w:rPr>
          <w:rFonts w:ascii="Times New Roman" w:eastAsia="Times New Roman" w:hAnsi="Times New Roman" w:cs="Times New Roman"/>
          <w:kern w:val="0"/>
          <w:lang w:eastAsia="fr-FR"/>
          <w14:ligatures w14:val="none"/>
        </w:rPr>
        <w:t xml:space="preserve"> </w:t>
      </w:r>
      <w:proofErr w:type="spellStart"/>
      <w:r w:rsidRPr="00C242EA">
        <w:rPr>
          <w:rFonts w:ascii="Times New Roman" w:eastAsia="Times New Roman" w:hAnsi="Times New Roman" w:cs="Times New Roman"/>
          <w:kern w:val="0"/>
          <w:lang w:eastAsia="fr-FR"/>
          <w14:ligatures w14:val="none"/>
        </w:rPr>
        <w:t>calyx</w:t>
      </w:r>
      <w:proofErr w:type="spellEnd"/>
      <w:r w:rsidRPr="00C242EA">
        <w:rPr>
          <w:rFonts w:ascii="Times New Roman" w:eastAsia="Times New Roman" w:hAnsi="Times New Roman" w:cs="Times New Roman"/>
          <w:kern w:val="0"/>
          <w:lang w:eastAsia="fr-FR"/>
          <w14:ligatures w14:val="none"/>
        </w:rPr>
        <w:t xml:space="preserve"> stones management. </w:t>
      </w:r>
    </w:p>
    <w:p w14:paraId="0AD80DBB"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p>
    <w:p w14:paraId="1D937868" w14:textId="77777777" w:rsidR="002F2850" w:rsidRPr="00E77C9E" w:rsidRDefault="002F2850" w:rsidP="002F2850">
      <w:pPr>
        <w:spacing w:after="0" w:line="240" w:lineRule="auto"/>
        <w:jc w:val="both"/>
        <w:rPr>
          <w:rFonts w:ascii="Times New Roman" w:eastAsia="Times New Roman" w:hAnsi="Symbol" w:cs="Times New Roman"/>
          <w:kern w:val="0"/>
          <w:lang w:val="en-US" w:eastAsia="fr-FR"/>
          <w14:ligatures w14:val="none"/>
        </w:rPr>
      </w:pPr>
      <w:r>
        <w:rPr>
          <w:rFonts w:ascii="Times New Roman" w:eastAsia="Times New Roman" w:hAnsi="Symbol" w:cs="Times New Roman"/>
          <w:kern w:val="0"/>
          <w:lang w:eastAsia="fr-FR"/>
          <w14:ligatures w14:val="none"/>
        </w:rPr>
        <w:t xml:space="preserve">28 </w:t>
      </w:r>
      <w:proofErr w:type="spellStart"/>
      <w:r w:rsidRPr="00C242EA">
        <w:rPr>
          <w:rFonts w:ascii="Times New Roman" w:eastAsia="Times New Roman" w:hAnsi="Times New Roman" w:cs="Times New Roman"/>
          <w:kern w:val="0"/>
          <w:lang w:eastAsia="fr-FR"/>
          <w14:ligatures w14:val="none"/>
        </w:rPr>
        <w:t>Assimos</w:t>
      </w:r>
      <w:proofErr w:type="spellEnd"/>
      <w:r w:rsidRPr="00C242EA">
        <w:rPr>
          <w:rFonts w:ascii="Times New Roman" w:eastAsia="Times New Roman" w:hAnsi="Times New Roman" w:cs="Times New Roman"/>
          <w:kern w:val="0"/>
          <w:lang w:eastAsia="fr-FR"/>
          <w14:ligatures w14:val="none"/>
        </w:rPr>
        <w:t xml:space="preserve"> D, et al. </w:t>
      </w:r>
      <w:r w:rsidRPr="00C242EA">
        <w:rPr>
          <w:rFonts w:ascii="Times New Roman" w:eastAsia="Times New Roman" w:hAnsi="Times New Roman" w:cs="Times New Roman"/>
          <w:kern w:val="0"/>
          <w:lang w:val="en-US" w:eastAsia="fr-FR"/>
          <w14:ligatures w14:val="none"/>
        </w:rPr>
        <w:t xml:space="preserve">AUA Guidelines on surgical management of stones. J Urol. 2016. </w:t>
      </w:r>
    </w:p>
    <w:p w14:paraId="3D7EED79" w14:textId="77777777" w:rsidR="002F2850" w:rsidRPr="00C242EA"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4968FD91" w14:textId="77777777" w:rsidR="002F2850" w:rsidRDefault="002F2850" w:rsidP="002F2850">
      <w:pPr>
        <w:spacing w:after="0" w:line="240" w:lineRule="auto"/>
        <w:jc w:val="both"/>
        <w:rPr>
          <w:lang w:val="en-US"/>
        </w:rPr>
      </w:pPr>
      <w:r w:rsidRPr="002F2850">
        <w:rPr>
          <w:rFonts w:ascii="Times New Roman" w:eastAsia="Times New Roman" w:hAnsi="Symbol" w:cs="Times New Roman"/>
          <w:kern w:val="0"/>
          <w:lang w:val="en-US" w:eastAsia="fr-FR"/>
          <w14:ligatures w14:val="none"/>
        </w:rPr>
        <w:t xml:space="preserve">29 </w:t>
      </w:r>
      <w:r w:rsidRPr="002F2850">
        <w:rPr>
          <w:lang w:val="en-US"/>
        </w:rPr>
        <w:t>Ahmed R. El-</w:t>
      </w:r>
      <w:proofErr w:type="spellStart"/>
      <w:proofErr w:type="gramStart"/>
      <w:r w:rsidRPr="002F2850">
        <w:rPr>
          <w:lang w:val="en-US"/>
        </w:rPr>
        <w:t>Nahas</w:t>
      </w:r>
      <w:proofErr w:type="spellEnd"/>
      <w:r w:rsidRPr="002F2850">
        <w:rPr>
          <w:lang w:val="en-US"/>
        </w:rPr>
        <w:t xml:space="preserve"> ,</w:t>
      </w:r>
      <w:proofErr w:type="gramEnd"/>
      <w:r w:rsidRPr="002F2850">
        <w:rPr>
          <w:lang w:val="en-US"/>
        </w:rPr>
        <w:t xml:space="preserve"> et al . </w:t>
      </w:r>
      <w:r w:rsidRPr="00073A50">
        <w:rPr>
          <w:lang w:val="en-US"/>
        </w:rPr>
        <w:t xml:space="preserve">Percutaneous nephrolithotomy for treating staghorn stones: 10 years of experience of a tertiary-care </w:t>
      </w:r>
      <w:proofErr w:type="spellStart"/>
      <w:r w:rsidRPr="00073A50">
        <w:rPr>
          <w:lang w:val="en-US"/>
        </w:rPr>
        <w:t>centre</w:t>
      </w:r>
      <w:proofErr w:type="spellEnd"/>
      <w:r w:rsidRPr="00073A50">
        <w:rPr>
          <w:lang w:val="en-US"/>
        </w:rPr>
        <w:t xml:space="preserve"> Arab Journal of Urology (2012) 10, 324–329</w:t>
      </w:r>
    </w:p>
    <w:p w14:paraId="5BD48FDF" w14:textId="77777777" w:rsidR="002F2850" w:rsidRPr="00C242EA"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04A042F2" w14:textId="77777777" w:rsidR="002F2850" w:rsidRDefault="002F2850" w:rsidP="002F2850">
      <w:pPr>
        <w:spacing w:after="0" w:line="240" w:lineRule="auto"/>
        <w:jc w:val="both"/>
        <w:rPr>
          <w:rFonts w:ascii="Times New Roman" w:eastAsia="Times New Roman" w:hAnsi="Times New Roman" w:cs="Times New Roman"/>
          <w:kern w:val="0"/>
          <w:lang w:val="en-US" w:eastAsia="fr-FR"/>
          <w14:ligatures w14:val="none"/>
        </w:rPr>
      </w:pPr>
      <w:proofErr w:type="gramStart"/>
      <w:r w:rsidRPr="00E77C9E">
        <w:rPr>
          <w:rFonts w:ascii="Times New Roman" w:eastAsia="Times New Roman" w:hAnsi="Symbol" w:cs="Times New Roman"/>
          <w:kern w:val="0"/>
          <w:lang w:val="en-US" w:eastAsia="fr-FR"/>
          <w14:ligatures w14:val="none"/>
        </w:rPr>
        <w:t xml:space="preserve">30  </w:t>
      </w:r>
      <w:r w:rsidRPr="00C242EA">
        <w:rPr>
          <w:rFonts w:ascii="Times New Roman" w:eastAsia="Times New Roman" w:hAnsi="Times New Roman" w:cs="Times New Roman"/>
          <w:kern w:val="0"/>
          <w:lang w:val="en-US" w:eastAsia="fr-FR"/>
          <w14:ligatures w14:val="none"/>
        </w:rPr>
        <w:t>Sharma</w:t>
      </w:r>
      <w:proofErr w:type="gramEnd"/>
      <w:r w:rsidRPr="00C242EA">
        <w:rPr>
          <w:rFonts w:ascii="Times New Roman" w:eastAsia="Times New Roman" w:hAnsi="Times New Roman" w:cs="Times New Roman"/>
          <w:kern w:val="0"/>
          <w:lang w:val="en-US" w:eastAsia="fr-FR"/>
          <w14:ligatures w14:val="none"/>
        </w:rPr>
        <w:t xml:space="preserve"> G, et al. Systematic review mini-PCNL. </w:t>
      </w:r>
    </w:p>
    <w:p w14:paraId="1334E4BB" w14:textId="77777777" w:rsidR="002F2850" w:rsidRPr="00C242EA"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6F3790DA" w14:textId="77777777" w:rsidR="002F2850" w:rsidRPr="002F2850" w:rsidRDefault="002F2850" w:rsidP="002F2850">
      <w:pPr>
        <w:spacing w:after="0" w:line="240" w:lineRule="auto"/>
        <w:jc w:val="both"/>
        <w:rPr>
          <w:rFonts w:ascii="Times New Roman" w:eastAsia="Times New Roman" w:hAnsi="Times New Roman" w:cs="Times New Roman"/>
          <w:kern w:val="0"/>
          <w:lang w:val="es-ES" w:eastAsia="fr-FR"/>
          <w14:ligatures w14:val="none"/>
        </w:rPr>
      </w:pPr>
      <w:proofErr w:type="gramStart"/>
      <w:r w:rsidRPr="002F2850">
        <w:rPr>
          <w:rFonts w:ascii="Times New Roman" w:eastAsia="Times New Roman" w:hAnsi="Symbol" w:cs="Times New Roman"/>
          <w:kern w:val="0"/>
          <w:lang w:val="es-ES" w:eastAsia="fr-FR"/>
          <w14:ligatures w14:val="none"/>
        </w:rPr>
        <w:t>31</w:t>
      </w:r>
      <w:r w:rsidRPr="002F2850">
        <w:rPr>
          <w:rFonts w:ascii="Times New Roman" w:eastAsia="Times New Roman" w:hAnsi="Times New Roman" w:cs="Times New Roman"/>
          <w:kern w:val="0"/>
          <w:lang w:val="es-ES" w:eastAsia="fr-FR"/>
          <w14:ligatures w14:val="none"/>
        </w:rPr>
        <w:t xml:space="preserve">  Qin</w:t>
      </w:r>
      <w:proofErr w:type="gramEnd"/>
      <w:r w:rsidRPr="002F2850">
        <w:rPr>
          <w:rFonts w:ascii="Times New Roman" w:eastAsia="Times New Roman" w:hAnsi="Times New Roman" w:cs="Times New Roman"/>
          <w:kern w:val="0"/>
          <w:lang w:val="es-ES" w:eastAsia="fr-FR"/>
          <w14:ligatures w14:val="none"/>
        </w:rPr>
        <w:t xml:space="preserve"> P, et al. Meta-</w:t>
      </w:r>
      <w:proofErr w:type="spellStart"/>
      <w:r w:rsidRPr="002F2850">
        <w:rPr>
          <w:rFonts w:ascii="Times New Roman" w:eastAsia="Times New Roman" w:hAnsi="Times New Roman" w:cs="Times New Roman"/>
          <w:kern w:val="0"/>
          <w:lang w:val="es-ES" w:eastAsia="fr-FR"/>
          <w14:ligatures w14:val="none"/>
        </w:rPr>
        <w:t>analysis</w:t>
      </w:r>
      <w:proofErr w:type="spellEnd"/>
      <w:r w:rsidRPr="002F2850">
        <w:rPr>
          <w:rFonts w:ascii="Times New Roman" w:eastAsia="Times New Roman" w:hAnsi="Times New Roman" w:cs="Times New Roman"/>
          <w:kern w:val="0"/>
          <w:lang w:val="es-ES" w:eastAsia="fr-FR"/>
          <w14:ligatures w14:val="none"/>
        </w:rPr>
        <w:t xml:space="preserve"> PCNL. </w:t>
      </w:r>
    </w:p>
    <w:p w14:paraId="41BD00DE" w14:textId="77777777" w:rsidR="002F2850" w:rsidRPr="002F2850" w:rsidRDefault="002F2850" w:rsidP="002F2850">
      <w:pPr>
        <w:spacing w:after="0" w:line="240" w:lineRule="auto"/>
        <w:jc w:val="both"/>
        <w:rPr>
          <w:rFonts w:ascii="Times New Roman" w:eastAsia="Times New Roman" w:hAnsi="Times New Roman" w:cs="Times New Roman"/>
          <w:kern w:val="0"/>
          <w:lang w:val="es-ES" w:eastAsia="fr-FR"/>
          <w14:ligatures w14:val="none"/>
        </w:rPr>
      </w:pPr>
    </w:p>
    <w:p w14:paraId="0AD7204A" w14:textId="77777777" w:rsidR="002F2850" w:rsidRPr="00E77C9E" w:rsidRDefault="002F2850" w:rsidP="002F2850">
      <w:pPr>
        <w:spacing w:after="0"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s-ES" w:eastAsia="fr-FR"/>
          <w14:ligatures w14:val="none"/>
        </w:rPr>
        <w:t xml:space="preserve">32 </w:t>
      </w:r>
      <w:proofErr w:type="gramStart"/>
      <w:r w:rsidRPr="00C242EA">
        <w:rPr>
          <w:rFonts w:ascii="Times New Roman" w:eastAsia="Times New Roman" w:hAnsi="Times New Roman" w:cs="Times New Roman"/>
          <w:kern w:val="0"/>
          <w:lang w:val="es-ES" w:eastAsia="fr-FR"/>
          <w14:ligatures w14:val="none"/>
        </w:rPr>
        <w:t>El</w:t>
      </w:r>
      <w:proofErr w:type="gramEnd"/>
      <w:r w:rsidRPr="00C242EA">
        <w:rPr>
          <w:rFonts w:ascii="Times New Roman" w:eastAsia="Times New Roman" w:hAnsi="Times New Roman" w:cs="Times New Roman"/>
          <w:kern w:val="0"/>
          <w:lang w:val="es-ES" w:eastAsia="fr-FR"/>
          <w14:ligatures w14:val="none"/>
        </w:rPr>
        <w:t>-</w:t>
      </w:r>
      <w:proofErr w:type="spellStart"/>
      <w:r w:rsidRPr="00C242EA">
        <w:rPr>
          <w:rFonts w:ascii="Times New Roman" w:eastAsia="Times New Roman" w:hAnsi="Times New Roman" w:cs="Times New Roman"/>
          <w:kern w:val="0"/>
          <w:lang w:val="es-ES" w:eastAsia="fr-FR"/>
          <w14:ligatures w14:val="none"/>
        </w:rPr>
        <w:t>Nahas</w:t>
      </w:r>
      <w:proofErr w:type="spellEnd"/>
      <w:r w:rsidRPr="00C242EA">
        <w:rPr>
          <w:rFonts w:ascii="Times New Roman" w:eastAsia="Times New Roman" w:hAnsi="Times New Roman" w:cs="Times New Roman"/>
          <w:kern w:val="0"/>
          <w:lang w:val="es-ES" w:eastAsia="fr-FR"/>
          <w14:ligatures w14:val="none"/>
        </w:rPr>
        <w:t xml:space="preserve"> AR, et al. </w:t>
      </w:r>
      <w:proofErr w:type="spellStart"/>
      <w:r w:rsidRPr="002F2850">
        <w:rPr>
          <w:rFonts w:ascii="Times New Roman" w:eastAsia="Times New Roman" w:hAnsi="Times New Roman" w:cs="Times New Roman"/>
          <w:kern w:val="0"/>
          <w:lang w:val="es-ES" w:eastAsia="fr-FR"/>
          <w14:ligatures w14:val="none"/>
        </w:rPr>
        <w:t>Supracostal</w:t>
      </w:r>
      <w:proofErr w:type="spellEnd"/>
      <w:r w:rsidRPr="002F2850">
        <w:rPr>
          <w:rFonts w:ascii="Times New Roman" w:eastAsia="Times New Roman" w:hAnsi="Times New Roman" w:cs="Times New Roman"/>
          <w:kern w:val="0"/>
          <w:lang w:val="es-ES" w:eastAsia="fr-FR"/>
          <w14:ligatures w14:val="none"/>
        </w:rPr>
        <w:t xml:space="preserve"> vs subcostal PCNL. </w:t>
      </w:r>
      <w:r w:rsidRPr="00E77C9E">
        <w:rPr>
          <w:rFonts w:ascii="Times New Roman" w:eastAsia="Times New Roman" w:hAnsi="Times New Roman" w:cs="Times New Roman"/>
          <w:kern w:val="0"/>
          <w:lang w:val="en-US" w:eastAsia="fr-FR"/>
          <w14:ligatures w14:val="none"/>
        </w:rPr>
        <w:t xml:space="preserve">J Urol. </w:t>
      </w:r>
    </w:p>
    <w:p w14:paraId="79FE6FFA" w14:textId="77777777" w:rsidR="002F2850" w:rsidRPr="00E77C9E" w:rsidRDefault="002F2850" w:rsidP="002F2850">
      <w:pPr>
        <w:jc w:val="both"/>
        <w:rPr>
          <w:rFonts w:ascii="Times New Roman" w:eastAsia="Times New Roman" w:hAnsi="Times New Roman" w:cs="Times New Roman"/>
          <w:kern w:val="0"/>
          <w:lang w:val="en-US" w:eastAsia="fr-FR"/>
          <w14:ligatures w14:val="none"/>
        </w:rPr>
      </w:pPr>
    </w:p>
    <w:p w14:paraId="311AB365" w14:textId="77777777" w:rsidR="002F2850" w:rsidRPr="00E77C9E" w:rsidRDefault="002F2850" w:rsidP="002F2850">
      <w:pPr>
        <w:jc w:val="both"/>
        <w:rPr>
          <w:lang w:val="en-US"/>
        </w:rPr>
      </w:pPr>
      <w:r w:rsidRPr="00E77C9E">
        <w:rPr>
          <w:rFonts w:ascii="Times New Roman" w:eastAsia="Times New Roman" w:hAnsi="Times New Roman" w:cs="Times New Roman"/>
          <w:kern w:val="0"/>
          <w:lang w:val="en-US" w:eastAsia="fr-FR"/>
          <w14:ligatures w14:val="none"/>
        </w:rPr>
        <w:t xml:space="preserve">33 </w:t>
      </w:r>
      <w:proofErr w:type="spellStart"/>
      <w:r w:rsidRPr="00E77C9E">
        <w:rPr>
          <w:rFonts w:ascii="Times New Roman" w:eastAsia="Times New Roman" w:hAnsi="Times New Roman" w:cs="Times New Roman"/>
          <w:kern w:val="0"/>
          <w:lang w:val="en-US" w:eastAsia="fr-FR"/>
          <w14:ligatures w14:val="none"/>
        </w:rPr>
        <w:t>Munver</w:t>
      </w:r>
      <w:proofErr w:type="spellEnd"/>
      <w:r w:rsidRPr="00E77C9E">
        <w:rPr>
          <w:rFonts w:ascii="Times New Roman" w:eastAsia="Times New Roman" w:hAnsi="Times New Roman" w:cs="Times New Roman"/>
          <w:kern w:val="0"/>
          <w:lang w:val="en-US" w:eastAsia="fr-FR"/>
          <w14:ligatures w14:val="none"/>
        </w:rPr>
        <w:t xml:space="preserve"> R, et al. Thoracic complications of PCNL.</w:t>
      </w:r>
    </w:p>
    <w:p w14:paraId="686100FB" w14:textId="77777777" w:rsidR="002F2850" w:rsidRDefault="002F2850" w:rsidP="002F2850">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34 </w:t>
      </w:r>
      <w:r w:rsidRPr="007B1B5C">
        <w:rPr>
          <w:rFonts w:ascii="Times New Roman" w:eastAsia="Times New Roman" w:hAnsi="Times New Roman" w:cs="Times New Roman"/>
          <w:kern w:val="0"/>
          <w:lang w:eastAsia="fr-FR"/>
          <w14:ligatures w14:val="none"/>
        </w:rPr>
        <w:t xml:space="preserve">Türk C, </w:t>
      </w:r>
      <w:proofErr w:type="spellStart"/>
      <w:r w:rsidRPr="007B1B5C">
        <w:rPr>
          <w:rFonts w:ascii="Times New Roman" w:eastAsia="Times New Roman" w:hAnsi="Times New Roman" w:cs="Times New Roman"/>
          <w:kern w:val="0"/>
          <w:lang w:eastAsia="fr-FR"/>
          <w14:ligatures w14:val="none"/>
        </w:rPr>
        <w:t>Petřík</w:t>
      </w:r>
      <w:proofErr w:type="spellEnd"/>
      <w:r w:rsidRPr="007B1B5C">
        <w:rPr>
          <w:rFonts w:ascii="Times New Roman" w:eastAsia="Times New Roman" w:hAnsi="Times New Roman" w:cs="Times New Roman"/>
          <w:kern w:val="0"/>
          <w:lang w:eastAsia="fr-FR"/>
          <w14:ligatures w14:val="none"/>
        </w:rPr>
        <w:t xml:space="preserve"> A, Sarica K, et al. EAU Guidelines on </w:t>
      </w:r>
      <w:proofErr w:type="spellStart"/>
      <w:r w:rsidRPr="007B1B5C">
        <w:rPr>
          <w:rFonts w:ascii="Times New Roman" w:eastAsia="Times New Roman" w:hAnsi="Times New Roman" w:cs="Times New Roman"/>
          <w:kern w:val="0"/>
          <w:lang w:eastAsia="fr-FR"/>
          <w14:ligatures w14:val="none"/>
        </w:rPr>
        <w:t>Urolithiasis</w:t>
      </w:r>
      <w:proofErr w:type="spellEnd"/>
      <w:r w:rsidRPr="007B1B5C">
        <w:rPr>
          <w:rFonts w:ascii="Times New Roman" w:eastAsia="Times New Roman" w:hAnsi="Times New Roman" w:cs="Times New Roman"/>
          <w:kern w:val="0"/>
          <w:lang w:eastAsia="fr-FR"/>
          <w14:ligatures w14:val="none"/>
        </w:rPr>
        <w:t xml:space="preserve">. </w:t>
      </w:r>
      <w:proofErr w:type="spellStart"/>
      <w:r w:rsidRPr="007B1B5C">
        <w:rPr>
          <w:rFonts w:ascii="Times New Roman" w:eastAsia="Times New Roman" w:hAnsi="Times New Roman" w:cs="Times New Roman"/>
          <w:kern w:val="0"/>
          <w:lang w:eastAsia="fr-FR"/>
          <w14:ligatures w14:val="none"/>
        </w:rPr>
        <w:t>Eur</w:t>
      </w:r>
      <w:proofErr w:type="spellEnd"/>
      <w:r w:rsidRPr="007B1B5C">
        <w:rPr>
          <w:rFonts w:ascii="Times New Roman" w:eastAsia="Times New Roman" w:hAnsi="Times New Roman" w:cs="Times New Roman"/>
          <w:kern w:val="0"/>
          <w:lang w:eastAsia="fr-FR"/>
          <w14:ligatures w14:val="none"/>
        </w:rPr>
        <w:t xml:space="preserve"> </w:t>
      </w:r>
      <w:proofErr w:type="spellStart"/>
      <w:r w:rsidRPr="007B1B5C">
        <w:rPr>
          <w:rFonts w:ascii="Times New Roman" w:eastAsia="Times New Roman" w:hAnsi="Times New Roman" w:cs="Times New Roman"/>
          <w:kern w:val="0"/>
          <w:lang w:eastAsia="fr-FR"/>
          <w14:ligatures w14:val="none"/>
        </w:rPr>
        <w:t>Urol</w:t>
      </w:r>
      <w:proofErr w:type="spellEnd"/>
      <w:r w:rsidRPr="007B1B5C">
        <w:rPr>
          <w:rFonts w:ascii="Times New Roman" w:eastAsia="Times New Roman" w:hAnsi="Times New Roman" w:cs="Times New Roman"/>
          <w:kern w:val="0"/>
          <w:lang w:eastAsia="fr-FR"/>
          <w14:ligatures w14:val="none"/>
        </w:rPr>
        <w:t xml:space="preserve">. 2025. </w:t>
      </w:r>
    </w:p>
    <w:p w14:paraId="6C6F8E79" w14:textId="77777777" w:rsidR="002F2850" w:rsidRPr="002F2850" w:rsidRDefault="002F2850" w:rsidP="002F2850">
      <w:pPr>
        <w:spacing w:before="100" w:beforeAutospacing="1" w:after="100" w:afterAutospacing="1" w:line="240" w:lineRule="auto"/>
        <w:jc w:val="both"/>
        <w:rPr>
          <w:lang w:val="en-US"/>
        </w:rPr>
      </w:pPr>
      <w:r w:rsidRPr="005A3164">
        <w:rPr>
          <w:rFonts w:ascii="Times New Roman" w:eastAsia="Times New Roman" w:hAnsi="Times New Roman" w:cs="Times New Roman"/>
          <w:kern w:val="0"/>
          <w:lang w:val="en-US" w:eastAsia="fr-FR"/>
          <w14:ligatures w14:val="none"/>
        </w:rPr>
        <w:t xml:space="preserve">35 </w:t>
      </w:r>
      <w:proofErr w:type="spellStart"/>
      <w:r w:rsidRPr="00226DAC">
        <w:rPr>
          <w:lang w:val="en-US"/>
        </w:rPr>
        <w:t>Memmos</w:t>
      </w:r>
      <w:proofErr w:type="spellEnd"/>
      <w:r w:rsidRPr="00226DAC">
        <w:rPr>
          <w:lang w:val="en-US"/>
        </w:rPr>
        <w:t xml:space="preserve"> E, et al. The effect of standard PCNL, mini-PCNL and RIRS on renal injury biomarkers. </w:t>
      </w:r>
      <w:r w:rsidRPr="002F2850">
        <w:rPr>
          <w:i/>
          <w:iCs/>
          <w:lang w:val="en-US"/>
        </w:rPr>
        <w:t>Urolithiasis</w:t>
      </w:r>
      <w:r w:rsidRPr="002F2850">
        <w:rPr>
          <w:lang w:val="en-US"/>
        </w:rPr>
        <w:t>. 2023.</w:t>
      </w:r>
    </w:p>
    <w:p w14:paraId="0EB9AA60" w14:textId="77777777" w:rsidR="002F2850" w:rsidRP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36</w:t>
      </w:r>
      <w:r w:rsidRPr="00271C55">
        <w:rPr>
          <w:rFonts w:ascii="Times New Roman" w:eastAsia="Times New Roman" w:hAnsi="Times New Roman" w:cs="Times New Roman"/>
          <w:kern w:val="0"/>
          <w:lang w:val="en-US" w:eastAsia="fr-FR"/>
          <w14:ligatures w14:val="none"/>
        </w:rPr>
        <w:t xml:space="preserve">. Medina-Escobedo, M. et al. Recurrence of nephrolithiasis and surgical events are associated with chronic kidney disease in adult patients. </w:t>
      </w:r>
      <w:r w:rsidRPr="002F2850">
        <w:rPr>
          <w:rFonts w:ascii="Times New Roman" w:eastAsia="Times New Roman" w:hAnsi="Times New Roman" w:cs="Times New Roman"/>
          <w:kern w:val="0"/>
          <w:lang w:val="en-US" w:eastAsia="fr-FR"/>
          <w14:ligatures w14:val="none"/>
        </w:rPr>
        <w:t xml:space="preserve">MEDICINA-LITHUANIA 58(3). https://doi.org/10.3390/medicina58030420 (2022). </w:t>
      </w:r>
    </w:p>
    <w:p w14:paraId="03C9E671" w14:textId="77777777" w:rsidR="002F2850" w:rsidRP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2F2850">
        <w:rPr>
          <w:rFonts w:ascii="Times New Roman" w:eastAsia="Times New Roman" w:hAnsi="Times New Roman" w:cs="Times New Roman"/>
          <w:kern w:val="0"/>
          <w:lang w:val="en-US" w:eastAsia="fr-FR"/>
          <w14:ligatures w14:val="none"/>
        </w:rPr>
        <w:t xml:space="preserve">37. Chuang, T. F. et al. </w:t>
      </w:r>
      <w:r w:rsidRPr="00271C55">
        <w:rPr>
          <w:rFonts w:ascii="Times New Roman" w:eastAsia="Times New Roman" w:hAnsi="Times New Roman" w:cs="Times New Roman"/>
          <w:kern w:val="0"/>
          <w:lang w:val="en-US" w:eastAsia="fr-FR"/>
          <w14:ligatures w14:val="none"/>
        </w:rPr>
        <w:t xml:space="preserve">Risk of chronic kidney disease in patients with kidney stones-a nationwide cohort study. </w:t>
      </w:r>
      <w:r w:rsidRPr="002F2850">
        <w:rPr>
          <w:rFonts w:ascii="Times New Roman" w:eastAsia="Times New Roman" w:hAnsi="Times New Roman" w:cs="Times New Roman"/>
          <w:kern w:val="0"/>
          <w:lang w:val="en-US" w:eastAsia="fr-FR"/>
          <w14:ligatures w14:val="none"/>
        </w:rPr>
        <w:t xml:space="preserve">BMC </w:t>
      </w:r>
      <w:proofErr w:type="spellStart"/>
      <w:r w:rsidRPr="002F2850">
        <w:rPr>
          <w:rFonts w:ascii="Times New Roman" w:eastAsia="Times New Roman" w:hAnsi="Times New Roman" w:cs="Times New Roman"/>
          <w:kern w:val="0"/>
          <w:lang w:val="en-US" w:eastAsia="fr-FR"/>
          <w14:ligatures w14:val="none"/>
        </w:rPr>
        <w:t>Nephrol</w:t>
      </w:r>
      <w:proofErr w:type="spellEnd"/>
      <w:r w:rsidRPr="002F2850">
        <w:rPr>
          <w:rFonts w:ascii="Times New Roman" w:eastAsia="Times New Roman" w:hAnsi="Times New Roman" w:cs="Times New Roman"/>
          <w:kern w:val="0"/>
          <w:lang w:val="en-US" w:eastAsia="fr-FR"/>
          <w14:ligatures w14:val="none"/>
        </w:rPr>
        <w:t>. 21 (1), 292. https://doi.org/10.1186/s12882-020-01950-2 (2020)</w:t>
      </w:r>
    </w:p>
    <w:p w14:paraId="739A2E0D" w14:textId="77777777" w:rsid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2F2850">
        <w:rPr>
          <w:rFonts w:ascii="Times New Roman" w:eastAsia="Times New Roman" w:hAnsi="Times New Roman" w:cs="Times New Roman"/>
          <w:kern w:val="0"/>
          <w:lang w:val="en-US" w:eastAsia="fr-FR"/>
          <w14:ligatures w14:val="none"/>
        </w:rPr>
        <w:t xml:space="preserve">38. Singh, U. P. et al. </w:t>
      </w:r>
      <w:r w:rsidRPr="000718D3">
        <w:rPr>
          <w:rFonts w:ascii="Times New Roman" w:eastAsia="Times New Roman" w:hAnsi="Times New Roman" w:cs="Times New Roman"/>
          <w:kern w:val="0"/>
          <w:lang w:val="en-US" w:eastAsia="fr-FR"/>
          <w14:ligatures w14:val="none"/>
        </w:rPr>
        <w:t xml:space="preserve">Safety and outcome of percutaneous nephrolithotomy in patients with solitary kidney: A tertiary care center experience. INDIAN J. UROL. 35 (4), 287–290. https://doi.org/10.4103/iju.IJU_48_19 (2019). </w:t>
      </w:r>
    </w:p>
    <w:p w14:paraId="7CE5A0FB" w14:textId="77777777" w:rsid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3</w:t>
      </w:r>
      <w:r w:rsidRPr="000718D3">
        <w:rPr>
          <w:rFonts w:ascii="Times New Roman" w:eastAsia="Times New Roman" w:hAnsi="Times New Roman" w:cs="Times New Roman"/>
          <w:kern w:val="0"/>
          <w:lang w:val="en-US" w:eastAsia="fr-FR"/>
          <w14:ligatures w14:val="none"/>
        </w:rPr>
        <w:t xml:space="preserve">9. Patel, R. et al. A prospective study assessing feasibility of performing percutaneous nephrolithotomy in chronic kidney disease patients - What factors affect the </w:t>
      </w:r>
      <w:proofErr w:type="spellStart"/>
      <w:proofErr w:type="gramStart"/>
      <w:r w:rsidRPr="000718D3">
        <w:rPr>
          <w:rFonts w:ascii="Times New Roman" w:eastAsia="Times New Roman" w:hAnsi="Times New Roman" w:cs="Times New Roman"/>
          <w:kern w:val="0"/>
          <w:lang w:val="en-US" w:eastAsia="fr-FR"/>
          <w14:ligatures w14:val="none"/>
        </w:rPr>
        <w:t>outcome?INT</w:t>
      </w:r>
      <w:proofErr w:type="spellEnd"/>
      <w:r w:rsidRPr="000718D3">
        <w:rPr>
          <w:rFonts w:ascii="Times New Roman" w:eastAsia="Times New Roman" w:hAnsi="Times New Roman" w:cs="Times New Roman"/>
          <w:kern w:val="0"/>
          <w:lang w:val="en-US" w:eastAsia="fr-FR"/>
          <w14:ligatures w14:val="none"/>
        </w:rPr>
        <w:t>.</w:t>
      </w:r>
      <w:proofErr w:type="gramEnd"/>
      <w:r w:rsidRPr="000718D3">
        <w:rPr>
          <w:rFonts w:ascii="Times New Roman" w:eastAsia="Times New Roman" w:hAnsi="Times New Roman" w:cs="Times New Roman"/>
          <w:kern w:val="0"/>
          <w:lang w:val="en-US" w:eastAsia="fr-FR"/>
          <w14:ligatures w14:val="none"/>
        </w:rPr>
        <w:t xml:space="preserve"> BRAZ J. UROL. 45 (4), 765–774. https://doi.org/10.1590/S1677-5538.IBJU.2018.0 816 (2019). </w:t>
      </w:r>
    </w:p>
    <w:p w14:paraId="105DAB8E" w14:textId="77777777" w:rsidR="002F2850" w:rsidRP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eastAsia="fr-FR"/>
          <w14:ligatures w14:val="none"/>
        </w:rPr>
        <w:t>40</w:t>
      </w:r>
      <w:r w:rsidRPr="000718D3">
        <w:rPr>
          <w:rFonts w:ascii="Times New Roman" w:eastAsia="Times New Roman" w:hAnsi="Times New Roman" w:cs="Times New Roman"/>
          <w:kern w:val="0"/>
          <w:lang w:eastAsia="fr-FR"/>
          <w14:ligatures w14:val="none"/>
        </w:rPr>
        <w:t xml:space="preserve">. </w:t>
      </w:r>
      <w:proofErr w:type="spellStart"/>
      <w:r w:rsidRPr="000718D3">
        <w:rPr>
          <w:rFonts w:ascii="Times New Roman" w:eastAsia="Times New Roman" w:hAnsi="Times New Roman" w:cs="Times New Roman"/>
          <w:kern w:val="0"/>
          <w:lang w:eastAsia="fr-FR"/>
          <w14:ligatures w14:val="none"/>
        </w:rPr>
        <w:t>Bilen</w:t>
      </w:r>
      <w:proofErr w:type="spellEnd"/>
      <w:r w:rsidRPr="000718D3">
        <w:rPr>
          <w:rFonts w:ascii="Times New Roman" w:eastAsia="Times New Roman" w:hAnsi="Times New Roman" w:cs="Times New Roman"/>
          <w:kern w:val="0"/>
          <w:lang w:eastAsia="fr-FR"/>
          <w14:ligatures w14:val="none"/>
        </w:rPr>
        <w:t xml:space="preserve">, C. Y. et al. </w:t>
      </w:r>
      <w:r w:rsidRPr="000718D3">
        <w:rPr>
          <w:rFonts w:ascii="Times New Roman" w:eastAsia="Times New Roman" w:hAnsi="Times New Roman" w:cs="Times New Roman"/>
          <w:kern w:val="0"/>
          <w:lang w:val="en-US" w:eastAsia="fr-FR"/>
          <w14:ligatures w14:val="none"/>
        </w:rPr>
        <w:t xml:space="preserve">Impact of percutaneous nephrolithotomy on estimated glomerular filtration rate in patients with chronic kidney disease. </w:t>
      </w:r>
      <w:r w:rsidRPr="002F2850">
        <w:rPr>
          <w:rFonts w:ascii="Times New Roman" w:eastAsia="Times New Roman" w:hAnsi="Times New Roman" w:cs="Times New Roman"/>
          <w:kern w:val="0"/>
          <w:lang w:val="en-US" w:eastAsia="fr-FR"/>
          <w14:ligatures w14:val="none"/>
        </w:rPr>
        <w:t>J. ENDOUROL. 22 (5), 895–900. https://doi.org/10.1089/end.2007.0435 (2008)</w:t>
      </w:r>
    </w:p>
    <w:p w14:paraId="748B2F7D" w14:textId="77777777" w:rsidR="002F2850" w:rsidRP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4</w:t>
      </w:r>
      <w:r w:rsidRPr="00D61A23">
        <w:rPr>
          <w:rFonts w:ascii="Times New Roman" w:eastAsia="Times New Roman" w:hAnsi="Times New Roman" w:cs="Times New Roman"/>
          <w:kern w:val="0"/>
          <w:lang w:val="en-US" w:eastAsia="fr-FR"/>
          <w14:ligatures w14:val="none"/>
        </w:rPr>
        <w:t xml:space="preserve">1. </w:t>
      </w:r>
      <w:proofErr w:type="spellStart"/>
      <w:r w:rsidRPr="00D61A23">
        <w:rPr>
          <w:rFonts w:ascii="Times New Roman" w:eastAsia="Times New Roman" w:hAnsi="Times New Roman" w:cs="Times New Roman"/>
          <w:kern w:val="0"/>
          <w:lang w:val="en-US" w:eastAsia="fr-FR"/>
          <w14:ligatures w14:val="none"/>
        </w:rPr>
        <w:t>ElSheemy</w:t>
      </w:r>
      <w:proofErr w:type="spellEnd"/>
      <w:r w:rsidRPr="00D61A23">
        <w:rPr>
          <w:rFonts w:ascii="Times New Roman" w:eastAsia="Times New Roman" w:hAnsi="Times New Roman" w:cs="Times New Roman"/>
          <w:kern w:val="0"/>
          <w:lang w:val="en-US" w:eastAsia="fr-FR"/>
          <w14:ligatures w14:val="none"/>
        </w:rPr>
        <w:t xml:space="preserve">, M. S. et al. Mini vs standard percutaneous nephrolithotomy for renal stones: a comparative study. </w:t>
      </w:r>
      <w:r w:rsidRPr="002F2850">
        <w:rPr>
          <w:rFonts w:ascii="Times New Roman" w:eastAsia="Times New Roman" w:hAnsi="Times New Roman" w:cs="Times New Roman"/>
          <w:kern w:val="0"/>
          <w:lang w:val="en-US" w:eastAsia="fr-FR"/>
          <w14:ligatures w14:val="none"/>
        </w:rPr>
        <w:t>UROLITHIASIS 47 (2), 207–214. https://doi.org/10.1007/s00240-018-1055-9 (2018)</w:t>
      </w:r>
    </w:p>
    <w:p w14:paraId="1AA9C480" w14:textId="77777777" w:rsidR="002F2850" w:rsidRPr="002F2850" w:rsidRDefault="002F2850" w:rsidP="002F2850">
      <w:pPr>
        <w:spacing w:before="100" w:beforeAutospacing="1" w:after="100" w:afterAutospacing="1" w:line="240" w:lineRule="auto"/>
        <w:jc w:val="both"/>
        <w:rPr>
          <w:rFonts w:ascii="Times New Roman" w:eastAsia="Times New Roman" w:hAnsi="Times New Roman" w:cs="Times New Roman"/>
          <w:kern w:val="0"/>
          <w:lang w:val="es-ES" w:eastAsia="fr-FR"/>
          <w14:ligatures w14:val="none"/>
        </w:rPr>
      </w:pPr>
      <w:r w:rsidRPr="00C202EB">
        <w:rPr>
          <w:rFonts w:ascii="Times New Roman" w:eastAsia="Times New Roman" w:hAnsi="Times New Roman" w:cs="Times New Roman"/>
          <w:kern w:val="0"/>
          <w:lang w:val="en-US" w:eastAsia="fr-FR"/>
          <w14:ligatures w14:val="none"/>
        </w:rPr>
        <w:t xml:space="preserve">42 </w:t>
      </w:r>
      <w:proofErr w:type="spellStart"/>
      <w:r w:rsidRPr="00C202EB">
        <w:rPr>
          <w:rFonts w:ascii="Times New Roman" w:eastAsia="Times New Roman" w:hAnsi="Times New Roman" w:cs="Times New Roman"/>
          <w:kern w:val="0"/>
          <w:lang w:val="en-US" w:eastAsia="fr-FR"/>
          <w14:ligatures w14:val="none"/>
        </w:rPr>
        <w:t>Mehra</w:t>
      </w:r>
      <w:proofErr w:type="spellEnd"/>
      <w:r w:rsidRPr="00C202EB">
        <w:rPr>
          <w:rFonts w:ascii="Times New Roman" w:eastAsia="Times New Roman" w:hAnsi="Times New Roman" w:cs="Times New Roman"/>
          <w:kern w:val="0"/>
          <w:lang w:val="en-US" w:eastAsia="fr-FR"/>
          <w14:ligatures w14:val="none"/>
        </w:rPr>
        <w:t xml:space="preserve">, K., </w:t>
      </w:r>
      <w:proofErr w:type="spellStart"/>
      <w:r w:rsidRPr="00C202EB">
        <w:rPr>
          <w:rFonts w:ascii="Times New Roman" w:eastAsia="Times New Roman" w:hAnsi="Times New Roman" w:cs="Times New Roman"/>
          <w:kern w:val="0"/>
          <w:lang w:val="en-US" w:eastAsia="fr-FR"/>
          <w14:ligatures w14:val="none"/>
        </w:rPr>
        <w:t>Satpathy</w:t>
      </w:r>
      <w:proofErr w:type="spellEnd"/>
      <w:r w:rsidRPr="00C202EB">
        <w:rPr>
          <w:rFonts w:ascii="Times New Roman" w:eastAsia="Times New Roman" w:hAnsi="Times New Roman" w:cs="Times New Roman"/>
          <w:kern w:val="0"/>
          <w:lang w:val="en-US" w:eastAsia="fr-FR"/>
          <w14:ligatures w14:val="none"/>
        </w:rPr>
        <w:t xml:space="preserve">, P., Joshi, A. &amp; Manikandan, R. Percutaneous nephrolithotomy in patients with chronic kidney disease: A systematic review. </w:t>
      </w:r>
      <w:r w:rsidRPr="002F2850">
        <w:rPr>
          <w:rFonts w:ascii="Times New Roman" w:eastAsia="Times New Roman" w:hAnsi="Times New Roman" w:cs="Times New Roman"/>
          <w:kern w:val="0"/>
          <w:lang w:val="es-ES" w:eastAsia="fr-FR"/>
          <w14:ligatures w14:val="none"/>
        </w:rPr>
        <w:t>UROL. INT. 106 (5), 461–468. https://doi.org/10.1159/000520266 (2022).</w:t>
      </w:r>
    </w:p>
    <w:p w14:paraId="7DE4202A" w14:textId="77777777" w:rsidR="002F2850" w:rsidRDefault="002F2850" w:rsidP="002F2850">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roofErr w:type="gramStart"/>
      <w:r w:rsidRPr="00F47F8A">
        <w:rPr>
          <w:rFonts w:ascii="Times New Roman" w:eastAsia="Times New Roman" w:hAnsi="Times New Roman" w:cs="Times New Roman"/>
          <w:kern w:val="0"/>
          <w:lang w:val="es-ES" w:eastAsia="fr-FR"/>
          <w14:ligatures w14:val="none"/>
        </w:rPr>
        <w:lastRenderedPageBreak/>
        <w:t>43 .</w:t>
      </w:r>
      <w:proofErr w:type="gramEnd"/>
      <w:r w:rsidRPr="00F47F8A">
        <w:rPr>
          <w:rFonts w:ascii="Times New Roman" w:eastAsia="Times New Roman" w:hAnsi="Times New Roman" w:cs="Times New Roman"/>
          <w:kern w:val="0"/>
          <w:lang w:val="es-ES" w:eastAsia="fr-FR"/>
          <w14:ligatures w14:val="none"/>
        </w:rPr>
        <w:t xml:space="preserve"> </w:t>
      </w:r>
      <w:proofErr w:type="spellStart"/>
      <w:r w:rsidRPr="00F47F8A">
        <w:rPr>
          <w:rFonts w:ascii="Times New Roman" w:eastAsia="Times New Roman" w:hAnsi="Times New Roman" w:cs="Times New Roman"/>
          <w:kern w:val="0"/>
          <w:lang w:val="es-ES" w:eastAsia="fr-FR"/>
          <w14:ligatures w14:val="none"/>
        </w:rPr>
        <w:t>Acedillo</w:t>
      </w:r>
      <w:proofErr w:type="spellEnd"/>
      <w:r w:rsidRPr="00F47F8A">
        <w:rPr>
          <w:rFonts w:ascii="Times New Roman" w:eastAsia="Times New Roman" w:hAnsi="Times New Roman" w:cs="Times New Roman"/>
          <w:kern w:val="0"/>
          <w:lang w:val="es-ES" w:eastAsia="fr-FR"/>
          <w14:ligatures w14:val="none"/>
        </w:rPr>
        <w:t xml:space="preserve">, R. R. et al. </w:t>
      </w:r>
      <w:r w:rsidRPr="00F47F8A">
        <w:rPr>
          <w:rFonts w:ascii="Times New Roman" w:eastAsia="Times New Roman" w:hAnsi="Times New Roman" w:cs="Times New Roman"/>
          <w:kern w:val="0"/>
          <w:lang w:val="en-US" w:eastAsia="fr-FR"/>
          <w14:ligatures w14:val="none"/>
        </w:rPr>
        <w:t xml:space="preserve">The risk of perioperative bleeding in patients with chronic kidney disease: a systematic review and </w:t>
      </w:r>
      <w:proofErr w:type="spellStart"/>
      <w:r w:rsidRPr="00F47F8A">
        <w:rPr>
          <w:rFonts w:ascii="Times New Roman" w:eastAsia="Times New Roman" w:hAnsi="Times New Roman" w:cs="Times New Roman"/>
          <w:kern w:val="0"/>
          <w:lang w:val="en-US" w:eastAsia="fr-FR"/>
          <w14:ligatures w14:val="none"/>
        </w:rPr>
        <w:t>metaanalysis</w:t>
      </w:r>
      <w:proofErr w:type="spellEnd"/>
      <w:r w:rsidRPr="00F47F8A">
        <w:rPr>
          <w:rFonts w:ascii="Times New Roman" w:eastAsia="Times New Roman" w:hAnsi="Times New Roman" w:cs="Times New Roman"/>
          <w:kern w:val="0"/>
          <w:lang w:val="en-US" w:eastAsia="fr-FR"/>
          <w14:ligatures w14:val="none"/>
        </w:rPr>
        <w:t xml:space="preserve">. </w:t>
      </w:r>
      <w:r w:rsidRPr="00F47F8A">
        <w:rPr>
          <w:rFonts w:ascii="Times New Roman" w:eastAsia="Times New Roman" w:hAnsi="Times New Roman" w:cs="Times New Roman"/>
          <w:kern w:val="0"/>
          <w:lang w:eastAsia="fr-FR"/>
          <w14:ligatures w14:val="none"/>
        </w:rPr>
        <w:t>ANN. SURG. 258 (6), 901–913. https://doi.org/10.1097/SLA.0000000000000244 (2013).</w:t>
      </w:r>
    </w:p>
    <w:p w14:paraId="33B2D7E8" w14:textId="77777777" w:rsidR="002F2850" w:rsidRDefault="002F2850" w:rsidP="002F2850">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roofErr w:type="gramStart"/>
      <w:r w:rsidRPr="002F2850">
        <w:rPr>
          <w:rFonts w:ascii="Times New Roman" w:eastAsia="Times New Roman" w:hAnsi="Times New Roman" w:cs="Times New Roman"/>
          <w:kern w:val="0"/>
          <w:lang w:eastAsia="fr-FR"/>
          <w14:ligatures w14:val="none"/>
        </w:rPr>
        <w:t>44 .</w:t>
      </w:r>
      <w:proofErr w:type="gramEnd"/>
      <w:r w:rsidRPr="002F2850">
        <w:rPr>
          <w:rFonts w:ascii="Times New Roman" w:eastAsia="Times New Roman" w:hAnsi="Times New Roman" w:cs="Times New Roman"/>
          <w:kern w:val="0"/>
          <w:lang w:eastAsia="fr-FR"/>
          <w14:ligatures w14:val="none"/>
        </w:rPr>
        <w:t xml:space="preserve"> Seitz, C. et al. </w:t>
      </w:r>
      <w:r w:rsidRPr="00AC114F">
        <w:rPr>
          <w:rFonts w:ascii="Times New Roman" w:eastAsia="Times New Roman" w:hAnsi="Times New Roman" w:cs="Times New Roman"/>
          <w:kern w:val="0"/>
          <w:lang w:val="en-US" w:eastAsia="fr-FR"/>
          <w14:ligatures w14:val="none"/>
        </w:rPr>
        <w:t xml:space="preserve">Incidence, prevention, and management of complications following percutaneous </w:t>
      </w:r>
      <w:proofErr w:type="spellStart"/>
      <w:r w:rsidRPr="00AC114F">
        <w:rPr>
          <w:rFonts w:ascii="Times New Roman" w:eastAsia="Times New Roman" w:hAnsi="Times New Roman" w:cs="Times New Roman"/>
          <w:kern w:val="0"/>
          <w:lang w:val="en-US" w:eastAsia="fr-FR"/>
          <w14:ligatures w14:val="none"/>
        </w:rPr>
        <w:t>nephrolitholapaxy</w:t>
      </w:r>
      <w:proofErr w:type="spellEnd"/>
      <w:r w:rsidRPr="00AC114F">
        <w:rPr>
          <w:rFonts w:ascii="Times New Roman" w:eastAsia="Times New Roman" w:hAnsi="Times New Roman" w:cs="Times New Roman"/>
          <w:kern w:val="0"/>
          <w:lang w:val="en-US" w:eastAsia="fr-FR"/>
          <w14:ligatures w14:val="none"/>
        </w:rPr>
        <w:t xml:space="preserve">. </w:t>
      </w:r>
      <w:proofErr w:type="spellStart"/>
      <w:r w:rsidRPr="00AC114F">
        <w:rPr>
          <w:rFonts w:ascii="Times New Roman" w:eastAsia="Times New Roman" w:hAnsi="Times New Roman" w:cs="Times New Roman"/>
          <w:kern w:val="0"/>
          <w:lang w:eastAsia="fr-FR"/>
          <w14:ligatures w14:val="none"/>
        </w:rPr>
        <w:t>Eur</w:t>
      </w:r>
      <w:proofErr w:type="spellEnd"/>
      <w:r w:rsidRPr="00AC114F">
        <w:rPr>
          <w:rFonts w:ascii="Times New Roman" w:eastAsia="Times New Roman" w:hAnsi="Times New Roman" w:cs="Times New Roman"/>
          <w:kern w:val="0"/>
          <w:lang w:eastAsia="fr-FR"/>
          <w14:ligatures w14:val="none"/>
        </w:rPr>
        <w:t xml:space="preserve">. </w:t>
      </w:r>
      <w:proofErr w:type="spellStart"/>
      <w:r w:rsidRPr="00AC114F">
        <w:rPr>
          <w:rFonts w:ascii="Times New Roman" w:eastAsia="Times New Roman" w:hAnsi="Times New Roman" w:cs="Times New Roman"/>
          <w:kern w:val="0"/>
          <w:lang w:eastAsia="fr-FR"/>
          <w14:ligatures w14:val="none"/>
        </w:rPr>
        <w:t>Urol</w:t>
      </w:r>
      <w:proofErr w:type="spellEnd"/>
      <w:r w:rsidRPr="00AC114F">
        <w:rPr>
          <w:rFonts w:ascii="Times New Roman" w:eastAsia="Times New Roman" w:hAnsi="Times New Roman" w:cs="Times New Roman"/>
          <w:kern w:val="0"/>
          <w:lang w:eastAsia="fr-FR"/>
          <w14:ligatures w14:val="none"/>
        </w:rPr>
        <w:t>. 61 (1), 146–158. https://doi.org/10.1016/j.eururo.2011.09.016 (2011).</w:t>
      </w:r>
    </w:p>
    <w:p w14:paraId="6F11A171" w14:textId="77777777" w:rsidR="002F2850" w:rsidRPr="007B1B5C" w:rsidRDefault="002F2850" w:rsidP="002F2850">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roofErr w:type="gramStart"/>
      <w:r>
        <w:rPr>
          <w:rFonts w:ascii="Times New Roman" w:eastAsia="Times New Roman" w:hAnsi="Times New Roman" w:cs="Times New Roman"/>
          <w:kern w:val="0"/>
          <w:lang w:eastAsia="fr-FR"/>
          <w14:ligatures w14:val="none"/>
        </w:rPr>
        <w:t xml:space="preserve">45 </w:t>
      </w:r>
      <w:r w:rsidRPr="00716EDC">
        <w:rPr>
          <w:rFonts w:ascii="Times New Roman" w:eastAsia="Times New Roman" w:hAnsi="Times New Roman" w:cs="Times New Roman"/>
          <w:kern w:val="0"/>
          <w:lang w:eastAsia="fr-FR"/>
          <w14:ligatures w14:val="none"/>
        </w:rPr>
        <w:t>.</w:t>
      </w:r>
      <w:proofErr w:type="gramEnd"/>
      <w:r w:rsidRPr="00716EDC">
        <w:rPr>
          <w:rFonts w:ascii="Times New Roman" w:eastAsia="Times New Roman" w:hAnsi="Times New Roman" w:cs="Times New Roman"/>
          <w:kern w:val="0"/>
          <w:lang w:eastAsia="fr-FR"/>
          <w14:ligatures w14:val="none"/>
        </w:rPr>
        <w:t xml:space="preserve"> De La Rosette, J. et al. </w:t>
      </w:r>
      <w:r w:rsidRPr="00716EDC">
        <w:rPr>
          <w:rFonts w:ascii="Times New Roman" w:eastAsia="Times New Roman" w:hAnsi="Times New Roman" w:cs="Times New Roman"/>
          <w:kern w:val="0"/>
          <w:lang w:val="en-US" w:eastAsia="fr-FR"/>
          <w14:ligatures w14:val="none"/>
        </w:rPr>
        <w:t xml:space="preserve">The clinical research office of the endourological society percutaneous nephrolithotomy global study: indications, complications, and outcomes in 5803 patients. </w:t>
      </w:r>
      <w:r w:rsidRPr="00716EDC">
        <w:rPr>
          <w:rFonts w:ascii="Times New Roman" w:eastAsia="Times New Roman" w:hAnsi="Times New Roman" w:cs="Times New Roman"/>
          <w:kern w:val="0"/>
          <w:lang w:eastAsia="fr-FR"/>
          <w14:ligatures w14:val="none"/>
        </w:rPr>
        <w:t>J. ENDOUROL. 25 (1), 11–17. https://doi.org/10.1089/end.2010.0424 (2011).</w:t>
      </w:r>
    </w:p>
    <w:p w14:paraId="2B1E84A9" w14:textId="77777777" w:rsidR="002F2850" w:rsidRPr="0051139B" w:rsidRDefault="002F2850" w:rsidP="003542BB">
      <w:pPr>
        <w:spacing w:after="200" w:line="276" w:lineRule="auto"/>
        <w:rPr>
          <w:lang w:val="en-US"/>
        </w:rPr>
      </w:pPr>
    </w:p>
    <w:p w14:paraId="0E5A99F1" w14:textId="77777777" w:rsidR="003542BB" w:rsidRPr="00362EBC" w:rsidRDefault="003542BB" w:rsidP="00362EBC">
      <w:pPr>
        <w:rPr>
          <w:b/>
          <w:bCs/>
          <w:lang w:val="en-US"/>
        </w:rPr>
      </w:pPr>
    </w:p>
    <w:p w14:paraId="2182F243" w14:textId="77777777" w:rsidR="00362EBC" w:rsidRPr="00362EBC" w:rsidRDefault="00362EBC" w:rsidP="00362EBC">
      <w:pPr>
        <w:rPr>
          <w:lang w:val="en-US"/>
        </w:rPr>
      </w:pPr>
    </w:p>
    <w:p w14:paraId="341E4C13" w14:textId="77777777" w:rsidR="00362EBC" w:rsidRPr="00362EBC" w:rsidRDefault="00362EBC" w:rsidP="00362EBC">
      <w:pPr>
        <w:rPr>
          <w:lang w:val="en-US"/>
        </w:rPr>
      </w:pPr>
    </w:p>
    <w:p w14:paraId="6536D347" w14:textId="7FBDFF39" w:rsidR="00362EBC" w:rsidRPr="00362EBC" w:rsidRDefault="00362EBC" w:rsidP="00362EBC">
      <w:pPr>
        <w:rPr>
          <w:lang w:val="en-US"/>
        </w:rPr>
      </w:pPr>
    </w:p>
    <w:p w14:paraId="774BC0F7" w14:textId="77777777" w:rsidR="001B0F1E" w:rsidRPr="00362EBC" w:rsidRDefault="001B0F1E">
      <w:pPr>
        <w:rPr>
          <w:lang w:val="en-US"/>
        </w:rPr>
      </w:pPr>
    </w:p>
    <w:sectPr w:rsidR="001B0F1E" w:rsidRPr="00362E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D529" w14:textId="77777777" w:rsidR="00721B94" w:rsidRDefault="00721B94" w:rsidP="00391D8F">
      <w:pPr>
        <w:spacing w:after="0" w:line="240" w:lineRule="auto"/>
      </w:pPr>
      <w:r>
        <w:separator/>
      </w:r>
    </w:p>
  </w:endnote>
  <w:endnote w:type="continuationSeparator" w:id="0">
    <w:p w14:paraId="0C3FEBC3" w14:textId="77777777" w:rsidR="00721B94" w:rsidRDefault="00721B94" w:rsidP="0039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3F8A" w14:textId="77777777" w:rsidR="00391D8F" w:rsidRDefault="0039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3948" w14:textId="77777777" w:rsidR="00391D8F" w:rsidRDefault="0039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6B6A" w14:textId="77777777" w:rsidR="00391D8F" w:rsidRDefault="0039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8D56E" w14:textId="77777777" w:rsidR="00721B94" w:rsidRDefault="00721B94" w:rsidP="00391D8F">
      <w:pPr>
        <w:spacing w:after="0" w:line="240" w:lineRule="auto"/>
      </w:pPr>
      <w:r>
        <w:separator/>
      </w:r>
    </w:p>
  </w:footnote>
  <w:footnote w:type="continuationSeparator" w:id="0">
    <w:p w14:paraId="0B35BCD7" w14:textId="77777777" w:rsidR="00721B94" w:rsidRDefault="00721B94" w:rsidP="00391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A950" w14:textId="43A82E2E" w:rsidR="00391D8F" w:rsidRDefault="00391D8F">
    <w:pPr>
      <w:pStyle w:val="Header"/>
    </w:pPr>
    <w:r>
      <w:rPr>
        <w:noProof/>
      </w:rPr>
      <w:pict w14:anchorId="64524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4732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B41D" w14:textId="36A5B5C2" w:rsidR="00391D8F" w:rsidRDefault="00391D8F">
    <w:pPr>
      <w:pStyle w:val="Header"/>
    </w:pPr>
    <w:r>
      <w:rPr>
        <w:noProof/>
      </w:rPr>
      <w:pict w14:anchorId="60EB1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4733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2E22" w14:textId="42EFB79E" w:rsidR="00391D8F" w:rsidRDefault="00391D8F">
    <w:pPr>
      <w:pStyle w:val="Header"/>
    </w:pPr>
    <w:r>
      <w:rPr>
        <w:noProof/>
      </w:rPr>
      <w:pict w14:anchorId="0025B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4732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32"/>
    <w:rsid w:val="000943A5"/>
    <w:rsid w:val="001B0F1E"/>
    <w:rsid w:val="0026752C"/>
    <w:rsid w:val="002F2850"/>
    <w:rsid w:val="003542BB"/>
    <w:rsid w:val="00362EBC"/>
    <w:rsid w:val="00363D32"/>
    <w:rsid w:val="00391D8F"/>
    <w:rsid w:val="00451CC6"/>
    <w:rsid w:val="00461B0E"/>
    <w:rsid w:val="00580861"/>
    <w:rsid w:val="00721B94"/>
    <w:rsid w:val="00803B94"/>
    <w:rsid w:val="00995EA1"/>
    <w:rsid w:val="00AB3F9C"/>
    <w:rsid w:val="00B94CF5"/>
    <w:rsid w:val="00CB7C9D"/>
    <w:rsid w:val="00F33E24"/>
    <w:rsid w:val="00FF2B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C8AC0"/>
  <w15:chartTrackingRefBased/>
  <w15:docId w15:val="{3CF21DD2-F622-42F0-AEDB-24CD53A8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D32"/>
    <w:rPr>
      <w:rFonts w:eastAsiaTheme="majorEastAsia" w:cstheme="majorBidi"/>
      <w:color w:val="272727" w:themeColor="text1" w:themeTint="D8"/>
    </w:rPr>
  </w:style>
  <w:style w:type="paragraph" w:styleId="Title">
    <w:name w:val="Title"/>
    <w:basedOn w:val="Normal"/>
    <w:next w:val="Normal"/>
    <w:link w:val="TitleChar"/>
    <w:uiPriority w:val="10"/>
    <w:qFormat/>
    <w:rsid w:val="0036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D32"/>
    <w:pPr>
      <w:spacing w:before="160"/>
      <w:jc w:val="center"/>
    </w:pPr>
    <w:rPr>
      <w:i/>
      <w:iCs/>
      <w:color w:val="404040" w:themeColor="text1" w:themeTint="BF"/>
    </w:rPr>
  </w:style>
  <w:style w:type="character" w:customStyle="1" w:styleId="QuoteChar">
    <w:name w:val="Quote Char"/>
    <w:basedOn w:val="DefaultParagraphFont"/>
    <w:link w:val="Quote"/>
    <w:uiPriority w:val="29"/>
    <w:rsid w:val="00363D32"/>
    <w:rPr>
      <w:i/>
      <w:iCs/>
      <w:color w:val="404040" w:themeColor="text1" w:themeTint="BF"/>
    </w:rPr>
  </w:style>
  <w:style w:type="paragraph" w:styleId="ListParagraph">
    <w:name w:val="List Paragraph"/>
    <w:basedOn w:val="Normal"/>
    <w:uiPriority w:val="34"/>
    <w:qFormat/>
    <w:rsid w:val="00363D32"/>
    <w:pPr>
      <w:ind w:left="720"/>
      <w:contextualSpacing/>
    </w:pPr>
  </w:style>
  <w:style w:type="character" w:styleId="IntenseEmphasis">
    <w:name w:val="Intense Emphasis"/>
    <w:basedOn w:val="DefaultParagraphFont"/>
    <w:uiPriority w:val="21"/>
    <w:qFormat/>
    <w:rsid w:val="00363D32"/>
    <w:rPr>
      <w:i/>
      <w:iCs/>
      <w:color w:val="0F4761" w:themeColor="accent1" w:themeShade="BF"/>
    </w:rPr>
  </w:style>
  <w:style w:type="paragraph" w:styleId="IntenseQuote">
    <w:name w:val="Intense Quote"/>
    <w:basedOn w:val="Normal"/>
    <w:next w:val="Normal"/>
    <w:link w:val="IntenseQuoteChar"/>
    <w:uiPriority w:val="30"/>
    <w:qFormat/>
    <w:rsid w:val="0036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D32"/>
    <w:rPr>
      <w:i/>
      <w:iCs/>
      <w:color w:val="0F4761" w:themeColor="accent1" w:themeShade="BF"/>
    </w:rPr>
  </w:style>
  <w:style w:type="character" w:styleId="IntenseReference">
    <w:name w:val="Intense Reference"/>
    <w:basedOn w:val="DefaultParagraphFont"/>
    <w:uiPriority w:val="32"/>
    <w:qFormat/>
    <w:rsid w:val="00363D32"/>
    <w:rPr>
      <w:b/>
      <w:bCs/>
      <w:smallCaps/>
      <w:color w:val="0F4761" w:themeColor="accent1" w:themeShade="BF"/>
      <w:spacing w:val="5"/>
    </w:rPr>
  </w:style>
  <w:style w:type="table" w:styleId="TableGrid">
    <w:name w:val="Table Grid"/>
    <w:basedOn w:val="TableNormal"/>
    <w:uiPriority w:val="59"/>
    <w:rsid w:val="00362EBC"/>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A1"/>
    <w:rPr>
      <w:color w:val="467886" w:themeColor="hyperlink"/>
      <w:u w:val="single"/>
    </w:rPr>
  </w:style>
  <w:style w:type="character" w:styleId="UnresolvedMention">
    <w:name w:val="Unresolved Mention"/>
    <w:basedOn w:val="DefaultParagraphFont"/>
    <w:uiPriority w:val="99"/>
    <w:semiHidden/>
    <w:unhideWhenUsed/>
    <w:rsid w:val="00995EA1"/>
    <w:rPr>
      <w:color w:val="605E5C"/>
      <w:shd w:val="clear" w:color="auto" w:fill="E1DFDD"/>
    </w:rPr>
  </w:style>
  <w:style w:type="paragraph" w:styleId="Header">
    <w:name w:val="header"/>
    <w:basedOn w:val="Normal"/>
    <w:link w:val="HeaderChar"/>
    <w:uiPriority w:val="99"/>
    <w:unhideWhenUsed/>
    <w:rsid w:val="0039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8F"/>
  </w:style>
  <w:style w:type="paragraph" w:styleId="Footer">
    <w:name w:val="footer"/>
    <w:basedOn w:val="Normal"/>
    <w:link w:val="FooterChar"/>
    <w:uiPriority w:val="99"/>
    <w:unhideWhenUsed/>
    <w:rsid w:val="0039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3933</Words>
  <Characters>22420</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belaghzalmohamed100@gmail.com</dc:creator>
  <cp:keywords/>
  <dc:description/>
  <cp:lastModifiedBy>SDI 1084</cp:lastModifiedBy>
  <cp:revision>34</cp:revision>
  <dcterms:created xsi:type="dcterms:W3CDTF">2026-04-06T22:40:00Z</dcterms:created>
  <dcterms:modified xsi:type="dcterms:W3CDTF">2026-04-08T13:53:00Z</dcterms:modified>
</cp:coreProperties>
</file>