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A85765" w14:textId="5A08C0AB" w:rsidR="003C20CB" w:rsidRPr="006D6143" w:rsidRDefault="003C20CB" w:rsidP="003C20CB">
      <w:pPr>
        <w:rPr>
          <w:rFonts w:ascii="Times New Roman" w:eastAsia="SimSun" w:hAnsi="Times New Roman" w:cs="Times New Roman"/>
          <w:b/>
          <w:bCs/>
          <w:color w:val="000000" w:themeColor="text1"/>
          <w:sz w:val="24"/>
          <w:szCs w:val="24"/>
          <w:u w:val="single"/>
        </w:rPr>
      </w:pPr>
      <w:r w:rsidRPr="006D6143">
        <w:rPr>
          <w:rFonts w:ascii="Times New Roman" w:eastAsia="SimSun" w:hAnsi="Times New Roman" w:cs="Times New Roman"/>
          <w:color w:val="000000" w:themeColor="text1"/>
          <w:sz w:val="24"/>
          <w:szCs w:val="24"/>
          <w:u w:val="single"/>
        </w:rPr>
        <w:t>Case Report</w:t>
      </w:r>
    </w:p>
    <w:p w14:paraId="3D2D60C2" w14:textId="77777777" w:rsidR="003C20CB" w:rsidRPr="00F06966" w:rsidRDefault="003C20CB" w:rsidP="003C20CB">
      <w:pPr>
        <w:rPr>
          <w:rFonts w:ascii="Times New Roman" w:eastAsia="SimSun" w:hAnsi="Times New Roman" w:cs="Times New Roman"/>
          <w:b/>
          <w:bCs/>
          <w:sz w:val="24"/>
          <w:szCs w:val="24"/>
        </w:rPr>
      </w:pPr>
    </w:p>
    <w:p w14:paraId="10E5CC9E" w14:textId="77777777" w:rsidR="006B7CF3" w:rsidRPr="00F06966" w:rsidRDefault="001D386E">
      <w:pPr>
        <w:jc w:val="center"/>
        <w:rPr>
          <w:rFonts w:ascii="Times New Roman" w:eastAsia="SimSun" w:hAnsi="Times New Roman" w:cs="Times New Roman"/>
          <w:b/>
          <w:bCs/>
          <w:sz w:val="24"/>
          <w:szCs w:val="24"/>
        </w:rPr>
      </w:pPr>
      <w:r w:rsidRPr="00F06966">
        <w:rPr>
          <w:rFonts w:ascii="Times New Roman" w:eastAsia="SimSun" w:hAnsi="Times New Roman" w:cs="Times New Roman"/>
          <w:b/>
          <w:bCs/>
          <w:sz w:val="24"/>
          <w:szCs w:val="24"/>
        </w:rPr>
        <w:t>Double Inferior Vena Cava with Renal Angiomyolipoma in a Living Kidney Donor: A Rare Vascular and Parenchymal Ano</w:t>
      </w:r>
      <w:r w:rsidR="00F06966">
        <w:rPr>
          <w:rFonts w:ascii="Times New Roman" w:eastAsia="SimSun" w:hAnsi="Times New Roman" w:cs="Times New Roman"/>
          <w:b/>
          <w:bCs/>
          <w:sz w:val="24"/>
          <w:szCs w:val="24"/>
        </w:rPr>
        <w:t>maly with Surgical Implications</w:t>
      </w:r>
    </w:p>
    <w:p w14:paraId="5AE79094" w14:textId="77777777" w:rsidR="003C20CB" w:rsidRDefault="003C20CB" w:rsidP="003C20CB">
      <w:pPr>
        <w:rPr>
          <w:rFonts w:ascii="Times New Roman" w:eastAsia="SimSun" w:hAnsi="Times New Roman" w:cs="Times New Roman"/>
          <w:color w:val="FF0000"/>
          <w:sz w:val="24"/>
          <w:szCs w:val="24"/>
        </w:rPr>
      </w:pPr>
    </w:p>
    <w:p w14:paraId="44F2422D" w14:textId="77777777" w:rsidR="00F06966" w:rsidRDefault="00F06966">
      <w:pPr>
        <w:pStyle w:val="NormalWeb"/>
        <w:rPr>
          <w:rStyle w:val="Strong"/>
          <w:rFonts w:cs="Times New Roman"/>
        </w:rPr>
      </w:pPr>
    </w:p>
    <w:p w14:paraId="2A25838D" w14:textId="77777777" w:rsidR="006B7CF3" w:rsidRPr="00F06966" w:rsidRDefault="001D386E" w:rsidP="00F06966">
      <w:pPr>
        <w:pStyle w:val="NormalWeb"/>
        <w:spacing w:beforeAutospacing="0" w:afterAutospacing="0"/>
        <w:jc w:val="both"/>
        <w:rPr>
          <w:rFonts w:cs="Times New Roman"/>
        </w:rPr>
      </w:pPr>
      <w:r w:rsidRPr="00F06966">
        <w:rPr>
          <w:rStyle w:val="Strong"/>
          <w:rFonts w:cs="Times New Roman"/>
        </w:rPr>
        <w:t>Abstract</w:t>
      </w:r>
    </w:p>
    <w:p w14:paraId="7C3482FF" w14:textId="77777777" w:rsidR="006B7CF3" w:rsidRPr="00F06966" w:rsidRDefault="00F06966" w:rsidP="00F06966">
      <w:pPr>
        <w:pStyle w:val="NormalWeb"/>
        <w:spacing w:beforeAutospacing="0" w:afterAutospacing="0"/>
        <w:jc w:val="both"/>
        <w:rPr>
          <w:rFonts w:cs="Times New Roman"/>
        </w:rPr>
      </w:pPr>
      <w:r>
        <w:rPr>
          <w:rStyle w:val="Strong"/>
          <w:rFonts w:cs="Times New Roman"/>
        </w:rPr>
        <w:t xml:space="preserve">Background: </w:t>
      </w:r>
      <w:r w:rsidR="001D386E" w:rsidRPr="00F06966">
        <w:rPr>
          <w:rFonts w:cs="Times New Roman"/>
        </w:rPr>
        <w:t>Duplication of the inferior vena cava (IVC) and renal angiomyolipoma (AML) are uncommon findings in living kidney donors and rarely coexist. Both anomalies may influence donor nephrectomy and graft implantation strategy.</w:t>
      </w:r>
    </w:p>
    <w:p w14:paraId="05927B7C" w14:textId="77777777" w:rsidR="006B7CF3" w:rsidRPr="00F06966" w:rsidRDefault="001D386E" w:rsidP="00F06966">
      <w:pPr>
        <w:pStyle w:val="NormalWeb"/>
        <w:spacing w:beforeAutospacing="0" w:afterAutospacing="0"/>
        <w:jc w:val="both"/>
        <w:rPr>
          <w:rFonts w:cs="Times New Roman"/>
        </w:rPr>
      </w:pPr>
      <w:r w:rsidRPr="00F06966">
        <w:rPr>
          <w:rStyle w:val="Strong"/>
          <w:rFonts w:cs="Times New Roman"/>
        </w:rPr>
        <w:t>Case Presentation:</w:t>
      </w:r>
      <w:r w:rsidR="00F06966">
        <w:rPr>
          <w:rStyle w:val="Strong"/>
          <w:rFonts w:cs="Times New Roman"/>
        </w:rPr>
        <w:t xml:space="preserve"> </w:t>
      </w:r>
      <w:r w:rsidRPr="00F06966">
        <w:rPr>
          <w:rFonts w:cs="Times New Roman"/>
        </w:rPr>
        <w:t>We report a 72-year-old female living kidney donor who underwent ABO-incompatible transplantation for her 32-year-old son with end-stage renal disease (donor: B positive; recipient: A negative). Preoperative contrast-enhanced CT angiography demonstrated a duplicated IVC with a left-sided cava crossing anterior to the aorta and joining the right IVC (pre-aortic confluence), along with an accessory left renal vein. A small lower pole AML measuring 8 × 7.5 × 12 mm was identified in the donor kidney. Bilateral single renal arteries were present. The anticipated technical challenge was reduced left renal vein length due to early drainage into the duplicated cava, potentially complicating venous anastomosis. Following multidisciplinary evaluation and immunological optimization, donor nephrectomy and transplantation were completed successfully without vascular compromise or graft-related complications.</w:t>
      </w:r>
      <w:r w:rsidR="00F06966">
        <w:rPr>
          <w:rFonts w:cs="Times New Roman"/>
        </w:rPr>
        <w:t xml:space="preserve"> </w:t>
      </w:r>
      <w:r w:rsidRPr="00F06966">
        <w:rPr>
          <w:rStyle w:val="Strong"/>
          <w:rFonts w:cs="Times New Roman"/>
        </w:rPr>
        <w:t>Conclusion:</w:t>
      </w:r>
      <w:r w:rsidR="00F06966">
        <w:rPr>
          <w:rStyle w:val="Strong"/>
          <w:rFonts w:cs="Times New Roman"/>
        </w:rPr>
        <w:t xml:space="preserve"> </w:t>
      </w:r>
      <w:r w:rsidRPr="00F06966">
        <w:rPr>
          <w:rFonts w:cs="Times New Roman"/>
        </w:rPr>
        <w:t>This case underscores the importance of meticulous preoperative vascular mapping and individualized operative planning in donors with complex venous anatomy. Small, asymptomatic AMLs should not represent an absolute contraindication to donation when appropriately assessed. Even in the presence of ABO incompatibility and dual anatomical anomalies, successful transplantation is achievable with structured multidisciplinary management.</w:t>
      </w:r>
    </w:p>
    <w:p w14:paraId="5F97E77D" w14:textId="77777777" w:rsidR="00F06966" w:rsidRDefault="00F06966" w:rsidP="00F06966">
      <w:pPr>
        <w:jc w:val="both"/>
        <w:rPr>
          <w:rStyle w:val="Strong"/>
          <w:rFonts w:ascii="Times New Roman" w:eastAsia="SimSun" w:hAnsi="Times New Roman" w:cs="Times New Roman"/>
          <w:color w:val="FF0000"/>
          <w:sz w:val="24"/>
          <w:szCs w:val="24"/>
          <w:highlight w:val="yellow"/>
          <w:lang w:bidi="mr-IN"/>
        </w:rPr>
      </w:pPr>
    </w:p>
    <w:p w14:paraId="61987D07" w14:textId="77777777" w:rsidR="006B7CF3" w:rsidRPr="00F06966" w:rsidRDefault="00F06966" w:rsidP="00F06966">
      <w:pPr>
        <w:jc w:val="both"/>
        <w:rPr>
          <w:rStyle w:val="Strong"/>
          <w:rFonts w:ascii="Times New Roman" w:eastAsia="SimSun" w:hAnsi="Times New Roman" w:cs="Times New Roman"/>
          <w:color w:val="000000" w:themeColor="text1"/>
          <w:sz w:val="24"/>
          <w:szCs w:val="24"/>
          <w:lang w:bidi="mr-IN"/>
        </w:rPr>
      </w:pPr>
      <w:r w:rsidRPr="00F06966">
        <w:rPr>
          <w:rStyle w:val="Strong"/>
          <w:rFonts w:ascii="Times New Roman" w:eastAsia="SimSun" w:hAnsi="Times New Roman" w:cs="Times New Roman"/>
          <w:color w:val="000000" w:themeColor="text1"/>
          <w:sz w:val="24"/>
          <w:szCs w:val="24"/>
          <w:lang w:bidi="mr-IN"/>
        </w:rPr>
        <w:t>Keywords:</w:t>
      </w:r>
      <w:r w:rsidR="009937FC" w:rsidRPr="009937FC">
        <w:rPr>
          <w:rFonts w:ascii="Times New Roman" w:hAnsi="Times New Roman" w:cs="Times New Roman"/>
          <w:sz w:val="24"/>
          <w:szCs w:val="24"/>
        </w:rPr>
        <w:t xml:space="preserve"> </w:t>
      </w:r>
      <w:r w:rsidR="009937FC">
        <w:rPr>
          <w:rFonts w:ascii="Times New Roman" w:hAnsi="Times New Roman" w:cs="Times New Roman"/>
          <w:sz w:val="24"/>
          <w:szCs w:val="24"/>
        </w:rPr>
        <w:t>A</w:t>
      </w:r>
      <w:r w:rsidR="009937FC" w:rsidRPr="00F06966">
        <w:rPr>
          <w:rFonts w:ascii="Times New Roman" w:hAnsi="Times New Roman" w:cs="Times New Roman"/>
          <w:sz w:val="24"/>
          <w:szCs w:val="24"/>
        </w:rPr>
        <w:t>ngiography</w:t>
      </w:r>
      <w:r w:rsidR="009937FC">
        <w:rPr>
          <w:rFonts w:ascii="Times New Roman" w:hAnsi="Times New Roman" w:cs="Times New Roman"/>
          <w:sz w:val="24"/>
          <w:szCs w:val="24"/>
        </w:rPr>
        <w:t>, I</w:t>
      </w:r>
      <w:r w:rsidR="009937FC" w:rsidRPr="00F06966">
        <w:rPr>
          <w:rFonts w:ascii="Times New Roman" w:hAnsi="Times New Roman" w:cs="Times New Roman"/>
          <w:sz w:val="24"/>
          <w:szCs w:val="24"/>
        </w:rPr>
        <w:t>nferior vena cava</w:t>
      </w:r>
      <w:r w:rsidR="009937FC">
        <w:rPr>
          <w:rFonts w:ascii="Times New Roman" w:hAnsi="Times New Roman" w:cs="Times New Roman"/>
          <w:sz w:val="24"/>
          <w:szCs w:val="24"/>
        </w:rPr>
        <w:t>, R</w:t>
      </w:r>
      <w:r w:rsidR="009937FC" w:rsidRPr="00F06966">
        <w:rPr>
          <w:rFonts w:ascii="Times New Roman" w:hAnsi="Times New Roman" w:cs="Times New Roman"/>
          <w:sz w:val="24"/>
          <w:szCs w:val="24"/>
        </w:rPr>
        <w:t>enal angiomyolipoma</w:t>
      </w:r>
      <w:r w:rsidR="009937FC">
        <w:rPr>
          <w:rFonts w:ascii="Times New Roman" w:hAnsi="Times New Roman" w:cs="Times New Roman"/>
          <w:sz w:val="24"/>
          <w:szCs w:val="24"/>
        </w:rPr>
        <w:t>, T</w:t>
      </w:r>
      <w:r w:rsidR="009937FC" w:rsidRPr="00F06966">
        <w:rPr>
          <w:rFonts w:ascii="Times New Roman" w:hAnsi="Times New Roman" w:cs="Times New Roman"/>
          <w:sz w:val="24"/>
          <w:szCs w:val="24"/>
        </w:rPr>
        <w:t>ransplantation</w:t>
      </w:r>
      <w:r w:rsidR="009937FC">
        <w:rPr>
          <w:rFonts w:ascii="Times New Roman" w:hAnsi="Times New Roman" w:cs="Times New Roman"/>
          <w:sz w:val="24"/>
          <w:szCs w:val="24"/>
        </w:rPr>
        <w:t>, V</w:t>
      </w:r>
      <w:r w:rsidR="009937FC" w:rsidRPr="00F06966">
        <w:rPr>
          <w:rFonts w:ascii="Times New Roman" w:hAnsi="Times New Roman" w:cs="Times New Roman"/>
          <w:sz w:val="24"/>
          <w:szCs w:val="24"/>
        </w:rPr>
        <w:t>enous anastomosis</w:t>
      </w:r>
    </w:p>
    <w:p w14:paraId="32014E7C" w14:textId="77777777" w:rsidR="00F06966" w:rsidRDefault="00F06966">
      <w:pPr>
        <w:rPr>
          <w:rStyle w:val="Strong"/>
          <w:rFonts w:ascii="Times New Roman" w:eastAsia="SimSun" w:hAnsi="Times New Roman" w:cs="Times New Roman"/>
          <w:color w:val="FF0000"/>
          <w:sz w:val="24"/>
          <w:szCs w:val="24"/>
          <w:lang w:bidi="mr-IN"/>
        </w:rPr>
      </w:pPr>
    </w:p>
    <w:p w14:paraId="772CB5D3" w14:textId="77777777" w:rsidR="00F06966" w:rsidRDefault="00F06966">
      <w:pPr>
        <w:rPr>
          <w:rStyle w:val="Strong"/>
          <w:rFonts w:ascii="Times New Roman" w:eastAsia="SimSun" w:hAnsi="Times New Roman" w:cs="Times New Roman"/>
          <w:color w:val="FF0000"/>
          <w:sz w:val="24"/>
          <w:szCs w:val="24"/>
          <w:lang w:bidi="mr-IN"/>
        </w:rPr>
      </w:pPr>
    </w:p>
    <w:p w14:paraId="09484423" w14:textId="77777777" w:rsidR="009937FC" w:rsidRDefault="009937FC">
      <w:pPr>
        <w:rPr>
          <w:rStyle w:val="Strong"/>
          <w:rFonts w:ascii="Times New Roman" w:eastAsia="SimSun" w:hAnsi="Times New Roman" w:cs="Times New Roman"/>
          <w:color w:val="FF0000"/>
          <w:sz w:val="24"/>
          <w:szCs w:val="24"/>
          <w:lang w:bidi="mr-IN"/>
        </w:rPr>
      </w:pPr>
    </w:p>
    <w:p w14:paraId="346A9628" w14:textId="77777777" w:rsidR="009937FC" w:rsidRDefault="009937FC">
      <w:pPr>
        <w:rPr>
          <w:rStyle w:val="Strong"/>
          <w:rFonts w:ascii="Times New Roman" w:eastAsia="SimSun" w:hAnsi="Times New Roman" w:cs="Times New Roman"/>
          <w:color w:val="FF0000"/>
          <w:sz w:val="24"/>
          <w:szCs w:val="24"/>
          <w:lang w:bidi="mr-IN"/>
        </w:rPr>
      </w:pPr>
    </w:p>
    <w:p w14:paraId="780F5325" w14:textId="77777777" w:rsidR="009937FC" w:rsidRDefault="009937FC">
      <w:pPr>
        <w:rPr>
          <w:rStyle w:val="Strong"/>
          <w:rFonts w:ascii="Times New Roman" w:eastAsia="SimSun" w:hAnsi="Times New Roman" w:cs="Times New Roman"/>
          <w:color w:val="FF0000"/>
          <w:sz w:val="24"/>
          <w:szCs w:val="24"/>
          <w:lang w:bidi="mr-IN"/>
        </w:rPr>
      </w:pPr>
    </w:p>
    <w:p w14:paraId="4A517E21" w14:textId="77777777" w:rsidR="006B7CF3" w:rsidRPr="000E4B54" w:rsidRDefault="001D386E" w:rsidP="000E4B54">
      <w:pPr>
        <w:spacing w:line="360" w:lineRule="auto"/>
        <w:jc w:val="both"/>
        <w:rPr>
          <w:rFonts w:ascii="Times New Roman" w:hAnsi="Times New Roman" w:cs="Times New Roman"/>
          <w:color w:val="FF0000"/>
          <w:sz w:val="24"/>
          <w:szCs w:val="24"/>
        </w:rPr>
      </w:pPr>
      <w:r w:rsidRPr="000E4B54">
        <w:rPr>
          <w:rFonts w:ascii="Times New Roman" w:eastAsia="SimSun" w:hAnsi="Times New Roman" w:cs="Times New Roman"/>
          <w:b/>
          <w:bCs/>
          <w:sz w:val="24"/>
          <w:szCs w:val="24"/>
        </w:rPr>
        <w:t xml:space="preserve">INTRODUCTION </w:t>
      </w:r>
    </w:p>
    <w:p w14:paraId="3360A263" w14:textId="77777777" w:rsidR="006B7CF3" w:rsidRPr="000E4B54" w:rsidRDefault="001D386E" w:rsidP="000E4B54">
      <w:pPr>
        <w:pStyle w:val="NormalWeb"/>
        <w:spacing w:beforeAutospacing="0" w:afterAutospacing="0" w:line="360" w:lineRule="auto"/>
        <w:jc w:val="both"/>
        <w:rPr>
          <w:rFonts w:cs="Times New Roman"/>
        </w:rPr>
      </w:pPr>
      <w:r w:rsidRPr="000E4B54">
        <w:rPr>
          <w:rFonts w:cs="Times New Roman"/>
        </w:rPr>
        <w:t xml:space="preserve">Congenital venous anomalies and incidental renal masses are increasingly detected during living donor evaluation due to widespread use of high-resolution cross-sectional imaging. Duplication of the inferior vena cava (IVC), reported in 0.2–3% of the population, results from persistence of the left supracardinal vein during embryogenesis and represents a recognized developmental variant of systemic venous </w:t>
      </w:r>
      <w:r w:rsidR="00D4493C" w:rsidRPr="00D4493C">
        <w:rPr>
          <w:rFonts w:cs="Times New Roman"/>
          <w:color w:val="000000" w:themeColor="text1"/>
        </w:rPr>
        <w:t>return [1,</w:t>
      </w:r>
      <w:r w:rsidR="00D4493C">
        <w:rPr>
          <w:rFonts w:cs="Times New Roman"/>
          <w:color w:val="000000" w:themeColor="text1"/>
        </w:rPr>
        <w:t xml:space="preserve"> </w:t>
      </w:r>
      <w:r w:rsidR="00D4493C" w:rsidRPr="00D4493C">
        <w:rPr>
          <w:rFonts w:cs="Times New Roman"/>
          <w:color w:val="000000" w:themeColor="text1"/>
        </w:rPr>
        <w:t>2]</w:t>
      </w:r>
      <w:r w:rsidR="00D4493C">
        <w:rPr>
          <w:rFonts w:cs="Times New Roman"/>
          <w:color w:val="000000" w:themeColor="text1"/>
        </w:rPr>
        <w:t>.</w:t>
      </w:r>
      <w:r w:rsidRPr="00D4493C">
        <w:rPr>
          <w:rFonts w:cs="Times New Roman"/>
          <w:color w:val="000000" w:themeColor="text1"/>
        </w:rPr>
        <w:t xml:space="preserve"> </w:t>
      </w:r>
      <w:r w:rsidRPr="000E4B54">
        <w:rPr>
          <w:rFonts w:cs="Times New Roman"/>
        </w:rPr>
        <w:t xml:space="preserve">Although typically asymptomatic, it carries important surgical implications in retroperitoneal surgery and transplantation, where unrecognized </w:t>
      </w:r>
      <w:r w:rsidRPr="000E4B54">
        <w:rPr>
          <w:rFonts w:cs="Times New Roman"/>
        </w:rPr>
        <w:lastRenderedPageBreak/>
        <w:t>variants may increase the risk of vascular injury, hemorrhage, or technical difficulty during hilar di</w:t>
      </w:r>
      <w:r w:rsidR="00D4493C">
        <w:rPr>
          <w:rFonts w:cs="Times New Roman"/>
        </w:rPr>
        <w:t>ssection and graft retrieval [2-5].</w:t>
      </w:r>
    </w:p>
    <w:p w14:paraId="1D42871C" w14:textId="77777777" w:rsidR="006B7CF3" w:rsidRPr="000E4B54" w:rsidRDefault="001D386E" w:rsidP="000E4B54">
      <w:pPr>
        <w:pStyle w:val="NormalWeb"/>
        <w:spacing w:beforeAutospacing="0" w:afterAutospacing="0" w:line="360" w:lineRule="auto"/>
        <w:jc w:val="both"/>
        <w:rPr>
          <w:rFonts w:cs="Times New Roman"/>
        </w:rPr>
      </w:pPr>
      <w:r w:rsidRPr="000E4B54">
        <w:rPr>
          <w:rFonts w:cs="Times New Roman"/>
        </w:rPr>
        <w:t>Renal angiomyolipoma (AML) is a benign mesenchymal tumor often identified incidentally during donor assessment. Previously considered a relative contraindication to donation, accumulating evidence suggests that carefully selected donors with small, asymptomatic AMLs can safely undergo nephrectomy, with or without ex vivo excision, without compromisi</w:t>
      </w:r>
      <w:r w:rsidR="00D4493C">
        <w:rPr>
          <w:rFonts w:cs="Times New Roman"/>
        </w:rPr>
        <w:t>ng graft or recipient outcomes [7, 8].</w:t>
      </w:r>
    </w:p>
    <w:p w14:paraId="1C45FA2A" w14:textId="77777777" w:rsidR="006B7CF3" w:rsidRPr="000E4B54" w:rsidRDefault="001D386E" w:rsidP="000E4B54">
      <w:pPr>
        <w:pStyle w:val="NormalWeb"/>
        <w:spacing w:beforeAutospacing="0" w:afterAutospacing="0" w:line="360" w:lineRule="auto"/>
        <w:jc w:val="both"/>
        <w:rPr>
          <w:rFonts w:cs="Times New Roman"/>
        </w:rPr>
      </w:pPr>
      <w:r w:rsidRPr="000E4B54">
        <w:rPr>
          <w:rFonts w:cs="Times New Roman"/>
        </w:rPr>
        <w:t>The coexistence of duplicated IVC and renal AML in a living donor is exceptionally rare and necessitates meticulous imaging, multidisciplinary evaluation, and individualized operative plan</w:t>
      </w:r>
      <w:r w:rsidR="00D4493C">
        <w:rPr>
          <w:rFonts w:cs="Times New Roman"/>
        </w:rPr>
        <w:t>ning [2-7].</w:t>
      </w:r>
    </w:p>
    <w:p w14:paraId="439AF18D" w14:textId="77777777" w:rsidR="005A0D9A" w:rsidRDefault="005A0D9A" w:rsidP="005A0D9A">
      <w:pPr>
        <w:pStyle w:val="Heading3"/>
        <w:spacing w:beforeAutospacing="0" w:afterAutospacing="0" w:line="360" w:lineRule="auto"/>
        <w:jc w:val="both"/>
        <w:rPr>
          <w:rFonts w:ascii="Times New Roman" w:hAnsi="Times New Roman" w:cs="Times New Roman" w:hint="default"/>
          <w:sz w:val="24"/>
          <w:szCs w:val="24"/>
        </w:rPr>
      </w:pPr>
    </w:p>
    <w:p w14:paraId="2A319553" w14:textId="77777777" w:rsidR="006B7CF3" w:rsidRPr="00F06966" w:rsidRDefault="001D386E" w:rsidP="005A0D9A">
      <w:pPr>
        <w:pStyle w:val="Heading3"/>
        <w:spacing w:beforeAutospacing="0" w:afterAutospacing="0" w:line="360" w:lineRule="auto"/>
        <w:jc w:val="both"/>
        <w:rPr>
          <w:rFonts w:ascii="Times New Roman" w:hAnsi="Times New Roman" w:cs="Times New Roman" w:hint="default"/>
          <w:sz w:val="24"/>
          <w:szCs w:val="24"/>
        </w:rPr>
      </w:pPr>
      <w:r w:rsidRPr="00F06966">
        <w:rPr>
          <w:rFonts w:ascii="Times New Roman" w:hAnsi="Times New Roman" w:cs="Times New Roman" w:hint="default"/>
          <w:sz w:val="24"/>
          <w:szCs w:val="24"/>
        </w:rPr>
        <w:t>Case Presentation</w:t>
      </w:r>
    </w:p>
    <w:p w14:paraId="4B3A6898" w14:textId="77777777" w:rsidR="006B7CF3" w:rsidRPr="00F06966" w:rsidRDefault="001D386E" w:rsidP="005A0D9A">
      <w:pPr>
        <w:pStyle w:val="NormalWeb"/>
        <w:spacing w:beforeAutospacing="0" w:afterAutospacing="0" w:line="360" w:lineRule="auto"/>
        <w:jc w:val="both"/>
        <w:rPr>
          <w:rFonts w:cs="Times New Roman"/>
        </w:rPr>
      </w:pPr>
      <w:r w:rsidRPr="00F06966">
        <w:rPr>
          <w:rFonts w:cs="Times New Roman"/>
        </w:rPr>
        <w:t>A 72-year-old female was evaluated as a prospective living kidney donor for her 32-year-old son with end-stage renal disease. The donor was blood group B positive and the recipient A negative, constituting an ABO-incompatible mother-to-son transplantation. Following comprehensive immunological assessment and institutional desensitization protocol—including pre-transplant plasmapheresis with serial isoagglutinin titer monitoring and induction immunosuppression—adequate antibody reduction was achieved, and both donor and recipient were cleared for surgery. Baseline hematological, biochemical, renal functional, and cardiopulmonary evaluations were within acceptable limits for living donation.</w:t>
      </w:r>
    </w:p>
    <w:p w14:paraId="1ACB6816" w14:textId="77777777" w:rsidR="006B7CF3" w:rsidRPr="00F06966" w:rsidRDefault="001D386E" w:rsidP="005A0D9A">
      <w:pPr>
        <w:pStyle w:val="NormalWeb"/>
        <w:spacing w:beforeAutospacing="0" w:afterAutospacing="0" w:line="360" w:lineRule="auto"/>
        <w:jc w:val="both"/>
        <w:rPr>
          <w:rFonts w:cs="Times New Roman"/>
        </w:rPr>
      </w:pPr>
      <w:r w:rsidRPr="00F06966">
        <w:rPr>
          <w:rFonts w:cs="Times New Roman"/>
        </w:rPr>
        <w:t>Contrast-enhanced CT renal angiography (15 December 2025) demonstrated a right kidney measuring 101 × 40 mm and a left kidney measuring 100 × 47 mm, both with preserved corticomedullary differentiation and homogeneous enhancement. No calculi or hydronephrosis were identified. A well-defined lower pole hypodense lesion measuring 8 × 7.5 × 12 mm was detected in the left kidney without significant post-contrast enhancement, radiologically consistent with a small angiomyolipoma (AML).</w:t>
      </w:r>
    </w:p>
    <w:p w14:paraId="0864D7CE" w14:textId="77777777" w:rsidR="006B7CF3" w:rsidRPr="00F06966" w:rsidRDefault="001D386E" w:rsidP="005A0D9A">
      <w:pPr>
        <w:pStyle w:val="NormalWeb"/>
        <w:spacing w:beforeAutospacing="0" w:afterAutospacing="0" w:line="360" w:lineRule="auto"/>
        <w:jc w:val="both"/>
        <w:rPr>
          <w:rFonts w:cs="Times New Roman"/>
        </w:rPr>
      </w:pPr>
      <w:r w:rsidRPr="00F06966">
        <w:rPr>
          <w:rFonts w:cs="Times New Roman"/>
        </w:rPr>
        <w:t>Arterial anatomy was favorable, with single renal arteries bilaterally. The right renal artery measured 5 mm at origin with first segmental branching at approximately 40 mm, while the left measured 5.2 mm with first branching at 29 mm, providing adequate arterial length for procurement and implantation.</w:t>
      </w:r>
    </w:p>
    <w:p w14:paraId="1FB7BC13" w14:textId="77777777" w:rsidR="006B7CF3" w:rsidRPr="00F06966" w:rsidRDefault="001D386E" w:rsidP="005A0D9A">
      <w:pPr>
        <w:pStyle w:val="NormalWeb"/>
        <w:spacing w:beforeAutospacing="0" w:afterAutospacing="0" w:line="360" w:lineRule="auto"/>
        <w:jc w:val="both"/>
        <w:rPr>
          <w:rFonts w:cs="Times New Roman"/>
        </w:rPr>
      </w:pPr>
      <w:r w:rsidRPr="00F06966">
        <w:rPr>
          <w:rFonts w:cs="Times New Roman"/>
        </w:rPr>
        <w:t xml:space="preserve">Venous mapping revealed duplication of the inferior vena cava (IVC). A left-sided IVC in the left paravertebral region received the left renal vein and crossed anterior to the aorta to join the right-sided IVC (pre-aortic confluence). The right infra-renal IVC </w:t>
      </w:r>
      <w:r w:rsidRPr="00F06966">
        <w:rPr>
          <w:rFonts w:cs="Times New Roman"/>
        </w:rPr>
        <w:lastRenderedPageBreak/>
        <w:t>continued along its usual course, receiving the right external iliac vein. A small accessory left renal vein arose near the confluence of the main left renal vein and drained into the left-sided IVC approximately 15 mm inferior to the primary junction. The right renal vein measured 10 mm in caliber and the left 9 mm prior to IVC entry. No arterial stenosis, venous thrombosis, or additional vas</w:t>
      </w:r>
      <w:r w:rsidR="00F62F9E">
        <w:rPr>
          <w:rFonts w:cs="Times New Roman"/>
        </w:rPr>
        <w:t xml:space="preserve">cular anomalies were identified </w:t>
      </w:r>
      <w:r w:rsidR="00F62F9E" w:rsidRPr="00F62F9E">
        <w:rPr>
          <w:rFonts w:cs="Times New Roman"/>
          <w:b/>
          <w:bCs/>
        </w:rPr>
        <w:t>(Figure 1).</w:t>
      </w:r>
    </w:p>
    <w:p w14:paraId="66B6EE41" w14:textId="77777777" w:rsidR="006B7CF3" w:rsidRPr="00F06966" w:rsidRDefault="001D386E" w:rsidP="005A0D9A">
      <w:pPr>
        <w:pStyle w:val="NormalWeb"/>
        <w:jc w:val="center"/>
        <w:rPr>
          <w:rFonts w:cs="Times New Roman"/>
        </w:rPr>
      </w:pPr>
      <w:r w:rsidRPr="00F06966">
        <w:rPr>
          <w:rFonts w:cs="Times New Roman"/>
          <w:noProof/>
          <w:lang w:eastAsia="en-US"/>
        </w:rPr>
        <w:drawing>
          <wp:inline distT="0" distB="0" distL="114300" distR="114300" wp14:anchorId="2D9C3659" wp14:editId="5CDDACC0">
            <wp:extent cx="3561029" cy="2351314"/>
            <wp:effectExtent l="0" t="0" r="190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pic:cNvPicPr>
                  </pic:nvPicPr>
                  <pic:blipFill>
                    <a:blip r:embed="rId7"/>
                    <a:stretch>
                      <a:fillRect/>
                    </a:stretch>
                  </pic:blipFill>
                  <pic:spPr>
                    <a:xfrm>
                      <a:off x="0" y="0"/>
                      <a:ext cx="3561029" cy="2351314"/>
                    </a:xfrm>
                    <a:prstGeom prst="rect">
                      <a:avLst/>
                    </a:prstGeom>
                    <a:noFill/>
                    <a:ln>
                      <a:noFill/>
                    </a:ln>
                  </pic:spPr>
                </pic:pic>
              </a:graphicData>
            </a:graphic>
          </wp:inline>
        </w:drawing>
      </w:r>
    </w:p>
    <w:p w14:paraId="12DF2D26" w14:textId="77777777" w:rsidR="006B7CF3" w:rsidRPr="005A0D9A" w:rsidRDefault="001D386E" w:rsidP="005A0D9A">
      <w:pPr>
        <w:pStyle w:val="NormalWeb"/>
        <w:jc w:val="center"/>
        <w:rPr>
          <w:rStyle w:val="Strong"/>
          <w:rFonts w:cs="Times New Roman"/>
          <w:color w:val="000000" w:themeColor="text1"/>
        </w:rPr>
      </w:pPr>
      <w:r w:rsidRPr="005A0D9A">
        <w:rPr>
          <w:rStyle w:val="Strong"/>
          <w:rFonts w:cs="Times New Roman"/>
          <w:color w:val="000000" w:themeColor="text1"/>
        </w:rPr>
        <w:t>Figure 1: 3D CT angiographic reconstruction demonstrating duplicated inferior vena cava with pre-aortic confluence.</w:t>
      </w:r>
    </w:p>
    <w:p w14:paraId="16D3D61C" w14:textId="77777777" w:rsidR="005A0D9A" w:rsidRDefault="005A0D9A" w:rsidP="00F62F9E">
      <w:pPr>
        <w:pStyle w:val="NormalWeb"/>
        <w:spacing w:beforeAutospacing="0" w:afterAutospacing="0" w:line="360" w:lineRule="auto"/>
        <w:jc w:val="both"/>
        <w:rPr>
          <w:rStyle w:val="Strong"/>
          <w:rFonts w:cs="Times New Roman"/>
          <w:color w:val="FF0000"/>
        </w:rPr>
      </w:pPr>
    </w:p>
    <w:p w14:paraId="57C9B8B4" w14:textId="77777777" w:rsidR="006B7CF3" w:rsidRPr="00F06966" w:rsidRDefault="001D386E" w:rsidP="00F62F9E">
      <w:pPr>
        <w:pStyle w:val="NormalWeb"/>
        <w:spacing w:beforeAutospacing="0" w:afterAutospacing="0" w:line="360" w:lineRule="auto"/>
        <w:jc w:val="both"/>
        <w:rPr>
          <w:rFonts w:cs="Times New Roman"/>
        </w:rPr>
      </w:pPr>
      <w:r w:rsidRPr="00F06966">
        <w:rPr>
          <w:rFonts w:cs="Times New Roman"/>
        </w:rPr>
        <w:t>The coexistence of duplicated IVC and lower pole AML introduced combined vascular and parenchymal considerations. Of particular relevance was the potential reduction in effective left renal vein length due to early drainage into the duplicated cava and the accessory venous channel. In living donor transplantation, shortened venous length may complicate end-to-side anastomosis to the recipient’s external iliac vein, risking tension or kinking and occasionally necessitating venous extension.</w:t>
      </w:r>
    </w:p>
    <w:p w14:paraId="70BFA4A2" w14:textId="77777777" w:rsidR="006B7CF3" w:rsidRPr="00F06966" w:rsidRDefault="001D386E" w:rsidP="00F62F9E">
      <w:pPr>
        <w:pStyle w:val="NormalWeb"/>
        <w:spacing w:beforeAutospacing="0" w:afterAutospacing="0" w:line="360" w:lineRule="auto"/>
        <w:jc w:val="both"/>
        <w:rPr>
          <w:rStyle w:val="Strong"/>
          <w:rFonts w:cs="Times New Roman"/>
        </w:rPr>
      </w:pPr>
      <w:r w:rsidRPr="00F06966">
        <w:rPr>
          <w:rFonts w:cs="Times New Roman"/>
        </w:rPr>
        <w:t xml:space="preserve">After multidisciplinary evaluation involving transplant surgery, urology, nephrology, and radiology teams, the AML’s small size and benign radiologic features were considered acceptable under contemporary donor criteria. The duplicated IVC was deemed surgically manageable with meticulous hilar dissection and planned control of accessory veins. Donor nephrectomy and implantation were successfully completed without vascular compromise or graft-related complications, highlighting the importance of comprehensive vascular mapping, immunological optimization, and </w:t>
      </w:r>
      <w:r w:rsidRPr="00F06966">
        <w:rPr>
          <w:rFonts w:cs="Times New Roman"/>
        </w:rPr>
        <w:lastRenderedPageBreak/>
        <w:t>individualized operative planning in high-complexity living donor transplantation.</w:t>
      </w:r>
      <w:r w:rsidR="00F62F9E" w:rsidRPr="00F62F9E">
        <w:rPr>
          <w:rFonts w:cs="Times New Roman"/>
          <w:b/>
          <w:bCs/>
        </w:rPr>
        <w:t xml:space="preserve"> (Fi</w:t>
      </w:r>
      <w:r w:rsidR="00F62F9E">
        <w:rPr>
          <w:rFonts w:cs="Times New Roman"/>
          <w:b/>
          <w:bCs/>
        </w:rPr>
        <w:t>gure 2</w:t>
      </w:r>
      <w:r w:rsidR="00F62F9E" w:rsidRPr="00F62F9E">
        <w:rPr>
          <w:rFonts w:cs="Times New Roman"/>
          <w:b/>
          <w:bCs/>
        </w:rPr>
        <w:t>).</w:t>
      </w:r>
    </w:p>
    <w:p w14:paraId="031BD37D" w14:textId="77777777" w:rsidR="006B7CF3" w:rsidRPr="00F06966" w:rsidRDefault="001D386E" w:rsidP="00F62F9E">
      <w:pPr>
        <w:jc w:val="center"/>
        <w:rPr>
          <w:rFonts w:ascii="Times New Roman" w:hAnsi="Times New Roman" w:cs="Times New Roman"/>
          <w:sz w:val="24"/>
          <w:szCs w:val="24"/>
        </w:rPr>
      </w:pPr>
      <w:r w:rsidRPr="00F06966">
        <w:rPr>
          <w:rFonts w:ascii="Times New Roman" w:hAnsi="Times New Roman" w:cs="Times New Roman"/>
          <w:noProof/>
          <w:sz w:val="24"/>
          <w:szCs w:val="24"/>
          <w:lang w:eastAsia="en-US" w:bidi="mr-IN"/>
        </w:rPr>
        <w:drawing>
          <wp:inline distT="0" distB="0" distL="114300" distR="114300" wp14:anchorId="3F393956" wp14:editId="11596E30">
            <wp:extent cx="3962400" cy="2507615"/>
            <wp:effectExtent l="0" t="0" r="0" b="698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pic:cNvPicPr>
                  </pic:nvPicPr>
                  <pic:blipFill>
                    <a:blip r:embed="rId8"/>
                    <a:stretch>
                      <a:fillRect/>
                    </a:stretch>
                  </pic:blipFill>
                  <pic:spPr>
                    <a:xfrm>
                      <a:off x="0" y="0"/>
                      <a:ext cx="3962400" cy="2507615"/>
                    </a:xfrm>
                    <a:prstGeom prst="rect">
                      <a:avLst/>
                    </a:prstGeom>
                    <a:noFill/>
                    <a:ln>
                      <a:noFill/>
                    </a:ln>
                  </pic:spPr>
                </pic:pic>
              </a:graphicData>
            </a:graphic>
          </wp:inline>
        </w:drawing>
      </w:r>
    </w:p>
    <w:p w14:paraId="5D8D26F8" w14:textId="77777777" w:rsidR="006B7CF3" w:rsidRPr="00F06966" w:rsidRDefault="00F62F9E" w:rsidP="00F62F9E">
      <w:pPr>
        <w:pStyle w:val="Heading2"/>
        <w:spacing w:beforeAutospacing="0" w:afterAutospacing="0"/>
        <w:jc w:val="center"/>
        <w:rPr>
          <w:rFonts w:ascii="Times New Roman" w:hAnsi="Times New Roman" w:cs="Times New Roman" w:hint="default"/>
          <w:sz w:val="24"/>
          <w:szCs w:val="24"/>
        </w:rPr>
      </w:pPr>
      <w:r>
        <w:rPr>
          <w:rStyle w:val="Strong"/>
          <w:rFonts w:ascii="Times New Roman" w:hAnsi="Times New Roman" w:cs="Times New Roman" w:hint="default"/>
          <w:b/>
          <w:bCs/>
          <w:sz w:val="24"/>
          <w:szCs w:val="24"/>
        </w:rPr>
        <w:t>Figure 2:</w:t>
      </w:r>
      <w:r w:rsidR="001D386E" w:rsidRPr="00F06966">
        <w:rPr>
          <w:rFonts w:ascii="Times New Roman" w:hAnsi="Times New Roman" w:cs="Times New Roman" w:hint="default"/>
          <w:sz w:val="24"/>
          <w:szCs w:val="24"/>
        </w:rPr>
        <w:t xml:space="preserve"> Intraoperative view of the left renal hilum demonstrating venous anatomy in the setting of duplicated IVC, highlighting the main renal vein and accessory venous channel.</w:t>
      </w:r>
    </w:p>
    <w:p w14:paraId="0B1CD9A8" w14:textId="77777777" w:rsidR="00786B49" w:rsidRDefault="00786B49" w:rsidP="00786B49">
      <w:pPr>
        <w:pStyle w:val="Heading3"/>
        <w:spacing w:beforeAutospacing="0" w:afterAutospacing="0" w:line="360" w:lineRule="auto"/>
        <w:jc w:val="both"/>
        <w:rPr>
          <w:rFonts w:ascii="Times New Roman" w:hAnsi="Times New Roman" w:cs="Times New Roman" w:hint="default"/>
          <w:sz w:val="24"/>
          <w:szCs w:val="24"/>
        </w:rPr>
      </w:pPr>
    </w:p>
    <w:p w14:paraId="6CD6B92D" w14:textId="77777777" w:rsidR="006B7CF3" w:rsidRPr="00F06966" w:rsidRDefault="001D386E" w:rsidP="00786B49">
      <w:pPr>
        <w:pStyle w:val="Heading3"/>
        <w:spacing w:beforeAutospacing="0" w:afterAutospacing="0" w:line="360" w:lineRule="auto"/>
        <w:jc w:val="both"/>
        <w:rPr>
          <w:rFonts w:ascii="Times New Roman" w:hAnsi="Times New Roman" w:cs="Times New Roman" w:hint="default"/>
          <w:sz w:val="24"/>
          <w:szCs w:val="24"/>
        </w:rPr>
      </w:pPr>
      <w:r w:rsidRPr="00F06966">
        <w:rPr>
          <w:rFonts w:ascii="Times New Roman" w:hAnsi="Times New Roman" w:cs="Times New Roman" w:hint="default"/>
          <w:sz w:val="24"/>
          <w:szCs w:val="24"/>
        </w:rPr>
        <w:t>Postoperative Course and Follow-up</w:t>
      </w:r>
    </w:p>
    <w:p w14:paraId="048AE791" w14:textId="77777777" w:rsidR="006B7CF3" w:rsidRPr="00F06966" w:rsidRDefault="001D386E" w:rsidP="00786B49">
      <w:pPr>
        <w:pStyle w:val="NormalWeb"/>
        <w:spacing w:beforeAutospacing="0" w:afterAutospacing="0" w:line="360" w:lineRule="auto"/>
        <w:jc w:val="both"/>
        <w:rPr>
          <w:rFonts w:cs="Times New Roman"/>
        </w:rPr>
      </w:pPr>
      <w:r w:rsidRPr="00F06966">
        <w:rPr>
          <w:rFonts w:cs="Times New Roman"/>
        </w:rPr>
        <w:t xml:space="preserve">Donor nephrectomy was completed in 40 minutes with blood loss of 30 mL and a warm ischemia time of 27 minutes. The intraoperative course was uneventful. The donor had an uncomplicated recovery without </w:t>
      </w:r>
      <w:proofErr w:type="spellStart"/>
      <w:r w:rsidRPr="00F06966">
        <w:rPr>
          <w:rFonts w:cs="Times New Roman"/>
        </w:rPr>
        <w:t>Clavien</w:t>
      </w:r>
      <w:proofErr w:type="spellEnd"/>
      <w:r w:rsidRPr="00F06966">
        <w:rPr>
          <w:rFonts w:cs="Times New Roman"/>
        </w:rPr>
        <w:t>–</w:t>
      </w:r>
      <w:proofErr w:type="spellStart"/>
      <w:r w:rsidRPr="00F06966">
        <w:rPr>
          <w:rFonts w:cs="Times New Roman"/>
        </w:rPr>
        <w:t>Dindo</w:t>
      </w:r>
      <w:proofErr w:type="spellEnd"/>
      <w:r w:rsidRPr="00F06966">
        <w:rPr>
          <w:rFonts w:cs="Times New Roman"/>
        </w:rPr>
        <w:t xml:space="preserve"> complications and was discharged on postoperative day 3. Serum creatinine at discharge was 0.8 mg/dL and remained stable at 7 days and 3 months.</w:t>
      </w:r>
    </w:p>
    <w:p w14:paraId="5FE24EA9" w14:textId="77777777" w:rsidR="006B7CF3" w:rsidRPr="00F06966" w:rsidRDefault="001D386E" w:rsidP="00786B49">
      <w:pPr>
        <w:pStyle w:val="NormalWeb"/>
        <w:spacing w:beforeAutospacing="0" w:afterAutospacing="0" w:line="360" w:lineRule="auto"/>
        <w:jc w:val="both"/>
        <w:rPr>
          <w:rFonts w:cs="Times New Roman"/>
        </w:rPr>
      </w:pPr>
      <w:r w:rsidRPr="00F06966">
        <w:rPr>
          <w:rFonts w:cs="Times New Roman"/>
        </w:rPr>
        <w:t>The recipient demonstrated immediate graft function with satisfactory intraoperative urine output and no delayed graft function. Serum creatinine was 1.1 mg/dL at discharge, 1.1 mg/dL at 3 months, and 1.12 mg/dL at 6 months. No vascular thrombosis, anastomotic complications, or rejection episodes occurred during follow-up.</w:t>
      </w:r>
    </w:p>
    <w:p w14:paraId="07F090F3" w14:textId="77777777" w:rsidR="00E535FD" w:rsidRDefault="00E535FD" w:rsidP="00E535FD">
      <w:pPr>
        <w:pStyle w:val="Heading2"/>
        <w:spacing w:beforeAutospacing="0" w:afterAutospacing="0" w:line="360" w:lineRule="auto"/>
        <w:jc w:val="both"/>
        <w:rPr>
          <w:rFonts w:ascii="Times New Roman" w:hAnsi="Times New Roman" w:cs="Times New Roman" w:hint="default"/>
          <w:sz w:val="24"/>
          <w:szCs w:val="24"/>
        </w:rPr>
      </w:pPr>
    </w:p>
    <w:p w14:paraId="32F56ECE" w14:textId="77777777" w:rsidR="006B7CF3" w:rsidRPr="00E535FD" w:rsidRDefault="001D386E" w:rsidP="00E535FD">
      <w:pPr>
        <w:pStyle w:val="Heading2"/>
        <w:spacing w:beforeAutospacing="0" w:afterAutospacing="0" w:line="360" w:lineRule="auto"/>
        <w:jc w:val="both"/>
        <w:rPr>
          <w:rFonts w:ascii="Times New Roman" w:hAnsi="Times New Roman" w:cs="Times New Roman" w:hint="default"/>
          <w:sz w:val="24"/>
          <w:szCs w:val="24"/>
        </w:rPr>
      </w:pPr>
      <w:r w:rsidRPr="00E535FD">
        <w:rPr>
          <w:rFonts w:ascii="Times New Roman" w:hAnsi="Times New Roman" w:cs="Times New Roman" w:hint="default"/>
          <w:sz w:val="24"/>
          <w:szCs w:val="24"/>
        </w:rPr>
        <w:t>Discussion</w:t>
      </w:r>
    </w:p>
    <w:p w14:paraId="0CA894FA" w14:textId="77777777" w:rsidR="006B7CF3" w:rsidRPr="00E535FD" w:rsidRDefault="001D386E" w:rsidP="00E535FD">
      <w:pPr>
        <w:pStyle w:val="NormalWeb"/>
        <w:spacing w:beforeAutospacing="0" w:afterAutospacing="0" w:line="360" w:lineRule="auto"/>
        <w:jc w:val="both"/>
        <w:rPr>
          <w:rFonts w:cs="Times New Roman"/>
        </w:rPr>
      </w:pPr>
      <w:r w:rsidRPr="00E535FD">
        <w:rPr>
          <w:rFonts w:cs="Times New Roman"/>
        </w:rPr>
        <w:t xml:space="preserve">Duplication of the inferior vena cava (IVC) is an uncommon congenital anomaly, reported in approximately 0.2–3% of the population, resulting from persistence of the left supracardinal vein during </w:t>
      </w:r>
      <w:r w:rsidRPr="00CC5078">
        <w:rPr>
          <w:rFonts w:cs="Times New Roman"/>
          <w:color w:val="000000" w:themeColor="text1"/>
        </w:rPr>
        <w:t>embryogenesi</w:t>
      </w:r>
      <w:r w:rsidR="00CC5078" w:rsidRPr="00CC5078">
        <w:rPr>
          <w:rFonts w:cs="Times New Roman"/>
          <w:color w:val="000000" w:themeColor="text1"/>
        </w:rPr>
        <w:t>s [2-7]</w:t>
      </w:r>
      <w:r w:rsidRPr="00CC5078">
        <w:rPr>
          <w:rFonts w:cs="Times New Roman"/>
          <w:color w:val="000000" w:themeColor="text1"/>
        </w:rPr>
        <w:t xml:space="preserve">. </w:t>
      </w:r>
      <w:r w:rsidRPr="00E535FD">
        <w:rPr>
          <w:rFonts w:cs="Times New Roman"/>
        </w:rPr>
        <w:t xml:space="preserve">Although usually asymptomatic, its surgical relevance becomes significant during living donor nephrectomy, where precise hilar dissection and preservation of adequate venous length are essential. Failure to recognize venous duplication preoperatively may result in unexpected </w:t>
      </w:r>
      <w:r w:rsidRPr="00E535FD">
        <w:rPr>
          <w:rFonts w:cs="Times New Roman"/>
        </w:rPr>
        <w:lastRenderedPageBreak/>
        <w:t>bleeding, misidentification of vascular structures, or technical dif</w:t>
      </w:r>
      <w:r w:rsidR="00894CA3">
        <w:rPr>
          <w:rFonts w:cs="Times New Roman"/>
        </w:rPr>
        <w:t>ficulty during graft retrieval [5]</w:t>
      </w:r>
      <w:r w:rsidRPr="00E535FD">
        <w:rPr>
          <w:rFonts w:cs="Times New Roman"/>
        </w:rPr>
        <w:t>. In the present case, CT angiography clearly demonstrated a left-sided IVC crossing anterior to the aorta and joining the right-sided IVC (pre-aortic confluence), allowing meticulous operative planning.</w:t>
      </w:r>
    </w:p>
    <w:p w14:paraId="3A6800E1" w14:textId="77777777" w:rsidR="006B7CF3" w:rsidRPr="00E535FD" w:rsidRDefault="001D386E" w:rsidP="00E535FD">
      <w:pPr>
        <w:pStyle w:val="NormalWeb"/>
        <w:spacing w:beforeAutospacing="0" w:afterAutospacing="0" w:line="360" w:lineRule="auto"/>
        <w:jc w:val="both"/>
        <w:rPr>
          <w:rFonts w:cs="Times New Roman"/>
        </w:rPr>
      </w:pPr>
      <w:r w:rsidRPr="00E535FD">
        <w:rPr>
          <w:rFonts w:cs="Times New Roman"/>
        </w:rPr>
        <w:t>The principal concern in duplicated IVC is potential shortening of the left renal vein. Early venous convergence and accessory renal veins may limit mobilization and reduce effective venous length for implantation, increasing the risk of tension or kinking during end-to-side anastomosis to the recipient’s external il</w:t>
      </w:r>
      <w:r w:rsidR="00894CA3">
        <w:rPr>
          <w:rFonts w:cs="Times New Roman"/>
        </w:rPr>
        <w:t>iac vein</w:t>
      </w:r>
      <w:r w:rsidRPr="00E535FD">
        <w:rPr>
          <w:rFonts w:cs="Times New Roman"/>
        </w:rPr>
        <w:t>. However, when identified preoperatively, these variations are predictable and manageable. In this case, careful hilar dissection enabled safe procurement without need for venous extension, reinforcing that duplicated IVC is not a contraindication to donation when adequately characterized.</w:t>
      </w:r>
    </w:p>
    <w:p w14:paraId="42F68B35" w14:textId="77777777" w:rsidR="006B7CF3" w:rsidRPr="00E535FD" w:rsidRDefault="001D386E" w:rsidP="00E535FD">
      <w:pPr>
        <w:pStyle w:val="NormalWeb"/>
        <w:spacing w:beforeAutospacing="0" w:afterAutospacing="0" w:line="360" w:lineRule="auto"/>
        <w:jc w:val="both"/>
        <w:rPr>
          <w:rFonts w:cs="Times New Roman"/>
        </w:rPr>
      </w:pPr>
      <w:r w:rsidRPr="00E535FD">
        <w:rPr>
          <w:rFonts w:cs="Times New Roman"/>
        </w:rPr>
        <w:t>The incidental 12 mm lower pole angiomyolipoma (AML) introduced a parenchymal consideration. Historically regarded as a relative contraindication, contemporary evidence supports transplantation of kidneys harboring small (&lt;4 cm), radiologically benign AM</w:t>
      </w:r>
      <w:r w:rsidR="00CC5078">
        <w:rPr>
          <w:rFonts w:cs="Times New Roman"/>
        </w:rPr>
        <w:t>Ls in carefully selected donors [8]</w:t>
      </w:r>
      <w:r w:rsidRPr="00E535FD">
        <w:rPr>
          <w:rFonts w:cs="Times New Roman"/>
        </w:rPr>
        <w:t>. Lesions demonstrating classical fat attenuation and absence of suspicious features carry minimal risk of progression or hemorrhage. In this case, the lesion was left in situ after multidisciplinary review, without ex vivo excision or histopathological confirmation, and did not affect procurement or graft function. Conservative management was therefore appropriate.</w:t>
      </w:r>
    </w:p>
    <w:p w14:paraId="0747576F" w14:textId="77777777" w:rsidR="006B7CF3" w:rsidRPr="00E535FD" w:rsidRDefault="001D386E" w:rsidP="00E535FD">
      <w:pPr>
        <w:pStyle w:val="NormalWeb"/>
        <w:spacing w:beforeAutospacing="0" w:afterAutospacing="0" w:line="360" w:lineRule="auto"/>
        <w:jc w:val="both"/>
        <w:rPr>
          <w:rFonts w:cs="Times New Roman"/>
        </w:rPr>
      </w:pPr>
      <w:r w:rsidRPr="00E535FD">
        <w:rPr>
          <w:rFonts w:cs="Times New Roman"/>
        </w:rPr>
        <w:t xml:space="preserve">The coexistence of duplicated IVC and renal AML in a living donor is exceedingly rare and represents combined vascular–parenchymal complexity. Importantly, this case illustrates that dual anatomical variations do not inherently increase perioperative risk when managed within a structured multidisciplinary </w:t>
      </w:r>
      <w:r w:rsidR="00CC5078">
        <w:rPr>
          <w:rFonts w:cs="Times New Roman"/>
          <w:color w:val="000000" w:themeColor="text1"/>
        </w:rPr>
        <w:t>framework [8]</w:t>
      </w:r>
      <w:r w:rsidRPr="00CC5078">
        <w:rPr>
          <w:rFonts w:cs="Times New Roman"/>
          <w:color w:val="000000" w:themeColor="text1"/>
        </w:rPr>
        <w:t xml:space="preserve">. </w:t>
      </w:r>
      <w:r w:rsidRPr="00E535FD">
        <w:rPr>
          <w:rFonts w:cs="Times New Roman"/>
        </w:rPr>
        <w:t>Comprehensive vascular mapping and individualized operative planning remain central to successful outcomes.</w:t>
      </w:r>
    </w:p>
    <w:p w14:paraId="56F1F55F" w14:textId="77777777" w:rsidR="006B7CF3" w:rsidRPr="00E535FD" w:rsidRDefault="001D386E" w:rsidP="00E535FD">
      <w:pPr>
        <w:pStyle w:val="NormalWeb"/>
        <w:spacing w:beforeAutospacing="0" w:afterAutospacing="0" w:line="360" w:lineRule="auto"/>
        <w:jc w:val="both"/>
        <w:rPr>
          <w:rFonts w:cs="Times New Roman"/>
        </w:rPr>
      </w:pPr>
      <w:r w:rsidRPr="00E535FD">
        <w:rPr>
          <w:rFonts w:cs="Times New Roman"/>
        </w:rPr>
        <w:t>In the context of organ scarcity and expanding donor criteria, rigid exclusion based solely on anatomic</w:t>
      </w:r>
      <w:r w:rsidR="00CC5078">
        <w:rPr>
          <w:rFonts w:cs="Times New Roman"/>
        </w:rPr>
        <w:t>al variation may be unwarranted [8]</w:t>
      </w:r>
      <w:r w:rsidRPr="00E535FD">
        <w:rPr>
          <w:rFonts w:cs="Times New Roman"/>
        </w:rPr>
        <w:t>. Careful evaluation rather than automatic rejection should guide decision-making in such surgically manageable scenarios.</w:t>
      </w:r>
    </w:p>
    <w:p w14:paraId="1B5F1242" w14:textId="77777777" w:rsidR="006B7CF3" w:rsidRPr="00E535FD" w:rsidRDefault="001D386E" w:rsidP="00E535FD">
      <w:pPr>
        <w:pStyle w:val="NormalWeb"/>
        <w:spacing w:beforeAutospacing="0" w:afterAutospacing="0" w:line="360" w:lineRule="auto"/>
        <w:jc w:val="both"/>
        <w:rPr>
          <w:rFonts w:cs="Times New Roman"/>
        </w:rPr>
      </w:pPr>
      <w:r w:rsidRPr="00E535FD">
        <w:rPr>
          <w:rFonts w:cs="Times New Roman"/>
        </w:rPr>
        <w:t xml:space="preserve">The coexistence of duplicated inferior vena cava and renal angiomyolipoma in a living kidney donor represents a rare but surgically manageable combination of vascular and parenchymal anomalies. Neither duplicated IVC nor a small (&lt;4 cm), radiologically benign AML should be considered an absolute contraindication to </w:t>
      </w:r>
      <w:r w:rsidRPr="00E535FD">
        <w:rPr>
          <w:rFonts w:cs="Times New Roman"/>
        </w:rPr>
        <w:lastRenderedPageBreak/>
        <w:t>donation when identified through comprehensive imaging and multidisciplinary evaluation. Detailed CT angiographic mapping and individualized operative planning enable safe procurement and successful transplantation. Careful assessment rather than exclusion should guide decision-making in such cases.</w:t>
      </w:r>
    </w:p>
    <w:p w14:paraId="294C322A" w14:textId="77777777" w:rsidR="00C8329B" w:rsidRDefault="00C8329B" w:rsidP="00E535FD">
      <w:pPr>
        <w:pStyle w:val="Heading2"/>
        <w:spacing w:beforeAutospacing="0" w:afterAutospacing="0" w:line="360" w:lineRule="auto"/>
        <w:jc w:val="both"/>
        <w:rPr>
          <w:rFonts w:ascii="Times New Roman" w:hAnsi="Times New Roman" w:cs="Times New Roman" w:hint="default"/>
          <w:sz w:val="24"/>
          <w:szCs w:val="24"/>
        </w:rPr>
      </w:pPr>
    </w:p>
    <w:p w14:paraId="6B2D33F8" w14:textId="77777777" w:rsidR="006B7CF3" w:rsidRPr="00E535FD" w:rsidRDefault="001D386E" w:rsidP="00E535FD">
      <w:pPr>
        <w:pStyle w:val="Heading2"/>
        <w:spacing w:beforeAutospacing="0" w:afterAutospacing="0" w:line="360" w:lineRule="auto"/>
        <w:jc w:val="both"/>
        <w:rPr>
          <w:rFonts w:ascii="Times New Roman" w:hAnsi="Times New Roman" w:cs="Times New Roman" w:hint="default"/>
          <w:sz w:val="24"/>
          <w:szCs w:val="24"/>
        </w:rPr>
      </w:pPr>
      <w:r w:rsidRPr="00E535FD">
        <w:rPr>
          <w:rFonts w:ascii="Times New Roman" w:hAnsi="Times New Roman" w:cs="Times New Roman" w:hint="default"/>
          <w:sz w:val="24"/>
          <w:szCs w:val="24"/>
        </w:rPr>
        <w:t>Conclusion</w:t>
      </w:r>
    </w:p>
    <w:p w14:paraId="402FB292" w14:textId="77777777" w:rsidR="006B7CF3" w:rsidRPr="00E535FD" w:rsidRDefault="001D386E" w:rsidP="00E535FD">
      <w:pPr>
        <w:pStyle w:val="NormalWeb"/>
        <w:spacing w:beforeAutospacing="0" w:afterAutospacing="0" w:line="360" w:lineRule="auto"/>
        <w:jc w:val="both"/>
        <w:rPr>
          <w:rFonts w:cs="Times New Roman"/>
        </w:rPr>
      </w:pPr>
      <w:r w:rsidRPr="00E535FD">
        <w:rPr>
          <w:rFonts w:cs="Times New Roman"/>
        </w:rPr>
        <w:t>The coexistence of duplicated inferior vena cava and renal angiomyolipoma in a living kidney donor represents a rare but surgically manageable combination of vascular and parenchymal anomalies. Neither duplicated IVC nor a small, radiologically benign AML should be considered an absolute contraindication to donation when identified through comprehensive preoperative imaging and multidisciplinary evaluation. Detailed CT angiographic mapping and individualized operative planning are essential to anticipate potential venous shortening and ensure tension-free anastomosis. With meticulous surgical technique and structured transplant planning, favorable donor and graft outcomes can be achieved. Careful assessment rather than automatic exclusion should guide management in such uncommon but manageable scenarios.</w:t>
      </w:r>
    </w:p>
    <w:p w14:paraId="00E26016" w14:textId="77777777" w:rsidR="00C8329B" w:rsidRDefault="00C8329B" w:rsidP="00E535FD">
      <w:pPr>
        <w:pStyle w:val="Heading2"/>
        <w:spacing w:beforeAutospacing="0" w:afterAutospacing="0" w:line="360" w:lineRule="auto"/>
        <w:jc w:val="both"/>
        <w:rPr>
          <w:rFonts w:ascii="Times New Roman" w:hAnsi="Times New Roman" w:cs="Times New Roman" w:hint="default"/>
          <w:sz w:val="24"/>
          <w:szCs w:val="24"/>
        </w:rPr>
      </w:pPr>
    </w:p>
    <w:p w14:paraId="078CE5B1" w14:textId="77777777" w:rsidR="006B7CF3" w:rsidRPr="00E535FD" w:rsidRDefault="001D386E" w:rsidP="00E535FD">
      <w:pPr>
        <w:pStyle w:val="Heading2"/>
        <w:spacing w:beforeAutospacing="0" w:afterAutospacing="0" w:line="360" w:lineRule="auto"/>
        <w:jc w:val="both"/>
        <w:rPr>
          <w:rFonts w:ascii="Times New Roman" w:hAnsi="Times New Roman" w:cs="Times New Roman" w:hint="default"/>
          <w:sz w:val="24"/>
          <w:szCs w:val="24"/>
        </w:rPr>
      </w:pPr>
      <w:r w:rsidRPr="00E535FD">
        <w:rPr>
          <w:rFonts w:ascii="Times New Roman" w:hAnsi="Times New Roman" w:cs="Times New Roman" w:hint="default"/>
          <w:sz w:val="24"/>
          <w:szCs w:val="24"/>
        </w:rPr>
        <w:t>Key Learning Points</w:t>
      </w:r>
    </w:p>
    <w:p w14:paraId="43546588" w14:textId="77777777" w:rsidR="006B7CF3" w:rsidRDefault="001D386E" w:rsidP="00E535FD">
      <w:pPr>
        <w:pStyle w:val="NormalWeb"/>
        <w:spacing w:beforeAutospacing="0" w:afterAutospacing="0" w:line="360" w:lineRule="auto"/>
        <w:jc w:val="both"/>
        <w:rPr>
          <w:rFonts w:cs="Times New Roman"/>
        </w:rPr>
      </w:pPr>
      <w:r w:rsidRPr="00E535FD">
        <w:rPr>
          <w:rFonts w:cs="Times New Roman"/>
        </w:rPr>
        <w:t>• Duplicated IVC is not a contraindication when accurately mapped preoperatively.</w:t>
      </w:r>
      <w:r w:rsidRPr="00E535FD">
        <w:rPr>
          <w:rFonts w:cs="Times New Roman"/>
        </w:rPr>
        <w:br/>
        <w:t>• Pre-aortic confluence may shorten effective left renal vein length.</w:t>
      </w:r>
      <w:r w:rsidRPr="00E535FD">
        <w:rPr>
          <w:rFonts w:cs="Times New Roman"/>
        </w:rPr>
        <w:br/>
        <w:t>• Small (&lt;4 cm), benign AMLs can be safely accepted in selected donors.</w:t>
      </w:r>
      <w:r w:rsidRPr="00E535FD">
        <w:rPr>
          <w:rFonts w:cs="Times New Roman"/>
        </w:rPr>
        <w:br/>
        <w:t>• Multidisciplinary planning enables safe ABO-incompatible transplantation.</w:t>
      </w:r>
    </w:p>
    <w:p w14:paraId="17C7FA86" w14:textId="77777777" w:rsidR="00221B56" w:rsidRPr="00E535FD" w:rsidRDefault="00221B56" w:rsidP="00E535FD">
      <w:pPr>
        <w:pStyle w:val="NormalWeb"/>
        <w:spacing w:beforeAutospacing="0" w:afterAutospacing="0" w:line="360" w:lineRule="auto"/>
        <w:jc w:val="both"/>
        <w:rPr>
          <w:rFonts w:cs="Times New Roman"/>
        </w:rPr>
      </w:pPr>
    </w:p>
    <w:p w14:paraId="6DE295E2" w14:textId="77777777" w:rsidR="006B7CF3" w:rsidRPr="00E535FD" w:rsidRDefault="001D386E" w:rsidP="00E535FD">
      <w:pPr>
        <w:pStyle w:val="Heading2"/>
        <w:spacing w:beforeAutospacing="0" w:afterAutospacing="0" w:line="360" w:lineRule="auto"/>
        <w:jc w:val="both"/>
        <w:rPr>
          <w:rFonts w:ascii="Times New Roman" w:hAnsi="Times New Roman" w:cs="Times New Roman" w:hint="default"/>
          <w:sz w:val="24"/>
          <w:szCs w:val="24"/>
        </w:rPr>
      </w:pPr>
      <w:r w:rsidRPr="00E535FD">
        <w:rPr>
          <w:rFonts w:ascii="Times New Roman" w:hAnsi="Times New Roman" w:cs="Times New Roman" w:hint="default"/>
          <w:sz w:val="24"/>
          <w:szCs w:val="24"/>
        </w:rPr>
        <w:t>Ethical Approval and Consent</w:t>
      </w:r>
    </w:p>
    <w:p w14:paraId="289CE994" w14:textId="77777777" w:rsidR="006B7CF3" w:rsidRPr="00E535FD" w:rsidRDefault="001D386E" w:rsidP="00E535FD">
      <w:pPr>
        <w:pStyle w:val="NormalWeb"/>
        <w:spacing w:beforeAutospacing="0" w:afterAutospacing="0" w:line="360" w:lineRule="auto"/>
        <w:jc w:val="both"/>
        <w:rPr>
          <w:rFonts w:cs="Times New Roman"/>
        </w:rPr>
      </w:pPr>
      <w:r w:rsidRPr="00E535FD">
        <w:rPr>
          <w:rFonts w:cs="Times New Roman"/>
        </w:rPr>
        <w:t>This case report complied with institutional ethical standards. Ethics committee review determined that formal approval was not required. Written informed consent was obtained from both donor and recipient. All procedures adhered to the Declaration of Helsinki.</w:t>
      </w:r>
    </w:p>
    <w:p w14:paraId="26B98A97" w14:textId="77777777" w:rsidR="00C8329B" w:rsidRDefault="00C8329B" w:rsidP="00E535FD">
      <w:pPr>
        <w:pStyle w:val="Heading2"/>
        <w:spacing w:beforeAutospacing="0" w:afterAutospacing="0" w:line="360" w:lineRule="auto"/>
        <w:jc w:val="both"/>
        <w:rPr>
          <w:rFonts w:ascii="Times New Roman" w:hAnsi="Times New Roman" w:cs="Times New Roman" w:hint="default"/>
          <w:sz w:val="24"/>
          <w:szCs w:val="24"/>
        </w:rPr>
      </w:pPr>
    </w:p>
    <w:p w14:paraId="2A39C9CF" w14:textId="77777777" w:rsidR="006D6143" w:rsidRDefault="006D6143" w:rsidP="00E535FD">
      <w:pPr>
        <w:pStyle w:val="NormalWeb"/>
        <w:spacing w:beforeAutospacing="0" w:afterAutospacing="0" w:line="360" w:lineRule="auto"/>
        <w:jc w:val="both"/>
        <w:rPr>
          <w:rFonts w:cs="Times New Roman"/>
        </w:rPr>
      </w:pPr>
      <w:bookmarkStart w:id="0" w:name="_GoBack"/>
      <w:bookmarkEnd w:id="0"/>
    </w:p>
    <w:p w14:paraId="6CF35FD5" w14:textId="77777777" w:rsidR="006D6143" w:rsidRPr="006D6143" w:rsidRDefault="006D6143" w:rsidP="006D6143">
      <w:pPr>
        <w:spacing w:after="200" w:line="276" w:lineRule="auto"/>
        <w:rPr>
          <w:rFonts w:ascii="Arial" w:eastAsia="Times New Roman" w:hAnsi="Arial" w:cs="Arial"/>
          <w:b/>
          <w:bCs/>
          <w:sz w:val="22"/>
          <w:szCs w:val="22"/>
          <w:lang w:val="en-GB" w:eastAsia="en-GB"/>
        </w:rPr>
      </w:pPr>
      <w:r w:rsidRPr="006D6143">
        <w:rPr>
          <w:rFonts w:ascii="Arial" w:eastAsia="Times New Roman" w:hAnsi="Arial" w:cs="Arial"/>
          <w:b/>
          <w:bCs/>
          <w:sz w:val="22"/>
          <w:szCs w:val="22"/>
          <w:lang w:val="en-GB" w:eastAsia="en-GB"/>
        </w:rPr>
        <w:t>COMPETING INTERESTS DISCLAIMER:</w:t>
      </w:r>
    </w:p>
    <w:p w14:paraId="4FB054E1" w14:textId="77777777" w:rsidR="006D6143" w:rsidRPr="006D6143" w:rsidRDefault="006D6143" w:rsidP="006D6143">
      <w:pPr>
        <w:spacing w:after="200" w:line="276" w:lineRule="auto"/>
        <w:rPr>
          <w:rFonts w:ascii="Calibri" w:eastAsia="Times New Roman" w:hAnsi="Calibri" w:cs="Times New Roman"/>
          <w:sz w:val="22"/>
          <w:szCs w:val="22"/>
          <w:lang w:val="en-GB" w:eastAsia="en-GB"/>
        </w:rPr>
      </w:pPr>
      <w:r w:rsidRPr="006D6143">
        <w:rPr>
          <w:rFonts w:ascii="Arial" w:eastAsia="Times New Roman" w:hAnsi="Arial" w:cs="Arial"/>
          <w:sz w:val="22"/>
          <w:szCs w:val="22"/>
          <w:lang w:val="en-GB" w:eastAsia="en-GB"/>
        </w:rPr>
        <w:lastRenderedPageBreak/>
        <w:t>Authors have declared that they have no known competing financial interests OR non-financial interests OR personal relationships that could have appeared to influence the work reported in this paper.</w:t>
      </w:r>
    </w:p>
    <w:p w14:paraId="436C35DC" w14:textId="77777777" w:rsidR="006D6143" w:rsidRPr="00E535FD" w:rsidRDefault="006D6143" w:rsidP="00E535FD">
      <w:pPr>
        <w:pStyle w:val="NormalWeb"/>
        <w:spacing w:beforeAutospacing="0" w:afterAutospacing="0" w:line="360" w:lineRule="auto"/>
        <w:jc w:val="both"/>
        <w:rPr>
          <w:rFonts w:cs="Times New Roman"/>
        </w:rPr>
      </w:pPr>
    </w:p>
    <w:p w14:paraId="55117692" w14:textId="77777777" w:rsidR="006B7CF3" w:rsidRPr="00F06966" w:rsidRDefault="006B7CF3">
      <w:pPr>
        <w:rPr>
          <w:rFonts w:ascii="Times New Roman" w:hAnsi="Times New Roman" w:cs="Times New Roman"/>
          <w:sz w:val="24"/>
          <w:szCs w:val="24"/>
        </w:rPr>
      </w:pPr>
    </w:p>
    <w:p w14:paraId="19FEA4B8" w14:textId="77777777" w:rsidR="006B7CF3" w:rsidRPr="00F06966" w:rsidRDefault="001D386E" w:rsidP="00C8329B">
      <w:pPr>
        <w:jc w:val="both"/>
        <w:rPr>
          <w:rFonts w:ascii="Times New Roman" w:hAnsi="Times New Roman" w:cs="Times New Roman"/>
          <w:b/>
          <w:bCs/>
          <w:sz w:val="24"/>
          <w:szCs w:val="24"/>
        </w:rPr>
      </w:pPr>
      <w:r w:rsidRPr="00F06966">
        <w:rPr>
          <w:rFonts w:ascii="Times New Roman" w:hAnsi="Times New Roman" w:cs="Times New Roman"/>
          <w:b/>
          <w:bCs/>
          <w:sz w:val="24"/>
          <w:szCs w:val="24"/>
        </w:rPr>
        <w:t>REFERENCES</w:t>
      </w:r>
    </w:p>
    <w:p w14:paraId="5901ECFA" w14:textId="77777777" w:rsidR="006B7CF3" w:rsidRPr="00F06966" w:rsidRDefault="006B7CF3" w:rsidP="00C8329B">
      <w:pPr>
        <w:jc w:val="both"/>
        <w:rPr>
          <w:rFonts w:ascii="Times New Roman" w:hAnsi="Times New Roman" w:cs="Times New Roman"/>
          <w:b/>
          <w:bCs/>
          <w:sz w:val="24"/>
          <w:szCs w:val="24"/>
        </w:rPr>
      </w:pPr>
    </w:p>
    <w:p w14:paraId="39ED0D42" w14:textId="77777777" w:rsidR="006B7CF3" w:rsidRPr="00F06966" w:rsidRDefault="001D386E" w:rsidP="00C8329B">
      <w:pPr>
        <w:numPr>
          <w:ilvl w:val="0"/>
          <w:numId w:val="1"/>
        </w:numPr>
        <w:tabs>
          <w:tab w:val="clear" w:pos="425"/>
        </w:tabs>
        <w:jc w:val="both"/>
        <w:rPr>
          <w:rFonts w:ascii="Times New Roman" w:eastAsia="SimSun" w:hAnsi="Times New Roman" w:cs="Times New Roman"/>
          <w:color w:val="222222"/>
          <w:sz w:val="24"/>
          <w:szCs w:val="24"/>
          <w:shd w:val="clear" w:color="auto" w:fill="FFFFFF"/>
        </w:rPr>
      </w:pPr>
      <w:r w:rsidRPr="00F06966">
        <w:rPr>
          <w:rFonts w:ascii="Times New Roman" w:eastAsia="SimSun" w:hAnsi="Times New Roman" w:cs="Times New Roman"/>
          <w:color w:val="222222"/>
          <w:sz w:val="24"/>
          <w:szCs w:val="24"/>
          <w:shd w:val="clear" w:color="auto" w:fill="FFFFFF"/>
        </w:rPr>
        <w:t xml:space="preserve">Zahran MH, Kamal AI, Abdelfattah A, </w:t>
      </w:r>
      <w:proofErr w:type="spellStart"/>
      <w:r w:rsidRPr="00F06966">
        <w:rPr>
          <w:rFonts w:ascii="Times New Roman" w:eastAsia="SimSun" w:hAnsi="Times New Roman" w:cs="Times New Roman"/>
          <w:color w:val="222222"/>
          <w:sz w:val="24"/>
          <w:szCs w:val="24"/>
          <w:shd w:val="clear" w:color="auto" w:fill="FFFFFF"/>
        </w:rPr>
        <w:t>Mashaly</w:t>
      </w:r>
      <w:proofErr w:type="spellEnd"/>
      <w:r w:rsidRPr="00F06966">
        <w:rPr>
          <w:rFonts w:ascii="Times New Roman" w:eastAsia="SimSun" w:hAnsi="Times New Roman" w:cs="Times New Roman"/>
          <w:color w:val="222222"/>
          <w:sz w:val="24"/>
          <w:szCs w:val="24"/>
          <w:shd w:val="clear" w:color="auto" w:fill="FFFFFF"/>
        </w:rPr>
        <w:t xml:space="preserve"> ME, </w:t>
      </w:r>
      <w:proofErr w:type="spellStart"/>
      <w:r w:rsidRPr="00F06966">
        <w:rPr>
          <w:rFonts w:ascii="Times New Roman" w:eastAsia="SimSun" w:hAnsi="Times New Roman" w:cs="Times New Roman"/>
          <w:color w:val="222222"/>
          <w:sz w:val="24"/>
          <w:szCs w:val="24"/>
          <w:shd w:val="clear" w:color="auto" w:fill="FFFFFF"/>
        </w:rPr>
        <w:t>Fakhreldin</w:t>
      </w:r>
      <w:proofErr w:type="spellEnd"/>
      <w:r w:rsidRPr="00F06966">
        <w:rPr>
          <w:rFonts w:ascii="Times New Roman" w:eastAsia="SimSun" w:hAnsi="Times New Roman" w:cs="Times New Roman"/>
          <w:color w:val="222222"/>
          <w:sz w:val="24"/>
          <w:szCs w:val="24"/>
          <w:shd w:val="clear" w:color="auto" w:fill="FFFFFF"/>
        </w:rPr>
        <w:t xml:space="preserve"> I, Osman Y, Ali-El-Dein B. Outcome of live-donor renal transplants with incidentally diagnosed renal angiomyolipoma in the donor. </w:t>
      </w:r>
      <w:proofErr w:type="spellStart"/>
      <w:r w:rsidRPr="00F06966">
        <w:rPr>
          <w:rFonts w:ascii="Times New Roman" w:eastAsia="SimSun" w:hAnsi="Times New Roman" w:cs="Times New Roman"/>
          <w:color w:val="222222"/>
          <w:sz w:val="24"/>
          <w:szCs w:val="24"/>
          <w:shd w:val="clear" w:color="auto" w:fill="FFFFFF"/>
        </w:rPr>
        <w:t>InTransplantation</w:t>
      </w:r>
      <w:proofErr w:type="spellEnd"/>
      <w:r w:rsidRPr="00F06966">
        <w:rPr>
          <w:rFonts w:ascii="Times New Roman" w:eastAsia="SimSun" w:hAnsi="Times New Roman" w:cs="Times New Roman"/>
          <w:color w:val="222222"/>
          <w:sz w:val="24"/>
          <w:szCs w:val="24"/>
          <w:shd w:val="clear" w:color="auto" w:fill="FFFFFF"/>
        </w:rPr>
        <w:t xml:space="preserve"> Proceedings 2019 Jul 1 (Vol. 51, No. 6, pp. 1773-1778). Elsevier.</w:t>
      </w:r>
    </w:p>
    <w:p w14:paraId="56228008" w14:textId="77777777" w:rsidR="006B7CF3" w:rsidRPr="00F06966" w:rsidRDefault="001D386E" w:rsidP="00C8329B">
      <w:pPr>
        <w:numPr>
          <w:ilvl w:val="0"/>
          <w:numId w:val="1"/>
        </w:numPr>
        <w:tabs>
          <w:tab w:val="clear" w:pos="425"/>
        </w:tabs>
        <w:jc w:val="both"/>
        <w:rPr>
          <w:rFonts w:ascii="Times New Roman" w:eastAsia="SimSun" w:hAnsi="Times New Roman" w:cs="Times New Roman"/>
          <w:color w:val="222222"/>
          <w:sz w:val="24"/>
          <w:szCs w:val="24"/>
          <w:shd w:val="clear" w:color="auto" w:fill="FFFFFF"/>
        </w:rPr>
      </w:pPr>
      <w:r w:rsidRPr="00F06966">
        <w:rPr>
          <w:rFonts w:ascii="Times New Roman" w:eastAsia="SimSun" w:hAnsi="Times New Roman" w:cs="Times New Roman"/>
          <w:color w:val="222222"/>
          <w:sz w:val="24"/>
          <w:szCs w:val="24"/>
          <w:shd w:val="clear" w:color="auto" w:fill="FFFFFF"/>
        </w:rPr>
        <w:t xml:space="preserve">Balawender K, Pliszka A, </w:t>
      </w:r>
      <w:proofErr w:type="spellStart"/>
      <w:r w:rsidRPr="00F06966">
        <w:rPr>
          <w:rFonts w:ascii="Times New Roman" w:eastAsia="SimSun" w:hAnsi="Times New Roman" w:cs="Times New Roman"/>
          <w:color w:val="222222"/>
          <w:sz w:val="24"/>
          <w:szCs w:val="24"/>
          <w:shd w:val="clear" w:color="auto" w:fill="FFFFFF"/>
        </w:rPr>
        <w:t>Kłos</w:t>
      </w:r>
      <w:proofErr w:type="spellEnd"/>
      <w:r w:rsidRPr="00F06966">
        <w:rPr>
          <w:rFonts w:ascii="Times New Roman" w:eastAsia="SimSun" w:hAnsi="Times New Roman" w:cs="Times New Roman"/>
          <w:color w:val="222222"/>
          <w:sz w:val="24"/>
          <w:szCs w:val="24"/>
          <w:shd w:val="clear" w:color="auto" w:fill="FFFFFF"/>
        </w:rPr>
        <w:t xml:space="preserve"> M, </w:t>
      </w:r>
      <w:proofErr w:type="spellStart"/>
      <w:r w:rsidRPr="00F06966">
        <w:rPr>
          <w:rFonts w:ascii="Times New Roman" w:eastAsia="SimSun" w:hAnsi="Times New Roman" w:cs="Times New Roman"/>
          <w:color w:val="222222"/>
          <w:sz w:val="24"/>
          <w:szCs w:val="24"/>
          <w:shd w:val="clear" w:color="auto" w:fill="FFFFFF"/>
        </w:rPr>
        <w:t>Orkisz</w:t>
      </w:r>
      <w:proofErr w:type="spellEnd"/>
      <w:r w:rsidRPr="00F06966">
        <w:rPr>
          <w:rFonts w:ascii="Times New Roman" w:eastAsia="SimSun" w:hAnsi="Times New Roman" w:cs="Times New Roman"/>
          <w:color w:val="222222"/>
          <w:sz w:val="24"/>
          <w:szCs w:val="24"/>
          <w:shd w:val="clear" w:color="auto" w:fill="FFFFFF"/>
        </w:rPr>
        <w:t xml:space="preserve"> S, </w:t>
      </w:r>
      <w:proofErr w:type="spellStart"/>
      <w:r w:rsidRPr="00F06966">
        <w:rPr>
          <w:rFonts w:ascii="Times New Roman" w:eastAsia="SimSun" w:hAnsi="Times New Roman" w:cs="Times New Roman"/>
          <w:color w:val="222222"/>
          <w:sz w:val="24"/>
          <w:szCs w:val="24"/>
          <w:shd w:val="clear" w:color="auto" w:fill="FFFFFF"/>
        </w:rPr>
        <w:t>Barszcz</w:t>
      </w:r>
      <w:proofErr w:type="spellEnd"/>
      <w:r w:rsidRPr="00F06966">
        <w:rPr>
          <w:rFonts w:ascii="Times New Roman" w:eastAsia="SimSun" w:hAnsi="Times New Roman" w:cs="Times New Roman"/>
          <w:color w:val="222222"/>
          <w:sz w:val="24"/>
          <w:szCs w:val="24"/>
          <w:shd w:val="clear" w:color="auto" w:fill="FFFFFF"/>
        </w:rPr>
        <w:t xml:space="preserve"> K, </w:t>
      </w:r>
      <w:proofErr w:type="spellStart"/>
      <w:r w:rsidRPr="00F06966">
        <w:rPr>
          <w:rFonts w:ascii="Times New Roman" w:eastAsia="SimSun" w:hAnsi="Times New Roman" w:cs="Times New Roman"/>
          <w:color w:val="222222"/>
          <w:sz w:val="24"/>
          <w:szCs w:val="24"/>
          <w:shd w:val="clear" w:color="auto" w:fill="FFFFFF"/>
        </w:rPr>
        <w:t>Dubrowski</w:t>
      </w:r>
      <w:proofErr w:type="spellEnd"/>
      <w:r w:rsidRPr="00F06966">
        <w:rPr>
          <w:rFonts w:ascii="Times New Roman" w:eastAsia="SimSun" w:hAnsi="Times New Roman" w:cs="Times New Roman"/>
          <w:color w:val="222222"/>
          <w:sz w:val="24"/>
          <w:szCs w:val="24"/>
          <w:shd w:val="clear" w:color="auto" w:fill="FFFFFF"/>
        </w:rPr>
        <w:t xml:space="preserve"> A, </w:t>
      </w:r>
      <w:proofErr w:type="spellStart"/>
      <w:r w:rsidRPr="00F06966">
        <w:rPr>
          <w:rFonts w:ascii="Times New Roman" w:eastAsia="SimSun" w:hAnsi="Times New Roman" w:cs="Times New Roman"/>
          <w:color w:val="222222"/>
          <w:sz w:val="24"/>
          <w:szCs w:val="24"/>
          <w:shd w:val="clear" w:color="auto" w:fill="FFFFFF"/>
        </w:rPr>
        <w:t>Matuszyk</w:t>
      </w:r>
      <w:proofErr w:type="spellEnd"/>
      <w:r w:rsidRPr="00F06966">
        <w:rPr>
          <w:rFonts w:ascii="Times New Roman" w:eastAsia="SimSun" w:hAnsi="Times New Roman" w:cs="Times New Roman"/>
          <w:color w:val="222222"/>
          <w:sz w:val="24"/>
          <w:szCs w:val="24"/>
          <w:shd w:val="clear" w:color="auto" w:fill="FFFFFF"/>
        </w:rPr>
        <w:t xml:space="preserve"> A, </w:t>
      </w:r>
      <w:proofErr w:type="spellStart"/>
      <w:r w:rsidRPr="00F06966">
        <w:rPr>
          <w:rFonts w:ascii="Times New Roman" w:eastAsia="SimSun" w:hAnsi="Times New Roman" w:cs="Times New Roman"/>
          <w:color w:val="222222"/>
          <w:sz w:val="24"/>
          <w:szCs w:val="24"/>
          <w:shd w:val="clear" w:color="auto" w:fill="FFFFFF"/>
        </w:rPr>
        <w:t>Żytkowski</w:t>
      </w:r>
      <w:proofErr w:type="spellEnd"/>
      <w:r w:rsidRPr="00F06966">
        <w:rPr>
          <w:rFonts w:ascii="Times New Roman" w:eastAsia="SimSun" w:hAnsi="Times New Roman" w:cs="Times New Roman"/>
          <w:color w:val="222222"/>
          <w:sz w:val="24"/>
          <w:szCs w:val="24"/>
          <w:shd w:val="clear" w:color="auto" w:fill="FFFFFF"/>
        </w:rPr>
        <w:t xml:space="preserve"> A. Duplication of the inferior vena cava-an anatomical case report with comments on embryological background and clinical implications. Translational Research in Anatomy. 2022 Nov </w:t>
      </w:r>
      <w:proofErr w:type="gramStart"/>
      <w:r w:rsidRPr="00F06966">
        <w:rPr>
          <w:rFonts w:ascii="Times New Roman" w:eastAsia="SimSun" w:hAnsi="Times New Roman" w:cs="Times New Roman"/>
          <w:color w:val="222222"/>
          <w:sz w:val="24"/>
          <w:szCs w:val="24"/>
          <w:shd w:val="clear" w:color="auto" w:fill="FFFFFF"/>
        </w:rPr>
        <w:t>1;29:100221</w:t>
      </w:r>
      <w:proofErr w:type="gramEnd"/>
      <w:r w:rsidRPr="00F06966">
        <w:rPr>
          <w:rFonts w:ascii="Times New Roman" w:eastAsia="SimSun" w:hAnsi="Times New Roman" w:cs="Times New Roman"/>
          <w:color w:val="222222"/>
          <w:sz w:val="24"/>
          <w:szCs w:val="24"/>
          <w:shd w:val="clear" w:color="auto" w:fill="FFFFFF"/>
        </w:rPr>
        <w:t>.</w:t>
      </w:r>
    </w:p>
    <w:p w14:paraId="049691B2" w14:textId="77777777" w:rsidR="006B7CF3" w:rsidRPr="00F06966" w:rsidRDefault="001D386E" w:rsidP="00C8329B">
      <w:pPr>
        <w:numPr>
          <w:ilvl w:val="0"/>
          <w:numId w:val="1"/>
        </w:numPr>
        <w:tabs>
          <w:tab w:val="clear" w:pos="425"/>
        </w:tabs>
        <w:jc w:val="both"/>
        <w:rPr>
          <w:rFonts w:ascii="Times New Roman" w:eastAsia="SimSun" w:hAnsi="Times New Roman" w:cs="Times New Roman"/>
          <w:color w:val="222222"/>
          <w:sz w:val="24"/>
          <w:szCs w:val="24"/>
          <w:shd w:val="clear" w:color="auto" w:fill="FFFFFF"/>
        </w:rPr>
      </w:pPr>
      <w:r w:rsidRPr="00F06966">
        <w:rPr>
          <w:rFonts w:ascii="Times New Roman" w:eastAsia="SimSun" w:hAnsi="Times New Roman" w:cs="Times New Roman"/>
          <w:color w:val="222222"/>
          <w:sz w:val="24"/>
          <w:szCs w:val="24"/>
          <w:shd w:val="clear" w:color="auto" w:fill="FFFFFF"/>
        </w:rPr>
        <w:t>Li WR, Feng H, Jin L, Chen XM, Zhang ZW. Duplication of the inferior vena cava: a case series. Journal of International Medical Research. 2022 May;50(5):03000605221100771.</w:t>
      </w:r>
    </w:p>
    <w:p w14:paraId="1F600486" w14:textId="77777777" w:rsidR="006B7CF3" w:rsidRPr="00F06966" w:rsidRDefault="001D386E" w:rsidP="00C8329B">
      <w:pPr>
        <w:numPr>
          <w:ilvl w:val="0"/>
          <w:numId w:val="1"/>
        </w:numPr>
        <w:tabs>
          <w:tab w:val="clear" w:pos="425"/>
        </w:tabs>
        <w:jc w:val="both"/>
        <w:rPr>
          <w:rFonts w:ascii="Times New Roman" w:eastAsia="SimSun" w:hAnsi="Times New Roman" w:cs="Times New Roman"/>
          <w:color w:val="222222"/>
          <w:sz w:val="24"/>
          <w:szCs w:val="24"/>
          <w:shd w:val="clear" w:color="auto" w:fill="FFFFFF"/>
        </w:rPr>
      </w:pPr>
      <w:proofErr w:type="spellStart"/>
      <w:r w:rsidRPr="00F06966">
        <w:rPr>
          <w:rFonts w:ascii="Times New Roman" w:eastAsia="SimSun" w:hAnsi="Times New Roman" w:cs="Times New Roman"/>
          <w:color w:val="222222"/>
          <w:sz w:val="24"/>
          <w:szCs w:val="24"/>
          <w:shd w:val="clear" w:color="auto" w:fill="FFFFFF"/>
        </w:rPr>
        <w:t>Rofaiel</w:t>
      </w:r>
      <w:proofErr w:type="spellEnd"/>
      <w:r w:rsidRPr="00F06966">
        <w:rPr>
          <w:rFonts w:ascii="Times New Roman" w:eastAsia="SimSun" w:hAnsi="Times New Roman" w:cs="Times New Roman"/>
          <w:color w:val="222222"/>
          <w:sz w:val="24"/>
          <w:szCs w:val="24"/>
          <w:shd w:val="clear" w:color="auto" w:fill="FFFFFF"/>
        </w:rPr>
        <w:t xml:space="preserve"> G, Pan G, </w:t>
      </w:r>
      <w:proofErr w:type="spellStart"/>
      <w:r w:rsidRPr="00F06966">
        <w:rPr>
          <w:rFonts w:ascii="Times New Roman" w:eastAsia="SimSun" w:hAnsi="Times New Roman" w:cs="Times New Roman"/>
          <w:color w:val="222222"/>
          <w:sz w:val="24"/>
          <w:szCs w:val="24"/>
          <w:shd w:val="clear" w:color="auto" w:fill="FFFFFF"/>
        </w:rPr>
        <w:t>Campsen</w:t>
      </w:r>
      <w:proofErr w:type="spellEnd"/>
      <w:r w:rsidRPr="00F06966">
        <w:rPr>
          <w:rFonts w:ascii="Times New Roman" w:eastAsia="SimSun" w:hAnsi="Times New Roman" w:cs="Times New Roman"/>
          <w:color w:val="222222"/>
          <w:sz w:val="24"/>
          <w:szCs w:val="24"/>
          <w:shd w:val="clear" w:color="auto" w:fill="FFFFFF"/>
        </w:rPr>
        <w:t xml:space="preserve"> J, Kim R, Hamilton B. Successful Utilization of a Live Donor Kidney with Angiomyolipoma. Cureus. 2020 Feb 10;12(2).</w:t>
      </w:r>
    </w:p>
    <w:p w14:paraId="419A5E9F" w14:textId="77777777" w:rsidR="006B7CF3" w:rsidRPr="00F06966" w:rsidRDefault="001D386E" w:rsidP="00C8329B">
      <w:pPr>
        <w:numPr>
          <w:ilvl w:val="0"/>
          <w:numId w:val="1"/>
        </w:numPr>
        <w:tabs>
          <w:tab w:val="clear" w:pos="425"/>
        </w:tabs>
        <w:jc w:val="both"/>
        <w:rPr>
          <w:rFonts w:ascii="Times New Roman" w:eastAsia="SimSun" w:hAnsi="Times New Roman" w:cs="Times New Roman"/>
          <w:color w:val="222222"/>
          <w:sz w:val="24"/>
          <w:szCs w:val="24"/>
          <w:shd w:val="clear" w:color="auto" w:fill="FFFFFF"/>
        </w:rPr>
      </w:pPr>
      <w:r w:rsidRPr="00F06966">
        <w:rPr>
          <w:rFonts w:ascii="Times New Roman" w:eastAsia="SimSun" w:hAnsi="Times New Roman" w:cs="Times New Roman"/>
          <w:color w:val="222222"/>
          <w:sz w:val="24"/>
          <w:szCs w:val="24"/>
          <w:shd w:val="clear" w:color="auto" w:fill="FFFFFF"/>
        </w:rPr>
        <w:t xml:space="preserve">Saad KR, Saad PF, Amorim CA, Armstrong D, Soares BL, Neves PC, Razuk Filho A. Duplication of the inferior vena cava: case report and a literature review of anatomical variation. J </w:t>
      </w:r>
      <w:proofErr w:type="spellStart"/>
      <w:r w:rsidRPr="00F06966">
        <w:rPr>
          <w:rFonts w:ascii="Times New Roman" w:eastAsia="SimSun" w:hAnsi="Times New Roman" w:cs="Times New Roman"/>
          <w:color w:val="222222"/>
          <w:sz w:val="24"/>
          <w:szCs w:val="24"/>
          <w:shd w:val="clear" w:color="auto" w:fill="FFFFFF"/>
        </w:rPr>
        <w:t>Morphol</w:t>
      </w:r>
      <w:proofErr w:type="spellEnd"/>
      <w:r w:rsidRPr="00F06966">
        <w:rPr>
          <w:rFonts w:ascii="Times New Roman" w:eastAsia="SimSun" w:hAnsi="Times New Roman" w:cs="Times New Roman"/>
          <w:color w:val="222222"/>
          <w:sz w:val="24"/>
          <w:szCs w:val="24"/>
          <w:shd w:val="clear" w:color="auto" w:fill="FFFFFF"/>
        </w:rPr>
        <w:t xml:space="preserve"> Sci. 2012;29(1):60-4.</w:t>
      </w:r>
    </w:p>
    <w:p w14:paraId="5A2CE0B6" w14:textId="77777777" w:rsidR="006B7CF3" w:rsidRPr="00F06966" w:rsidRDefault="001D386E" w:rsidP="00C8329B">
      <w:pPr>
        <w:numPr>
          <w:ilvl w:val="0"/>
          <w:numId w:val="1"/>
        </w:numPr>
        <w:tabs>
          <w:tab w:val="clear" w:pos="425"/>
        </w:tabs>
        <w:jc w:val="both"/>
        <w:rPr>
          <w:rFonts w:ascii="Times New Roman" w:eastAsia="SimSun" w:hAnsi="Times New Roman" w:cs="Times New Roman"/>
          <w:color w:val="222222"/>
          <w:sz w:val="24"/>
          <w:szCs w:val="24"/>
          <w:shd w:val="clear" w:color="auto" w:fill="FFFFFF"/>
        </w:rPr>
      </w:pPr>
      <w:r w:rsidRPr="00F06966">
        <w:rPr>
          <w:rFonts w:ascii="Times New Roman" w:eastAsia="SimSun" w:hAnsi="Times New Roman" w:cs="Times New Roman"/>
          <w:color w:val="222222"/>
          <w:sz w:val="24"/>
          <w:szCs w:val="24"/>
          <w:shd w:val="clear" w:color="auto" w:fill="FFFFFF"/>
        </w:rPr>
        <w:t>Sarvepalli A, Prasad GS. WCN25-4404 SUCCESSFUL TRANSPLANTATION OF LIVE DONOR KIDNEY WITH A LARGE ANGIOMYOLIPOMA: A CASE REPORT. Kidney International Reports. 2025 Feb 1;10(2</w:t>
      </w:r>
      <w:proofErr w:type="gramStart"/>
      <w:r w:rsidRPr="00F06966">
        <w:rPr>
          <w:rFonts w:ascii="Times New Roman" w:eastAsia="SimSun" w:hAnsi="Times New Roman" w:cs="Times New Roman"/>
          <w:color w:val="222222"/>
          <w:sz w:val="24"/>
          <w:szCs w:val="24"/>
          <w:shd w:val="clear" w:color="auto" w:fill="FFFFFF"/>
        </w:rPr>
        <w:t>):S</w:t>
      </w:r>
      <w:proofErr w:type="gramEnd"/>
      <w:r w:rsidRPr="00F06966">
        <w:rPr>
          <w:rFonts w:ascii="Times New Roman" w:eastAsia="SimSun" w:hAnsi="Times New Roman" w:cs="Times New Roman"/>
          <w:color w:val="222222"/>
          <w:sz w:val="24"/>
          <w:szCs w:val="24"/>
          <w:shd w:val="clear" w:color="auto" w:fill="FFFFFF"/>
        </w:rPr>
        <w:t>556.</w:t>
      </w:r>
    </w:p>
    <w:p w14:paraId="06B595FD" w14:textId="77777777" w:rsidR="006B7CF3" w:rsidRPr="00F06966" w:rsidRDefault="001D386E" w:rsidP="00C8329B">
      <w:pPr>
        <w:numPr>
          <w:ilvl w:val="0"/>
          <w:numId w:val="1"/>
        </w:numPr>
        <w:tabs>
          <w:tab w:val="clear" w:pos="425"/>
        </w:tabs>
        <w:jc w:val="both"/>
        <w:rPr>
          <w:rFonts w:ascii="Times New Roman" w:eastAsia="SimSun" w:hAnsi="Times New Roman" w:cs="Times New Roman"/>
          <w:color w:val="222222"/>
          <w:sz w:val="24"/>
          <w:szCs w:val="24"/>
          <w:shd w:val="clear" w:color="auto" w:fill="FFFFFF"/>
        </w:rPr>
      </w:pPr>
      <w:r w:rsidRPr="00F06966">
        <w:rPr>
          <w:rFonts w:ascii="Times New Roman" w:eastAsia="SimSun" w:hAnsi="Times New Roman" w:cs="Times New Roman"/>
          <w:color w:val="222222"/>
          <w:sz w:val="24"/>
          <w:szCs w:val="24"/>
          <w:shd w:val="clear" w:color="auto" w:fill="FFFFFF"/>
        </w:rPr>
        <w:t xml:space="preserve">Natsis K, </w:t>
      </w:r>
      <w:proofErr w:type="spellStart"/>
      <w:r w:rsidRPr="00F06966">
        <w:rPr>
          <w:rFonts w:ascii="Times New Roman" w:eastAsia="SimSun" w:hAnsi="Times New Roman" w:cs="Times New Roman"/>
          <w:color w:val="222222"/>
          <w:sz w:val="24"/>
          <w:szCs w:val="24"/>
          <w:shd w:val="clear" w:color="auto" w:fill="FFFFFF"/>
        </w:rPr>
        <w:t>Apostolidis</w:t>
      </w:r>
      <w:proofErr w:type="spellEnd"/>
      <w:r w:rsidRPr="00F06966">
        <w:rPr>
          <w:rFonts w:ascii="Times New Roman" w:eastAsia="SimSun" w:hAnsi="Times New Roman" w:cs="Times New Roman"/>
          <w:color w:val="222222"/>
          <w:sz w:val="24"/>
          <w:szCs w:val="24"/>
          <w:shd w:val="clear" w:color="auto" w:fill="FFFFFF"/>
        </w:rPr>
        <w:t xml:space="preserve"> S, </w:t>
      </w:r>
      <w:proofErr w:type="spellStart"/>
      <w:r w:rsidRPr="00F06966">
        <w:rPr>
          <w:rFonts w:ascii="Times New Roman" w:eastAsia="SimSun" w:hAnsi="Times New Roman" w:cs="Times New Roman"/>
          <w:color w:val="222222"/>
          <w:sz w:val="24"/>
          <w:szCs w:val="24"/>
          <w:shd w:val="clear" w:color="auto" w:fill="FFFFFF"/>
        </w:rPr>
        <w:t>Noussios</w:t>
      </w:r>
      <w:proofErr w:type="spellEnd"/>
      <w:r w:rsidRPr="00F06966">
        <w:rPr>
          <w:rFonts w:ascii="Times New Roman" w:eastAsia="SimSun" w:hAnsi="Times New Roman" w:cs="Times New Roman"/>
          <w:color w:val="222222"/>
          <w:sz w:val="24"/>
          <w:szCs w:val="24"/>
          <w:shd w:val="clear" w:color="auto" w:fill="FFFFFF"/>
        </w:rPr>
        <w:t xml:space="preserve"> G, </w:t>
      </w:r>
      <w:proofErr w:type="spellStart"/>
      <w:r w:rsidRPr="00F06966">
        <w:rPr>
          <w:rFonts w:ascii="Times New Roman" w:eastAsia="SimSun" w:hAnsi="Times New Roman" w:cs="Times New Roman"/>
          <w:color w:val="222222"/>
          <w:sz w:val="24"/>
          <w:szCs w:val="24"/>
          <w:shd w:val="clear" w:color="auto" w:fill="FFFFFF"/>
        </w:rPr>
        <w:t>Papathanasiou</w:t>
      </w:r>
      <w:proofErr w:type="spellEnd"/>
      <w:r w:rsidRPr="00F06966">
        <w:rPr>
          <w:rFonts w:ascii="Times New Roman" w:eastAsia="SimSun" w:hAnsi="Times New Roman" w:cs="Times New Roman"/>
          <w:color w:val="222222"/>
          <w:sz w:val="24"/>
          <w:szCs w:val="24"/>
          <w:shd w:val="clear" w:color="auto" w:fill="FFFFFF"/>
        </w:rPr>
        <w:t xml:space="preserve"> E, </w:t>
      </w:r>
      <w:proofErr w:type="spellStart"/>
      <w:r w:rsidRPr="00F06966">
        <w:rPr>
          <w:rFonts w:ascii="Times New Roman" w:eastAsia="SimSun" w:hAnsi="Times New Roman" w:cs="Times New Roman"/>
          <w:color w:val="222222"/>
          <w:sz w:val="24"/>
          <w:szCs w:val="24"/>
          <w:shd w:val="clear" w:color="auto" w:fill="FFFFFF"/>
        </w:rPr>
        <w:t>Kyriazidou</w:t>
      </w:r>
      <w:proofErr w:type="spellEnd"/>
      <w:r w:rsidRPr="00F06966">
        <w:rPr>
          <w:rFonts w:ascii="Times New Roman" w:eastAsia="SimSun" w:hAnsi="Times New Roman" w:cs="Times New Roman"/>
          <w:color w:val="222222"/>
          <w:sz w:val="24"/>
          <w:szCs w:val="24"/>
          <w:shd w:val="clear" w:color="auto" w:fill="FFFFFF"/>
        </w:rPr>
        <w:t xml:space="preserve"> A, </w:t>
      </w:r>
      <w:proofErr w:type="spellStart"/>
      <w:r w:rsidRPr="00F06966">
        <w:rPr>
          <w:rFonts w:ascii="Times New Roman" w:eastAsia="SimSun" w:hAnsi="Times New Roman" w:cs="Times New Roman"/>
          <w:color w:val="222222"/>
          <w:sz w:val="24"/>
          <w:szCs w:val="24"/>
          <w:shd w:val="clear" w:color="auto" w:fill="FFFFFF"/>
        </w:rPr>
        <w:t>Vyzas</w:t>
      </w:r>
      <w:proofErr w:type="spellEnd"/>
      <w:r w:rsidRPr="00F06966">
        <w:rPr>
          <w:rFonts w:ascii="Times New Roman" w:eastAsia="SimSun" w:hAnsi="Times New Roman" w:cs="Times New Roman"/>
          <w:color w:val="222222"/>
          <w:sz w:val="24"/>
          <w:szCs w:val="24"/>
          <w:shd w:val="clear" w:color="auto" w:fill="FFFFFF"/>
        </w:rPr>
        <w:t xml:space="preserve"> V. Duplication of the inferior vena cava: anatomy, embryology and classification proposal. Anatomical science international. 2010 Mar;85(1):56-60.</w:t>
      </w:r>
    </w:p>
    <w:p w14:paraId="7F47C5A7" w14:textId="77777777" w:rsidR="006B7CF3" w:rsidRPr="00F06966" w:rsidRDefault="001D386E" w:rsidP="00C8329B">
      <w:pPr>
        <w:numPr>
          <w:ilvl w:val="0"/>
          <w:numId w:val="1"/>
        </w:numPr>
        <w:tabs>
          <w:tab w:val="clear" w:pos="425"/>
        </w:tabs>
        <w:jc w:val="both"/>
        <w:rPr>
          <w:rFonts w:ascii="Times New Roman" w:eastAsia="SimSun" w:hAnsi="Times New Roman" w:cs="Times New Roman"/>
          <w:color w:val="222222"/>
          <w:sz w:val="24"/>
          <w:szCs w:val="24"/>
          <w:shd w:val="clear" w:color="auto" w:fill="FFFFFF"/>
        </w:rPr>
      </w:pPr>
      <w:r w:rsidRPr="00F06966">
        <w:rPr>
          <w:rFonts w:ascii="Times New Roman" w:eastAsia="SimSun" w:hAnsi="Times New Roman" w:cs="Times New Roman"/>
          <w:color w:val="222222"/>
          <w:sz w:val="24"/>
          <w:szCs w:val="24"/>
          <w:shd w:val="clear" w:color="auto" w:fill="FFFFFF"/>
        </w:rPr>
        <w:t xml:space="preserve">Anton DG, </w:t>
      </w:r>
      <w:proofErr w:type="spellStart"/>
      <w:r w:rsidRPr="00F06966">
        <w:rPr>
          <w:rFonts w:ascii="Times New Roman" w:eastAsia="SimSun" w:hAnsi="Times New Roman" w:cs="Times New Roman"/>
          <w:color w:val="222222"/>
          <w:sz w:val="24"/>
          <w:szCs w:val="24"/>
          <w:shd w:val="clear" w:color="auto" w:fill="FFFFFF"/>
        </w:rPr>
        <w:t>Kovvuru</w:t>
      </w:r>
      <w:proofErr w:type="spellEnd"/>
      <w:r w:rsidRPr="00F06966">
        <w:rPr>
          <w:rFonts w:ascii="Times New Roman" w:eastAsia="SimSun" w:hAnsi="Times New Roman" w:cs="Times New Roman"/>
          <w:color w:val="222222"/>
          <w:sz w:val="24"/>
          <w:szCs w:val="24"/>
          <w:shd w:val="clear" w:color="auto" w:fill="FFFFFF"/>
        </w:rPr>
        <w:t xml:space="preserve"> K, </w:t>
      </w:r>
      <w:proofErr w:type="spellStart"/>
      <w:r w:rsidRPr="00F06966">
        <w:rPr>
          <w:rFonts w:ascii="Times New Roman" w:eastAsia="SimSun" w:hAnsi="Times New Roman" w:cs="Times New Roman"/>
          <w:color w:val="222222"/>
          <w:sz w:val="24"/>
          <w:szCs w:val="24"/>
          <w:shd w:val="clear" w:color="auto" w:fill="FFFFFF"/>
        </w:rPr>
        <w:t>Kanduri</w:t>
      </w:r>
      <w:proofErr w:type="spellEnd"/>
      <w:r w:rsidRPr="00F06966">
        <w:rPr>
          <w:rFonts w:ascii="Times New Roman" w:eastAsia="SimSun" w:hAnsi="Times New Roman" w:cs="Times New Roman"/>
          <w:color w:val="222222"/>
          <w:sz w:val="24"/>
          <w:szCs w:val="24"/>
          <w:shd w:val="clear" w:color="auto" w:fill="FFFFFF"/>
        </w:rPr>
        <w:t xml:space="preserve"> SR, </w:t>
      </w:r>
      <w:proofErr w:type="spellStart"/>
      <w:r w:rsidRPr="00F06966">
        <w:rPr>
          <w:rFonts w:ascii="Times New Roman" w:eastAsia="SimSun" w:hAnsi="Times New Roman" w:cs="Times New Roman"/>
          <w:color w:val="222222"/>
          <w:sz w:val="24"/>
          <w:szCs w:val="24"/>
          <w:shd w:val="clear" w:color="auto" w:fill="FFFFFF"/>
        </w:rPr>
        <w:t>Aeddula</w:t>
      </w:r>
      <w:proofErr w:type="spellEnd"/>
      <w:r w:rsidRPr="00F06966">
        <w:rPr>
          <w:rFonts w:ascii="Times New Roman" w:eastAsia="SimSun" w:hAnsi="Times New Roman" w:cs="Times New Roman"/>
          <w:color w:val="222222"/>
          <w:sz w:val="24"/>
          <w:szCs w:val="24"/>
          <w:shd w:val="clear" w:color="auto" w:fill="FFFFFF"/>
        </w:rPr>
        <w:t xml:space="preserve"> NR, </w:t>
      </w:r>
      <w:proofErr w:type="spellStart"/>
      <w:r w:rsidRPr="00F06966">
        <w:rPr>
          <w:rFonts w:ascii="Times New Roman" w:eastAsia="SimSun" w:hAnsi="Times New Roman" w:cs="Times New Roman"/>
          <w:color w:val="222222"/>
          <w:sz w:val="24"/>
          <w:szCs w:val="24"/>
          <w:shd w:val="clear" w:color="auto" w:fill="FFFFFF"/>
        </w:rPr>
        <w:t>Bathini</w:t>
      </w:r>
      <w:proofErr w:type="spellEnd"/>
      <w:r w:rsidRPr="00F06966">
        <w:rPr>
          <w:rFonts w:ascii="Times New Roman" w:eastAsia="SimSun" w:hAnsi="Times New Roman" w:cs="Times New Roman"/>
          <w:color w:val="222222"/>
          <w:sz w:val="24"/>
          <w:szCs w:val="24"/>
          <w:shd w:val="clear" w:color="auto" w:fill="FFFFFF"/>
        </w:rPr>
        <w:t xml:space="preserve"> T, </w:t>
      </w:r>
      <w:proofErr w:type="spellStart"/>
      <w:r w:rsidRPr="00F06966">
        <w:rPr>
          <w:rFonts w:ascii="Times New Roman" w:eastAsia="SimSun" w:hAnsi="Times New Roman" w:cs="Times New Roman"/>
          <w:color w:val="222222"/>
          <w:sz w:val="24"/>
          <w:szCs w:val="24"/>
          <w:shd w:val="clear" w:color="auto" w:fill="FFFFFF"/>
        </w:rPr>
        <w:t>Thongprayoon</w:t>
      </w:r>
      <w:proofErr w:type="spellEnd"/>
      <w:r w:rsidRPr="00F06966">
        <w:rPr>
          <w:rFonts w:ascii="Times New Roman" w:eastAsia="SimSun" w:hAnsi="Times New Roman" w:cs="Times New Roman"/>
          <w:color w:val="222222"/>
          <w:sz w:val="24"/>
          <w:szCs w:val="24"/>
          <w:shd w:val="clear" w:color="auto" w:fill="FFFFFF"/>
        </w:rPr>
        <w:t xml:space="preserve"> C, </w:t>
      </w:r>
      <w:proofErr w:type="spellStart"/>
      <w:r w:rsidRPr="00F06966">
        <w:rPr>
          <w:rFonts w:ascii="Times New Roman" w:eastAsia="SimSun" w:hAnsi="Times New Roman" w:cs="Times New Roman"/>
          <w:color w:val="222222"/>
          <w:sz w:val="24"/>
          <w:szCs w:val="24"/>
          <w:shd w:val="clear" w:color="auto" w:fill="FFFFFF"/>
        </w:rPr>
        <w:t>Kaewput</w:t>
      </w:r>
      <w:proofErr w:type="spellEnd"/>
      <w:r w:rsidRPr="00F06966">
        <w:rPr>
          <w:rFonts w:ascii="Times New Roman" w:eastAsia="SimSun" w:hAnsi="Times New Roman" w:cs="Times New Roman"/>
          <w:color w:val="222222"/>
          <w:sz w:val="24"/>
          <w:szCs w:val="24"/>
          <w:shd w:val="clear" w:color="auto" w:fill="FFFFFF"/>
        </w:rPr>
        <w:t xml:space="preserve"> W, </w:t>
      </w:r>
      <w:proofErr w:type="spellStart"/>
      <w:r w:rsidRPr="00F06966">
        <w:rPr>
          <w:rFonts w:ascii="Times New Roman" w:eastAsia="SimSun" w:hAnsi="Times New Roman" w:cs="Times New Roman"/>
          <w:color w:val="222222"/>
          <w:sz w:val="24"/>
          <w:szCs w:val="24"/>
          <w:shd w:val="clear" w:color="auto" w:fill="FFFFFF"/>
        </w:rPr>
        <w:t>Wijarnpreecha</w:t>
      </w:r>
      <w:proofErr w:type="spellEnd"/>
      <w:r w:rsidRPr="00F06966">
        <w:rPr>
          <w:rFonts w:ascii="Times New Roman" w:eastAsia="SimSun" w:hAnsi="Times New Roman" w:cs="Times New Roman"/>
          <w:color w:val="222222"/>
          <w:sz w:val="24"/>
          <w:szCs w:val="24"/>
          <w:shd w:val="clear" w:color="auto" w:fill="FFFFFF"/>
        </w:rPr>
        <w:t xml:space="preserve"> K, </w:t>
      </w:r>
      <w:proofErr w:type="spellStart"/>
      <w:r w:rsidRPr="00F06966">
        <w:rPr>
          <w:rFonts w:ascii="Times New Roman" w:eastAsia="SimSun" w:hAnsi="Times New Roman" w:cs="Times New Roman"/>
          <w:color w:val="222222"/>
          <w:sz w:val="24"/>
          <w:szCs w:val="24"/>
          <w:shd w:val="clear" w:color="auto" w:fill="FFFFFF"/>
        </w:rPr>
        <w:t>Watthanasuntorn</w:t>
      </w:r>
      <w:proofErr w:type="spellEnd"/>
      <w:r w:rsidRPr="00F06966">
        <w:rPr>
          <w:rFonts w:ascii="Times New Roman" w:eastAsia="SimSun" w:hAnsi="Times New Roman" w:cs="Times New Roman"/>
          <w:color w:val="222222"/>
          <w:sz w:val="24"/>
          <w:szCs w:val="24"/>
          <w:shd w:val="clear" w:color="auto" w:fill="FFFFFF"/>
        </w:rPr>
        <w:t xml:space="preserve"> K, Salim SA, </w:t>
      </w:r>
      <w:proofErr w:type="spellStart"/>
      <w:r w:rsidRPr="00F06966">
        <w:rPr>
          <w:rFonts w:ascii="Times New Roman" w:eastAsia="SimSun" w:hAnsi="Times New Roman" w:cs="Times New Roman"/>
          <w:color w:val="222222"/>
          <w:sz w:val="24"/>
          <w:szCs w:val="24"/>
          <w:shd w:val="clear" w:color="auto" w:fill="FFFFFF"/>
        </w:rPr>
        <w:t>Matemavi</w:t>
      </w:r>
      <w:proofErr w:type="spellEnd"/>
      <w:r w:rsidRPr="00F06966">
        <w:rPr>
          <w:rFonts w:ascii="Times New Roman" w:eastAsia="SimSun" w:hAnsi="Times New Roman" w:cs="Times New Roman"/>
          <w:color w:val="222222"/>
          <w:sz w:val="24"/>
          <w:szCs w:val="24"/>
          <w:shd w:val="clear" w:color="auto" w:fill="FFFFFF"/>
        </w:rPr>
        <w:t xml:space="preserve"> P. Use and outcomes of kidneys from donors with renal angiomyolipoma: A systematic review. Urology annals. 2021 Jan 1;13(1):67-72.</w:t>
      </w:r>
    </w:p>
    <w:p w14:paraId="7F768117" w14:textId="77777777" w:rsidR="006B7CF3" w:rsidRPr="00F06966" w:rsidRDefault="006B7CF3">
      <w:pPr>
        <w:rPr>
          <w:rFonts w:ascii="Times New Roman" w:hAnsi="Times New Roman" w:cs="Times New Roman"/>
          <w:b/>
          <w:bCs/>
          <w:sz w:val="24"/>
          <w:szCs w:val="24"/>
        </w:rPr>
      </w:pPr>
    </w:p>
    <w:p w14:paraId="00433F14" w14:textId="77777777" w:rsidR="00EC7B06" w:rsidRPr="00F06966" w:rsidRDefault="00EC7B06">
      <w:pPr>
        <w:rPr>
          <w:rFonts w:ascii="Times New Roman" w:hAnsi="Times New Roman" w:cs="Times New Roman"/>
          <w:b/>
          <w:bCs/>
          <w:color w:val="FF0000"/>
          <w:sz w:val="24"/>
          <w:szCs w:val="24"/>
        </w:rPr>
      </w:pPr>
    </w:p>
    <w:sectPr w:rsidR="00EC7B06" w:rsidRPr="00F06966">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71DC79" w14:textId="77777777" w:rsidR="006A5FE5" w:rsidRDefault="006A5FE5" w:rsidP="00FB59DB">
      <w:r>
        <w:separator/>
      </w:r>
    </w:p>
  </w:endnote>
  <w:endnote w:type="continuationSeparator" w:id="0">
    <w:p w14:paraId="1179330A" w14:textId="77777777" w:rsidR="006A5FE5" w:rsidRDefault="006A5FE5" w:rsidP="00FB5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1BD6C" w14:textId="77777777" w:rsidR="00FB59DB" w:rsidRDefault="00FB59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921D2" w14:textId="77777777" w:rsidR="00FB59DB" w:rsidRDefault="00FB59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B89F9" w14:textId="77777777" w:rsidR="00FB59DB" w:rsidRDefault="00FB59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B1553" w14:textId="77777777" w:rsidR="006A5FE5" w:rsidRDefault="006A5FE5" w:rsidP="00FB59DB">
      <w:r>
        <w:separator/>
      </w:r>
    </w:p>
  </w:footnote>
  <w:footnote w:type="continuationSeparator" w:id="0">
    <w:p w14:paraId="24A6A7D4" w14:textId="77777777" w:rsidR="006A5FE5" w:rsidRDefault="006A5FE5" w:rsidP="00FB5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CDDBD" w14:textId="1E5C7536" w:rsidR="00FB59DB" w:rsidRDefault="00FB59DB">
    <w:pPr>
      <w:pStyle w:val="Header"/>
    </w:pPr>
    <w:r>
      <w:rPr>
        <w:noProof/>
      </w:rPr>
      <w:pict w14:anchorId="35F54B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594297" o:spid="_x0000_s2050" type="#_x0000_t136" style="position:absolute;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EC8BB" w14:textId="66ED7D16" w:rsidR="00FB59DB" w:rsidRDefault="00FB59DB">
    <w:pPr>
      <w:pStyle w:val="Header"/>
    </w:pPr>
    <w:r>
      <w:rPr>
        <w:noProof/>
      </w:rPr>
      <w:pict w14:anchorId="018F06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594298" o:spid="_x0000_s2051" type="#_x0000_t136" style="position:absolute;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DFB5F" w14:textId="2D226152" w:rsidR="00FB59DB" w:rsidRDefault="00FB59DB">
    <w:pPr>
      <w:pStyle w:val="Header"/>
    </w:pPr>
    <w:r>
      <w:rPr>
        <w:noProof/>
      </w:rPr>
      <w:pict w14:anchorId="2A62D8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594296" o:spid="_x0000_s2049" type="#_x0000_t136" style="position:absolute;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00E641"/>
    <w:multiLevelType w:val="singleLevel"/>
    <w:tmpl w:val="1500E641"/>
    <w:lvl w:ilvl="0">
      <w:start w:val="1"/>
      <w:numFmt w:val="decimal"/>
      <w:lvlText w:val="%1."/>
      <w:lvlJc w:val="left"/>
      <w:pPr>
        <w:tabs>
          <w:tab w:val="left" w:pos="425"/>
        </w:tabs>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embedSystemFonts/>
  <w:proofState w:spelling="clean" w:grammar="clean"/>
  <w:defaultTabStop w:val="720"/>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FF36378"/>
    <w:rsid w:val="000E4B54"/>
    <w:rsid w:val="001D386E"/>
    <w:rsid w:val="00221B56"/>
    <w:rsid w:val="003B1BC1"/>
    <w:rsid w:val="003C20CB"/>
    <w:rsid w:val="005A0D9A"/>
    <w:rsid w:val="005C2797"/>
    <w:rsid w:val="006A5FE5"/>
    <w:rsid w:val="006B7CF3"/>
    <w:rsid w:val="006D6143"/>
    <w:rsid w:val="00786B49"/>
    <w:rsid w:val="00794A7B"/>
    <w:rsid w:val="00894CA3"/>
    <w:rsid w:val="009937FC"/>
    <w:rsid w:val="00C275EC"/>
    <w:rsid w:val="00C8329B"/>
    <w:rsid w:val="00CC5078"/>
    <w:rsid w:val="00D4493C"/>
    <w:rsid w:val="00DA7980"/>
    <w:rsid w:val="00E535FD"/>
    <w:rsid w:val="00EC7B06"/>
    <w:rsid w:val="00F06966"/>
    <w:rsid w:val="00F62F9E"/>
    <w:rsid w:val="00FB59DB"/>
    <w:rsid w:val="0B9831A8"/>
    <w:rsid w:val="2FF36378"/>
    <w:rsid w:val="4BD3315B"/>
    <w:rsid w:val="71206F05"/>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0E5EDA3"/>
  <w15:docId w15:val="{0E05CB07-B746-4162-AF89-3DDB0068A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mr-IN"/>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cstheme="minorBidi"/>
      <w:lang w:eastAsia="zh-CN" w:bidi="ar-SA"/>
    </w:rPr>
  </w:style>
  <w:style w:type="paragraph" w:styleId="Heading2">
    <w:name w:val="heading 2"/>
    <w:next w:val="Normal"/>
    <w:semiHidden/>
    <w:unhideWhenUsed/>
    <w:qFormat/>
    <w:pPr>
      <w:spacing w:beforeAutospacing="1" w:afterAutospacing="1"/>
      <w:outlineLvl w:val="1"/>
    </w:pPr>
    <w:rPr>
      <w:rFonts w:ascii="SimSun" w:hAnsi="SimSun" w:cs="Mangal" w:hint="eastAsia"/>
      <w:b/>
      <w:bCs/>
      <w:sz w:val="36"/>
      <w:szCs w:val="36"/>
      <w:lang w:eastAsia="zh-CN"/>
    </w:rPr>
  </w:style>
  <w:style w:type="paragraph" w:styleId="Heading3">
    <w:name w:val="heading 3"/>
    <w:next w:val="Normal"/>
    <w:semiHidden/>
    <w:unhideWhenUsed/>
    <w:qFormat/>
    <w:pPr>
      <w:spacing w:beforeAutospacing="1" w:afterAutospacing="1"/>
      <w:outlineLvl w:val="2"/>
    </w:pPr>
    <w:rPr>
      <w:rFonts w:ascii="SimSun" w:hAnsi="SimSun" w:cs="Mangal"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qFormat/>
    <w:pPr>
      <w:spacing w:beforeAutospacing="1" w:afterAutospacing="1"/>
    </w:pPr>
    <w:rPr>
      <w:rFonts w:cs="Mangal"/>
      <w:sz w:val="24"/>
      <w:szCs w:val="24"/>
      <w:lang w:eastAsia="zh-CN"/>
    </w:rPr>
  </w:style>
  <w:style w:type="character" w:styleId="Strong">
    <w:name w:val="Strong"/>
    <w:basedOn w:val="DefaultParagraphFont"/>
    <w:qFormat/>
    <w:rPr>
      <w:b/>
      <w:bCs/>
    </w:rPr>
  </w:style>
  <w:style w:type="paragraph" w:styleId="BalloonText">
    <w:name w:val="Balloon Text"/>
    <w:basedOn w:val="Normal"/>
    <w:link w:val="BalloonTextChar"/>
    <w:rsid w:val="003C20CB"/>
    <w:rPr>
      <w:rFonts w:ascii="Tahoma" w:hAnsi="Tahoma" w:cs="Tahoma"/>
      <w:sz w:val="16"/>
      <w:szCs w:val="16"/>
    </w:rPr>
  </w:style>
  <w:style w:type="character" w:customStyle="1" w:styleId="BalloonTextChar">
    <w:name w:val="Balloon Text Char"/>
    <w:basedOn w:val="DefaultParagraphFont"/>
    <w:link w:val="BalloonText"/>
    <w:rsid w:val="003C20CB"/>
    <w:rPr>
      <w:rFonts w:ascii="Tahoma" w:eastAsiaTheme="minorEastAsia" w:hAnsi="Tahoma" w:cs="Tahoma"/>
      <w:sz w:val="16"/>
      <w:szCs w:val="16"/>
      <w:lang w:eastAsia="zh-CN" w:bidi="ar-SA"/>
    </w:rPr>
  </w:style>
  <w:style w:type="character" w:styleId="Hyperlink">
    <w:name w:val="Hyperlink"/>
    <w:basedOn w:val="DefaultParagraphFont"/>
    <w:rsid w:val="006D6143"/>
    <w:rPr>
      <w:color w:val="0563C1" w:themeColor="hyperlink"/>
      <w:u w:val="single"/>
    </w:rPr>
  </w:style>
  <w:style w:type="character" w:styleId="UnresolvedMention">
    <w:name w:val="Unresolved Mention"/>
    <w:basedOn w:val="DefaultParagraphFont"/>
    <w:uiPriority w:val="99"/>
    <w:semiHidden/>
    <w:unhideWhenUsed/>
    <w:rsid w:val="006D6143"/>
    <w:rPr>
      <w:color w:val="605E5C"/>
      <w:shd w:val="clear" w:color="auto" w:fill="E1DFDD"/>
    </w:rPr>
  </w:style>
  <w:style w:type="paragraph" w:styleId="Header">
    <w:name w:val="header"/>
    <w:basedOn w:val="Normal"/>
    <w:link w:val="HeaderChar"/>
    <w:rsid w:val="00FB59DB"/>
    <w:pPr>
      <w:tabs>
        <w:tab w:val="center" w:pos="4680"/>
        <w:tab w:val="right" w:pos="9360"/>
      </w:tabs>
    </w:pPr>
  </w:style>
  <w:style w:type="character" w:customStyle="1" w:styleId="HeaderChar">
    <w:name w:val="Header Char"/>
    <w:basedOn w:val="DefaultParagraphFont"/>
    <w:link w:val="Header"/>
    <w:rsid w:val="00FB59DB"/>
    <w:rPr>
      <w:rFonts w:asciiTheme="minorHAnsi" w:eastAsiaTheme="minorEastAsia" w:hAnsiTheme="minorHAnsi" w:cstheme="minorBidi"/>
      <w:lang w:eastAsia="zh-CN" w:bidi="ar-SA"/>
    </w:rPr>
  </w:style>
  <w:style w:type="paragraph" w:styleId="Footer">
    <w:name w:val="footer"/>
    <w:basedOn w:val="Normal"/>
    <w:link w:val="FooterChar"/>
    <w:rsid w:val="00FB59DB"/>
    <w:pPr>
      <w:tabs>
        <w:tab w:val="center" w:pos="4680"/>
        <w:tab w:val="right" w:pos="9360"/>
      </w:tabs>
    </w:pPr>
  </w:style>
  <w:style w:type="character" w:customStyle="1" w:styleId="FooterChar">
    <w:name w:val="Footer Char"/>
    <w:basedOn w:val="DefaultParagraphFont"/>
    <w:link w:val="Footer"/>
    <w:rsid w:val="00FB59DB"/>
    <w:rPr>
      <w:rFonts w:asciiTheme="minorHAnsi" w:eastAsiaTheme="minorEastAsia" w:hAnsiTheme="minorHAnsi" w:cstheme="minorBidi"/>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7</Pages>
  <Words>2151</Words>
  <Characters>12265</Characters>
  <Application>Microsoft Office Word</Application>
  <DocSecurity>0</DocSecurity>
  <Lines>102</Lines>
  <Paragraphs>28</Paragraphs>
  <ScaleCrop>false</ScaleCrop>
  <Company/>
  <LinksUpToDate>false</LinksUpToDate>
  <CharactersWithSpaces>14388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Ahmad Jamil</dc:creator>
  <cp:lastModifiedBy>SDI 1084</cp:lastModifiedBy>
  <cp:revision>23</cp:revision>
  <dcterms:created xsi:type="dcterms:W3CDTF">2026-02-13T14:44:00Z</dcterms:created>
  <dcterms:modified xsi:type="dcterms:W3CDTF">2026-03-26T13:54:00Z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5F5665B7725142EFB9B469DAA617F2AF_13</vt:lpwstr>
  </property>
</Properties>
</file>