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5154" w14:textId="585474B5" w:rsidR="00950357" w:rsidRDefault="00950357" w:rsidP="00950357">
      <w:pPr>
        <w:spacing w:after="0" w:line="480" w:lineRule="auto"/>
        <w:jc w:val="center"/>
        <w:rPr>
          <w:rFonts w:eastAsia="Calibri" w:cs="Times New Roman"/>
          <w:b/>
          <w:kern w:val="2"/>
          <w14:ligatures w14:val="standardContextual"/>
        </w:rPr>
      </w:pPr>
      <w:r w:rsidRPr="00950357">
        <w:rPr>
          <w:rFonts w:eastAsia="Calibri" w:cs="Times New Roman"/>
          <w:b/>
          <w:bCs/>
          <w:color w:val="000000"/>
          <w:kern w:val="2"/>
          <w14:ligatures w14:val="standardContextual"/>
        </w:rPr>
        <w:t xml:space="preserve">AMELIORATIVE AND PROTECTIVE POTENTIAL OF </w:t>
      </w:r>
      <w:r w:rsidRPr="00950357">
        <w:rPr>
          <w:rFonts w:eastAsia="Calibri" w:cs="Times New Roman"/>
          <w:b/>
          <w:i/>
          <w:kern w:val="2"/>
          <w14:ligatures w14:val="standardContextual"/>
        </w:rPr>
        <w:t xml:space="preserve">ELAEIS GUINEENSIS ON </w:t>
      </w:r>
      <w:r w:rsidRPr="00950357">
        <w:rPr>
          <w:rFonts w:eastAsia="Calibri" w:cs="Times New Roman"/>
          <w:b/>
          <w:kern w:val="2"/>
          <w14:ligatures w14:val="standardContextual"/>
        </w:rPr>
        <w:t>THE</w:t>
      </w:r>
      <w:r w:rsidRPr="00950357">
        <w:rPr>
          <w:rFonts w:eastAsia="Calibri" w:cs="Times New Roman"/>
          <w:b/>
          <w:i/>
          <w:kern w:val="2"/>
          <w14:ligatures w14:val="standardContextual"/>
        </w:rPr>
        <w:t xml:space="preserve"> </w:t>
      </w:r>
      <w:r w:rsidRPr="00950357">
        <w:rPr>
          <w:rFonts w:eastAsia="Calibri" w:cs="Times New Roman"/>
          <w:b/>
          <w:kern w:val="2"/>
          <w14:ligatures w14:val="standardContextual"/>
        </w:rPr>
        <w:t>SMALL INTESTINE</w:t>
      </w:r>
      <w:r w:rsidRPr="00950357">
        <w:rPr>
          <w:rFonts w:eastAsia="Calibri" w:cs="Times New Roman"/>
          <w:b/>
          <w:i/>
          <w:kern w:val="2"/>
          <w14:ligatures w14:val="standardContextual"/>
        </w:rPr>
        <w:t xml:space="preserve"> </w:t>
      </w:r>
      <w:r w:rsidRPr="00950357">
        <w:rPr>
          <w:rFonts w:eastAsia="Calibri" w:cs="Times New Roman"/>
          <w:b/>
          <w:kern w:val="2"/>
          <w14:ligatures w14:val="standardContextual"/>
        </w:rPr>
        <w:t>OF ADULT MICE EXPOSED TO DIAZEPAM TOXICITY</w:t>
      </w:r>
    </w:p>
    <w:p w14:paraId="04A26063" w14:textId="60CEAEED" w:rsidR="00FF14C2" w:rsidRDefault="00FF14C2" w:rsidP="00950357">
      <w:pPr>
        <w:spacing w:after="0" w:line="480" w:lineRule="auto"/>
        <w:rPr>
          <w:rFonts w:eastAsia="Calibri" w:cs="Times New Roman"/>
          <w:b/>
          <w:kern w:val="2"/>
          <w14:ligatures w14:val="standardContextual"/>
        </w:rPr>
      </w:pPr>
    </w:p>
    <w:p w14:paraId="74199702" w14:textId="77777777" w:rsidR="00FE61AA" w:rsidRDefault="00FE61AA" w:rsidP="00950357">
      <w:pPr>
        <w:spacing w:after="0" w:line="480" w:lineRule="auto"/>
        <w:rPr>
          <w:rFonts w:eastAsia="Calibri" w:cs="Times New Roman"/>
          <w:b/>
          <w:kern w:val="2"/>
          <w14:ligatures w14:val="standardContextual"/>
        </w:rPr>
      </w:pPr>
      <w:bookmarkStart w:id="0" w:name="_GoBack"/>
      <w:bookmarkEnd w:id="0"/>
    </w:p>
    <w:p w14:paraId="21E70322" w14:textId="4C0E8FED" w:rsidR="00FF14C2" w:rsidRDefault="00FF14C2" w:rsidP="00FF14C2">
      <w:pPr>
        <w:spacing w:after="0" w:line="480" w:lineRule="auto"/>
        <w:jc w:val="center"/>
        <w:rPr>
          <w:rFonts w:eastAsia="Calibri" w:cs="Times New Roman"/>
          <w:b/>
          <w:kern w:val="2"/>
          <w14:ligatures w14:val="standardContextual"/>
        </w:rPr>
      </w:pPr>
      <w:r>
        <w:rPr>
          <w:rFonts w:eastAsia="Calibri" w:cs="Times New Roman"/>
          <w:b/>
          <w:kern w:val="2"/>
          <w14:ligatures w14:val="standardContextual"/>
        </w:rPr>
        <w:t>ABSTRACT</w:t>
      </w:r>
    </w:p>
    <w:p w14:paraId="53410576" w14:textId="0CBE67EA" w:rsidR="00FF14C2" w:rsidRPr="00FF14C2" w:rsidRDefault="00FF14C2" w:rsidP="00FF14C2">
      <w:pPr>
        <w:spacing w:after="0" w:line="480" w:lineRule="auto"/>
        <w:jc w:val="both"/>
        <w:rPr>
          <w:rFonts w:eastAsia="Calibri" w:cs="Times New Roman"/>
          <w:bCs/>
          <w:kern w:val="2"/>
          <w14:ligatures w14:val="standardContextual"/>
        </w:rPr>
      </w:pPr>
      <w:r w:rsidRPr="00FF14C2">
        <w:rPr>
          <w:rFonts w:eastAsia="Calibri" w:cs="Times New Roman"/>
          <w:bCs/>
          <w:kern w:val="2"/>
          <w14:ligatures w14:val="standardContextual"/>
        </w:rPr>
        <w:t xml:space="preserve">The small intestine plays a vital role in digestion, nutrient absorption, and immune defense, and its structural integrity is essential for maintaining gastrointestinal health. However, exposure to certain xenobiotics, including benzodiazepines such as diazepam, may induce oxidative stress and inflammatory responses that compromise intestinal architecture. This study investigated the ameliorative and protective potential of </w:t>
      </w:r>
      <w:r w:rsidRPr="00FF14C2">
        <w:rPr>
          <w:rFonts w:eastAsia="Calibri" w:cs="Times New Roman"/>
          <w:bCs/>
          <w:i/>
          <w:iCs/>
          <w:kern w:val="2"/>
          <w14:ligatures w14:val="standardContextual"/>
        </w:rPr>
        <w:t>Elaeis guineensis</w:t>
      </w:r>
      <w:r w:rsidRPr="00FF14C2">
        <w:rPr>
          <w:rFonts w:eastAsia="Calibri" w:cs="Times New Roman"/>
          <w:bCs/>
          <w:kern w:val="2"/>
          <w14:ligatures w14:val="standardContextual"/>
        </w:rPr>
        <w:t xml:space="preserve"> on the small intestine of adult mice exposed to </w:t>
      </w:r>
      <w:r w:rsidRPr="00FF14C2">
        <w:rPr>
          <w:rFonts w:eastAsia="Calibri" w:cs="Times New Roman"/>
          <w:bCs/>
          <w:i/>
          <w:iCs/>
          <w:kern w:val="2"/>
          <w14:ligatures w14:val="standardContextual"/>
        </w:rPr>
        <w:t>Diazepam</w:t>
      </w:r>
      <w:r w:rsidRPr="00FF14C2">
        <w:rPr>
          <w:rFonts w:eastAsia="Calibri" w:cs="Times New Roman"/>
          <w:bCs/>
          <w:kern w:val="2"/>
          <w14:ligatures w14:val="standardContextual"/>
        </w:rPr>
        <w:t xml:space="preserve">-induced toxicity. Sixteen adult mice weighing between 25 g and 40 g were acclimatized for two weeks and randomly assigned to four groups (n = 4). Group A served as the control and received water and feed only. Group B received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followed by diazepam (18.75 mg/ml) two hours later. Group C received diazepam followed by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two hours later, while Group D received diazepam only. The experiment lasted 28 days. At the end of the study, the small intestines were harvested under anesthesia, fixed in 10% formalin, processed histologically, and stained using hematoxylin and eosin for microscopic examination. Histological findings showed that Groups A, B, and C maintained normal intestinal architecture characterized by intact mucosal layers and well-defined muscularis mucosa. In contrast, Group D exhibited distorted intestinal architecture, including mucosal damage and areas of hemorrhage, indicating diazepam-induced toxicity. The preservation of intestinal structure in Groups B and C suggests that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possesses both protective and ameliorative properties against drug-induced intestinal injury. The observed effects may be attributed to the antioxidant and anti-inflammatory </w:t>
      </w:r>
      <w:r w:rsidRPr="00FF14C2">
        <w:rPr>
          <w:rFonts w:eastAsia="Calibri" w:cs="Times New Roman"/>
          <w:bCs/>
          <w:kern w:val="2"/>
          <w14:ligatures w14:val="standardContextual"/>
        </w:rPr>
        <w:lastRenderedPageBreak/>
        <w:t xml:space="preserve">phytochemicals present in the plant. In conclusion,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demonstrates significant potential in protecting the intestinal mucosa from diazepam-induced damage and may serve as a natural therapeutic agent for mitigating gastrointestinal toxicity.</w:t>
      </w:r>
    </w:p>
    <w:p w14:paraId="2BB445EA" w14:textId="77777777" w:rsidR="00FF14C2" w:rsidRDefault="00E753AC" w:rsidP="00FF14C2">
      <w:pPr>
        <w:spacing w:after="0" w:line="480" w:lineRule="auto"/>
        <w:rPr>
          <w:rFonts w:eastAsia="Calibri" w:cs="Times New Roman"/>
          <w:b/>
          <w:kern w:val="2"/>
          <w14:ligatures w14:val="standardContextual"/>
        </w:rPr>
      </w:pPr>
      <w:r w:rsidRPr="00950357">
        <w:rPr>
          <w:rFonts w:eastAsia="Calibri" w:cs="Times New Roman"/>
          <w:b/>
          <w:kern w:val="2"/>
          <w14:ligatures w14:val="standardContextual"/>
        </w:rPr>
        <w:t xml:space="preserve">INTRODUCTION </w:t>
      </w:r>
    </w:p>
    <w:p w14:paraId="2ED62310" w14:textId="2F675F00" w:rsidR="00950357" w:rsidRPr="00FF14C2" w:rsidRDefault="00950357" w:rsidP="00FF14C2">
      <w:pPr>
        <w:spacing w:after="0" w:line="480" w:lineRule="auto"/>
        <w:rPr>
          <w:rFonts w:eastAsia="Calibri" w:cs="Times New Roman"/>
          <w:b/>
          <w:kern w:val="2"/>
          <w14:ligatures w14:val="standardContextual"/>
        </w:rPr>
      </w:pPr>
      <w:r w:rsidRPr="00950357">
        <w:rPr>
          <w:rFonts w:eastAsia="Times New Roman" w:cs="Times New Roman"/>
        </w:rPr>
        <w:t xml:space="preserve">The small intestine is a crucial component of the gastrointestinal system, playing essential roles in nutrient digestion, absorption, and immune defense. Structurally, the small intestine consists of multiple layers including the mucosa with villi and crypts, submucosa, and muscularis externa, which together support efficient nutrient uptake and maintain tissue integrity (Wang </w:t>
      </w:r>
      <w:r w:rsidRPr="00950357">
        <w:rPr>
          <w:rFonts w:eastAsia="Times New Roman" w:cs="Times New Roman"/>
          <w:i/>
        </w:rPr>
        <w:t>et al</w:t>
      </w:r>
      <w:r w:rsidRPr="00950357">
        <w:rPr>
          <w:rFonts w:eastAsia="Times New Roman" w:cs="Times New Roman"/>
        </w:rPr>
        <w:t xml:space="preserve">., 2020). The mucosa is home to enterocytes, goblet cells, and various immune cells that form a complex barrier against pathogens and mechanical stress. Maintenance of this barrier depends on balanced cellular turnover and robust antioxidant defenses to counteract reactive oxygen species (ROS) that arise from metabolic processes and environmental exposures (Wang </w:t>
      </w:r>
      <w:r w:rsidRPr="00950357">
        <w:rPr>
          <w:rFonts w:eastAsia="Times New Roman" w:cs="Times New Roman"/>
          <w:i/>
        </w:rPr>
        <w:t>et al</w:t>
      </w:r>
      <w:r w:rsidRPr="00950357">
        <w:rPr>
          <w:rFonts w:eastAsia="Times New Roman" w:cs="Times New Roman"/>
        </w:rPr>
        <w:t xml:space="preserve">., 2020). Oxidative stress, defined as an imbalance between the production of ROS and the capacity of antioxidant systems, has been identified as a major factor causing cellular injury in gastrointestinal tissues, leading to mucosal disruption, inflammation, and impaired absorptive function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In experimental models of small intestinal injury, increased lipid peroxidation and impaired glutathione-based defenses have been documented as contributors to histological damage and functional decline, illustrating the vulnerability of the intestinal mucosa to oxidative insults (Wang </w:t>
      </w:r>
      <w:r w:rsidRPr="00950357">
        <w:rPr>
          <w:rFonts w:eastAsia="Times New Roman" w:cs="Times New Roman"/>
          <w:i/>
        </w:rPr>
        <w:t>et al</w:t>
      </w:r>
      <w:r w:rsidRPr="00950357">
        <w:rPr>
          <w:rFonts w:eastAsia="Times New Roman" w:cs="Times New Roman"/>
        </w:rPr>
        <w:t>., 2020).</w:t>
      </w:r>
    </w:p>
    <w:p w14:paraId="680BEB43"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t xml:space="preserve">Diazepam is a benzodiazepine widely recognized for its anxiolytic, sedative, and muscle-relaxant properties through potentiation of the GABAergic system in the central nervous system. Although its principal therapeutic actions involve the brain, diazepam and related benzodiazepines are systemically distributed and metabolized, with evidence indicating that prolonged or high-dose </w:t>
      </w:r>
      <w:r w:rsidRPr="00950357">
        <w:rPr>
          <w:rFonts w:eastAsia="Times New Roman" w:cs="Times New Roman"/>
        </w:rPr>
        <w:lastRenderedPageBreak/>
        <w:t xml:space="preserve">exposure can elicit oxidative and inflammatory responses in peripheral organs (Grahovac </w:t>
      </w:r>
      <w:r w:rsidRPr="00950357">
        <w:rPr>
          <w:rFonts w:eastAsia="Times New Roman" w:cs="Times New Roman"/>
          <w:i/>
        </w:rPr>
        <w:t>et al</w:t>
      </w:r>
      <w:r w:rsidRPr="00950357">
        <w:rPr>
          <w:rFonts w:eastAsia="Times New Roman" w:cs="Times New Roman"/>
        </w:rPr>
        <w:t xml:space="preserve">., 2025). While most research on benzodiazepine toxicity has focused on hepatic, renal, and neural tissues, systemic oxidative effects may extend to the gastrointestinal tract, potentially impacting the integrity of the intestinal mucosa via ROS-mediated pathways. Oxidative damage in intestinal tissues can lead to disruption of tight junctions, enhanced permeability, hemorrhage, and the infiltration of inflammatory cells, all of which are markers of enteric injury in experimental xenobiotic exposure models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2025). Furthermore, xenobiotic-induced oxidative stress in the small intestine can provoke changes in antioxidant enzyme activities, lipid peroxidation, and mucosal architecture that undermine absorptive efficiency and tissue resilience.</w:t>
      </w:r>
    </w:p>
    <w:p w14:paraId="2C4D4A00"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i/>
          <w:iCs/>
        </w:rPr>
        <w:t>Elaeis guineensis</w:t>
      </w:r>
      <w:r w:rsidRPr="00950357">
        <w:rPr>
          <w:rFonts w:eastAsia="Times New Roman" w:cs="Times New Roman"/>
        </w:rPr>
        <w:t xml:space="preserve"> Jacq., commonly known as the oil palm tree, has been studied for its diverse bioactive phytochemicals, which include flavonoids, catechins, luteolin, vitexin, and </w:t>
      </w:r>
      <w:proofErr w:type="spellStart"/>
      <w:r w:rsidRPr="00950357">
        <w:rPr>
          <w:rFonts w:eastAsia="Times New Roman" w:cs="Times New Roman"/>
        </w:rPr>
        <w:t>isovitexin</w:t>
      </w:r>
      <w:proofErr w:type="spellEnd"/>
      <w:r w:rsidRPr="00950357">
        <w:rPr>
          <w:rFonts w:eastAsia="Times New Roman" w:cs="Times New Roman"/>
        </w:rPr>
        <w:t xml:space="preserve"> among others, conferring broad pharmacological activities such as antioxidative, anti-inflammatory, and vascular-protective effects (Tow </w:t>
      </w:r>
      <w:r w:rsidRPr="00950357">
        <w:rPr>
          <w:rFonts w:eastAsia="Times New Roman" w:cs="Times New Roman"/>
          <w:i/>
        </w:rPr>
        <w:t>et al</w:t>
      </w:r>
      <w:r w:rsidRPr="00950357">
        <w:rPr>
          <w:rFonts w:eastAsia="Times New Roman" w:cs="Times New Roman"/>
        </w:rPr>
        <w:t xml:space="preserve">., 2021). These compounds are concentrated in various parts of the plant, particularly the leaves and fruit, making them a potential source of natural antioxidants that may counteract oxidative damage in biological tissues. Flavonoids and phenolics in </w:t>
      </w:r>
      <w:r w:rsidRPr="00950357">
        <w:rPr>
          <w:rFonts w:eastAsia="Times New Roman" w:cs="Times New Roman"/>
          <w:i/>
          <w:iCs/>
        </w:rPr>
        <w:t>E. guineensis</w:t>
      </w:r>
      <w:r w:rsidRPr="00950357">
        <w:rPr>
          <w:rFonts w:eastAsia="Times New Roman" w:cs="Times New Roman"/>
        </w:rPr>
        <w:t xml:space="preserve"> extracts have demonstrated free radical scavenging activities in vitro, indicating their capacity to neutralize ROS and prevent oxidative chain reactions that damage cellular membranes and DNA (Tow </w:t>
      </w:r>
      <w:r w:rsidRPr="00950357">
        <w:rPr>
          <w:rFonts w:eastAsia="Times New Roman" w:cs="Times New Roman"/>
          <w:i/>
        </w:rPr>
        <w:t>et al</w:t>
      </w:r>
      <w:r w:rsidRPr="00950357">
        <w:rPr>
          <w:rFonts w:eastAsia="Times New Roman" w:cs="Times New Roman"/>
        </w:rPr>
        <w:t>., 2021). The antioxidant potential of oil palm extracts has encouraged investigations into their protective effects in multiple disease contexts, including metabolic disorders, renal injury, and inflammatory conditions.</w:t>
      </w:r>
    </w:p>
    <w:p w14:paraId="2C1CA19E"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lastRenderedPageBreak/>
        <w:t xml:space="preserve">Research into the antioxidative activity of </w:t>
      </w:r>
      <w:r w:rsidRPr="00950357">
        <w:rPr>
          <w:rFonts w:eastAsia="Times New Roman" w:cs="Times New Roman"/>
          <w:i/>
          <w:iCs/>
        </w:rPr>
        <w:t>E. guineensis</w:t>
      </w:r>
      <w:r w:rsidRPr="00950357">
        <w:rPr>
          <w:rFonts w:eastAsia="Times New Roman" w:cs="Times New Roman"/>
        </w:rPr>
        <w:t xml:space="preserve"> leaf extract (OPLE) in animal models has shown that chronic administration can attenuate oxidative stress and histopathological damage in organs affected by metabolic disease. For example, OPLE significantly reduced markers of oxidative DNA damage such as 8-hydroxy-2’-deoxyguanosine (8-OHdG) and lipid peroxides in diabetic rat kidneys while improving endogenous antioxidant capacity, demonstrating protective effects against chronic oxidative challenge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These findings suggest that </w:t>
      </w:r>
      <w:r w:rsidRPr="00950357">
        <w:rPr>
          <w:rFonts w:eastAsia="Times New Roman" w:cs="Times New Roman"/>
          <w:i/>
          <w:iCs/>
        </w:rPr>
        <w:t>E. guineensis</w:t>
      </w:r>
      <w:r w:rsidRPr="00950357">
        <w:rPr>
          <w:rFonts w:eastAsia="Times New Roman" w:cs="Times New Roman"/>
        </w:rPr>
        <w:t xml:space="preserve"> extracts enhance systemic antioxidant defenses, potentially through increased glutathione availability and reduced formation of ROS byproducts. Similarly, flavonoid-rich extracts from the leaves have shown minimal toxicity at high oral doses in rats, suggesting a favorable safety profile and potential for therapeutic application (Tow </w:t>
      </w:r>
      <w:r w:rsidRPr="00950357">
        <w:rPr>
          <w:rFonts w:eastAsia="Times New Roman" w:cs="Times New Roman"/>
          <w:i/>
        </w:rPr>
        <w:t>et al</w:t>
      </w:r>
      <w:r w:rsidRPr="00950357">
        <w:rPr>
          <w:rFonts w:eastAsia="Times New Roman" w:cs="Times New Roman"/>
        </w:rPr>
        <w:t xml:space="preserve">., 2021). Beyond antioxidative effects, </w:t>
      </w:r>
      <w:r w:rsidRPr="00950357">
        <w:rPr>
          <w:rFonts w:eastAsia="Times New Roman" w:cs="Times New Roman"/>
          <w:i/>
          <w:iCs/>
        </w:rPr>
        <w:t>E. guineensis</w:t>
      </w:r>
      <w:r w:rsidRPr="00950357">
        <w:rPr>
          <w:rFonts w:eastAsia="Times New Roman" w:cs="Times New Roman"/>
        </w:rPr>
        <w:t xml:space="preserve"> extracts have exhibited antimicrobial properties against pathogenic microorganisms, indicating additional bioactivities that could support gastrointestinal health in the context of infections or gut dysbiosis (Vijayarathna </w:t>
      </w:r>
      <w:r w:rsidRPr="00950357">
        <w:rPr>
          <w:rFonts w:eastAsia="Times New Roman" w:cs="Times New Roman"/>
          <w:i/>
        </w:rPr>
        <w:t>et al</w:t>
      </w:r>
      <w:r w:rsidRPr="00950357">
        <w:rPr>
          <w:rFonts w:eastAsia="Times New Roman" w:cs="Times New Roman"/>
        </w:rPr>
        <w:t>., 2012).</w:t>
      </w:r>
    </w:p>
    <w:p w14:paraId="6170E60A" w14:textId="77777777" w:rsidR="00950357" w:rsidRPr="00950357" w:rsidRDefault="00950357" w:rsidP="00950357">
      <w:pPr>
        <w:spacing w:before="100" w:beforeAutospacing="1" w:after="0" w:line="480" w:lineRule="auto"/>
        <w:jc w:val="both"/>
        <w:rPr>
          <w:rFonts w:eastAsia="Times New Roman" w:cs="Times New Roman"/>
        </w:rPr>
      </w:pPr>
      <w:r w:rsidRPr="00950357">
        <w:rPr>
          <w:rFonts w:eastAsia="Times New Roman" w:cs="Times New Roman"/>
        </w:rPr>
        <w:t xml:space="preserve">While direct studies of </w:t>
      </w:r>
      <w:r w:rsidRPr="00950357">
        <w:rPr>
          <w:rFonts w:eastAsia="Times New Roman" w:cs="Times New Roman"/>
          <w:i/>
          <w:iCs/>
        </w:rPr>
        <w:t>E. guineensis</w:t>
      </w:r>
      <w:r w:rsidRPr="00950357">
        <w:rPr>
          <w:rFonts w:eastAsia="Times New Roman" w:cs="Times New Roman"/>
        </w:rPr>
        <w:t xml:space="preserve"> specifically in small intestine injury models are limited, evidence from natural antioxidants more broadly supports their role in protecting intestinal tissues against oxidative and inflammatory damage. For instance, omega-3 polyunsaturated fatty acids such as docosahexaenoic acid (DHA) have been shown to reduce oxidative stress, improve glutathione and superoxide dismutase activity, and protect against indomethacin-induced small intestine injury, highlighting the significance of antioxidative mechanisms in maintaining mucosal integrity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2025). Natural antioxidants can mitigate alterations in tight junction proteins and reduce inflammatory signaling pathways that otherwise compromise gut barrier function, emphasizing the therapeutic relevance of antioxidant supplementation in enteric health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Given the phytochemical profile of </w:t>
      </w:r>
      <w:r w:rsidRPr="00950357">
        <w:rPr>
          <w:rFonts w:eastAsia="Times New Roman" w:cs="Times New Roman"/>
          <w:i/>
          <w:iCs/>
        </w:rPr>
        <w:t>E. guineensis</w:t>
      </w:r>
      <w:r w:rsidRPr="00950357">
        <w:rPr>
          <w:rFonts w:eastAsia="Times New Roman" w:cs="Times New Roman"/>
        </w:rPr>
        <w:t xml:space="preserve"> extracts, similar </w:t>
      </w:r>
      <w:r w:rsidRPr="00950357">
        <w:rPr>
          <w:rFonts w:eastAsia="Times New Roman" w:cs="Times New Roman"/>
        </w:rPr>
        <w:lastRenderedPageBreak/>
        <w:t>mechanisms may underlie their potential protective effects in the small intestine, particularly in the context of xenobiotic-induced oxidative stress such as that potentially caused by diazepam toxicity.</w:t>
      </w:r>
    </w:p>
    <w:p w14:paraId="7122E02F" w14:textId="77777777" w:rsidR="00E753AC" w:rsidRDefault="00E753AC" w:rsidP="00E753AC">
      <w:pPr>
        <w:spacing w:after="0" w:line="480" w:lineRule="auto"/>
        <w:rPr>
          <w:rFonts w:eastAsia="Calibri" w:cs="Times New Roman"/>
          <w:kern w:val="2"/>
          <w14:ligatures w14:val="standardContextual"/>
        </w:rPr>
      </w:pPr>
    </w:p>
    <w:p w14:paraId="31D6B714" w14:textId="57519DE3" w:rsidR="00950357" w:rsidRPr="00950357" w:rsidRDefault="00950357" w:rsidP="00E753AC">
      <w:pPr>
        <w:spacing w:after="0" w:line="480" w:lineRule="auto"/>
        <w:rPr>
          <w:rFonts w:eastAsia="Calibri" w:cs="Times New Roman"/>
          <w:color w:val="000000"/>
          <w:kern w:val="2"/>
          <w14:ligatures w14:val="standardContextual"/>
        </w:rPr>
      </w:pPr>
      <w:r w:rsidRPr="00950357">
        <w:rPr>
          <w:rFonts w:eastAsia="Calibri" w:cs="Times New Roman"/>
          <w:b/>
          <w:bCs/>
          <w:color w:val="000000"/>
          <w:kern w:val="2"/>
          <w14:ligatures w14:val="standardContextual"/>
        </w:rPr>
        <w:t>MATERIALS AND METHODS</w:t>
      </w:r>
    </w:p>
    <w:p w14:paraId="153A45CC"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Research Design </w:t>
      </w:r>
    </w:p>
    <w:p w14:paraId="77945A2E"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b/>
          <w:color w:val="000000"/>
          <w:kern w:val="2"/>
          <w14:ligatures w14:val="standardContextual"/>
        </w:rPr>
        <w:t>S</w:t>
      </w:r>
      <w:r w:rsidRPr="00950357">
        <w:rPr>
          <w:rFonts w:eastAsia="Calibri" w:cs="Times New Roman"/>
          <w:color w:val="000000"/>
          <w:kern w:val="2"/>
          <w14:ligatures w14:val="standardContextual"/>
        </w:rPr>
        <w:t xml:space="preserve">ixteen (16) Adult </w:t>
      </w:r>
      <w:proofErr w:type="gramStart"/>
      <w:r w:rsidRPr="00950357">
        <w:rPr>
          <w:rFonts w:eastAsia="Calibri" w:cs="Times New Roman"/>
          <w:color w:val="000000"/>
          <w:kern w:val="2"/>
          <w14:ligatures w14:val="standardContextual"/>
        </w:rPr>
        <w:t>mice  of</w:t>
      </w:r>
      <w:proofErr w:type="gramEnd"/>
      <w:r w:rsidRPr="00950357">
        <w:rPr>
          <w:rFonts w:eastAsia="Calibri" w:cs="Times New Roman"/>
          <w:color w:val="000000"/>
          <w:kern w:val="2"/>
          <w14:ligatures w14:val="standardContextual"/>
        </w:rPr>
        <w:t xml:space="preserve"> comparable sizes and weights ranging from 25g to 40g  was procured from the animal farm, </w:t>
      </w:r>
      <w:proofErr w:type="spellStart"/>
      <w:r w:rsidRPr="00950357">
        <w:rPr>
          <w:rFonts w:eastAsia="Calibri" w:cs="Times New Roman"/>
          <w:color w:val="000000"/>
          <w:kern w:val="2"/>
          <w14:ligatures w14:val="standardContextual"/>
        </w:rPr>
        <w:t>Ohilux</w:t>
      </w:r>
      <w:proofErr w:type="spellEnd"/>
      <w:r w:rsidRPr="00950357">
        <w:rPr>
          <w:rFonts w:eastAsia="Calibri" w:cs="Times New Roman"/>
          <w:color w:val="000000"/>
          <w:kern w:val="2"/>
          <w14:ligatures w14:val="standardContextual"/>
        </w:rPr>
        <w:t xml:space="preserve"> global research Medical and Training Institute  and  where they were allowed two (2) weeks of acclimatization. They were kept in wire mesh cages with tripod that separated the animal from its </w:t>
      </w:r>
      <w:proofErr w:type="spellStart"/>
      <w:r w:rsidRPr="00950357">
        <w:rPr>
          <w:rFonts w:eastAsia="Calibri" w:cs="Times New Roman"/>
          <w:color w:val="000000"/>
          <w:kern w:val="2"/>
          <w14:ligatures w14:val="standardContextual"/>
        </w:rPr>
        <w:t>faeces</w:t>
      </w:r>
      <w:proofErr w:type="spellEnd"/>
      <w:r w:rsidRPr="00950357">
        <w:rPr>
          <w:rFonts w:eastAsia="Calibri" w:cs="Times New Roman"/>
          <w:color w:val="000000"/>
          <w:kern w:val="2"/>
          <w14:ligatures w14:val="standardContextual"/>
        </w:rPr>
        <w:t xml:space="preserve"> to prevent contamination. During this period of acclimatization, the </w:t>
      </w:r>
      <w:proofErr w:type="spellStart"/>
      <w:r w:rsidRPr="00950357">
        <w:rPr>
          <w:rFonts w:eastAsia="Calibri" w:cs="Times New Roman"/>
          <w:color w:val="000000"/>
          <w:kern w:val="2"/>
          <w14:ligatures w14:val="standardContextual"/>
        </w:rPr>
        <w:t>mices</w:t>
      </w:r>
      <w:proofErr w:type="spellEnd"/>
      <w:r w:rsidRPr="00950357">
        <w:rPr>
          <w:rFonts w:eastAsia="Calibri" w:cs="Times New Roman"/>
          <w:color w:val="000000"/>
          <w:kern w:val="2"/>
          <w14:ligatures w14:val="standardContextual"/>
        </w:rPr>
        <w:t xml:space="preserve"> were fed with Growers’ mash</w:t>
      </w:r>
      <w:r w:rsidRPr="00950357">
        <w:rPr>
          <w:rFonts w:eastAsia="Times New Roman" w:cs="Times New Roman"/>
          <w:color w:val="000000"/>
          <w:kern w:val="2"/>
          <w14:ligatures w14:val="standardContextual"/>
        </w:rPr>
        <w:t xml:space="preserve"> </w:t>
      </w:r>
      <w:r w:rsidRPr="00950357">
        <w:rPr>
          <w:rFonts w:eastAsia="Calibri" w:cs="Times New Roman"/>
          <w:color w:val="000000"/>
          <w:kern w:val="2"/>
          <w14:ligatures w14:val="standardContextual"/>
        </w:rPr>
        <w:t xml:space="preserve">and water. The animals </w:t>
      </w:r>
      <w:proofErr w:type="gramStart"/>
      <w:r w:rsidRPr="00950357">
        <w:rPr>
          <w:rFonts w:eastAsia="Calibri" w:cs="Times New Roman"/>
          <w:color w:val="000000"/>
          <w:kern w:val="2"/>
          <w14:ligatures w14:val="standardContextual"/>
        </w:rPr>
        <w:t>was</w:t>
      </w:r>
      <w:proofErr w:type="gramEnd"/>
      <w:r w:rsidRPr="00950357">
        <w:rPr>
          <w:rFonts w:eastAsia="Calibri" w:cs="Times New Roman"/>
          <w:color w:val="000000"/>
          <w:kern w:val="2"/>
          <w14:ligatures w14:val="standardContextual"/>
        </w:rPr>
        <w:t xml:space="preserve"> maintained and utilized in accordance with the standard guide for the care and use of Laboratory animals.</w:t>
      </w:r>
    </w:p>
    <w:p w14:paraId="115483F6" w14:textId="77777777" w:rsidR="00950357" w:rsidRPr="00950357" w:rsidRDefault="00950357" w:rsidP="00950357">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b/>
          <w:color w:val="000000"/>
          <w:kern w:val="2"/>
          <w14:ligatures w14:val="standardContextual"/>
        </w:rPr>
        <w:t>Animal Grouping</w:t>
      </w:r>
    </w:p>
    <w:p w14:paraId="7257218C" w14:textId="77777777" w:rsidR="00950357" w:rsidRPr="00950357" w:rsidRDefault="00950357" w:rsidP="00950357">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color w:val="000000"/>
          <w:kern w:val="2"/>
          <w14:ligatures w14:val="standardContextual"/>
        </w:rPr>
        <w:t xml:space="preserve">The experimental animals were separated into five groups (A – D). Each group contains four mice each (n = 4) using four (4) big cages to house them. </w:t>
      </w:r>
      <w:r w:rsidRPr="00950357">
        <w:rPr>
          <w:rFonts w:eastAsia="Calibri" w:cs="Times New Roman"/>
          <w:color w:val="000000"/>
          <w:kern w:val="2"/>
          <w14:ligatures w14:val="standardContextual"/>
        </w:rPr>
        <w:t>Group A served as the control, while groups B - D served as the test groups.</w:t>
      </w:r>
    </w:p>
    <w:p w14:paraId="13AEE602" w14:textId="77777777" w:rsidR="00950357" w:rsidRPr="00950357" w:rsidRDefault="00950357" w:rsidP="00950357">
      <w:pPr>
        <w:spacing w:after="0" w:line="480" w:lineRule="auto"/>
        <w:rPr>
          <w:rFonts w:eastAsia="Calibri" w:cs="Times New Roman"/>
          <w:b/>
          <w:color w:val="000000"/>
          <w:kern w:val="2"/>
          <w14:ligatures w14:val="standardContextual"/>
        </w:rPr>
      </w:pPr>
      <w:r w:rsidRPr="00950357">
        <w:rPr>
          <w:rFonts w:eastAsia="Calibri" w:cs="Times New Roman"/>
          <w:b/>
          <w:color w:val="000000"/>
          <w:kern w:val="2"/>
          <w14:ligatures w14:val="standardContextual"/>
        </w:rPr>
        <w:t>Study Duration</w:t>
      </w:r>
    </w:p>
    <w:p w14:paraId="37BA8ECD"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The preliminary studies, animal acclimatization, drug or substance procurement (dosage preparation and reconstitution), actual animal experiment and evaluation of results lasted for a period of 4 weeks (28 days). </w:t>
      </w:r>
    </w:p>
    <w:p w14:paraId="0B053188" w14:textId="77777777" w:rsidR="00950357" w:rsidRPr="00950357" w:rsidRDefault="00950357" w:rsidP="00950357">
      <w:pPr>
        <w:autoSpaceDE w:val="0"/>
        <w:autoSpaceDN w:val="0"/>
        <w:adjustRightInd w:val="0"/>
        <w:spacing w:after="0" w:line="480" w:lineRule="auto"/>
        <w:jc w:val="both"/>
        <w:rPr>
          <w:rFonts w:eastAsia="Times New Roman" w:cs="Times New Roman"/>
          <w:color w:val="000000"/>
          <w:kern w:val="2"/>
          <w14:ligatures w14:val="standardContextual"/>
        </w:rPr>
      </w:pPr>
      <w:r w:rsidRPr="00950357">
        <w:rPr>
          <w:rFonts w:eastAsia="Times New Roman" w:cs="Times New Roman"/>
          <w:b/>
          <w:color w:val="000000"/>
          <w:kern w:val="2"/>
          <w14:ligatures w14:val="standardContextual"/>
        </w:rPr>
        <w:t>Substance Of Study</w:t>
      </w:r>
    </w:p>
    <w:p w14:paraId="6149E6D3" w14:textId="77777777" w:rsidR="00950357" w:rsidRPr="00950357" w:rsidRDefault="00950357" w:rsidP="00950357">
      <w:pPr>
        <w:spacing w:after="0" w:line="480" w:lineRule="auto"/>
        <w:jc w:val="both"/>
        <w:rPr>
          <w:rFonts w:eastAsia="Calibri" w:cs="Times New Roman"/>
          <w:color w:val="000000"/>
        </w:rPr>
      </w:pPr>
      <w:r w:rsidRPr="00950357">
        <w:rPr>
          <w:rFonts w:eastAsia="Calibri" w:cs="Times New Roman"/>
          <w:color w:val="000000"/>
        </w:rPr>
        <w:t xml:space="preserve">Considerable amount of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Calibri" w:cs="Times New Roman"/>
          <w:color w:val="000000"/>
        </w:rPr>
        <w:t xml:space="preserve"> was procured from a supermarket and prepared accordingly. </w:t>
      </w:r>
    </w:p>
    <w:p w14:paraId="6B29243C" w14:textId="77777777" w:rsidR="00950357" w:rsidRPr="00950357" w:rsidRDefault="00950357" w:rsidP="00950357">
      <w:pPr>
        <w:spacing w:after="0" w:line="480" w:lineRule="auto"/>
        <w:jc w:val="both"/>
        <w:rPr>
          <w:rFonts w:eastAsia="Calibri" w:cs="Times New Roman"/>
          <w:b/>
          <w:color w:val="000000"/>
        </w:rPr>
      </w:pPr>
      <w:r w:rsidRPr="00950357">
        <w:rPr>
          <w:rFonts w:eastAsia="Calibri" w:cs="Times New Roman"/>
          <w:b/>
          <w:color w:val="000000"/>
        </w:rPr>
        <w:lastRenderedPageBreak/>
        <w:t>3.7 Substance Administration</w:t>
      </w:r>
    </w:p>
    <w:p w14:paraId="24600E1B" w14:textId="77777777" w:rsidR="00950357" w:rsidRPr="00950357" w:rsidRDefault="00950357" w:rsidP="00950357">
      <w:pPr>
        <w:spacing w:after="0" w:line="480" w:lineRule="auto"/>
        <w:jc w:val="both"/>
        <w:rPr>
          <w:rFonts w:eastAsia="Times New Roman" w:cs="Times New Roman"/>
          <w:color w:val="000000"/>
        </w:rPr>
      </w:pPr>
      <w:r w:rsidRPr="00950357">
        <w:rPr>
          <w:rFonts w:eastAsia="Times New Roman" w:cs="Times New Roman"/>
          <w:color w:val="000000"/>
        </w:rPr>
        <w:t xml:space="preserve">The </w:t>
      </w:r>
      <w:proofErr w:type="spellStart"/>
      <w:r w:rsidRPr="00950357">
        <w:rPr>
          <w:rFonts w:eastAsia="Times New Roman" w:cs="Times New Roman"/>
          <w:color w:val="000000"/>
        </w:rPr>
        <w:t>mices</w:t>
      </w:r>
      <w:proofErr w:type="spellEnd"/>
      <w:r w:rsidRPr="00950357">
        <w:rPr>
          <w:rFonts w:eastAsia="Times New Roman" w:cs="Times New Roman"/>
          <w:color w:val="000000"/>
        </w:rPr>
        <w:t xml:space="preserve"> were weighed before the administration of the substances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Times New Roman" w:cs="Times New Roman"/>
          <w:color w:val="000000"/>
        </w:rPr>
        <w:t>) and before they were sacrificed</w:t>
      </w:r>
      <w:r w:rsidRPr="00950357">
        <w:rPr>
          <w:rFonts w:eastAsia="Calibri" w:cs="Times New Roman"/>
          <w:color w:val="000000"/>
        </w:rPr>
        <w:t xml:space="preserve"> and similar weight measurements were done at the beginning and end of the experiment and the average weight recorded accordingly.</w:t>
      </w:r>
      <w:r w:rsidRPr="00950357">
        <w:rPr>
          <w:rFonts w:eastAsia="Times New Roman" w:cs="Times New Roman"/>
          <w:color w:val="000000"/>
        </w:rPr>
        <w:t xml:space="preserve"> The administration of the substance was via oral route thus: </w:t>
      </w:r>
    </w:p>
    <w:p w14:paraId="1409E27A"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Group A: control (Water + feed)</w:t>
      </w:r>
    </w:p>
    <w:p w14:paraId="5A420C6E"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B: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 xml:space="preserve"> +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(2hrs later post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w:t>
      </w:r>
    </w:p>
    <w:p w14:paraId="32E3B4F3" w14:textId="77777777" w:rsidR="00950357" w:rsidRPr="00950357"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C: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guineensis (2hrs later post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w:t>
      </w:r>
    </w:p>
    <w:p w14:paraId="255FDF3E" w14:textId="61FF594B" w:rsidR="00950357" w:rsidRPr="00E753AC" w:rsidRDefault="00950357" w:rsidP="00950357">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D: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w:t>
      </w:r>
    </w:p>
    <w:p w14:paraId="6A04051E" w14:textId="648BCCBB"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Sample Collection </w:t>
      </w:r>
      <w:r w:rsidR="00E753AC">
        <w:rPr>
          <w:rFonts w:eastAsia="Calibri" w:cs="Times New Roman"/>
          <w:b/>
          <w:color w:val="000000"/>
          <w:kern w:val="2"/>
          <w14:ligatures w14:val="standardContextual"/>
        </w:rPr>
        <w:t>a</w:t>
      </w:r>
      <w:r w:rsidRPr="00950357">
        <w:rPr>
          <w:rFonts w:eastAsia="Calibri" w:cs="Times New Roman"/>
          <w:b/>
          <w:color w:val="000000"/>
          <w:kern w:val="2"/>
          <w14:ligatures w14:val="standardContextual"/>
        </w:rPr>
        <w:t>nd Analysis</w:t>
      </w:r>
    </w:p>
    <w:p w14:paraId="3745478F" w14:textId="77777777" w:rsidR="00950357" w:rsidRPr="00950357" w:rsidRDefault="00950357" w:rsidP="00950357">
      <w:pPr>
        <w:autoSpaceDE w:val="0"/>
        <w:autoSpaceDN w:val="0"/>
        <w:adjustRightInd w:val="0"/>
        <w:spacing w:after="0" w:line="480" w:lineRule="auto"/>
        <w:jc w:val="both"/>
        <w:rPr>
          <w:rFonts w:eastAsia="Calibri" w:cs="Times New Roman"/>
          <w:bCs/>
          <w:color w:val="000000"/>
          <w:kern w:val="2"/>
          <w14:ligatures w14:val="standardContextual"/>
        </w:rPr>
      </w:pPr>
      <w:r w:rsidRPr="00950357">
        <w:rPr>
          <w:rFonts w:eastAsia="Calibri" w:cs="Times New Roman"/>
          <w:bCs/>
          <w:color w:val="000000"/>
          <w:kern w:val="2"/>
          <w14:ligatures w14:val="standardContextual"/>
        </w:rPr>
        <w:t xml:space="preserve">The organ of each rat was obtained at the end of the experiment under chloroform </w:t>
      </w:r>
      <w:proofErr w:type="spellStart"/>
      <w:r w:rsidRPr="00950357">
        <w:rPr>
          <w:rFonts w:eastAsia="Calibri" w:cs="Times New Roman"/>
          <w:bCs/>
          <w:color w:val="000000"/>
          <w:kern w:val="2"/>
          <w14:ligatures w14:val="standardContextual"/>
        </w:rPr>
        <w:t>anaesthesia</w:t>
      </w:r>
      <w:proofErr w:type="spellEnd"/>
      <w:r w:rsidRPr="00950357">
        <w:rPr>
          <w:rFonts w:eastAsia="Calibri" w:cs="Times New Roman"/>
          <w:bCs/>
          <w:color w:val="000000"/>
          <w:kern w:val="2"/>
          <w14:ligatures w14:val="standardContextual"/>
        </w:rPr>
        <w:t xml:space="preserve"> and fixed in 10% formalin for histological processing. </w:t>
      </w:r>
      <w:r w:rsidRPr="00950357">
        <w:rPr>
          <w:rFonts w:eastAsia="Calibri" w:cs="Times New Roman"/>
          <w:color w:val="000000"/>
          <w:kern w:val="2"/>
          <w14:ligatures w14:val="standardContextual"/>
        </w:rPr>
        <w:t xml:space="preserve">The growth performance and feed utilization of the </w:t>
      </w:r>
      <w:proofErr w:type="spellStart"/>
      <w:r w:rsidRPr="00950357">
        <w:rPr>
          <w:rFonts w:eastAsia="Calibri" w:cs="Times New Roman"/>
          <w:color w:val="000000"/>
          <w:kern w:val="2"/>
          <w14:ligatures w14:val="standardContextual"/>
        </w:rPr>
        <w:t>mices</w:t>
      </w:r>
      <w:proofErr w:type="spellEnd"/>
      <w:r w:rsidRPr="00950357">
        <w:rPr>
          <w:rFonts w:eastAsia="Calibri" w:cs="Times New Roman"/>
          <w:color w:val="000000"/>
          <w:kern w:val="2"/>
          <w14:ligatures w14:val="standardContextual"/>
        </w:rPr>
        <w:t xml:space="preserve"> was determined at the end of the experiment as described by </w:t>
      </w:r>
      <w:r w:rsidRPr="00950357">
        <w:rPr>
          <w:rFonts w:eastAsia="Calibri" w:cs="Times New Roman"/>
          <w:bCs/>
          <w:color w:val="000000"/>
          <w:kern w:val="2"/>
          <w14:ligatures w14:val="standardContextual"/>
        </w:rPr>
        <w:t>Dada and Ikuerowo (2009).</w:t>
      </w:r>
    </w:p>
    <w:p w14:paraId="77D715DB" w14:textId="77777777"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Histological Processing</w:t>
      </w:r>
    </w:p>
    <w:p w14:paraId="116E7BC1"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color w:val="000000"/>
          <w:kern w:val="2"/>
          <w14:ligatures w14:val="standardContextual"/>
        </w:rPr>
        <w:t xml:space="preserve">The tissues </w:t>
      </w:r>
      <w:proofErr w:type="gramStart"/>
      <w:r w:rsidRPr="00950357">
        <w:rPr>
          <w:rFonts w:eastAsia="Calibri" w:cs="Times New Roman"/>
          <w:color w:val="000000"/>
          <w:kern w:val="2"/>
          <w14:ligatures w14:val="standardContextual"/>
        </w:rPr>
        <w:t>was</w:t>
      </w:r>
      <w:proofErr w:type="gramEnd"/>
      <w:r w:rsidRPr="00950357">
        <w:rPr>
          <w:rFonts w:eastAsia="Calibri" w:cs="Times New Roman"/>
          <w:color w:val="000000"/>
          <w:kern w:val="2"/>
          <w14:ligatures w14:val="standardContextual"/>
        </w:rPr>
        <w:t xml:space="preserve"> processed using automatic tissue processor according to the processing schedule used in </w:t>
      </w:r>
      <w:proofErr w:type="spellStart"/>
      <w:r w:rsidRPr="00950357">
        <w:rPr>
          <w:rFonts w:eastAsia="Calibri" w:cs="Times New Roman"/>
          <w:color w:val="000000"/>
          <w:kern w:val="2"/>
          <w14:ligatures w14:val="standardContextual"/>
        </w:rPr>
        <w:t>Irrua</w:t>
      </w:r>
      <w:proofErr w:type="spellEnd"/>
      <w:r w:rsidRPr="00950357">
        <w:rPr>
          <w:rFonts w:eastAsia="Calibri" w:cs="Times New Roman"/>
          <w:color w:val="000000"/>
          <w:kern w:val="2"/>
          <w14:ligatures w14:val="standardContextual"/>
        </w:rPr>
        <w:t xml:space="preserve"> Specialist Teaching Hospital, Edo State, Nigeria. The fixed plastic cassette tissues in 10% formalin was automatically processed by passing them through different grades of alcohol as follows:</w:t>
      </w:r>
    </w:p>
    <w:p w14:paraId="568E6511"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70%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FC821BB"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80%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BC2D3A2"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90%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C3DB960"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90% alcohol </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6FD9BAD"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95%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A4A02CF"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lastRenderedPageBreak/>
        <w:t>Absolute</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45A7334"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3D02479D"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B8234F1"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D35D265" w14:textId="77777777" w:rsidR="00950357" w:rsidRPr="00950357" w:rsidRDefault="00950357" w:rsidP="00950357">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 xml:space="preserve">2hrs </w:t>
      </w:r>
    </w:p>
    <w:p w14:paraId="44D56C85"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After the last timing, the tissues were removed from their plastic cassettes and placed at the </w:t>
      </w:r>
      <w:proofErr w:type="spellStart"/>
      <w:r w:rsidRPr="00950357">
        <w:rPr>
          <w:rFonts w:eastAsia="Calibri" w:cs="Times New Roman"/>
          <w:color w:val="000000"/>
          <w:kern w:val="2"/>
          <w14:ligatures w14:val="standardContextual"/>
        </w:rPr>
        <w:t>centre</w:t>
      </w:r>
      <w:proofErr w:type="spellEnd"/>
      <w:r w:rsidRPr="00950357">
        <w:rPr>
          <w:rFonts w:eastAsia="Calibri" w:cs="Times New Roman"/>
          <w:color w:val="000000"/>
          <w:kern w:val="2"/>
          <w14:ligatures w14:val="standardContextual"/>
        </w:rPr>
        <w:t xml:space="preserve"> of the metallic tissue </w:t>
      </w:r>
      <w:proofErr w:type="spellStart"/>
      <w:r w:rsidRPr="00950357">
        <w:rPr>
          <w:rFonts w:eastAsia="Calibri" w:cs="Times New Roman"/>
          <w:color w:val="000000"/>
          <w:kern w:val="2"/>
          <w14:ligatures w14:val="standardContextual"/>
        </w:rPr>
        <w:t>mould</w:t>
      </w:r>
      <w:proofErr w:type="spellEnd"/>
      <w:r w:rsidRPr="00950357">
        <w:rPr>
          <w:rFonts w:eastAsia="Calibri" w:cs="Times New Roman"/>
          <w:color w:val="000000"/>
          <w:kern w:val="2"/>
          <w14:ligatures w14:val="standardContextual"/>
        </w:rPr>
        <w:t xml:space="preserve"> and then filled with molten paraffin wax. They were also left to solidify after which they were placed in the refrigerator at 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C for 15 minutes. After the blocks were left to cool in the refrigerator for the time stated above (15 minutes), the blocks were then removed from the metallic case using a knife and after which the paraffin wax at the side of the blocks were removed.</w:t>
      </w:r>
    </w:p>
    <w:p w14:paraId="4AB0FFA9"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The blocks </w:t>
      </w:r>
      <w:proofErr w:type="gramStart"/>
      <w:r w:rsidRPr="00950357">
        <w:rPr>
          <w:rFonts w:eastAsia="Calibri" w:cs="Times New Roman"/>
          <w:color w:val="000000"/>
          <w:kern w:val="2"/>
          <w14:ligatures w14:val="standardContextual"/>
        </w:rPr>
        <w:t>was</w:t>
      </w:r>
      <w:proofErr w:type="gramEnd"/>
      <w:r w:rsidRPr="00950357">
        <w:rPr>
          <w:rFonts w:eastAsia="Calibri" w:cs="Times New Roman"/>
          <w:color w:val="000000"/>
          <w:kern w:val="2"/>
          <w14:ligatures w14:val="standardContextual"/>
        </w:rPr>
        <w:t xml:space="preserve"> then trimmed and cut serially at 5nm on a rotary microtome. The sections were floated in a water bath at 55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C and picked up by the use of clean frosted end slides. The frosted end slides were then placed on the hot plate for 40 minutes for adequate attachment of the sections on the slides after which the sections were de-waxed, hydrated, air dried and stored in a slide box ready for staining process.</w:t>
      </w:r>
    </w:p>
    <w:p w14:paraId="034CCBF7" w14:textId="77777777" w:rsidR="00950357" w:rsidRPr="00950357" w:rsidRDefault="00950357" w:rsidP="00950357">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II</w:t>
      </w:r>
      <w:r w:rsidRPr="00950357">
        <w:rPr>
          <w:rFonts w:eastAsia="Calibri" w:cs="Times New Roman"/>
          <w:b/>
          <w:color w:val="000000"/>
          <w:kern w:val="2"/>
          <w14:ligatures w14:val="standardContextual"/>
        </w:rPr>
        <w:tab/>
        <w:t>STAINING PROCEDURE</w:t>
      </w:r>
    </w:p>
    <w:p w14:paraId="343986D7" w14:textId="77777777" w:rsidR="00950357" w:rsidRPr="00950357" w:rsidRDefault="00950357" w:rsidP="00950357">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PROCEDURE</w:t>
      </w:r>
    </w:p>
    <w:p w14:paraId="1DF6C438"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 paraffinize the section: flame the slide on burner and place in the xylene. Repeat the treatment. </w:t>
      </w:r>
    </w:p>
    <w:p w14:paraId="1ED26838"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Hydration: Hydrate the tissue section by passing through decreasing concentration of alcohol baths and water. (100%, 90%, 80%, 70%) </w:t>
      </w:r>
    </w:p>
    <w:p w14:paraId="08F4F7F3"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hematoxylin for 3-5 minutes </w:t>
      </w:r>
    </w:p>
    <w:p w14:paraId="38D8E352" w14:textId="77777777" w:rsidR="00950357" w:rsidRPr="00950357" w:rsidRDefault="00950357" w:rsidP="00950357">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lastRenderedPageBreak/>
        <w:t xml:space="preserve">Wash in running tap water until sections “blue” for 5 minutes or less. </w:t>
      </w:r>
    </w:p>
    <w:p w14:paraId="7395838C"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Differentiate in 1% acid alcohol (1% HCl in 70% alcohol) for 5 minutes. </w:t>
      </w:r>
    </w:p>
    <w:p w14:paraId="49E48BFE"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Wash in running tap water until the sections are again blue by dipping in an alkaline solution (</w:t>
      </w:r>
      <w:proofErr w:type="spellStart"/>
      <w:r w:rsidRPr="00950357">
        <w:rPr>
          <w:rFonts w:eastAsia="Times New Roman" w:cs="Times New Roman"/>
          <w:color w:val="000000"/>
          <w:kern w:val="2"/>
          <w14:ligatures w14:val="standardContextual"/>
        </w:rPr>
        <w:t>eg.</w:t>
      </w:r>
      <w:proofErr w:type="spellEnd"/>
      <w:r w:rsidRPr="00950357">
        <w:rPr>
          <w:rFonts w:eastAsia="Times New Roman" w:cs="Times New Roman"/>
          <w:color w:val="000000"/>
          <w:kern w:val="2"/>
          <w14:ligatures w14:val="standardContextual"/>
        </w:rPr>
        <w:t xml:space="preserve"> ammonia water) followed by tap water wash. </w:t>
      </w:r>
    </w:p>
    <w:p w14:paraId="5FDB6C1C"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1% Eosin Y for 10 minutes </w:t>
      </w:r>
    </w:p>
    <w:p w14:paraId="7FCF4A08"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Wash in tap water for 1-5 minutes </w:t>
      </w:r>
    </w:p>
    <w:p w14:paraId="4E580945"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Dehydrate in increasing concentration of alcohols and clear in xylene </w:t>
      </w:r>
    </w:p>
    <w:p w14:paraId="2268795B" w14:textId="77777777" w:rsidR="00950357" w:rsidRPr="00950357" w:rsidRDefault="00950357" w:rsidP="00950357">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Mount in mounting media </w:t>
      </w:r>
    </w:p>
    <w:p w14:paraId="1D045102" w14:textId="77777777" w:rsidR="00950357" w:rsidRPr="00950357" w:rsidRDefault="00950357" w:rsidP="00950357">
      <w:pPr>
        <w:numPr>
          <w:ilvl w:val="0"/>
          <w:numId w:val="3"/>
        </w:numPr>
        <w:autoSpaceDE w:val="0"/>
        <w:autoSpaceDN w:val="0"/>
        <w:adjustRightInd w:val="0"/>
        <w:spacing w:after="0" w:line="480" w:lineRule="auto"/>
        <w:contextualSpacing/>
        <w:jc w:val="both"/>
        <w:rPr>
          <w:rFonts w:eastAsia="Calibri" w:cs="Times New Roman"/>
          <w:b/>
          <w:color w:val="000000"/>
          <w:kern w:val="2"/>
          <w14:ligatures w14:val="standardContextual"/>
        </w:rPr>
      </w:pPr>
      <w:r w:rsidRPr="00950357">
        <w:rPr>
          <w:rFonts w:eastAsia="Times New Roman" w:cs="Times New Roman"/>
          <w:color w:val="000000"/>
          <w:kern w:val="2"/>
          <w14:ligatures w14:val="standardContextual"/>
        </w:rPr>
        <w:t xml:space="preserve">Observe under microscope </w:t>
      </w:r>
    </w:p>
    <w:p w14:paraId="49A46F00"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w:t>
      </w:r>
      <w:proofErr w:type="spellStart"/>
      <w:r w:rsidRPr="00950357">
        <w:rPr>
          <w:rFonts w:eastAsia="Calibri" w:cs="Times New Roman"/>
          <w:color w:val="000000"/>
          <w:kern w:val="2"/>
          <w14:ligatures w14:val="standardContextual"/>
        </w:rPr>
        <w:t>Ochei</w:t>
      </w:r>
      <w:proofErr w:type="spellEnd"/>
      <w:r w:rsidRPr="00950357">
        <w:rPr>
          <w:rFonts w:eastAsia="Calibri" w:cs="Times New Roman"/>
          <w:color w:val="000000"/>
          <w:kern w:val="2"/>
          <w14:ligatures w14:val="standardContextual"/>
        </w:rPr>
        <w:t xml:space="preserve"> and Kolhatkar, 2000)</w:t>
      </w:r>
    </w:p>
    <w:p w14:paraId="44433275" w14:textId="77777777" w:rsidR="00950357" w:rsidRPr="00950357" w:rsidRDefault="00950357" w:rsidP="00950357">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The slides were examined under a light microscope and photomicrographs were taken.</w:t>
      </w:r>
    </w:p>
    <w:p w14:paraId="66E6DC4E" w14:textId="77777777" w:rsidR="00E753AC" w:rsidRDefault="00E753AC" w:rsidP="00950357">
      <w:pPr>
        <w:spacing w:after="0" w:line="480" w:lineRule="auto"/>
        <w:rPr>
          <w:rFonts w:eastAsia="Calibri" w:cs="Times New Roman"/>
          <w:color w:val="000000"/>
          <w:kern w:val="2"/>
          <w14:ligatures w14:val="standardContextual"/>
        </w:rPr>
      </w:pPr>
    </w:p>
    <w:p w14:paraId="2EA09652" w14:textId="77777777" w:rsidR="00E753AC" w:rsidRDefault="00E753AC" w:rsidP="00950357">
      <w:pPr>
        <w:spacing w:after="0" w:line="480" w:lineRule="auto"/>
        <w:rPr>
          <w:rFonts w:eastAsia="Calibri" w:cs="Times New Roman"/>
          <w:color w:val="000000"/>
          <w:kern w:val="2"/>
          <w14:ligatures w14:val="standardContextual"/>
        </w:rPr>
      </w:pPr>
    </w:p>
    <w:p w14:paraId="3F2A9EC1" w14:textId="77777777" w:rsidR="00E753AC" w:rsidRDefault="00E753AC" w:rsidP="00950357">
      <w:pPr>
        <w:spacing w:after="0" w:line="480" w:lineRule="auto"/>
        <w:rPr>
          <w:rFonts w:eastAsia="Calibri" w:cs="Times New Roman"/>
          <w:color w:val="000000"/>
          <w:kern w:val="2"/>
          <w14:ligatures w14:val="standardContextual"/>
        </w:rPr>
      </w:pPr>
    </w:p>
    <w:p w14:paraId="1AF4E121" w14:textId="77777777" w:rsidR="00E753AC" w:rsidRDefault="00E753AC" w:rsidP="00950357">
      <w:pPr>
        <w:spacing w:after="0" w:line="480" w:lineRule="auto"/>
        <w:rPr>
          <w:rFonts w:eastAsia="Calibri" w:cs="Times New Roman"/>
          <w:color w:val="000000"/>
          <w:kern w:val="2"/>
          <w14:ligatures w14:val="standardContextual"/>
        </w:rPr>
      </w:pPr>
    </w:p>
    <w:p w14:paraId="64C8A57C" w14:textId="77777777" w:rsidR="00E753AC" w:rsidRDefault="00E753AC" w:rsidP="00950357">
      <w:pPr>
        <w:spacing w:after="0" w:line="480" w:lineRule="auto"/>
        <w:rPr>
          <w:rFonts w:eastAsia="Calibri" w:cs="Times New Roman"/>
          <w:color w:val="000000"/>
          <w:kern w:val="2"/>
          <w14:ligatures w14:val="standardContextual"/>
        </w:rPr>
      </w:pPr>
    </w:p>
    <w:p w14:paraId="7F848AE8" w14:textId="77777777" w:rsidR="00E753AC" w:rsidRDefault="00E753AC" w:rsidP="00950357">
      <w:pPr>
        <w:spacing w:after="0" w:line="480" w:lineRule="auto"/>
        <w:rPr>
          <w:rFonts w:eastAsia="Calibri" w:cs="Times New Roman"/>
          <w:color w:val="000000"/>
          <w:kern w:val="2"/>
          <w14:ligatures w14:val="standardContextual"/>
        </w:rPr>
      </w:pPr>
    </w:p>
    <w:p w14:paraId="0280F4F5" w14:textId="77777777" w:rsidR="00E753AC" w:rsidRDefault="00E753AC" w:rsidP="00950357">
      <w:pPr>
        <w:spacing w:after="0" w:line="480" w:lineRule="auto"/>
        <w:rPr>
          <w:rFonts w:eastAsia="Calibri" w:cs="Times New Roman"/>
          <w:color w:val="000000"/>
          <w:kern w:val="2"/>
          <w14:ligatures w14:val="standardContextual"/>
        </w:rPr>
      </w:pPr>
    </w:p>
    <w:p w14:paraId="07694AED" w14:textId="77777777" w:rsidR="00E753AC" w:rsidRDefault="00E753AC" w:rsidP="00950357">
      <w:pPr>
        <w:spacing w:after="0" w:line="480" w:lineRule="auto"/>
        <w:rPr>
          <w:rFonts w:eastAsia="Calibri" w:cs="Times New Roman"/>
          <w:color w:val="000000"/>
          <w:kern w:val="2"/>
          <w14:ligatures w14:val="standardContextual"/>
        </w:rPr>
      </w:pPr>
    </w:p>
    <w:p w14:paraId="6535440F" w14:textId="77777777" w:rsidR="00E753AC" w:rsidRDefault="00E753AC" w:rsidP="00950357">
      <w:pPr>
        <w:spacing w:after="0" w:line="480" w:lineRule="auto"/>
        <w:rPr>
          <w:rFonts w:eastAsia="Calibri" w:cs="Times New Roman"/>
          <w:color w:val="000000"/>
          <w:kern w:val="2"/>
          <w14:ligatures w14:val="standardContextual"/>
        </w:rPr>
      </w:pPr>
    </w:p>
    <w:p w14:paraId="34C05100" w14:textId="77777777" w:rsidR="00E753AC" w:rsidRDefault="00E753AC" w:rsidP="00950357">
      <w:pPr>
        <w:spacing w:after="0" w:line="480" w:lineRule="auto"/>
        <w:rPr>
          <w:rFonts w:eastAsia="Calibri" w:cs="Times New Roman"/>
          <w:color w:val="000000"/>
          <w:kern w:val="2"/>
          <w14:ligatures w14:val="standardContextual"/>
        </w:rPr>
      </w:pPr>
    </w:p>
    <w:p w14:paraId="2E392800" w14:textId="77777777" w:rsidR="00E753AC" w:rsidRDefault="00E753AC" w:rsidP="00950357">
      <w:pPr>
        <w:spacing w:after="0" w:line="480" w:lineRule="auto"/>
        <w:rPr>
          <w:rFonts w:eastAsia="Calibri" w:cs="Times New Roman"/>
          <w:color w:val="000000"/>
          <w:kern w:val="2"/>
          <w14:ligatures w14:val="standardContextual"/>
        </w:rPr>
      </w:pPr>
    </w:p>
    <w:p w14:paraId="437ABEBC" w14:textId="77777777" w:rsidR="00E753AC" w:rsidRDefault="00E753AC" w:rsidP="00950357">
      <w:pPr>
        <w:spacing w:after="0" w:line="480" w:lineRule="auto"/>
        <w:rPr>
          <w:rFonts w:eastAsia="Calibri" w:cs="Times New Roman"/>
          <w:color w:val="000000"/>
          <w:kern w:val="2"/>
          <w14:ligatures w14:val="standardContextual"/>
        </w:rPr>
      </w:pPr>
    </w:p>
    <w:p w14:paraId="5CD63261" w14:textId="4BE9034F" w:rsidR="00E753AC" w:rsidRPr="00E753AC" w:rsidRDefault="00E753AC" w:rsidP="00950357">
      <w:pPr>
        <w:spacing w:after="0" w:line="480" w:lineRule="auto"/>
        <w:rPr>
          <w:rFonts w:eastAsia="Calibri" w:cs="Times New Roman"/>
          <w:b/>
          <w:bCs/>
          <w:color w:val="000000"/>
          <w:kern w:val="2"/>
          <w14:ligatures w14:val="standardContextual"/>
        </w:rPr>
      </w:pPr>
      <w:r w:rsidRPr="00E753AC">
        <w:rPr>
          <w:rFonts w:eastAsia="Calibri" w:cs="Times New Roman"/>
          <w:b/>
          <w:bCs/>
          <w:color w:val="000000"/>
          <w:kern w:val="2"/>
          <w14:ligatures w14:val="standardContextual"/>
        </w:rPr>
        <w:lastRenderedPageBreak/>
        <w:t>RESULTS</w:t>
      </w:r>
      <w:r w:rsidR="00A1433F">
        <w:rPr>
          <w:rFonts w:eastAsia="Calibri" w:cs="Times New Roman"/>
          <w:b/>
          <w:bCs/>
          <w:color w:val="000000"/>
          <w:kern w:val="2"/>
          <w14:ligatures w14:val="standardContextual"/>
        </w:rPr>
        <w:t xml:space="preserve"> &amp;</w:t>
      </w:r>
      <w:r w:rsidR="00A1433F" w:rsidRPr="00A1433F">
        <w:t xml:space="preserve"> </w:t>
      </w:r>
      <w:r w:rsidR="00A1433F" w:rsidRPr="00A1433F">
        <w:rPr>
          <w:rFonts w:eastAsia="Calibri" w:cs="Times New Roman"/>
          <w:b/>
          <w:bCs/>
          <w:color w:val="000000"/>
          <w:kern w:val="2"/>
          <w14:ligatures w14:val="standardContextual"/>
        </w:rPr>
        <w:t>DISCUSSION</w:t>
      </w:r>
    </w:p>
    <w:p w14:paraId="7CB7827B"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4E690D9B" wp14:editId="2D8B168E">
            <wp:extent cx="5603358" cy="3111963"/>
            <wp:effectExtent l="0" t="0" r="0" b="0"/>
            <wp:docPr id="183614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1630" name=""/>
                    <pic:cNvPicPr/>
                  </pic:nvPicPr>
                  <pic:blipFill>
                    <a:blip r:embed="rId7"/>
                    <a:stretch>
                      <a:fillRect/>
                    </a:stretch>
                  </pic:blipFill>
                  <pic:spPr>
                    <a:xfrm>
                      <a:off x="0" y="0"/>
                      <a:ext cx="5620517" cy="3121492"/>
                    </a:xfrm>
                    <a:prstGeom prst="rect">
                      <a:avLst/>
                    </a:prstGeom>
                  </pic:spPr>
                </pic:pic>
              </a:graphicData>
            </a:graphic>
          </wp:inline>
        </w:drawing>
      </w:r>
    </w:p>
    <w:p w14:paraId="2715930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359C691" wp14:editId="2B86BBD1">
            <wp:extent cx="5465135" cy="3033238"/>
            <wp:effectExtent l="0" t="0" r="2540" b="0"/>
            <wp:docPr id="167612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22469" name=""/>
                    <pic:cNvPicPr/>
                  </pic:nvPicPr>
                  <pic:blipFill>
                    <a:blip r:embed="rId8"/>
                    <a:stretch>
                      <a:fillRect/>
                    </a:stretch>
                  </pic:blipFill>
                  <pic:spPr>
                    <a:xfrm>
                      <a:off x="0" y="0"/>
                      <a:ext cx="5478830" cy="3040839"/>
                    </a:xfrm>
                    <a:prstGeom prst="rect">
                      <a:avLst/>
                    </a:prstGeom>
                  </pic:spPr>
                </pic:pic>
              </a:graphicData>
            </a:graphic>
          </wp:inline>
        </w:drawing>
      </w:r>
    </w:p>
    <w:p w14:paraId="01B583FB" w14:textId="4F09B04B"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Pr>
          <w:rFonts w:eastAsia="Calibri" w:cs="Times New Roman"/>
          <w:color w:val="000000"/>
          <w:kern w:val="2"/>
          <w14:ligatures w14:val="standardContextual"/>
        </w:rPr>
        <w:t xml:space="preserve">Figure 1. </w:t>
      </w:r>
      <w:r w:rsidR="00950357" w:rsidRPr="00950357">
        <w:rPr>
          <w:rFonts w:eastAsia="Calibri" w:cs="Times New Roman"/>
          <w:color w:val="000000"/>
          <w:kern w:val="2"/>
          <w14:ligatures w14:val="standardContextual"/>
        </w:rPr>
        <w:t xml:space="preserve">Group A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2B94D5E7"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p>
    <w:p w14:paraId="09AD447C"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p>
    <w:p w14:paraId="57290224"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57AF7D87" wp14:editId="026F75F2">
            <wp:extent cx="5905500" cy="3276600"/>
            <wp:effectExtent l="0" t="0" r="0" b="0"/>
            <wp:docPr id="745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9214" name=""/>
                    <pic:cNvPicPr/>
                  </pic:nvPicPr>
                  <pic:blipFill>
                    <a:blip r:embed="rId9"/>
                    <a:stretch>
                      <a:fillRect/>
                    </a:stretch>
                  </pic:blipFill>
                  <pic:spPr>
                    <a:xfrm>
                      <a:off x="0" y="0"/>
                      <a:ext cx="5905500" cy="3276600"/>
                    </a:xfrm>
                    <a:prstGeom prst="rect">
                      <a:avLst/>
                    </a:prstGeom>
                  </pic:spPr>
                </pic:pic>
              </a:graphicData>
            </a:graphic>
          </wp:inline>
        </w:drawing>
      </w:r>
    </w:p>
    <w:p w14:paraId="5B4408A7"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090C667C" wp14:editId="3BC464E9">
            <wp:extent cx="5772150" cy="3190875"/>
            <wp:effectExtent l="0" t="0" r="0" b="9525"/>
            <wp:docPr id="162983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31673" name=""/>
                    <pic:cNvPicPr/>
                  </pic:nvPicPr>
                  <pic:blipFill>
                    <a:blip r:embed="rId10"/>
                    <a:stretch>
                      <a:fillRect/>
                    </a:stretch>
                  </pic:blipFill>
                  <pic:spPr>
                    <a:xfrm>
                      <a:off x="0" y="0"/>
                      <a:ext cx="5772150" cy="3190875"/>
                    </a:xfrm>
                    <a:prstGeom prst="rect">
                      <a:avLst/>
                    </a:prstGeom>
                  </pic:spPr>
                </pic:pic>
              </a:graphicData>
            </a:graphic>
          </wp:inline>
        </w:drawing>
      </w:r>
    </w:p>
    <w:p w14:paraId="5C0CC5E2" w14:textId="65714BC6"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2. </w:t>
      </w:r>
      <w:r w:rsidR="00950357" w:rsidRPr="00950357">
        <w:rPr>
          <w:rFonts w:eastAsia="Calibri" w:cs="Times New Roman"/>
          <w:color w:val="000000"/>
          <w:kern w:val="2"/>
          <w14:ligatures w14:val="standardContextual"/>
        </w:rPr>
        <w:t xml:space="preserve">Group B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7110596C"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1B437AC6"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78602283" wp14:editId="1B18F161">
            <wp:extent cx="5800725" cy="3171825"/>
            <wp:effectExtent l="0" t="0" r="9525" b="9525"/>
            <wp:docPr id="36195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51217" name=""/>
                    <pic:cNvPicPr/>
                  </pic:nvPicPr>
                  <pic:blipFill>
                    <a:blip r:embed="rId11"/>
                    <a:stretch>
                      <a:fillRect/>
                    </a:stretch>
                  </pic:blipFill>
                  <pic:spPr>
                    <a:xfrm>
                      <a:off x="0" y="0"/>
                      <a:ext cx="5800725" cy="3171825"/>
                    </a:xfrm>
                    <a:prstGeom prst="rect">
                      <a:avLst/>
                    </a:prstGeom>
                  </pic:spPr>
                </pic:pic>
              </a:graphicData>
            </a:graphic>
          </wp:inline>
        </w:drawing>
      </w:r>
    </w:p>
    <w:p w14:paraId="06C9BF3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6F0DE65" wp14:editId="01909F76">
            <wp:extent cx="5819775" cy="3209925"/>
            <wp:effectExtent l="0" t="0" r="9525" b="9525"/>
            <wp:docPr id="114689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7630" name=""/>
                    <pic:cNvPicPr/>
                  </pic:nvPicPr>
                  <pic:blipFill>
                    <a:blip r:embed="rId12"/>
                    <a:stretch>
                      <a:fillRect/>
                    </a:stretch>
                  </pic:blipFill>
                  <pic:spPr>
                    <a:xfrm>
                      <a:off x="0" y="0"/>
                      <a:ext cx="5819775" cy="3209925"/>
                    </a:xfrm>
                    <a:prstGeom prst="rect">
                      <a:avLst/>
                    </a:prstGeom>
                  </pic:spPr>
                </pic:pic>
              </a:graphicData>
            </a:graphic>
          </wp:inline>
        </w:drawing>
      </w:r>
    </w:p>
    <w:p w14:paraId="04B89CA9" w14:textId="30D3BFFD"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3. </w:t>
      </w:r>
      <w:r w:rsidR="00950357" w:rsidRPr="00950357">
        <w:rPr>
          <w:rFonts w:eastAsia="Calibri" w:cs="Times New Roman"/>
          <w:color w:val="000000"/>
          <w:kern w:val="2"/>
          <w14:ligatures w14:val="standardContextual"/>
        </w:rPr>
        <w:t xml:space="preserve">Group C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395EBB6A"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024897F2"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mc:AlternateContent>
          <mc:Choice Requires="wps">
            <w:drawing>
              <wp:anchor distT="0" distB="0" distL="114300" distR="114300" simplePos="0" relativeHeight="251660288" behindDoc="0" locked="0" layoutInCell="1" allowOverlap="1" wp14:anchorId="24423262" wp14:editId="1A939C24">
                <wp:simplePos x="0" y="0"/>
                <wp:positionH relativeFrom="column">
                  <wp:posOffset>296297</wp:posOffset>
                </wp:positionH>
                <wp:positionV relativeFrom="paragraph">
                  <wp:posOffset>1984893</wp:posOffset>
                </wp:positionV>
                <wp:extent cx="489386" cy="45719"/>
                <wp:effectExtent l="0" t="152400" r="0" b="145415"/>
                <wp:wrapNone/>
                <wp:docPr id="1084591459" name="Right Arrow 1084591459"/>
                <wp:cNvGraphicFramePr/>
                <a:graphic xmlns:a="http://schemas.openxmlformats.org/drawingml/2006/main">
                  <a:graphicData uri="http://schemas.microsoft.com/office/word/2010/wordprocessingShape">
                    <wps:wsp>
                      <wps:cNvSpPr/>
                      <wps:spPr>
                        <a:xfrm rot="19529705">
                          <a:off x="0" y="0"/>
                          <a:ext cx="489386" cy="45719"/>
                        </a:xfrm>
                        <a:prstGeom prs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4B49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4591459" o:spid="_x0000_s1026" type="#_x0000_t13" style="position:absolute;margin-left:23.35pt;margin-top:156.3pt;width:38.55pt;height:3.6pt;rotation:-226131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" adj="20591" fillcolor="yellow"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2BD9DB72" wp14:editId="5FC475BF">
            <wp:extent cx="5848350" cy="3238500"/>
            <wp:effectExtent l="0" t="0" r="0" b="0"/>
            <wp:docPr id="195828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1334" name=""/>
                    <pic:cNvPicPr/>
                  </pic:nvPicPr>
                  <pic:blipFill>
                    <a:blip r:embed="rId13"/>
                    <a:stretch>
                      <a:fillRect/>
                    </a:stretch>
                  </pic:blipFill>
                  <pic:spPr>
                    <a:xfrm>
                      <a:off x="0" y="0"/>
                      <a:ext cx="5848350" cy="3238500"/>
                    </a:xfrm>
                    <a:prstGeom prst="rect">
                      <a:avLst/>
                    </a:prstGeom>
                  </pic:spPr>
                </pic:pic>
              </a:graphicData>
            </a:graphic>
          </wp:inline>
        </w:drawing>
      </w:r>
    </w:p>
    <w:p w14:paraId="35F9C880" w14:textId="77777777" w:rsidR="00950357" w:rsidRPr="00950357" w:rsidRDefault="00950357" w:rsidP="00950357">
      <w:pPr>
        <w:tabs>
          <w:tab w:val="left" w:pos="3660"/>
        </w:tabs>
        <w:spacing w:after="0" w:line="480" w:lineRule="auto"/>
        <w:rPr>
          <w:rFonts w:eastAsia="Calibri" w:cs="Times New Roman"/>
          <w:color w:val="000000"/>
          <w:kern w:val="2"/>
          <w14:ligatures w14:val="standardContextual"/>
        </w:rPr>
      </w:pPr>
      <w:r w:rsidRPr="00950357">
        <w:rPr>
          <w:rFonts w:eastAsia="Calibri" w:cs="Times New Roman"/>
          <w:noProof/>
          <w:color w:val="000000"/>
          <w:kern w:val="2"/>
          <w14:ligatures w14:val="standardContextual"/>
        </w:rPr>
        <mc:AlternateContent>
          <mc:Choice Requires="wps">
            <w:drawing>
              <wp:anchor distT="0" distB="0" distL="114300" distR="114300" simplePos="0" relativeHeight="251659264" behindDoc="0" locked="0" layoutInCell="1" allowOverlap="1" wp14:anchorId="0EE613F8" wp14:editId="2B98B85C">
                <wp:simplePos x="0" y="0"/>
                <wp:positionH relativeFrom="column">
                  <wp:posOffset>389467</wp:posOffset>
                </wp:positionH>
                <wp:positionV relativeFrom="paragraph">
                  <wp:posOffset>1473623</wp:posOffset>
                </wp:positionV>
                <wp:extent cx="410633" cy="84667"/>
                <wp:effectExtent l="0" t="19050" r="46990" b="29845"/>
                <wp:wrapNone/>
                <wp:docPr id="1084591458" name="Right Arrow 1084591458"/>
                <wp:cNvGraphicFramePr/>
                <a:graphic xmlns:a="http://schemas.openxmlformats.org/drawingml/2006/main">
                  <a:graphicData uri="http://schemas.microsoft.com/office/word/2010/wordprocessingShape">
                    <wps:wsp>
                      <wps:cNvSpPr/>
                      <wps:spPr>
                        <a:xfrm>
                          <a:off x="0" y="0"/>
                          <a:ext cx="410633" cy="84667"/>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CD5D88" id="Right Arrow 1084591458" o:spid="_x0000_s1026" type="#_x0000_t13" style="position:absolute;margin-left:30.65pt;margin-top:116.05pt;width:32.35pt;height: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" adj="19373" fillcolor="red"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1CE55BCB" wp14:editId="25FF4155">
            <wp:extent cx="5848350" cy="3228975"/>
            <wp:effectExtent l="0" t="0" r="0" b="9525"/>
            <wp:docPr id="155248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6651" name=""/>
                    <pic:cNvPicPr/>
                  </pic:nvPicPr>
                  <pic:blipFill>
                    <a:blip r:embed="rId14"/>
                    <a:stretch>
                      <a:fillRect/>
                    </a:stretch>
                  </pic:blipFill>
                  <pic:spPr>
                    <a:xfrm>
                      <a:off x="0" y="0"/>
                      <a:ext cx="5848350" cy="3228975"/>
                    </a:xfrm>
                    <a:prstGeom prst="rect">
                      <a:avLst/>
                    </a:prstGeom>
                  </pic:spPr>
                </pic:pic>
              </a:graphicData>
            </a:graphic>
          </wp:inline>
        </w:drawing>
      </w:r>
    </w:p>
    <w:p w14:paraId="4A8DA913" w14:textId="6FD7C2AA" w:rsidR="00950357" w:rsidRPr="00950357" w:rsidRDefault="00A1433F" w:rsidP="00950357">
      <w:pPr>
        <w:tabs>
          <w:tab w:val="left" w:pos="3660"/>
        </w:tabs>
        <w:spacing w:after="0" w:line="480" w:lineRule="auto"/>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4. </w:t>
      </w:r>
      <w:r w:rsidR="00950357" w:rsidRPr="00950357">
        <w:rPr>
          <w:rFonts w:eastAsia="Calibri" w:cs="Times New Roman"/>
          <w:color w:val="000000"/>
          <w:kern w:val="2"/>
          <w14:ligatures w14:val="standardContextual"/>
        </w:rPr>
        <w:t xml:space="preserve">Group D mice Small intestine with distorted architecture showing damaged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(yellow) and region of hemorrhage (red)       </w:t>
      </w:r>
    </w:p>
    <w:p w14:paraId="379C0ED3"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78F19515" w14:textId="586E4994" w:rsidR="00950357" w:rsidRPr="00950357" w:rsidRDefault="00A1433F" w:rsidP="00950357">
      <w:pPr>
        <w:spacing w:after="0" w:line="480" w:lineRule="auto"/>
        <w:jc w:val="center"/>
        <w:rPr>
          <w:rFonts w:eastAsia="Calibri" w:cs="Times New Roman"/>
          <w:color w:val="000000"/>
          <w:kern w:val="2"/>
          <w14:ligatures w14:val="standardContextual"/>
        </w:rPr>
      </w:pPr>
      <w:r>
        <w:rPr>
          <w:rFonts w:eastAsia="Calibri" w:cs="Times New Roman"/>
          <w:color w:val="000000"/>
          <w:kern w:val="2"/>
          <w14:ligatures w14:val="standardContextual"/>
        </w:rPr>
        <w:lastRenderedPageBreak/>
        <w:t xml:space="preserve">Table 1. </w:t>
      </w:r>
      <w:r w:rsidR="00950357" w:rsidRPr="00950357">
        <w:rPr>
          <w:rFonts w:eastAsia="Calibri" w:cs="Times New Roman"/>
          <w:color w:val="000000"/>
          <w:kern w:val="2"/>
          <w14:ligatures w14:val="standardContextual"/>
        </w:rPr>
        <w:t xml:space="preserve">Histology summary report </w:t>
      </w:r>
    </w:p>
    <w:tbl>
      <w:tblPr>
        <w:tblStyle w:val="TableGrid"/>
        <w:tblW w:w="0" w:type="auto"/>
        <w:tblLook w:val="04A0" w:firstRow="1" w:lastRow="0" w:firstColumn="1" w:lastColumn="0" w:noHBand="0" w:noVBand="1"/>
      </w:tblPr>
      <w:tblGrid>
        <w:gridCol w:w="4675"/>
        <w:gridCol w:w="4675"/>
      </w:tblGrid>
      <w:tr w:rsidR="00950357" w:rsidRPr="00950357" w14:paraId="6652C5A5" w14:textId="77777777" w:rsidTr="00F36643">
        <w:tc>
          <w:tcPr>
            <w:tcW w:w="4675" w:type="dxa"/>
          </w:tcPr>
          <w:p w14:paraId="66F13E10"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Groups</w:t>
            </w:r>
          </w:p>
        </w:tc>
        <w:tc>
          <w:tcPr>
            <w:tcW w:w="4675" w:type="dxa"/>
          </w:tcPr>
          <w:p w14:paraId="4FE6DA55"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Organ (small </w:t>
            </w:r>
            <w:proofErr w:type="gramStart"/>
            <w:r w:rsidRPr="00950357">
              <w:rPr>
                <w:rFonts w:eastAsia="Calibri" w:cs="Times New Roman"/>
                <w:color w:val="000000"/>
              </w:rPr>
              <w:t>intestine)Findings</w:t>
            </w:r>
            <w:proofErr w:type="gramEnd"/>
            <w:r w:rsidRPr="00950357">
              <w:rPr>
                <w:rFonts w:eastAsia="Calibri" w:cs="Times New Roman"/>
                <w:color w:val="000000"/>
              </w:rPr>
              <w:t xml:space="preserve"> </w:t>
            </w:r>
          </w:p>
        </w:tc>
      </w:tr>
      <w:tr w:rsidR="00950357" w:rsidRPr="00950357" w14:paraId="0B0A0EE2" w14:textId="77777777" w:rsidTr="00F36643">
        <w:tc>
          <w:tcPr>
            <w:tcW w:w="4675" w:type="dxa"/>
          </w:tcPr>
          <w:p w14:paraId="107531D2"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Group A: control (Water + feed)</w:t>
            </w:r>
          </w:p>
        </w:tc>
        <w:tc>
          <w:tcPr>
            <w:tcW w:w="4675" w:type="dxa"/>
          </w:tcPr>
          <w:p w14:paraId="7B0507D2" w14:textId="77777777" w:rsidR="00950357" w:rsidRPr="00950357" w:rsidRDefault="00950357" w:rsidP="00950357">
            <w:pPr>
              <w:tabs>
                <w:tab w:val="left" w:pos="3660"/>
              </w:tabs>
              <w:spacing w:line="480" w:lineRule="auto"/>
              <w:rPr>
                <w:rFonts w:eastAsia="Calibri" w:cs="Times New Roman"/>
                <w:color w:val="000000"/>
              </w:rPr>
            </w:pPr>
            <w:r w:rsidRPr="00950357">
              <w:rPr>
                <w:rFonts w:eastAsia="Calibri" w:cs="Times New Roman"/>
                <w:color w:val="000000"/>
              </w:rPr>
              <w:t xml:space="preserve">Group A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1C750AEF" w14:textId="77777777" w:rsidTr="00F36643">
        <w:tc>
          <w:tcPr>
            <w:tcW w:w="4675" w:type="dxa"/>
          </w:tcPr>
          <w:p w14:paraId="1BE9B6DD"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B: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 xml:space="preserve"> +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(2hrs later post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w:t>
            </w:r>
          </w:p>
        </w:tc>
        <w:tc>
          <w:tcPr>
            <w:tcW w:w="4675" w:type="dxa"/>
          </w:tcPr>
          <w:p w14:paraId="7019100D" w14:textId="77777777" w:rsidR="00950357" w:rsidRPr="00950357" w:rsidRDefault="00950357" w:rsidP="00950357">
            <w:pPr>
              <w:tabs>
                <w:tab w:val="left" w:pos="3660"/>
              </w:tabs>
              <w:spacing w:line="480" w:lineRule="auto"/>
              <w:rPr>
                <w:rFonts w:eastAsia="Calibri" w:cs="Times New Roman"/>
                <w:color w:val="000000"/>
              </w:rPr>
            </w:pPr>
            <w:r w:rsidRPr="00950357">
              <w:rPr>
                <w:rFonts w:eastAsia="Calibri" w:cs="Times New Roman"/>
                <w:color w:val="000000"/>
              </w:rPr>
              <w:t xml:space="preserve">Group B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p w14:paraId="0C89C5C7" w14:textId="77777777" w:rsidR="00950357" w:rsidRPr="00950357" w:rsidRDefault="00950357" w:rsidP="00950357">
            <w:pPr>
              <w:spacing w:line="480" w:lineRule="auto"/>
              <w:rPr>
                <w:rFonts w:eastAsia="Calibri" w:cs="Times New Roman"/>
                <w:color w:val="000000"/>
              </w:rPr>
            </w:pPr>
          </w:p>
        </w:tc>
      </w:tr>
      <w:tr w:rsidR="00950357" w:rsidRPr="00950357" w14:paraId="55861569" w14:textId="77777777" w:rsidTr="00F36643">
        <w:tc>
          <w:tcPr>
            <w:tcW w:w="4675" w:type="dxa"/>
          </w:tcPr>
          <w:p w14:paraId="513129AC"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C: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 </w:t>
            </w:r>
            <w:proofErr w:type="spellStart"/>
            <w:r w:rsidRPr="00950357">
              <w:rPr>
                <w:rFonts w:eastAsia="Calibri" w:cs="Times New Roman"/>
                <w:color w:val="000000"/>
              </w:rPr>
              <w:t>Elaesis</w:t>
            </w:r>
            <w:proofErr w:type="spellEnd"/>
            <w:r w:rsidRPr="00950357">
              <w:rPr>
                <w:rFonts w:eastAsia="Calibri" w:cs="Times New Roman"/>
                <w:color w:val="000000"/>
              </w:rPr>
              <w:t xml:space="preserve"> guineensis (2hrs later post </w:t>
            </w:r>
            <w:proofErr w:type="spellStart"/>
            <w:r w:rsidRPr="00950357">
              <w:rPr>
                <w:rFonts w:eastAsia="Calibri" w:cs="Times New Roman"/>
                <w:color w:val="000000"/>
              </w:rPr>
              <w:t>Diazepan</w:t>
            </w:r>
            <w:proofErr w:type="spellEnd"/>
            <w:r w:rsidRPr="00950357">
              <w:rPr>
                <w:rFonts w:eastAsia="Calibri" w:cs="Times New Roman"/>
                <w:color w:val="000000"/>
              </w:rPr>
              <w:t>)</w:t>
            </w:r>
          </w:p>
        </w:tc>
        <w:tc>
          <w:tcPr>
            <w:tcW w:w="4675" w:type="dxa"/>
          </w:tcPr>
          <w:p w14:paraId="661883D3"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6F4CB914" w14:textId="77777777" w:rsidTr="00F36643">
        <w:tc>
          <w:tcPr>
            <w:tcW w:w="4675" w:type="dxa"/>
          </w:tcPr>
          <w:p w14:paraId="13F03C3B"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Group D: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w:t>
            </w:r>
          </w:p>
        </w:tc>
        <w:tc>
          <w:tcPr>
            <w:tcW w:w="4675" w:type="dxa"/>
          </w:tcPr>
          <w:p w14:paraId="02436A2C" w14:textId="77777777" w:rsidR="00950357" w:rsidRPr="00950357" w:rsidRDefault="00950357" w:rsidP="00950357">
            <w:pPr>
              <w:spacing w:line="480" w:lineRule="auto"/>
              <w:rPr>
                <w:rFonts w:eastAsia="Calibri" w:cs="Times New Roman"/>
                <w:color w:val="000000"/>
              </w:rPr>
            </w:pPr>
            <w:r w:rsidRPr="00950357">
              <w:rPr>
                <w:rFonts w:eastAsia="Calibri" w:cs="Times New Roman"/>
                <w:color w:val="000000"/>
              </w:rPr>
              <w:t xml:space="preserve">Small intestine with distorted architecture showing damaged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(yellow) and region of hemorrhage (</w:t>
            </w:r>
            <w:proofErr w:type="gramStart"/>
            <w:r w:rsidRPr="00950357">
              <w:rPr>
                <w:rFonts w:eastAsia="Calibri" w:cs="Times New Roman"/>
                <w:color w:val="000000"/>
              </w:rPr>
              <w:t xml:space="preserve">red)   </w:t>
            </w:r>
            <w:proofErr w:type="gramEnd"/>
            <w:r w:rsidRPr="00950357">
              <w:rPr>
                <w:rFonts w:eastAsia="Calibri" w:cs="Times New Roman"/>
                <w:color w:val="000000"/>
              </w:rPr>
              <w:t xml:space="preserve">    </w:t>
            </w:r>
          </w:p>
        </w:tc>
      </w:tr>
    </w:tbl>
    <w:p w14:paraId="6D651CB7" w14:textId="77777777" w:rsidR="00950357" w:rsidRPr="00950357" w:rsidRDefault="00950357" w:rsidP="00950357">
      <w:pPr>
        <w:spacing w:after="0" w:line="480" w:lineRule="auto"/>
        <w:rPr>
          <w:rFonts w:eastAsia="Calibri" w:cs="Times New Roman"/>
          <w:color w:val="000000"/>
          <w:kern w:val="2"/>
          <w14:ligatures w14:val="standardContextual"/>
        </w:rPr>
      </w:pPr>
    </w:p>
    <w:p w14:paraId="5B0B9157" w14:textId="77777777" w:rsidR="00950357" w:rsidRPr="00950357" w:rsidRDefault="00950357" w:rsidP="00950357">
      <w:pPr>
        <w:spacing w:after="0" w:line="480" w:lineRule="auto"/>
        <w:rPr>
          <w:rFonts w:eastAsia="Calibri" w:cs="Times New Roman"/>
          <w:color w:val="000000"/>
          <w:kern w:val="2"/>
          <w14:ligatures w14:val="standardContextual"/>
        </w:rPr>
      </w:pPr>
    </w:p>
    <w:p w14:paraId="65D38FFE" w14:textId="77777777" w:rsidR="00950357" w:rsidRPr="00950357" w:rsidRDefault="00950357" w:rsidP="00950357">
      <w:pPr>
        <w:spacing w:after="0" w:line="480" w:lineRule="auto"/>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63FCA509"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The present study investigated the ameliorative and protective potential of </w:t>
      </w:r>
      <w:r w:rsidRPr="00950357">
        <w:rPr>
          <w:rFonts w:eastAsia="Times New Roman" w:cs="Times New Roman"/>
          <w:i/>
          <w:iCs/>
          <w:color w:val="000000"/>
        </w:rPr>
        <w:t>Elaeis guineensis</w:t>
      </w:r>
      <w:r w:rsidRPr="00950357">
        <w:rPr>
          <w:rFonts w:eastAsia="Times New Roman" w:cs="Times New Roman"/>
          <w:color w:val="000000"/>
        </w:rPr>
        <w:t xml:space="preserve"> on the histology of the small intestine of adult mice exposed to diazepam-induced toxicity. Although diazepam is primarily a central nervous system depressant, systemic exposure has been associated with gastrointestinal mucosal injury through oxidative stress, altered intestinal motility, vascular compromise, and disruption of mucosal barrier integrity. The histological findings across the experimental groups demonstrate that </w:t>
      </w:r>
      <w:r w:rsidRPr="00950357">
        <w:rPr>
          <w:rFonts w:eastAsia="Times New Roman" w:cs="Times New Roman"/>
          <w:i/>
          <w:iCs/>
          <w:color w:val="000000"/>
        </w:rPr>
        <w:t>Elaeis guineensis</w:t>
      </w:r>
      <w:r w:rsidRPr="00950357">
        <w:rPr>
          <w:rFonts w:eastAsia="Times New Roman" w:cs="Times New Roman"/>
          <w:color w:val="000000"/>
        </w:rPr>
        <w:t xml:space="preserve"> significantly modulates diazepam-induced intestinal injury, particularly by preserving mucosal architecture.</w:t>
      </w:r>
    </w:p>
    <w:p w14:paraId="6E543C9C"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control group showed normal small-intestine architecture with clearly defined muscularis mucosa and intact mucosal layers. This finding reflects normal epithelial turnover, preserved villus structure, and adequate vascular supply. Similar normal histological features of the small intestine in untreated adult mice have been reported by Adeyemi </w:t>
      </w:r>
      <w:r w:rsidRPr="00950357">
        <w:rPr>
          <w:rFonts w:eastAsia="Times New Roman" w:cs="Times New Roman"/>
          <w:i/>
          <w:color w:val="000000"/>
        </w:rPr>
        <w:t>et al</w:t>
      </w:r>
      <w:r w:rsidRPr="00950357">
        <w:rPr>
          <w:rFonts w:eastAsia="Times New Roman" w:cs="Times New Roman"/>
          <w:color w:val="000000"/>
        </w:rPr>
        <w:t xml:space="preserve">. (2021) and Okafor </w:t>
      </w:r>
      <w:r w:rsidRPr="00950357">
        <w:rPr>
          <w:rFonts w:eastAsia="Times New Roman" w:cs="Times New Roman"/>
          <w:i/>
          <w:color w:val="000000"/>
        </w:rPr>
        <w:t>et al</w:t>
      </w:r>
      <w:r w:rsidRPr="00950357">
        <w:rPr>
          <w:rFonts w:eastAsia="Times New Roman" w:cs="Times New Roman"/>
          <w:color w:val="000000"/>
        </w:rPr>
        <w:t>. (2022), confirming that the experimental conditions did not independently induce intestinal damage.</w:t>
      </w:r>
    </w:p>
    <w:p w14:paraId="30A61BF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B demonstrated normal intestinal architecture comparable to the control group, with well-preserved muscularis mucosa and mucosal regions. This indicates that pre-treatment with </w:t>
      </w:r>
      <w:r w:rsidRPr="00950357">
        <w:rPr>
          <w:rFonts w:eastAsia="Times New Roman" w:cs="Times New Roman"/>
          <w:i/>
          <w:iCs/>
          <w:color w:val="000000"/>
        </w:rPr>
        <w:t>Elaeis guineensis</w:t>
      </w:r>
      <w:r w:rsidRPr="00950357">
        <w:rPr>
          <w:rFonts w:eastAsia="Times New Roman" w:cs="Times New Roman"/>
          <w:color w:val="000000"/>
        </w:rPr>
        <w:t xml:space="preserve"> effectively protected the intestinal mucosa from diazepam-induced injury.</w:t>
      </w:r>
    </w:p>
    <w:p w14:paraId="6F8ABC59"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i/>
          <w:iCs/>
          <w:color w:val="000000"/>
        </w:rPr>
        <w:t>Elaeis guineensis</w:t>
      </w:r>
      <w:r w:rsidRPr="00950357">
        <w:rPr>
          <w:rFonts w:eastAsia="Times New Roman" w:cs="Times New Roman"/>
          <w:color w:val="000000"/>
        </w:rPr>
        <w:t xml:space="preserve"> contains bioactive compounds such as tocopherols, tocotrienols, carotenoids, and phenolic antioxidants, which are known to reduce oxidative stress, stabilize epithelial cell membranes, and enhance mucosal defense mechanisms. The absence of architectural distortion or hemorrhage suggests that these compounds maintained intestinal barrier integrity and prevented vascular leakage. In close similarity, Salami </w:t>
      </w:r>
      <w:r w:rsidRPr="00950357">
        <w:rPr>
          <w:rFonts w:eastAsia="Times New Roman" w:cs="Times New Roman"/>
          <w:i/>
          <w:color w:val="000000"/>
        </w:rPr>
        <w:t>et al</w:t>
      </w:r>
      <w:r w:rsidRPr="00950357">
        <w:rPr>
          <w:rFonts w:eastAsia="Times New Roman" w:cs="Times New Roman"/>
          <w:color w:val="000000"/>
        </w:rPr>
        <w:t xml:space="preserve">. (2021) and Adebayo </w:t>
      </w:r>
      <w:r w:rsidRPr="00950357">
        <w:rPr>
          <w:rFonts w:eastAsia="Times New Roman" w:cs="Times New Roman"/>
          <w:i/>
          <w:color w:val="000000"/>
        </w:rPr>
        <w:t>et al</w:t>
      </w:r>
      <w:r w:rsidRPr="00950357">
        <w:rPr>
          <w:rFonts w:eastAsia="Times New Roman" w:cs="Times New Roman"/>
          <w:color w:val="000000"/>
        </w:rPr>
        <w:t>. (2023) reported preservation of intestinal mucosa in rodents pre-treated with antioxidant-rich plant extracts prior to exposure to gastrointestinal toxicants.</w:t>
      </w:r>
    </w:p>
    <w:p w14:paraId="38688D55"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In contrast, Hassan </w:t>
      </w:r>
      <w:r w:rsidRPr="00950357">
        <w:rPr>
          <w:rFonts w:eastAsia="Times New Roman" w:cs="Times New Roman"/>
          <w:i/>
          <w:color w:val="000000"/>
        </w:rPr>
        <w:t>et al</w:t>
      </w:r>
      <w:r w:rsidRPr="00950357">
        <w:rPr>
          <w:rFonts w:eastAsia="Times New Roman" w:cs="Times New Roman"/>
          <w:color w:val="000000"/>
        </w:rPr>
        <w:t xml:space="preserve">. (2022) observed severe mucosal erosion and hemorrhage in the small intestine following diazepam administration without antioxidant protection, emphasizing the protective effect of </w:t>
      </w:r>
      <w:r w:rsidRPr="00950357">
        <w:rPr>
          <w:rFonts w:eastAsia="Times New Roman" w:cs="Times New Roman"/>
          <w:i/>
          <w:iCs/>
          <w:color w:val="000000"/>
        </w:rPr>
        <w:t>Elaeis guineensis</w:t>
      </w:r>
      <w:r w:rsidRPr="00950357">
        <w:rPr>
          <w:rFonts w:eastAsia="Times New Roman" w:cs="Times New Roman"/>
          <w:color w:val="000000"/>
        </w:rPr>
        <w:t xml:space="preserve"> seen in this group.</w:t>
      </w:r>
    </w:p>
    <w:p w14:paraId="1E02B80B"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C also showed normal small-intestine architecture, with intact muscularis mucosa and mucosal layers. This suggests that </w:t>
      </w:r>
      <w:r w:rsidRPr="00950357">
        <w:rPr>
          <w:rFonts w:eastAsia="Times New Roman" w:cs="Times New Roman"/>
          <w:i/>
          <w:iCs/>
          <w:color w:val="000000"/>
        </w:rPr>
        <w:t>Elaeis guineensis</w:t>
      </w:r>
      <w:r w:rsidRPr="00950357">
        <w:rPr>
          <w:rFonts w:eastAsia="Times New Roman" w:cs="Times New Roman"/>
          <w:color w:val="000000"/>
        </w:rPr>
        <w:t xml:space="preserve"> administration after diazepam exposure was still able to ameliorate intestinal injury and restore mucosal structure.</w:t>
      </w:r>
    </w:p>
    <w:p w14:paraId="695B406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observed recovery may be attributed to the high regenerative capacity of the intestinal epithelium and the anti-inflammatory properties of </w:t>
      </w:r>
      <w:r w:rsidRPr="00950357">
        <w:rPr>
          <w:rFonts w:eastAsia="Times New Roman" w:cs="Times New Roman"/>
          <w:i/>
          <w:iCs/>
          <w:color w:val="000000"/>
        </w:rPr>
        <w:t>Elaeis guineensis</w:t>
      </w:r>
      <w:r w:rsidRPr="00950357">
        <w:rPr>
          <w:rFonts w:eastAsia="Times New Roman" w:cs="Times New Roman"/>
          <w:color w:val="000000"/>
        </w:rPr>
        <w:t xml:space="preserve">. Antioxidant activity may have reduced oxidative damage, allowing rapid epithelial regeneration and repair. In close similarity, Lawal </w:t>
      </w:r>
      <w:r w:rsidRPr="00950357">
        <w:rPr>
          <w:rFonts w:eastAsia="Times New Roman" w:cs="Times New Roman"/>
          <w:i/>
          <w:color w:val="000000"/>
        </w:rPr>
        <w:t>et al</w:t>
      </w:r>
      <w:r w:rsidRPr="00950357">
        <w:rPr>
          <w:rFonts w:eastAsia="Times New Roman" w:cs="Times New Roman"/>
          <w:color w:val="000000"/>
        </w:rPr>
        <w:t xml:space="preserve">. (2020) and Zhang </w:t>
      </w:r>
      <w:r w:rsidRPr="00950357">
        <w:rPr>
          <w:rFonts w:eastAsia="Times New Roman" w:cs="Times New Roman"/>
          <w:i/>
          <w:color w:val="000000"/>
        </w:rPr>
        <w:t>et al</w:t>
      </w:r>
      <w:r w:rsidRPr="00950357">
        <w:rPr>
          <w:rFonts w:eastAsia="Times New Roman" w:cs="Times New Roman"/>
          <w:color w:val="000000"/>
        </w:rPr>
        <w:t>. (2021) reported significant mucosal recovery in the small intestine following post-treatment with plant-derived antioxidants.</w:t>
      </w:r>
    </w:p>
    <w:p w14:paraId="6CC1C6E4"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However, this finding contrasts with studies by Chen </w:t>
      </w:r>
      <w:r w:rsidRPr="00950357">
        <w:rPr>
          <w:rFonts w:eastAsia="Times New Roman" w:cs="Times New Roman"/>
          <w:i/>
          <w:color w:val="000000"/>
        </w:rPr>
        <w:t>et al</w:t>
      </w:r>
      <w:r w:rsidRPr="00950357">
        <w:rPr>
          <w:rFonts w:eastAsia="Times New Roman" w:cs="Times New Roman"/>
          <w:color w:val="000000"/>
        </w:rPr>
        <w:t>. (2022), who reported persistent intestinal mucosal damage when antioxidant therapy was delayed, suggesting that the extent of injury and exposure duration may influence the effectiveness of post-treatment interventions.</w:t>
      </w:r>
    </w:p>
    <w:p w14:paraId="60F80A1E"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Group D showed distorted intestinal architecture with damaged muscularis mucosa and regions of hemorrhage. These findings indicate significant diazepam-induced intestinal toxicity. Mucosal damage may result from increased oxidative stress, reduced mucosal blood flow, and disruption of epithelial tight junctions. Hemorrhage suggests vascular injury and increased mucosal permeability.</w:t>
      </w:r>
    </w:p>
    <w:p w14:paraId="26A91351"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Similar intestinal architectural distortion and hemorrhagic lesions following diazepam exposure have been reported by Rahman </w:t>
      </w:r>
      <w:r w:rsidRPr="00950357">
        <w:rPr>
          <w:rFonts w:eastAsia="Times New Roman" w:cs="Times New Roman"/>
          <w:i/>
          <w:color w:val="000000"/>
        </w:rPr>
        <w:t>et al</w:t>
      </w:r>
      <w:r w:rsidRPr="00950357">
        <w:rPr>
          <w:rFonts w:eastAsia="Times New Roman" w:cs="Times New Roman"/>
          <w:color w:val="000000"/>
        </w:rPr>
        <w:t xml:space="preserve">. (2021) and Silva </w:t>
      </w:r>
      <w:r w:rsidRPr="00950357">
        <w:rPr>
          <w:rFonts w:eastAsia="Times New Roman" w:cs="Times New Roman"/>
          <w:i/>
          <w:color w:val="000000"/>
        </w:rPr>
        <w:t>et al</w:t>
      </w:r>
      <w:r w:rsidRPr="00950357">
        <w:rPr>
          <w:rFonts w:eastAsia="Times New Roman" w:cs="Times New Roman"/>
          <w:color w:val="000000"/>
        </w:rPr>
        <w:t xml:space="preserve">. (2023). In contrast, Musa </w:t>
      </w:r>
      <w:r w:rsidRPr="00950357">
        <w:rPr>
          <w:rFonts w:eastAsia="Times New Roman" w:cs="Times New Roman"/>
          <w:i/>
          <w:color w:val="000000"/>
        </w:rPr>
        <w:t>et al</w:t>
      </w:r>
      <w:r w:rsidRPr="00950357">
        <w:rPr>
          <w:rFonts w:eastAsia="Times New Roman" w:cs="Times New Roman"/>
          <w:color w:val="000000"/>
        </w:rPr>
        <w:t xml:space="preserve">. (2020) </w:t>
      </w:r>
      <w:r w:rsidRPr="00950357">
        <w:rPr>
          <w:rFonts w:eastAsia="Times New Roman" w:cs="Times New Roman"/>
          <w:color w:val="000000"/>
        </w:rPr>
        <w:lastRenderedPageBreak/>
        <w:t>observed minimal intestinal damage following short-term benzodiazepine exposure, highlighting the role of dosage and exposure duration in determining intestinal toxicity.</w:t>
      </w:r>
    </w:p>
    <w:p w14:paraId="3F56CBEA"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CONCLUSION</w:t>
      </w:r>
    </w:p>
    <w:p w14:paraId="7FD9A067" w14:textId="77777777" w:rsidR="00950357" w:rsidRPr="00950357" w:rsidRDefault="00950357" w:rsidP="00950357">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This study demonstrates that </w:t>
      </w:r>
      <w:r w:rsidRPr="00950357">
        <w:rPr>
          <w:rFonts w:eastAsia="Times New Roman" w:cs="Times New Roman"/>
          <w:i/>
          <w:iCs/>
          <w:color w:val="000000"/>
        </w:rPr>
        <w:t>Elaeis guineensis</w:t>
      </w:r>
      <w:r w:rsidRPr="00950357">
        <w:rPr>
          <w:rFonts w:eastAsia="Times New Roman" w:cs="Times New Roman"/>
          <w:color w:val="000000"/>
        </w:rPr>
        <w:t xml:space="preserve"> possesses strong protective and ameliorative potential against diazepam-induced small-intestine toxicity in adult mice. Both pre-treatment and post-treatment with </w:t>
      </w:r>
      <w:r w:rsidRPr="00950357">
        <w:rPr>
          <w:rFonts w:eastAsia="Times New Roman" w:cs="Times New Roman"/>
          <w:i/>
          <w:iCs/>
          <w:color w:val="000000"/>
        </w:rPr>
        <w:t>Elaeis guineensis</w:t>
      </w:r>
      <w:r w:rsidRPr="00950357">
        <w:rPr>
          <w:rFonts w:eastAsia="Times New Roman" w:cs="Times New Roman"/>
          <w:color w:val="000000"/>
        </w:rPr>
        <w:t xml:space="preserve"> preserved normal intestinal architecture and prevented mucosal damage, whereas diazepam alone caused marked structural distortion and hemorrhage. These findings suggest that </w:t>
      </w:r>
      <w:r w:rsidRPr="00950357">
        <w:rPr>
          <w:rFonts w:eastAsia="Times New Roman" w:cs="Times New Roman"/>
          <w:i/>
          <w:iCs/>
          <w:color w:val="000000"/>
        </w:rPr>
        <w:t>Elaeis guineensis</w:t>
      </w:r>
      <w:r w:rsidRPr="00950357">
        <w:rPr>
          <w:rFonts w:eastAsia="Times New Roman" w:cs="Times New Roman"/>
          <w:color w:val="000000"/>
        </w:rPr>
        <w:t xml:space="preserve"> effectively safeguards intestinal mucosal integrity against drug-induced injury.</w:t>
      </w:r>
    </w:p>
    <w:p w14:paraId="5AEB8BCC"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RECOMMENDATIONS</w:t>
      </w:r>
    </w:p>
    <w:p w14:paraId="195EFF08" w14:textId="77777777" w:rsidR="00950357" w:rsidRPr="00950357" w:rsidRDefault="00950357" w:rsidP="00950357">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Future studies should assess intestinal biochemical markers such as oxidative stress indices, inflammatory cytokines, and tight-junction proteins to further elucidate the mechanisms underlying the protective effects of </w:t>
      </w:r>
      <w:r w:rsidRPr="00950357">
        <w:rPr>
          <w:rFonts w:eastAsia="Times New Roman" w:cs="Times New Roman"/>
          <w:i/>
          <w:iCs/>
          <w:color w:val="000000"/>
        </w:rPr>
        <w:t>Elaeis guineensis</w:t>
      </w:r>
      <w:r w:rsidRPr="00950357">
        <w:rPr>
          <w:rFonts w:eastAsia="Times New Roman" w:cs="Times New Roman"/>
          <w:color w:val="000000"/>
        </w:rPr>
        <w:t>.</w:t>
      </w:r>
    </w:p>
    <w:p w14:paraId="6C6A9B4A" w14:textId="77777777" w:rsidR="00950357" w:rsidRDefault="00950357" w:rsidP="00950357">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Long-term exposure studies should be conducted to evaluate the effects of chronic diazepam administration and the sustained protective role of </w:t>
      </w:r>
      <w:r w:rsidRPr="00950357">
        <w:rPr>
          <w:rFonts w:eastAsia="Times New Roman" w:cs="Times New Roman"/>
          <w:i/>
          <w:iCs/>
          <w:color w:val="000000"/>
        </w:rPr>
        <w:t>Elaeis guineensis</w:t>
      </w:r>
      <w:r w:rsidRPr="00950357">
        <w:rPr>
          <w:rFonts w:eastAsia="Times New Roman" w:cs="Times New Roman"/>
          <w:color w:val="000000"/>
        </w:rPr>
        <w:t xml:space="preserve"> on intestinal function and nutrient absorption.</w:t>
      </w:r>
    </w:p>
    <w:p w14:paraId="28CE7D64" w14:textId="77777777" w:rsidR="00084B0A" w:rsidRDefault="00084B0A" w:rsidP="00084B0A">
      <w:pPr>
        <w:spacing w:before="100" w:beforeAutospacing="1" w:after="0" w:line="480" w:lineRule="auto"/>
        <w:jc w:val="both"/>
        <w:rPr>
          <w:rFonts w:eastAsia="Times New Roman" w:cs="Times New Roman"/>
          <w:color w:val="000000"/>
        </w:rPr>
      </w:pPr>
    </w:p>
    <w:p w14:paraId="61D32800" w14:textId="77777777" w:rsidR="00084B0A" w:rsidRDefault="00084B0A" w:rsidP="00084B0A">
      <w:pPr>
        <w:spacing w:before="100" w:beforeAutospacing="1" w:after="0" w:line="480" w:lineRule="auto"/>
        <w:jc w:val="both"/>
        <w:rPr>
          <w:rFonts w:eastAsia="Times New Roman" w:cs="Times New Roman"/>
          <w:color w:val="000000"/>
        </w:rPr>
      </w:pPr>
    </w:p>
    <w:p w14:paraId="7CFA74F9" w14:textId="77777777" w:rsidR="00084B0A" w:rsidRPr="00084B0A" w:rsidRDefault="00084B0A" w:rsidP="00084B0A">
      <w:pPr>
        <w:spacing w:after="200" w:line="276" w:lineRule="auto"/>
        <w:rPr>
          <w:rFonts w:ascii="Arial" w:eastAsia="Times New Roman" w:hAnsi="Arial" w:cs="Arial"/>
          <w:b/>
          <w:bCs/>
          <w:sz w:val="22"/>
          <w:szCs w:val="22"/>
          <w:lang w:val="en-GB" w:eastAsia="en-GB"/>
        </w:rPr>
      </w:pPr>
      <w:r w:rsidRPr="00084B0A">
        <w:rPr>
          <w:rFonts w:ascii="Arial" w:eastAsia="Times New Roman" w:hAnsi="Arial" w:cs="Arial"/>
          <w:b/>
          <w:bCs/>
          <w:sz w:val="22"/>
          <w:szCs w:val="22"/>
          <w:lang w:val="en-GB" w:eastAsia="en-GB"/>
        </w:rPr>
        <w:t>COMPETING INTERESTS DISCLAIMER:</w:t>
      </w:r>
    </w:p>
    <w:p w14:paraId="2F666573" w14:textId="77777777" w:rsidR="00084B0A" w:rsidRPr="00084B0A" w:rsidRDefault="00084B0A" w:rsidP="00084B0A">
      <w:pPr>
        <w:spacing w:after="200" w:line="276" w:lineRule="auto"/>
        <w:rPr>
          <w:rFonts w:ascii="Calibri" w:eastAsia="Times New Roman" w:hAnsi="Calibri" w:cs="Times New Roman"/>
          <w:sz w:val="22"/>
          <w:szCs w:val="22"/>
          <w:lang w:val="en-GB" w:eastAsia="en-GB"/>
        </w:rPr>
      </w:pPr>
      <w:r w:rsidRPr="00084B0A">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5CCFF55" w14:textId="77777777" w:rsidR="00084B0A" w:rsidRPr="00950357" w:rsidRDefault="00084B0A" w:rsidP="00084B0A">
      <w:pPr>
        <w:spacing w:before="100" w:beforeAutospacing="1" w:after="0" w:line="480" w:lineRule="auto"/>
        <w:jc w:val="both"/>
        <w:rPr>
          <w:rFonts w:eastAsia="Times New Roman" w:cs="Times New Roman"/>
          <w:color w:val="000000"/>
        </w:rPr>
      </w:pPr>
    </w:p>
    <w:p w14:paraId="50D4475D" w14:textId="77777777" w:rsidR="00950357" w:rsidRPr="00E753AC" w:rsidRDefault="00950357" w:rsidP="00950357">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REFERENCES</w:t>
      </w:r>
    </w:p>
    <w:p w14:paraId="151A223A"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Adebayo, A. O., Ogunlade, B., &amp; Sadiq, M. A. (2023). Protective effects of antioxidant-rich plant extracts on intestinal mucosal integrity in experimental models. </w:t>
      </w:r>
      <w:r w:rsidRPr="00950357">
        <w:rPr>
          <w:rFonts w:eastAsia="Times New Roman" w:cs="Times New Roman"/>
          <w:i/>
          <w:iCs/>
          <w:color w:val="000000"/>
        </w:rPr>
        <w:t>Journal of Gastrointestinal Toxicology, 18</w:t>
      </w:r>
      <w:r w:rsidRPr="00950357">
        <w:rPr>
          <w:rFonts w:eastAsia="Times New Roman" w:cs="Times New Roman"/>
          <w:color w:val="000000"/>
        </w:rPr>
        <w:t>(2), 112–121. https://doi.org/10.1016/j.jgit.2023.04.007</w:t>
      </w:r>
    </w:p>
    <w:p w14:paraId="269FD686"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Adeyemi, O. O., Olukole, S. G., &amp; Olatunji, S. Y. (2021). Histological organization of the small intestine in healthy adult mice. </w:t>
      </w:r>
      <w:r w:rsidRPr="00950357">
        <w:rPr>
          <w:rFonts w:eastAsia="Times New Roman" w:cs="Times New Roman"/>
          <w:i/>
          <w:iCs/>
          <w:color w:val="000000"/>
        </w:rPr>
        <w:t>African Journal of Biomedical Sciences, 15</w:t>
      </w:r>
      <w:r w:rsidRPr="00950357">
        <w:rPr>
          <w:rFonts w:eastAsia="Times New Roman" w:cs="Times New Roman"/>
          <w:color w:val="000000"/>
        </w:rPr>
        <w:t>(1), 33–41.</w:t>
      </w:r>
    </w:p>
    <w:p w14:paraId="5CF5A925"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Chen, Y., Liu, H., &amp; Wang, Z. (2022). Delayed antioxidant therapy and persistent intestinal mucosal injury following drug exposure. </w:t>
      </w:r>
      <w:r w:rsidRPr="00950357">
        <w:rPr>
          <w:rFonts w:eastAsia="Times New Roman" w:cs="Times New Roman"/>
          <w:i/>
          <w:iCs/>
          <w:color w:val="000000"/>
        </w:rPr>
        <w:t>Toxicology Reports, 9</w:t>
      </w:r>
      <w:r w:rsidRPr="00950357">
        <w:rPr>
          <w:rFonts w:eastAsia="Times New Roman" w:cs="Times New Roman"/>
          <w:color w:val="000000"/>
        </w:rPr>
        <w:t>, 1098–1106. https://doi.org/10.1016/j.toxrep.2022.06.015</w:t>
      </w:r>
    </w:p>
    <w:p w14:paraId="5766E1CF"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Hassan, A. A., Suleiman, F. A., &amp; Mohammed, A. U. (2022). Diazepam-induced gastrointestinal toxicity and mucosal damage in rodents. </w:t>
      </w:r>
      <w:r w:rsidRPr="00950357">
        <w:rPr>
          <w:rFonts w:eastAsia="Times New Roman" w:cs="Times New Roman"/>
          <w:i/>
          <w:iCs/>
          <w:color w:val="000000"/>
        </w:rPr>
        <w:t>Environmental Toxicology and Pharmacology, 91</w:t>
      </w:r>
      <w:r w:rsidRPr="00950357">
        <w:rPr>
          <w:rFonts w:eastAsia="Times New Roman" w:cs="Times New Roman"/>
          <w:color w:val="000000"/>
        </w:rPr>
        <w:t>, 103840. https://doi.org/10.1016/j.etap.2022.103840</w:t>
      </w:r>
    </w:p>
    <w:p w14:paraId="20F19539"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Lawal, B., Shittu, O. K., &amp; </w:t>
      </w:r>
      <w:proofErr w:type="spellStart"/>
      <w:r w:rsidRPr="00950357">
        <w:rPr>
          <w:rFonts w:eastAsia="Times New Roman" w:cs="Times New Roman"/>
          <w:color w:val="000000"/>
        </w:rPr>
        <w:t>Oibiokpa</w:t>
      </w:r>
      <w:proofErr w:type="spellEnd"/>
      <w:r w:rsidRPr="00950357">
        <w:rPr>
          <w:rFonts w:eastAsia="Times New Roman" w:cs="Times New Roman"/>
          <w:color w:val="000000"/>
        </w:rPr>
        <w:t xml:space="preserve">, F. I. (2020). Antioxidant-mediated recovery of intestinal mucosa following drug-induced injury. </w:t>
      </w:r>
      <w:r w:rsidRPr="00950357">
        <w:rPr>
          <w:rFonts w:eastAsia="Times New Roman" w:cs="Times New Roman"/>
          <w:i/>
          <w:iCs/>
          <w:color w:val="000000"/>
        </w:rPr>
        <w:t>Journal of Applied Life Sciences International, 23</w:t>
      </w:r>
      <w:r w:rsidRPr="00950357">
        <w:rPr>
          <w:rFonts w:eastAsia="Times New Roman" w:cs="Times New Roman"/>
          <w:color w:val="000000"/>
        </w:rPr>
        <w:t>(4), 35–44. https://doi.org/10.9734/jalsi/2020/v23i430170</w:t>
      </w:r>
    </w:p>
    <w:p w14:paraId="6EF66912"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Musa, A. A., Abdullahi, M. A., &amp; Garba, S. H. (2020). Effects of short-term benzodiazepine exposure on gastrointestinal histology. </w:t>
      </w:r>
      <w:r w:rsidRPr="00950357">
        <w:rPr>
          <w:rFonts w:eastAsia="Times New Roman" w:cs="Times New Roman"/>
          <w:i/>
          <w:iCs/>
          <w:color w:val="000000"/>
        </w:rPr>
        <w:t>Journal of Basic Medical Sciences, 9</w:t>
      </w:r>
      <w:r w:rsidRPr="00950357">
        <w:rPr>
          <w:rFonts w:eastAsia="Times New Roman" w:cs="Times New Roman"/>
          <w:color w:val="000000"/>
        </w:rPr>
        <w:t>(2), 77–84.</w:t>
      </w:r>
    </w:p>
    <w:p w14:paraId="7E29CEAC"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Okafor, I. A., Nwankwo, I. E., &amp; Obi, C. E. (2022). Normal histological features of the small intestine in adult mice. </w:t>
      </w:r>
      <w:r w:rsidRPr="00950357">
        <w:rPr>
          <w:rFonts w:eastAsia="Times New Roman" w:cs="Times New Roman"/>
          <w:i/>
          <w:iCs/>
          <w:color w:val="000000"/>
        </w:rPr>
        <w:t>Nigerian Journal of Biomedical Research, 16</w:t>
      </w:r>
      <w:r w:rsidRPr="00950357">
        <w:rPr>
          <w:rFonts w:eastAsia="Times New Roman" w:cs="Times New Roman"/>
          <w:color w:val="000000"/>
        </w:rPr>
        <w:t>(1), 19–27.</w:t>
      </w:r>
    </w:p>
    <w:p w14:paraId="24EA957F"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lastRenderedPageBreak/>
        <w:t xml:space="preserve">Rahman, M. M., Hossain, M. S., &amp; Karim, M. R. (2021). Histopathological changes in the gastrointestinal tract following benzodiazepine exposure. </w:t>
      </w:r>
      <w:r w:rsidRPr="00950357">
        <w:rPr>
          <w:rFonts w:eastAsia="Times New Roman" w:cs="Times New Roman"/>
          <w:i/>
          <w:iCs/>
          <w:color w:val="000000"/>
        </w:rPr>
        <w:t>Clinical Toxicology, 59</w:t>
      </w:r>
      <w:r w:rsidRPr="00950357">
        <w:rPr>
          <w:rFonts w:eastAsia="Times New Roman" w:cs="Times New Roman"/>
          <w:color w:val="000000"/>
        </w:rPr>
        <w:t>(8), 734–742. https://doi.org/10.1080/15563650.2021.1872134</w:t>
      </w:r>
    </w:p>
    <w:p w14:paraId="5675EA19"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Salami, S. A., Owoeye, O., &amp; Ajayi, O. B. (2021). Palm oil-derived antioxidants and their protective effects on gastrointestinal tissues. </w:t>
      </w:r>
      <w:r w:rsidRPr="00950357">
        <w:rPr>
          <w:rFonts w:eastAsia="Times New Roman" w:cs="Times New Roman"/>
          <w:i/>
          <w:iCs/>
          <w:color w:val="000000"/>
        </w:rPr>
        <w:t>Journal of Food Biochemistry, 45</w:t>
      </w:r>
      <w:r w:rsidRPr="00950357">
        <w:rPr>
          <w:rFonts w:eastAsia="Times New Roman" w:cs="Times New Roman"/>
          <w:color w:val="000000"/>
        </w:rPr>
        <w:t>(9), e13817. https://doi.org/10.1111/jfbc.13817</w:t>
      </w:r>
    </w:p>
    <w:p w14:paraId="04A2AD6F" w14:textId="77777777" w:rsidR="00E753AC" w:rsidRPr="00950357" w:rsidRDefault="00E753AC" w:rsidP="00E753AC">
      <w:pPr>
        <w:spacing w:before="100" w:beforeAutospacing="1" w:after="0" w:line="480" w:lineRule="auto"/>
        <w:ind w:left="900" w:hanging="900"/>
        <w:jc w:val="both"/>
        <w:rPr>
          <w:rFonts w:eastAsia="Times New Roman" w:cs="Times New Roman"/>
        </w:rPr>
      </w:pPr>
      <w:proofErr w:type="spellStart"/>
      <w:r w:rsidRPr="00950357">
        <w:rPr>
          <w:rFonts w:eastAsia="Times New Roman" w:cs="Times New Roman"/>
        </w:rPr>
        <w:t>Secgin</w:t>
      </w:r>
      <w:proofErr w:type="spellEnd"/>
      <w:r w:rsidRPr="00950357">
        <w:rPr>
          <w:rFonts w:eastAsia="Times New Roman" w:cs="Times New Roman"/>
        </w:rPr>
        <w:t xml:space="preserve">, S. Z., Khakimov, M., &amp; </w:t>
      </w:r>
      <w:r w:rsidRPr="00950357">
        <w:rPr>
          <w:rFonts w:eastAsia="Times New Roman" w:cs="Times New Roman"/>
          <w:i/>
        </w:rPr>
        <w:t>et al</w:t>
      </w:r>
      <w:r w:rsidRPr="00950357">
        <w:rPr>
          <w:rFonts w:eastAsia="Times New Roman" w:cs="Times New Roman"/>
        </w:rPr>
        <w:t xml:space="preserve">. (2025). Role of antioxidative activity in </w:t>
      </w:r>
      <w:proofErr w:type="spellStart"/>
      <w:r w:rsidRPr="00950357">
        <w:rPr>
          <w:rFonts w:eastAsia="Times New Roman" w:cs="Times New Roman"/>
        </w:rPr>
        <w:t>enteroprotective</w:t>
      </w:r>
      <w:proofErr w:type="spellEnd"/>
      <w:r w:rsidRPr="00950357">
        <w:rPr>
          <w:rFonts w:eastAsia="Times New Roman" w:cs="Times New Roman"/>
        </w:rPr>
        <w:t xml:space="preserve"> effects against small intestinal injury models. </w:t>
      </w:r>
      <w:r w:rsidRPr="00950357">
        <w:rPr>
          <w:rFonts w:eastAsia="Times New Roman" w:cs="Times New Roman"/>
          <w:i/>
          <w:iCs/>
        </w:rPr>
        <w:t>Naunyn-Schmiedeberg’s Archives of Pharmacology.</w:t>
      </w:r>
    </w:p>
    <w:p w14:paraId="6FE42176"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Silva, R. D., Costa, M. F., &amp; Almeida, R. L. (2023). Dose-dependent gastrointestinal toxicity of benzodiazepines in experimental animals. </w:t>
      </w:r>
      <w:r w:rsidRPr="00950357">
        <w:rPr>
          <w:rFonts w:eastAsia="Times New Roman" w:cs="Times New Roman"/>
          <w:i/>
          <w:iCs/>
          <w:color w:val="000000"/>
        </w:rPr>
        <w:t>Environmental Toxicology and Pharmacology, 98</w:t>
      </w:r>
      <w:r w:rsidRPr="00950357">
        <w:rPr>
          <w:rFonts w:eastAsia="Times New Roman" w:cs="Times New Roman"/>
          <w:color w:val="000000"/>
        </w:rPr>
        <w:t>, 104048. https://doi.org/10.1016/j.etap.2023.104048</w:t>
      </w:r>
    </w:p>
    <w:p w14:paraId="1DE4972B"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Tow, W.-K., Goh, A. P.-T., Sundralingam, U., Palanisamy, U. D., &amp; </w:t>
      </w:r>
      <w:proofErr w:type="spellStart"/>
      <w:r w:rsidRPr="00950357">
        <w:rPr>
          <w:rFonts w:eastAsia="Times New Roman" w:cs="Times New Roman"/>
        </w:rPr>
        <w:t>Sivasothy</w:t>
      </w:r>
      <w:proofErr w:type="spellEnd"/>
      <w:r w:rsidRPr="00950357">
        <w:rPr>
          <w:rFonts w:eastAsia="Times New Roman" w:cs="Times New Roman"/>
        </w:rPr>
        <w:t xml:space="preserve">, Y. (2021). Flavonoid composition and pharmacological properties of </w:t>
      </w:r>
      <w:r w:rsidRPr="00950357">
        <w:rPr>
          <w:rFonts w:eastAsia="Times New Roman" w:cs="Times New Roman"/>
          <w:i/>
          <w:iCs/>
        </w:rPr>
        <w:t>Elaeis guineensis</w:t>
      </w:r>
      <w:r w:rsidRPr="00950357">
        <w:rPr>
          <w:rFonts w:eastAsia="Times New Roman" w:cs="Times New Roman"/>
        </w:rPr>
        <w:t xml:space="preserve"> Jacq. leaf extracts: A systematic review. </w:t>
      </w:r>
      <w:r w:rsidRPr="00950357">
        <w:rPr>
          <w:rFonts w:eastAsia="Times New Roman" w:cs="Times New Roman"/>
          <w:i/>
          <w:iCs/>
        </w:rPr>
        <w:t>Pharmaceuticals, 14</w:t>
      </w:r>
      <w:r w:rsidRPr="00950357">
        <w:rPr>
          <w:rFonts w:eastAsia="Times New Roman" w:cs="Times New Roman"/>
        </w:rPr>
        <w:t>(10), 961.</w:t>
      </w:r>
    </w:p>
    <w:p w14:paraId="6588044A"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Vijayarathna, S., Zakaria, Z., Latha, Y. L., Kanwar, J. R., &amp; Sasidharan, S. (2012). The antimicrobial efficacy of </w:t>
      </w:r>
      <w:r w:rsidRPr="00950357">
        <w:rPr>
          <w:rFonts w:eastAsia="Times New Roman" w:cs="Times New Roman"/>
          <w:i/>
          <w:iCs/>
        </w:rPr>
        <w:t>Elaeis guineensis</w:t>
      </w:r>
      <w:r w:rsidRPr="00950357">
        <w:rPr>
          <w:rFonts w:eastAsia="Times New Roman" w:cs="Times New Roman"/>
        </w:rPr>
        <w:t xml:space="preserve">: In vitro and in vivo studies. </w:t>
      </w:r>
      <w:r w:rsidRPr="00950357">
        <w:rPr>
          <w:rFonts w:eastAsia="Times New Roman" w:cs="Times New Roman"/>
          <w:i/>
          <w:iCs/>
        </w:rPr>
        <w:t>Molecules.</w:t>
      </w:r>
    </w:p>
    <w:p w14:paraId="2E198983" w14:textId="77777777" w:rsidR="00E753AC" w:rsidRPr="00950357" w:rsidRDefault="00E753AC" w:rsidP="00E753AC">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Wang, Y., Chen, Y., &amp; Zhang, X. (2020). New insights in intestinal oxidative stress damage and the health intervention effects of nutrients: A review. </w:t>
      </w:r>
      <w:r w:rsidRPr="00950357">
        <w:rPr>
          <w:rFonts w:eastAsia="Times New Roman" w:cs="Times New Roman"/>
          <w:i/>
          <w:iCs/>
        </w:rPr>
        <w:t>Journal of Functional Foods, 104</w:t>
      </w:r>
      <w:r w:rsidRPr="00950357">
        <w:rPr>
          <w:rFonts w:eastAsia="Times New Roman" w:cs="Times New Roman"/>
        </w:rPr>
        <w:t>, 104472</w:t>
      </w:r>
    </w:p>
    <w:p w14:paraId="24BD3F62" w14:textId="77777777" w:rsidR="00E753AC" w:rsidRPr="00950357" w:rsidRDefault="00E753AC" w:rsidP="00E753AC">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lastRenderedPageBreak/>
        <w:t xml:space="preserve">Zhang, L., Wu, X., &amp; Li, Y. (2021). Intestinal epithelial recovery following antioxidant intervention after chemical injury. </w:t>
      </w:r>
      <w:r w:rsidRPr="00950357">
        <w:rPr>
          <w:rFonts w:eastAsia="Times New Roman" w:cs="Times New Roman"/>
          <w:i/>
          <w:iCs/>
          <w:color w:val="000000"/>
        </w:rPr>
        <w:t>Free Radical Biology and Medicine, 168</w:t>
      </w:r>
      <w:r w:rsidRPr="00950357">
        <w:rPr>
          <w:rFonts w:eastAsia="Times New Roman" w:cs="Times New Roman"/>
          <w:color w:val="000000"/>
        </w:rPr>
        <w:t xml:space="preserve">, 210–219. </w:t>
      </w:r>
      <w:hyperlink r:id="rId15" w:history="1">
        <w:r w:rsidRPr="00950357">
          <w:rPr>
            <w:rFonts w:eastAsia="Times New Roman" w:cs="Times New Roman"/>
            <w:color w:val="0563C1"/>
            <w:u w:val="single"/>
          </w:rPr>
          <w:t>https://doi.org/10.1016/j.freeradbiomed.2021.04.012</w:t>
        </w:r>
      </w:hyperlink>
    </w:p>
    <w:p w14:paraId="42F9755B" w14:textId="77777777" w:rsidR="00902D70" w:rsidRPr="00950357" w:rsidRDefault="00902D70" w:rsidP="00950357">
      <w:pPr>
        <w:spacing w:after="0" w:line="480" w:lineRule="auto"/>
      </w:pPr>
    </w:p>
    <w:sectPr w:rsidR="00902D70" w:rsidRPr="0095035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BCB83" w14:textId="77777777" w:rsidR="00DB2D11" w:rsidRDefault="00DB2D11" w:rsidP="00FE61AA">
      <w:pPr>
        <w:spacing w:after="0" w:line="240" w:lineRule="auto"/>
      </w:pPr>
      <w:r>
        <w:separator/>
      </w:r>
    </w:p>
  </w:endnote>
  <w:endnote w:type="continuationSeparator" w:id="0">
    <w:p w14:paraId="05C064DE" w14:textId="77777777" w:rsidR="00DB2D11" w:rsidRDefault="00DB2D11" w:rsidP="00FE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55FF" w14:textId="77777777" w:rsidR="00FE61AA" w:rsidRDefault="00FE6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8F33" w14:textId="77777777" w:rsidR="00FE61AA" w:rsidRDefault="00FE6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9D223" w14:textId="77777777" w:rsidR="00FE61AA" w:rsidRDefault="00FE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33DFA" w14:textId="77777777" w:rsidR="00DB2D11" w:rsidRDefault="00DB2D11" w:rsidP="00FE61AA">
      <w:pPr>
        <w:spacing w:after="0" w:line="240" w:lineRule="auto"/>
      </w:pPr>
      <w:r>
        <w:separator/>
      </w:r>
    </w:p>
  </w:footnote>
  <w:footnote w:type="continuationSeparator" w:id="0">
    <w:p w14:paraId="1E4EE83D" w14:textId="77777777" w:rsidR="00DB2D11" w:rsidRDefault="00DB2D11" w:rsidP="00FE6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C819" w14:textId="1F9E02AE" w:rsidR="00FE61AA" w:rsidRDefault="00FE61AA">
    <w:pPr>
      <w:pStyle w:val="Header"/>
    </w:pPr>
    <w:r>
      <w:rPr>
        <w:noProof/>
      </w:rPr>
      <w:pict w14:anchorId="46860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F739" w14:textId="0C59E5B3" w:rsidR="00FE61AA" w:rsidRDefault="00FE61AA">
    <w:pPr>
      <w:pStyle w:val="Header"/>
    </w:pPr>
    <w:r>
      <w:rPr>
        <w:noProof/>
      </w:rPr>
      <w:pict w14:anchorId="1F153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A809" w14:textId="4E0E4674" w:rsidR="00FE61AA" w:rsidRDefault="00FE61AA">
    <w:pPr>
      <w:pStyle w:val="Header"/>
    </w:pPr>
    <w:r>
      <w:rPr>
        <w:noProof/>
      </w:rPr>
      <w:pict w14:anchorId="78ED9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3CC1"/>
    <w:multiLevelType w:val="hybridMultilevel"/>
    <w:tmpl w:val="CD44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B1523"/>
    <w:multiLevelType w:val="hybridMultilevel"/>
    <w:tmpl w:val="4E22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6A83"/>
    <w:multiLevelType w:val="multilevel"/>
    <w:tmpl w:val="DC9C0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357"/>
    <w:rsid w:val="00084B0A"/>
    <w:rsid w:val="0009209B"/>
    <w:rsid w:val="000F40B9"/>
    <w:rsid w:val="00185882"/>
    <w:rsid w:val="001E005C"/>
    <w:rsid w:val="002F1D13"/>
    <w:rsid w:val="004B69B3"/>
    <w:rsid w:val="005719A7"/>
    <w:rsid w:val="0057508D"/>
    <w:rsid w:val="00647000"/>
    <w:rsid w:val="006E5DF3"/>
    <w:rsid w:val="00806999"/>
    <w:rsid w:val="00902D70"/>
    <w:rsid w:val="009342AE"/>
    <w:rsid w:val="00950357"/>
    <w:rsid w:val="00A1433F"/>
    <w:rsid w:val="00A7489F"/>
    <w:rsid w:val="00A82A5A"/>
    <w:rsid w:val="00B419B6"/>
    <w:rsid w:val="00CC1D35"/>
    <w:rsid w:val="00D97E12"/>
    <w:rsid w:val="00DB2D11"/>
    <w:rsid w:val="00E477C0"/>
    <w:rsid w:val="00E753AC"/>
    <w:rsid w:val="00ED3131"/>
    <w:rsid w:val="00F03D9D"/>
    <w:rsid w:val="00FB447C"/>
    <w:rsid w:val="00FE61AA"/>
    <w:rsid w:val="00FF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054D39"/>
  <w15:chartTrackingRefBased/>
  <w15:docId w15:val="{4082D847-58DA-4025-830C-61E4E374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035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035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035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03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03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03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03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035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035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035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03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03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03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03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35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3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0357"/>
    <w:pPr>
      <w:spacing w:before="160"/>
      <w:jc w:val="center"/>
    </w:pPr>
    <w:rPr>
      <w:i/>
      <w:iCs/>
      <w:color w:val="404040" w:themeColor="text1" w:themeTint="BF"/>
    </w:rPr>
  </w:style>
  <w:style w:type="character" w:customStyle="1" w:styleId="QuoteChar">
    <w:name w:val="Quote Char"/>
    <w:basedOn w:val="DefaultParagraphFont"/>
    <w:link w:val="Quote"/>
    <w:uiPriority w:val="29"/>
    <w:rsid w:val="00950357"/>
    <w:rPr>
      <w:i/>
      <w:iCs/>
      <w:color w:val="404040" w:themeColor="text1" w:themeTint="BF"/>
    </w:rPr>
  </w:style>
  <w:style w:type="paragraph" w:styleId="ListParagraph">
    <w:name w:val="List Paragraph"/>
    <w:basedOn w:val="Normal"/>
    <w:uiPriority w:val="34"/>
    <w:qFormat/>
    <w:rsid w:val="00950357"/>
    <w:pPr>
      <w:ind w:left="720"/>
      <w:contextualSpacing/>
    </w:pPr>
  </w:style>
  <w:style w:type="character" w:styleId="IntenseEmphasis">
    <w:name w:val="Intense Emphasis"/>
    <w:basedOn w:val="DefaultParagraphFont"/>
    <w:uiPriority w:val="21"/>
    <w:qFormat/>
    <w:rsid w:val="00950357"/>
    <w:rPr>
      <w:i/>
      <w:iCs/>
      <w:color w:val="2F5496" w:themeColor="accent1" w:themeShade="BF"/>
    </w:rPr>
  </w:style>
  <w:style w:type="paragraph" w:styleId="IntenseQuote">
    <w:name w:val="Intense Quote"/>
    <w:basedOn w:val="Normal"/>
    <w:next w:val="Normal"/>
    <w:link w:val="IntenseQuoteChar"/>
    <w:uiPriority w:val="30"/>
    <w:qFormat/>
    <w:rsid w:val="0095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0357"/>
    <w:rPr>
      <w:i/>
      <w:iCs/>
      <w:color w:val="2F5496" w:themeColor="accent1" w:themeShade="BF"/>
    </w:rPr>
  </w:style>
  <w:style w:type="character" w:styleId="IntenseReference">
    <w:name w:val="Intense Reference"/>
    <w:basedOn w:val="DefaultParagraphFont"/>
    <w:uiPriority w:val="32"/>
    <w:qFormat/>
    <w:rsid w:val="00950357"/>
    <w:rPr>
      <w:b/>
      <w:bCs/>
      <w:smallCaps/>
      <w:color w:val="2F5496" w:themeColor="accent1" w:themeShade="BF"/>
      <w:spacing w:val="5"/>
    </w:rPr>
  </w:style>
  <w:style w:type="table" w:styleId="TableGrid">
    <w:name w:val="Table Grid"/>
    <w:basedOn w:val="TableNormal"/>
    <w:uiPriority w:val="39"/>
    <w:rsid w:val="00950357"/>
    <w:pPr>
      <w:spacing w:after="0" w:line="240" w:lineRule="auto"/>
    </w:pPr>
    <w:rPr>
      <w:rFonts w:ascii="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9B6"/>
    <w:rPr>
      <w:color w:val="0563C1" w:themeColor="hyperlink"/>
      <w:u w:val="single"/>
    </w:rPr>
  </w:style>
  <w:style w:type="character" w:styleId="UnresolvedMention">
    <w:name w:val="Unresolved Mention"/>
    <w:basedOn w:val="DefaultParagraphFont"/>
    <w:uiPriority w:val="99"/>
    <w:semiHidden/>
    <w:unhideWhenUsed/>
    <w:rsid w:val="00B419B6"/>
    <w:rPr>
      <w:color w:val="605E5C"/>
      <w:shd w:val="clear" w:color="auto" w:fill="E1DFDD"/>
    </w:rPr>
  </w:style>
  <w:style w:type="paragraph" w:styleId="Header">
    <w:name w:val="header"/>
    <w:basedOn w:val="Normal"/>
    <w:link w:val="HeaderChar"/>
    <w:uiPriority w:val="99"/>
    <w:unhideWhenUsed/>
    <w:rsid w:val="00FE6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1AA"/>
  </w:style>
  <w:style w:type="paragraph" w:styleId="Footer">
    <w:name w:val="footer"/>
    <w:basedOn w:val="Normal"/>
    <w:link w:val="FooterChar"/>
    <w:uiPriority w:val="99"/>
    <w:unhideWhenUsed/>
    <w:rsid w:val="00FE6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16/j.freeradbiomed.2021.04.01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19</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Ehinome Gift Odijie</dc:creator>
  <cp:keywords/>
  <dc:description/>
  <cp:lastModifiedBy>SDI 1084</cp:lastModifiedBy>
  <cp:revision>44</cp:revision>
  <dcterms:created xsi:type="dcterms:W3CDTF">2026-03-08T13:11:00Z</dcterms:created>
  <dcterms:modified xsi:type="dcterms:W3CDTF">2026-03-25T13:57:00Z</dcterms:modified>
</cp:coreProperties>
</file>