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EF46E" w14:textId="543C9BC4" w:rsidR="005D2979" w:rsidRDefault="005D2979">
      <w:pPr>
        <w:rPr>
          <w:rFonts w:ascii="Times New Roman" w:eastAsia="Times New Roman" w:hAnsi="Times New Roman" w:cs="Times New Roman"/>
          <w:b/>
          <w:bCs/>
          <w:sz w:val="32"/>
          <w:szCs w:val="32"/>
        </w:rPr>
      </w:pPr>
      <w:r w:rsidRPr="005D2979">
        <w:rPr>
          <w:rFonts w:ascii="Times New Roman" w:eastAsia="Times New Roman" w:hAnsi="Times New Roman" w:cs="Times New Roman"/>
          <w:b/>
          <w:bCs/>
          <w:sz w:val="32"/>
          <w:szCs w:val="32"/>
        </w:rPr>
        <w:t>Original Research Article</w:t>
      </w:r>
    </w:p>
    <w:p w14:paraId="4264D530" w14:textId="7E3F7741" w:rsidR="00AD294F" w:rsidRDefault="001313E8">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KNOWLEDGE, ATTITUDE AND PRACTICE (KAP) REGARDING INSULIN USE AMONG PATIENTS WITH DIABETES MELLITUS</w:t>
      </w:r>
    </w:p>
    <w:p w14:paraId="31537A97" w14:textId="77777777" w:rsidR="00AD294F" w:rsidRDefault="00AD294F">
      <w:pPr>
        <w:rPr>
          <w:rFonts w:ascii="Times New Roman" w:eastAsia="Times New Roman" w:hAnsi="Times New Roman" w:cs="Times New Roman"/>
          <w:b/>
          <w:bCs/>
          <w:sz w:val="32"/>
          <w:szCs w:val="32"/>
        </w:rPr>
      </w:pPr>
    </w:p>
    <w:p w14:paraId="540B2C72" w14:textId="2F1EC720" w:rsidR="00AD294F" w:rsidRDefault="00AD294F">
      <w:pPr>
        <w:rPr>
          <w:rFonts w:ascii="Times New Roman" w:eastAsia="Times New Roman" w:hAnsi="Times New Roman" w:cs="Times New Roman"/>
          <w:color w:val="111111"/>
          <w:sz w:val="26"/>
          <w:szCs w:val="26"/>
        </w:rPr>
      </w:pPr>
    </w:p>
    <w:p w14:paraId="4AC9EBF8" w14:textId="77777777" w:rsidR="008405A0" w:rsidRDefault="008405A0">
      <w:pPr>
        <w:rPr>
          <w:rFonts w:ascii="Times New Roman" w:eastAsia="Times New Roman" w:hAnsi="Times New Roman" w:cs="Times New Roman"/>
          <w:color w:val="111111"/>
          <w:sz w:val="26"/>
          <w:szCs w:val="26"/>
        </w:rPr>
      </w:pPr>
    </w:p>
    <w:p w14:paraId="4BB4F18C" w14:textId="77777777" w:rsidR="00AD294F" w:rsidRDefault="001313E8">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77A3636B"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Aims:</w:t>
      </w:r>
      <w:r>
        <w:rPr>
          <w:rFonts w:ascii="Times New Roman" w:eastAsia="Times New Roman" w:hAnsi="Times New Roman" w:cs="Times New Roman"/>
          <w:sz w:val="24"/>
          <w:szCs w:val="24"/>
        </w:rPr>
        <w:br/>
        <w:t>To assess the knowledge, attitude, and practice regarding insulin use among patients with diabetes mellitus and to identify major gaps affecting safe insulin administration.</w:t>
      </w:r>
    </w:p>
    <w:p w14:paraId="5229FEB9"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 design: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Cross-sectional observational study.</w:t>
      </w:r>
    </w:p>
    <w:p w14:paraId="301DECFA"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Place and Duration of Study:</w:t>
      </w:r>
      <w:r>
        <w:rPr>
          <w:rFonts w:ascii="Times New Roman" w:eastAsia="Times New Roman" w:hAnsi="Times New Roman" w:cs="Times New Roman"/>
          <w:sz w:val="24"/>
          <w:szCs w:val="24"/>
        </w:rPr>
        <w:br/>
        <w:t>Department of General Medicine, ESIC Medical College and Hospital, Bangalore, over a period of 1 year.</w:t>
      </w:r>
    </w:p>
    <w:p w14:paraId="071910A2"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Methodology:</w:t>
      </w:r>
      <w:r>
        <w:rPr>
          <w:rFonts w:ascii="Times New Roman" w:eastAsia="Times New Roman" w:hAnsi="Times New Roman" w:cs="Times New Roman"/>
          <w:sz w:val="24"/>
          <w:szCs w:val="24"/>
        </w:rPr>
        <w:br/>
        <w:t>A structured questionnaire was administered to patients with diabetes mell</w:t>
      </w:r>
      <w:r>
        <w:rPr>
          <w:rFonts w:ascii="Times New Roman" w:eastAsia="Times New Roman" w:hAnsi="Times New Roman" w:cs="Times New Roman"/>
          <w:sz w:val="24"/>
          <w:szCs w:val="24"/>
        </w:rPr>
        <w:t>itus receiving insulin therapy. The questionnaire included demographic and clinical data along with knowledge, attitude, and practice</w:t>
      </w:r>
      <w:sdt>
        <w:sdtPr>
          <w:tag w:val="goog_rdk_0"/>
          <w:id w:val="-1794693564"/>
        </w:sdtPr>
        <w:sdtEndPr/>
        <w:sdtContent>
          <w:r>
            <w:rPr>
              <w:rFonts w:ascii="Times New Roman" w:eastAsia="Times New Roman" w:hAnsi="Times New Roman" w:cs="Times New Roman"/>
              <w:sz w:val="24"/>
              <w:szCs w:val="24"/>
            </w:rPr>
            <w:t xml:space="preserve"> (KAP)</w:t>
          </w:r>
        </w:sdtContent>
      </w:sdt>
      <w:r>
        <w:rPr>
          <w:rFonts w:ascii="Times New Roman" w:eastAsia="Times New Roman" w:hAnsi="Times New Roman" w:cs="Times New Roman"/>
          <w:sz w:val="24"/>
          <w:szCs w:val="24"/>
        </w:rPr>
        <w:t xml:space="preserve"> items. Based on the analysable uploaded dataset, 4 knowledge items, 2 attitude items, and 3 practice items were sc</w:t>
      </w:r>
      <w:r>
        <w:rPr>
          <w:rFonts w:ascii="Times New Roman" w:eastAsia="Times New Roman" w:hAnsi="Times New Roman" w:cs="Times New Roman"/>
          <w:sz w:val="24"/>
          <w:szCs w:val="24"/>
        </w:rPr>
        <w:t>ored. Each correct response was scored as 1 and each incorrect or unsure response as 0. The maximum analysable total KAP score was 9. Data were summarized using mean ± standard deviation, median with interquartile range, frequency, and percentage.</w:t>
      </w:r>
    </w:p>
    <w:p w14:paraId="679FDA36"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Results:</w:t>
      </w:r>
      <w:r>
        <w:rPr>
          <w:rFonts w:ascii="Times New Roman" w:eastAsia="Times New Roman" w:hAnsi="Times New Roman" w:cs="Times New Roman"/>
          <w:sz w:val="24"/>
          <w:szCs w:val="24"/>
        </w:rPr>
        <w:br/>
        <w:t>A total of 100 patients were included in the final analysis. The mean duration of diabetes mellitus was 13.44 ± 6.88 years and the mean duration of insulin use was 55.37 ± 33.84 months. The mean knowledge score was 1.45 ± 0.91 out of 4, mean attitude scor</w:t>
      </w:r>
      <w:r>
        <w:rPr>
          <w:rFonts w:ascii="Times New Roman" w:eastAsia="Times New Roman" w:hAnsi="Times New Roman" w:cs="Times New Roman"/>
          <w:sz w:val="24"/>
          <w:szCs w:val="24"/>
        </w:rPr>
        <w:t>e was 1.01 ± 0.64 out of 2, mean practice score was 1.35 ± 0.81 out of 3, and mean total KAP score was 3.81 ± 1.45 out of 9. Only 6% of participants knew the correct storage of insulin. Safe needle reuse practice was observed in only 37% of the participant</w:t>
      </w:r>
      <w:r>
        <w:rPr>
          <w:rFonts w:ascii="Times New Roman" w:eastAsia="Times New Roman" w:hAnsi="Times New Roman" w:cs="Times New Roman"/>
          <w:sz w:val="24"/>
          <w:szCs w:val="24"/>
        </w:rPr>
        <w:t>s, and proper disposal of needles in 45% of the participants</w:t>
      </w:r>
    </w:p>
    <w:p w14:paraId="7A832EC4"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r>
        <w:rPr>
          <w:rFonts w:ascii="Times New Roman" w:eastAsia="Times New Roman" w:hAnsi="Times New Roman" w:cs="Times New Roman"/>
          <w:sz w:val="24"/>
          <w:szCs w:val="24"/>
        </w:rPr>
        <w:br/>
        <w:t>The study demonstrates substantial gaps in insulin-related knowledge and practice, with only moderate attitude scores. These findings support the need for repeated, structured, demons</w:t>
      </w:r>
      <w:r>
        <w:rPr>
          <w:rFonts w:ascii="Times New Roman" w:eastAsia="Times New Roman" w:hAnsi="Times New Roman" w:cs="Times New Roman"/>
          <w:sz w:val="24"/>
          <w:szCs w:val="24"/>
        </w:rPr>
        <w:t>tration-based patient education regarding insulin administration, storage, site rotation, hypoglycaemia awareness, and disposal practices.</w:t>
      </w:r>
    </w:p>
    <w:p w14:paraId="15A61DA7"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Keywords:</w:t>
      </w:r>
      <w:r>
        <w:rPr>
          <w:rFonts w:ascii="Times New Roman" w:eastAsia="Times New Roman" w:hAnsi="Times New Roman" w:cs="Times New Roman"/>
          <w:sz w:val="24"/>
          <w:szCs w:val="24"/>
        </w:rPr>
        <w:br/>
        <w:t>Diabetes mellitus, insulin, knowledge, attitude, practice, hypoglycaemia, injection technique</w:t>
      </w:r>
    </w:p>
    <w:p w14:paraId="20CC3A4E" w14:textId="77777777" w:rsidR="00AD294F" w:rsidRDefault="00AD294F">
      <w:pPr>
        <w:rPr>
          <w:rFonts w:ascii="Times New Roman" w:eastAsia="Times New Roman" w:hAnsi="Times New Roman" w:cs="Times New Roman"/>
          <w:sz w:val="24"/>
          <w:szCs w:val="24"/>
        </w:rPr>
      </w:pPr>
    </w:p>
    <w:p w14:paraId="55E5835F" w14:textId="77777777" w:rsidR="00AD294F" w:rsidRDefault="001313E8">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INTRODUCTION</w:t>
      </w:r>
    </w:p>
    <w:p w14:paraId="60EDC6D3" w14:textId="77777777" w:rsidR="00AD294F" w:rsidRDefault="001313E8">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Diabetes mellitus is a chronic metabolic disorder characterized by persistent hyperglycaemia resulting from defects in insulin secretion, insulin action, or both.</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It is a major public health challenge worldwide, and India contributes a substantial share </w:t>
      </w:r>
      <w:r>
        <w:rPr>
          <w:rFonts w:ascii="Times New Roman" w:eastAsia="Times New Roman" w:hAnsi="Times New Roman" w:cs="Times New Roman"/>
          <w:sz w:val="24"/>
          <w:szCs w:val="24"/>
        </w:rPr>
        <w:t>of the global diabetes mellitus burden.</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Insulin therapy remains the cornerstone of treatment in type 1 diabetes mellitus and is frequently required in type 2 diabetes mellitus when oral agents fail to achieve adequate glycaemic control or when patients pr</w:t>
      </w:r>
      <w:r>
        <w:rPr>
          <w:rFonts w:ascii="Times New Roman" w:eastAsia="Times New Roman" w:hAnsi="Times New Roman" w:cs="Times New Roman"/>
          <w:sz w:val="24"/>
          <w:szCs w:val="24"/>
        </w:rPr>
        <w:t>esent with marked hyperglycaemia, catabolic symptoms, acute illness, pregnancy, or progressive beta-cell dysfunction.</w:t>
      </w:r>
      <w:r>
        <w:rPr>
          <w:rFonts w:ascii="Times New Roman" w:eastAsia="Times New Roman" w:hAnsi="Times New Roman" w:cs="Times New Roman"/>
          <w:sz w:val="24"/>
          <w:szCs w:val="24"/>
          <w:vertAlign w:val="superscript"/>
        </w:rPr>
        <w:t>1,3</w:t>
      </w:r>
    </w:p>
    <w:p w14:paraId="1CF17B66" w14:textId="77777777" w:rsidR="00AD294F" w:rsidRDefault="001313E8">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effectiveness of insulin therapy depends not only on the prescription itself but also on the patient’s knowledge, attitude, and pra</w:t>
      </w:r>
      <w:r>
        <w:rPr>
          <w:rFonts w:ascii="Times New Roman" w:eastAsia="Times New Roman" w:hAnsi="Times New Roman" w:cs="Times New Roman"/>
          <w:sz w:val="24"/>
          <w:szCs w:val="24"/>
        </w:rPr>
        <w:t xml:space="preserve">ctice. Correct insulin use requires proper storage, correct injection technique, regular site rotation, awareness of hypoglycaemia, and safe disposal of used needles. </w:t>
      </w:r>
      <w:r>
        <w:rPr>
          <w:rFonts w:ascii="Times New Roman" w:eastAsia="Times New Roman" w:hAnsi="Times New Roman" w:cs="Times New Roman"/>
          <w:sz w:val="24"/>
          <w:szCs w:val="24"/>
          <w:vertAlign w:val="superscript"/>
        </w:rPr>
        <w:t xml:space="preserve">4,5 </w:t>
      </w:r>
      <w:r>
        <w:rPr>
          <w:rFonts w:ascii="Times New Roman" w:eastAsia="Times New Roman" w:hAnsi="Times New Roman" w:cs="Times New Roman"/>
          <w:sz w:val="24"/>
          <w:szCs w:val="24"/>
        </w:rPr>
        <w:t>Deficiencies in any of these areas may result in poor glycaemic control, variable abs</w:t>
      </w:r>
      <w:r>
        <w:rPr>
          <w:rFonts w:ascii="Times New Roman" w:eastAsia="Times New Roman" w:hAnsi="Times New Roman" w:cs="Times New Roman"/>
          <w:sz w:val="24"/>
          <w:szCs w:val="24"/>
        </w:rPr>
        <w:t xml:space="preserve">orption, unnecessary dose escalation, </w:t>
      </w:r>
      <w:proofErr w:type="spellStart"/>
      <w:r>
        <w:rPr>
          <w:rFonts w:ascii="Times New Roman" w:eastAsia="Times New Roman" w:hAnsi="Times New Roman" w:cs="Times New Roman"/>
          <w:sz w:val="24"/>
          <w:szCs w:val="24"/>
        </w:rPr>
        <w:t>lipohypertrophy</w:t>
      </w:r>
      <w:proofErr w:type="spellEnd"/>
      <w:r>
        <w:rPr>
          <w:rFonts w:ascii="Times New Roman" w:eastAsia="Times New Roman" w:hAnsi="Times New Roman" w:cs="Times New Roman"/>
          <w:sz w:val="24"/>
          <w:szCs w:val="24"/>
        </w:rPr>
        <w:t>, hypoglycaemia, and sharps-related hazards.</w:t>
      </w:r>
      <w:r>
        <w:rPr>
          <w:rFonts w:ascii="Times New Roman" w:eastAsia="Times New Roman" w:hAnsi="Times New Roman" w:cs="Times New Roman"/>
          <w:sz w:val="24"/>
          <w:szCs w:val="24"/>
          <w:vertAlign w:val="superscript"/>
        </w:rPr>
        <w:t>4,6,7</w:t>
      </w:r>
    </w:p>
    <w:p w14:paraId="7717BD5C"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Attitude toward insulin is also highly relevant. Many patients perceive insulin as an indicator of disease worsening or personal failure, while others ar</w:t>
      </w:r>
      <w:r>
        <w:rPr>
          <w:rFonts w:ascii="Times New Roman" w:eastAsia="Times New Roman" w:hAnsi="Times New Roman" w:cs="Times New Roman"/>
          <w:sz w:val="24"/>
          <w:szCs w:val="24"/>
        </w:rPr>
        <w:t>e hesitant to inject in public because of embarrassment, fear, pain, or stigma.</w:t>
      </w:r>
      <w:r>
        <w:rPr>
          <w:rFonts w:ascii="Times New Roman" w:eastAsia="Times New Roman" w:hAnsi="Times New Roman" w:cs="Times New Roman"/>
          <w:sz w:val="24"/>
          <w:szCs w:val="24"/>
          <w:vertAlign w:val="superscript"/>
        </w:rPr>
        <w:t>8,9</w:t>
      </w:r>
      <w:r>
        <w:rPr>
          <w:rFonts w:ascii="Times New Roman" w:eastAsia="Times New Roman" w:hAnsi="Times New Roman" w:cs="Times New Roman"/>
          <w:sz w:val="24"/>
          <w:szCs w:val="24"/>
        </w:rPr>
        <w:t xml:space="preserve"> Such attitudes may reduce adherence and delay optimal treatment.</w:t>
      </w:r>
    </w:p>
    <w:p w14:paraId="64C8734C"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Practice is the most clinically relevant domain because it reflects what the patient actually does. Even whe</w:t>
      </w:r>
      <w:r>
        <w:rPr>
          <w:rFonts w:ascii="Times New Roman" w:eastAsia="Times New Roman" w:hAnsi="Times New Roman" w:cs="Times New Roman"/>
          <w:sz w:val="24"/>
          <w:szCs w:val="24"/>
        </w:rPr>
        <w:t>n patients know that needles should not be reused repeatedly or that injection sites must be rotated, actual behaviour may remain poor because of habit, cost constraints, fear, or lack of reinforcement. Therefore, evaluation of all three domains—knowledge,</w:t>
      </w:r>
      <w:r>
        <w:rPr>
          <w:rFonts w:ascii="Times New Roman" w:eastAsia="Times New Roman" w:hAnsi="Times New Roman" w:cs="Times New Roman"/>
          <w:sz w:val="24"/>
          <w:szCs w:val="24"/>
        </w:rPr>
        <w:t xml:space="preserve"> attitude, and practice—is essential for identifying barriers to safe insulin use.</w:t>
      </w:r>
    </w:p>
    <w:p w14:paraId="78FC14A1"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study was undertaken to assess the knowledge, attitude, and practice regarding insulin use among patients with diabetes mellitus receiving insulin therapy in a t</w:t>
      </w:r>
      <w:r>
        <w:rPr>
          <w:rFonts w:ascii="Times New Roman" w:eastAsia="Times New Roman" w:hAnsi="Times New Roman" w:cs="Times New Roman"/>
          <w:sz w:val="24"/>
          <w:szCs w:val="24"/>
        </w:rPr>
        <w:t>ertiary care teaching hospital.</w:t>
      </w:r>
    </w:p>
    <w:p w14:paraId="79B06583" w14:textId="77777777" w:rsidR="00AD294F" w:rsidRDefault="00AD294F">
      <w:pPr>
        <w:rPr>
          <w:rFonts w:ascii="Times New Roman" w:eastAsia="Times New Roman" w:hAnsi="Times New Roman" w:cs="Times New Roman"/>
          <w:sz w:val="24"/>
          <w:szCs w:val="24"/>
        </w:rPr>
      </w:pPr>
    </w:p>
    <w:p w14:paraId="7F334AB2"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 AND METHODS</w:t>
      </w:r>
    </w:p>
    <w:p w14:paraId="6DC59575"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Study design</w:t>
      </w:r>
    </w:p>
    <w:p w14:paraId="5003A104"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was a hospital-based cross-sectional observational study.</w:t>
      </w:r>
    </w:p>
    <w:p w14:paraId="3644E581"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Study setting</w:t>
      </w:r>
    </w:p>
    <w:p w14:paraId="0C25518B"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conducted in the Department of General Medicine, ESIC Medical College and Hospital, Bangalore.</w:t>
      </w:r>
    </w:p>
    <w:p w14:paraId="0EB60682"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Study population</w:t>
      </w:r>
    </w:p>
    <w:p w14:paraId="782467DD"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Patients with diabetes mellitus receiving insulin therapy were included in the study.</w:t>
      </w:r>
    </w:p>
    <w:p w14:paraId="27B183CB"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 Inclusion and Exclusion criteria</w:t>
      </w:r>
    </w:p>
    <w:p w14:paraId="6019DBFC" w14:textId="77777777" w:rsidR="00AD294F" w:rsidRDefault="001313E8">
      <w:pPr>
        <w:rPr>
          <w:rFonts w:ascii="Times New Roman" w:eastAsia="Times New Roman" w:hAnsi="Times New Roman" w:cs="Times New Roman"/>
          <w:color w:val="111111"/>
          <w:sz w:val="24"/>
          <w:szCs w:val="24"/>
        </w:rPr>
      </w:pPr>
      <w:r>
        <w:rPr>
          <w:rFonts w:ascii="Times New Roman" w:eastAsia="Times New Roman" w:hAnsi="Times New Roman" w:cs="Times New Roman"/>
          <w:sz w:val="24"/>
          <w:szCs w:val="24"/>
        </w:rPr>
        <w:t xml:space="preserve">Patients aged more than 18 years, diagnosed with diabetes mellitus, and currently on insulin therapy were </w:t>
      </w:r>
      <w:proofErr w:type="spellStart"/>
      <w:proofErr w:type="gramStart"/>
      <w:r>
        <w:rPr>
          <w:rFonts w:ascii="Times New Roman" w:eastAsia="Times New Roman" w:hAnsi="Times New Roman" w:cs="Times New Roman"/>
          <w:sz w:val="24"/>
          <w:szCs w:val="24"/>
        </w:rPr>
        <w:t>included.</w:t>
      </w:r>
      <w:r>
        <w:rPr>
          <w:rFonts w:ascii="Times New Roman" w:eastAsia="Times New Roman" w:hAnsi="Times New Roman" w:cs="Times New Roman"/>
          <w:color w:val="111111"/>
          <w:sz w:val="24"/>
          <w:szCs w:val="24"/>
        </w:rPr>
        <w:t>Patients</w:t>
      </w:r>
      <w:proofErr w:type="spellEnd"/>
      <w:proofErr w:type="gramEnd"/>
      <w:r>
        <w:rPr>
          <w:rFonts w:ascii="Times New Roman" w:eastAsia="Times New Roman" w:hAnsi="Times New Roman" w:cs="Times New Roman"/>
          <w:color w:val="111111"/>
          <w:sz w:val="24"/>
          <w:szCs w:val="24"/>
        </w:rPr>
        <w:t xml:space="preserve"> not receiving insulin therapy, those with severe acute illness, cognitive impairment, or inability to respond to the questionnaire, critically ill patients, those who refused consent, and those with incomplete data were excluded from the study.</w:t>
      </w:r>
    </w:p>
    <w:p w14:paraId="5B193933"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 </w:t>
      </w:r>
      <w:r>
        <w:rPr>
          <w:rFonts w:ascii="Times New Roman" w:eastAsia="Times New Roman" w:hAnsi="Times New Roman" w:cs="Times New Roman"/>
          <w:b/>
          <w:bCs/>
          <w:sz w:val="24"/>
          <w:szCs w:val="24"/>
        </w:rPr>
        <w:t xml:space="preserve">Data collection </w:t>
      </w:r>
      <w:proofErr w:type="gramStart"/>
      <w:r>
        <w:rPr>
          <w:rFonts w:ascii="Times New Roman" w:eastAsia="Times New Roman" w:hAnsi="Times New Roman" w:cs="Times New Roman"/>
          <w:b/>
          <w:bCs/>
          <w:sz w:val="24"/>
          <w:szCs w:val="24"/>
        </w:rPr>
        <w:t>tool</w:t>
      </w:r>
      <w:proofErr w:type="gramEnd"/>
    </w:p>
    <w:p w14:paraId="71B42D85"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were collected using a structured, predesigned questionnaire assessing knowledge, attitude, and practice (KAP) regarding insulin use. The questionnaire included demographic and clinical details, followed by knowledge (4 items), attitude (2 items), and</w:t>
      </w:r>
      <w:r>
        <w:rPr>
          <w:rFonts w:ascii="Times New Roman" w:eastAsia="Times New Roman" w:hAnsi="Times New Roman" w:cs="Times New Roman"/>
          <w:sz w:val="24"/>
          <w:szCs w:val="24"/>
        </w:rPr>
        <w:t xml:space="preserve"> practice (4 items) related to insulin storage, injection technique, needle reuse, site rotation, </w:t>
      </w:r>
      <w:proofErr w:type="spellStart"/>
      <w:r>
        <w:rPr>
          <w:rFonts w:ascii="Times New Roman" w:eastAsia="Times New Roman" w:hAnsi="Times New Roman" w:cs="Times New Roman"/>
          <w:sz w:val="24"/>
          <w:szCs w:val="24"/>
        </w:rPr>
        <w:t>hypoglycemia</w:t>
      </w:r>
      <w:proofErr w:type="spellEnd"/>
      <w:r>
        <w:rPr>
          <w:rFonts w:ascii="Times New Roman" w:eastAsia="Times New Roman" w:hAnsi="Times New Roman" w:cs="Times New Roman"/>
          <w:sz w:val="24"/>
          <w:szCs w:val="24"/>
        </w:rPr>
        <w:t xml:space="preserve"> awareness, and disposal practices. The questionnaire was developed based on a review of relevant literature and standard guidelines on insulin ad</w:t>
      </w:r>
      <w:r>
        <w:rPr>
          <w:rFonts w:ascii="Times New Roman" w:eastAsia="Times New Roman" w:hAnsi="Times New Roman" w:cs="Times New Roman"/>
          <w:sz w:val="24"/>
          <w:szCs w:val="24"/>
        </w:rPr>
        <w:t>ministration and was pretested before use.</w:t>
      </w:r>
    </w:p>
    <w:p w14:paraId="284338E9" w14:textId="77777777" w:rsidR="00AD294F" w:rsidRDefault="00AD294F">
      <w:pPr>
        <w:rPr>
          <w:rFonts w:ascii="Times New Roman" w:eastAsia="Times New Roman" w:hAnsi="Times New Roman" w:cs="Times New Roman"/>
          <w:sz w:val="24"/>
          <w:szCs w:val="24"/>
        </w:rPr>
      </w:pPr>
    </w:p>
    <w:p w14:paraId="35EB0435"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correct response was scored as 1 and each incorrect or unsure response as 0. Based on the </w:t>
      </w:r>
      <w:proofErr w:type="spellStart"/>
      <w:r>
        <w:rPr>
          <w:rFonts w:ascii="Times New Roman" w:eastAsia="Times New Roman" w:hAnsi="Times New Roman" w:cs="Times New Roman"/>
          <w:sz w:val="24"/>
          <w:szCs w:val="24"/>
        </w:rPr>
        <w:t>analyzable</w:t>
      </w:r>
      <w:proofErr w:type="spellEnd"/>
      <w:r>
        <w:rPr>
          <w:rFonts w:ascii="Times New Roman" w:eastAsia="Times New Roman" w:hAnsi="Times New Roman" w:cs="Times New Roman"/>
          <w:sz w:val="24"/>
          <w:szCs w:val="24"/>
        </w:rPr>
        <w:t xml:space="preserve"> dataset, the total KAP score ranged from 0 to 9, as three of the four practice items were included in the </w:t>
      </w:r>
      <w:r>
        <w:rPr>
          <w:rFonts w:ascii="Times New Roman" w:eastAsia="Times New Roman" w:hAnsi="Times New Roman" w:cs="Times New Roman"/>
          <w:sz w:val="24"/>
          <w:szCs w:val="24"/>
        </w:rPr>
        <w:t>final analysis.</w:t>
      </w:r>
    </w:p>
    <w:p w14:paraId="140D3CA0" w14:textId="77777777" w:rsidR="00AD294F" w:rsidRDefault="00AD294F">
      <w:pPr>
        <w:rPr>
          <w:rFonts w:ascii="Times New Roman" w:eastAsia="Times New Roman" w:hAnsi="Times New Roman" w:cs="Times New Roman"/>
          <w:sz w:val="24"/>
          <w:szCs w:val="24"/>
        </w:rPr>
      </w:pPr>
    </w:p>
    <w:p w14:paraId="5ADB71A8"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questionnaire is provided as Appendix 1.</w:t>
      </w:r>
    </w:p>
    <w:p w14:paraId="2FA42854" w14:textId="77777777" w:rsidR="00AD294F" w:rsidRDefault="00AD294F">
      <w:pPr>
        <w:rPr>
          <w:rFonts w:ascii="Times New Roman" w:eastAsia="Times New Roman" w:hAnsi="Times New Roman" w:cs="Times New Roman"/>
          <w:sz w:val="24"/>
          <w:szCs w:val="24"/>
        </w:rPr>
      </w:pPr>
    </w:p>
    <w:p w14:paraId="47ABE061"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Demographic variables, including education level and socioeconomic status, were recorded. Education level was categorized into five groups (illiterate, primary, secondary, higher secondary, and</w:t>
      </w:r>
      <w:r>
        <w:rPr>
          <w:rFonts w:ascii="Times New Roman" w:eastAsia="Times New Roman" w:hAnsi="Times New Roman" w:cs="Times New Roman"/>
          <w:sz w:val="24"/>
          <w:szCs w:val="24"/>
        </w:rPr>
        <w:t xml:space="preserve"> graduate/postgraduate). Socioeconomic status was assessed using the modified Kuppuswamy scale based on monthly family income (Appendices 2 and 3).</w:t>
      </w:r>
    </w:p>
    <w:p w14:paraId="27CBB61E" w14:textId="77777777" w:rsidR="00AD294F" w:rsidRDefault="00AD294F">
      <w:pPr>
        <w:rPr>
          <w:rFonts w:ascii="Times New Roman" w:eastAsia="Times New Roman" w:hAnsi="Times New Roman" w:cs="Times New Roman"/>
          <w:color w:val="111111"/>
          <w:sz w:val="24"/>
          <w:szCs w:val="24"/>
        </w:rPr>
      </w:pPr>
    </w:p>
    <w:p w14:paraId="4D165E4F"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Statistical analysis</w:t>
      </w:r>
    </w:p>
    <w:p w14:paraId="6E2CEC7D"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were recorded in a structured proforma and entered into Microsoft Excel 2016 (M</w:t>
      </w:r>
      <w:r>
        <w:rPr>
          <w:rFonts w:ascii="Times New Roman" w:eastAsia="Times New Roman" w:hAnsi="Times New Roman" w:cs="Times New Roman"/>
          <w:sz w:val="24"/>
          <w:szCs w:val="24"/>
        </w:rPr>
        <w:t xml:space="preserve">icrosoft Corporation, Redmond WA). All entries were double checked for correctness. Continuous variables with normal distribution are expressed as mean ± standard deviation and variables that were not normally distributed are presented </w:t>
      </w:r>
      <w:proofErr w:type="spellStart"/>
      <w:r>
        <w:rPr>
          <w:rFonts w:ascii="Times New Roman" w:eastAsia="Times New Roman" w:hAnsi="Times New Roman" w:cs="Times New Roman"/>
          <w:sz w:val="24"/>
          <w:szCs w:val="24"/>
        </w:rPr>
        <w:t>asmedian</w:t>
      </w:r>
      <w:proofErr w:type="spellEnd"/>
      <w:r>
        <w:rPr>
          <w:rFonts w:ascii="Times New Roman" w:eastAsia="Times New Roman" w:hAnsi="Times New Roman" w:cs="Times New Roman"/>
          <w:sz w:val="24"/>
          <w:szCs w:val="24"/>
        </w:rPr>
        <w:t xml:space="preserve"> [interquart</w:t>
      </w:r>
      <w:r>
        <w:rPr>
          <w:rFonts w:ascii="Times New Roman" w:eastAsia="Times New Roman" w:hAnsi="Times New Roman" w:cs="Times New Roman"/>
          <w:sz w:val="24"/>
          <w:szCs w:val="24"/>
        </w:rPr>
        <w:t xml:space="preserve">ile </w:t>
      </w:r>
      <w:proofErr w:type="gramStart"/>
      <w:r>
        <w:rPr>
          <w:rFonts w:ascii="Times New Roman" w:eastAsia="Times New Roman" w:hAnsi="Times New Roman" w:cs="Times New Roman"/>
          <w:sz w:val="24"/>
          <w:szCs w:val="24"/>
        </w:rPr>
        <w:t>range(</w:t>
      </w:r>
      <w:proofErr w:type="gramEnd"/>
      <w:r>
        <w:rPr>
          <w:rFonts w:ascii="Times New Roman" w:eastAsia="Times New Roman" w:hAnsi="Times New Roman" w:cs="Times New Roman"/>
          <w:sz w:val="24"/>
          <w:szCs w:val="24"/>
        </w:rPr>
        <w:t xml:space="preserve">IQR)]. Categorical variables were expressed as counts and percentage. </w:t>
      </w:r>
    </w:p>
    <w:p w14:paraId="4C7977E9"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Statistical analyses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carried out using the statistical software IBM (International Business Machines Corporation) SPSS (Statistical Package for the Social Sciences) versio</w:t>
      </w:r>
      <w:r>
        <w:rPr>
          <w:rFonts w:ascii="Times New Roman" w:eastAsia="Times New Roman" w:hAnsi="Times New Roman" w:cs="Times New Roman"/>
          <w:sz w:val="24"/>
          <w:szCs w:val="24"/>
        </w:rPr>
        <w:t>n 25.0 (IBM Corp Somers NY, USA)</w:t>
      </w:r>
    </w:p>
    <w:p w14:paraId="6AFA1343" w14:textId="77777777" w:rsidR="00AD294F" w:rsidRDefault="00AD294F">
      <w:pPr>
        <w:rPr>
          <w:rFonts w:ascii="Times New Roman" w:eastAsia="Times New Roman" w:hAnsi="Times New Roman" w:cs="Times New Roman"/>
          <w:sz w:val="24"/>
          <w:szCs w:val="24"/>
        </w:rPr>
      </w:pPr>
    </w:p>
    <w:p w14:paraId="16C1E794"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14:paraId="27DDE485"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Baseline clinical characteristics</w:t>
      </w:r>
    </w:p>
    <w:p w14:paraId="06948E4C"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total of 100 patients receiving insulin therapy were included in the final analysis. The mean duration of diabetes was 13.44 ± 6.88 years and the mean duration of </w:t>
      </w:r>
      <w:r>
        <w:rPr>
          <w:rFonts w:ascii="Times New Roman" w:eastAsia="Times New Roman" w:hAnsi="Times New Roman" w:cs="Times New Roman"/>
          <w:sz w:val="24"/>
          <w:szCs w:val="24"/>
        </w:rPr>
        <w:t>insulin use was 55.37 ± 33.84 months. Despite relatively long disease and treatment duration, knowledge and practice scores remained low, suggesting inadequate long-term reinforcement of insulin education.</w:t>
      </w:r>
    </w:p>
    <w:p w14:paraId="0C23B422" w14:textId="77777777" w:rsidR="00AD294F" w:rsidRDefault="00AD294F">
      <w:pPr>
        <w:rPr>
          <w:rFonts w:ascii="Times New Roman" w:eastAsia="Times New Roman" w:hAnsi="Times New Roman" w:cs="Times New Roman"/>
          <w:sz w:val="24"/>
          <w:szCs w:val="24"/>
        </w:rPr>
      </w:pPr>
    </w:p>
    <w:p w14:paraId="50C22A82"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Clinical characteristics of study partic</w:t>
      </w:r>
      <w:r>
        <w:rPr>
          <w:rFonts w:ascii="Times New Roman" w:eastAsia="Times New Roman" w:hAnsi="Times New Roman" w:cs="Times New Roman"/>
          <w:b/>
          <w:bCs/>
          <w:sz w:val="24"/>
          <w:szCs w:val="24"/>
        </w:rPr>
        <w:t>ipants</w:t>
      </w:r>
    </w:p>
    <w:tbl>
      <w:tblPr>
        <w:tblStyle w:val="a"/>
        <w:tblW w:w="5934" w:type="dxa"/>
        <w:tblLayout w:type="fixed"/>
        <w:tblLook w:val="0400" w:firstRow="0" w:lastRow="0" w:firstColumn="0" w:lastColumn="0" w:noHBand="0" w:noVBand="1"/>
      </w:tblPr>
      <w:tblGrid>
        <w:gridCol w:w="4527"/>
        <w:gridCol w:w="1407"/>
      </w:tblGrid>
      <w:tr w:rsidR="00AD294F" w14:paraId="10E78C59" w14:textId="77777777">
        <w:trPr>
          <w:tblHeader/>
        </w:trPr>
        <w:tc>
          <w:tcPr>
            <w:tcW w:w="4527" w:type="dxa"/>
            <w:vAlign w:val="center"/>
          </w:tcPr>
          <w:p w14:paraId="43E592DF"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w:t>
            </w:r>
          </w:p>
        </w:tc>
        <w:tc>
          <w:tcPr>
            <w:tcW w:w="1407" w:type="dxa"/>
            <w:vAlign w:val="center"/>
          </w:tcPr>
          <w:p w14:paraId="59404017"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Value</w:t>
            </w:r>
          </w:p>
        </w:tc>
      </w:tr>
      <w:tr w:rsidR="00AD294F" w14:paraId="7C08A8FB" w14:textId="77777777">
        <w:tc>
          <w:tcPr>
            <w:tcW w:w="4527" w:type="dxa"/>
            <w:vAlign w:val="center"/>
          </w:tcPr>
          <w:p w14:paraId="1DFFEB94"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Sample size</w:t>
            </w:r>
          </w:p>
        </w:tc>
        <w:tc>
          <w:tcPr>
            <w:tcW w:w="1407" w:type="dxa"/>
            <w:vAlign w:val="center"/>
          </w:tcPr>
          <w:p w14:paraId="7DFD5DE9"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AD294F" w14:paraId="750B8D29" w14:textId="77777777">
        <w:tc>
          <w:tcPr>
            <w:tcW w:w="4527" w:type="dxa"/>
            <w:vAlign w:val="center"/>
          </w:tcPr>
          <w:p w14:paraId="73479067"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Duration of diabetes (years)*</w:t>
            </w:r>
          </w:p>
        </w:tc>
        <w:tc>
          <w:tcPr>
            <w:tcW w:w="1407" w:type="dxa"/>
            <w:vAlign w:val="center"/>
          </w:tcPr>
          <w:p w14:paraId="1B7BBCED"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13.44 ± 6.88</w:t>
            </w:r>
          </w:p>
        </w:tc>
      </w:tr>
      <w:tr w:rsidR="00AD294F" w14:paraId="1A887F2B" w14:textId="77777777">
        <w:tc>
          <w:tcPr>
            <w:tcW w:w="4527" w:type="dxa"/>
            <w:vAlign w:val="center"/>
          </w:tcPr>
          <w:p w14:paraId="57335F85"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Duration of insulin use (months)*</w:t>
            </w:r>
          </w:p>
        </w:tc>
        <w:tc>
          <w:tcPr>
            <w:tcW w:w="1407" w:type="dxa"/>
            <w:vAlign w:val="center"/>
          </w:tcPr>
          <w:p w14:paraId="68E45472"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55.37 ± 33.84</w:t>
            </w:r>
          </w:p>
        </w:tc>
      </w:tr>
      <w:tr w:rsidR="00AD294F" w14:paraId="0BDB141D" w14:textId="77777777">
        <w:tc>
          <w:tcPr>
            <w:tcW w:w="4527" w:type="dxa"/>
            <w:vAlign w:val="center"/>
          </w:tcPr>
          <w:p w14:paraId="018361BA"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Needle reuse frequency*</w:t>
            </w:r>
          </w:p>
        </w:tc>
        <w:tc>
          <w:tcPr>
            <w:tcW w:w="1407" w:type="dxa"/>
            <w:vAlign w:val="center"/>
          </w:tcPr>
          <w:p w14:paraId="2848CC87"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2.42 ± 1.75</w:t>
            </w:r>
          </w:p>
        </w:tc>
      </w:tr>
    </w:tbl>
    <w:p w14:paraId="6E9F5CEF"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are expressed as mean ± standard deviation</w:t>
      </w:r>
    </w:p>
    <w:p w14:paraId="72BD2E73" w14:textId="77777777" w:rsidR="00AD294F" w:rsidRDefault="00AD294F">
      <w:pPr>
        <w:rPr>
          <w:rFonts w:ascii="Times New Roman" w:eastAsia="Times New Roman" w:hAnsi="Times New Roman" w:cs="Times New Roman"/>
          <w:sz w:val="24"/>
          <w:szCs w:val="24"/>
        </w:rPr>
      </w:pPr>
    </w:p>
    <w:p w14:paraId="5EABF07B"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 KAP scores</w:t>
      </w:r>
    </w:p>
    <w:p w14:paraId="05357E85"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mean </w:t>
      </w:r>
      <w:r>
        <w:rPr>
          <w:rFonts w:ascii="Times New Roman" w:eastAsia="Times New Roman" w:hAnsi="Times New Roman" w:cs="Times New Roman"/>
          <w:sz w:val="24"/>
          <w:szCs w:val="24"/>
        </w:rPr>
        <w:t>knowledge score was 1.45 ± 0.91 out of 4, the mean attitude score was 1.01 ± 0.64 out of 2, and the mean practice score was 1.35 ± 0.81 out of 3. The mean total KAP score was 3.81 ± 1.45 out of 9, indicating overall moderate-to-poor performance.</w:t>
      </w:r>
    </w:p>
    <w:p w14:paraId="70437401"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D</w:t>
      </w:r>
      <w:r>
        <w:rPr>
          <w:rFonts w:ascii="Times New Roman" w:eastAsia="Times New Roman" w:hAnsi="Times New Roman" w:cs="Times New Roman"/>
          <w:b/>
          <w:bCs/>
          <w:sz w:val="24"/>
          <w:szCs w:val="24"/>
        </w:rPr>
        <w:t>omain-wise KAP scores</w:t>
      </w:r>
    </w:p>
    <w:tbl>
      <w:tblPr>
        <w:tblStyle w:val="a0"/>
        <w:tblW w:w="6207" w:type="dxa"/>
        <w:tblLayout w:type="fixed"/>
        <w:tblLook w:val="0400" w:firstRow="0" w:lastRow="0" w:firstColumn="0" w:lastColumn="0" w:noHBand="0" w:noVBand="1"/>
      </w:tblPr>
      <w:tblGrid>
        <w:gridCol w:w="1182"/>
        <w:gridCol w:w="1774"/>
        <w:gridCol w:w="1520"/>
        <w:gridCol w:w="1731"/>
      </w:tblGrid>
      <w:tr w:rsidR="00AD294F" w14:paraId="7F5F09E3" w14:textId="77777777">
        <w:trPr>
          <w:tblHeader/>
        </w:trPr>
        <w:tc>
          <w:tcPr>
            <w:tcW w:w="1182" w:type="dxa"/>
            <w:vAlign w:val="center"/>
          </w:tcPr>
          <w:p w14:paraId="66C63356"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Domain</w:t>
            </w:r>
          </w:p>
        </w:tc>
        <w:tc>
          <w:tcPr>
            <w:tcW w:w="1774" w:type="dxa"/>
            <w:vAlign w:val="center"/>
          </w:tcPr>
          <w:p w14:paraId="5CAC5683"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Score</w:t>
            </w:r>
          </w:p>
        </w:tc>
        <w:tc>
          <w:tcPr>
            <w:tcW w:w="1520" w:type="dxa"/>
            <w:vAlign w:val="center"/>
          </w:tcPr>
          <w:p w14:paraId="5A7FCB7C"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Median (IQR)</w:t>
            </w:r>
          </w:p>
        </w:tc>
        <w:tc>
          <w:tcPr>
            <w:tcW w:w="1731" w:type="dxa"/>
            <w:vAlign w:val="center"/>
          </w:tcPr>
          <w:p w14:paraId="73AE4376"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Maximum score</w:t>
            </w:r>
          </w:p>
        </w:tc>
      </w:tr>
      <w:tr w:rsidR="00AD294F" w14:paraId="2E3988E1" w14:textId="77777777">
        <w:tc>
          <w:tcPr>
            <w:tcW w:w="1182" w:type="dxa"/>
            <w:vAlign w:val="center"/>
          </w:tcPr>
          <w:p w14:paraId="7C0B4BC3"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w:t>
            </w:r>
          </w:p>
        </w:tc>
        <w:tc>
          <w:tcPr>
            <w:tcW w:w="1774" w:type="dxa"/>
            <w:vAlign w:val="center"/>
          </w:tcPr>
          <w:p w14:paraId="5866733F"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1.45 ± 0.91</w:t>
            </w:r>
          </w:p>
        </w:tc>
        <w:tc>
          <w:tcPr>
            <w:tcW w:w="1520" w:type="dxa"/>
            <w:vAlign w:val="center"/>
          </w:tcPr>
          <w:p w14:paraId="6D601804"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 (1–2)</w:t>
            </w:r>
          </w:p>
        </w:tc>
        <w:tc>
          <w:tcPr>
            <w:tcW w:w="1731" w:type="dxa"/>
            <w:vAlign w:val="center"/>
          </w:tcPr>
          <w:p w14:paraId="1A865362"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D294F" w14:paraId="3F81B4E9" w14:textId="77777777">
        <w:tc>
          <w:tcPr>
            <w:tcW w:w="1182" w:type="dxa"/>
            <w:vAlign w:val="center"/>
          </w:tcPr>
          <w:p w14:paraId="7044F501"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Attitude</w:t>
            </w:r>
          </w:p>
        </w:tc>
        <w:tc>
          <w:tcPr>
            <w:tcW w:w="1774" w:type="dxa"/>
            <w:vAlign w:val="center"/>
          </w:tcPr>
          <w:p w14:paraId="20781C54"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1.01 ± 0.64</w:t>
            </w:r>
          </w:p>
        </w:tc>
        <w:tc>
          <w:tcPr>
            <w:tcW w:w="1520" w:type="dxa"/>
            <w:vAlign w:val="center"/>
          </w:tcPr>
          <w:p w14:paraId="3AE38AD2"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 (1–1)</w:t>
            </w:r>
          </w:p>
        </w:tc>
        <w:tc>
          <w:tcPr>
            <w:tcW w:w="1731" w:type="dxa"/>
            <w:vAlign w:val="center"/>
          </w:tcPr>
          <w:p w14:paraId="46517EFE"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D294F" w14:paraId="7E514F9F" w14:textId="77777777">
        <w:tc>
          <w:tcPr>
            <w:tcW w:w="1182" w:type="dxa"/>
            <w:vAlign w:val="center"/>
          </w:tcPr>
          <w:p w14:paraId="6E0611ED"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Practice</w:t>
            </w:r>
          </w:p>
        </w:tc>
        <w:tc>
          <w:tcPr>
            <w:tcW w:w="1774" w:type="dxa"/>
            <w:vAlign w:val="center"/>
          </w:tcPr>
          <w:p w14:paraId="79EAB5A5"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1.35 ± 0.81</w:t>
            </w:r>
          </w:p>
        </w:tc>
        <w:tc>
          <w:tcPr>
            <w:tcW w:w="1520" w:type="dxa"/>
            <w:vAlign w:val="center"/>
          </w:tcPr>
          <w:p w14:paraId="3C476138"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 (1–2)</w:t>
            </w:r>
          </w:p>
        </w:tc>
        <w:tc>
          <w:tcPr>
            <w:tcW w:w="1731" w:type="dxa"/>
            <w:vAlign w:val="center"/>
          </w:tcPr>
          <w:p w14:paraId="196978F0"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D294F" w14:paraId="657F0B7A" w14:textId="77777777">
        <w:tc>
          <w:tcPr>
            <w:tcW w:w="1182" w:type="dxa"/>
            <w:vAlign w:val="center"/>
          </w:tcPr>
          <w:p w14:paraId="10688F0F"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KAP</w:t>
            </w:r>
          </w:p>
        </w:tc>
        <w:tc>
          <w:tcPr>
            <w:tcW w:w="1774" w:type="dxa"/>
            <w:vAlign w:val="center"/>
          </w:tcPr>
          <w:p w14:paraId="1644F583"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3.81 ± 1.45</w:t>
            </w:r>
          </w:p>
        </w:tc>
        <w:tc>
          <w:tcPr>
            <w:tcW w:w="1520" w:type="dxa"/>
            <w:vAlign w:val="center"/>
          </w:tcPr>
          <w:p w14:paraId="6E8B6BDE"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(3–5)</w:t>
            </w:r>
          </w:p>
        </w:tc>
        <w:tc>
          <w:tcPr>
            <w:tcW w:w="1731" w:type="dxa"/>
            <w:vAlign w:val="center"/>
          </w:tcPr>
          <w:p w14:paraId="75B61636"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r>
    </w:tbl>
    <w:p w14:paraId="55E83CE2"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are express in median (</w:t>
      </w:r>
      <w:proofErr w:type="spellStart"/>
      <w:r>
        <w:rPr>
          <w:rFonts w:ascii="Times New Roman" w:eastAsia="Times New Roman" w:hAnsi="Times New Roman" w:cs="Times New Roman"/>
          <w:sz w:val="24"/>
          <w:szCs w:val="24"/>
        </w:rPr>
        <w:t>interquatile</w:t>
      </w:r>
      <w:proofErr w:type="spellEnd"/>
      <w:r>
        <w:rPr>
          <w:rFonts w:ascii="Times New Roman" w:eastAsia="Times New Roman" w:hAnsi="Times New Roman" w:cs="Times New Roman"/>
          <w:sz w:val="24"/>
          <w:szCs w:val="24"/>
        </w:rPr>
        <w:t xml:space="preserve"> range)</w:t>
      </w:r>
    </w:p>
    <w:p w14:paraId="497483B7" w14:textId="5784123A"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w:t>
      </w:r>
      <w:r w:rsidR="00D407B0">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Correct responses for individual knowledge and practice-related items</w:t>
      </w:r>
    </w:p>
    <w:p w14:paraId="15EDE69D" w14:textId="77777777" w:rsidR="00AD294F" w:rsidRDefault="001313E8">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finding that only 6% of participants knew correct insulin storage is particularly important because improper storage can reduce insulin potency, especially in hot climates, and can c</w:t>
      </w:r>
      <w:r>
        <w:rPr>
          <w:rFonts w:ascii="Times New Roman" w:eastAsia="Times New Roman" w:hAnsi="Times New Roman" w:cs="Times New Roman"/>
          <w:sz w:val="24"/>
          <w:szCs w:val="24"/>
        </w:rPr>
        <w:t>ontribute to poor glycaemic control despite apparent adherence.</w:t>
      </w:r>
      <w:r>
        <w:rPr>
          <w:rFonts w:ascii="Times New Roman" w:eastAsia="Times New Roman" w:hAnsi="Times New Roman" w:cs="Times New Roman"/>
          <w:sz w:val="24"/>
          <w:szCs w:val="24"/>
          <w:vertAlign w:val="superscript"/>
        </w:rPr>
        <w:t>4,5</w:t>
      </w:r>
      <w:r>
        <w:rPr>
          <w:rFonts w:ascii="Times New Roman" w:eastAsia="Times New Roman" w:hAnsi="Times New Roman" w:cs="Times New Roman"/>
          <w:sz w:val="24"/>
          <w:szCs w:val="24"/>
        </w:rPr>
        <w:t xml:space="preserve"> Poor knowledge regarding site rotation and needle reuse increases the risk of </w:t>
      </w:r>
      <w:proofErr w:type="spellStart"/>
      <w:r>
        <w:rPr>
          <w:rFonts w:ascii="Times New Roman" w:eastAsia="Times New Roman" w:hAnsi="Times New Roman" w:cs="Times New Roman"/>
          <w:sz w:val="24"/>
          <w:szCs w:val="24"/>
        </w:rPr>
        <w:t>lipohypertrophy</w:t>
      </w:r>
      <w:proofErr w:type="spellEnd"/>
      <w:r>
        <w:rPr>
          <w:rFonts w:ascii="Times New Roman" w:eastAsia="Times New Roman" w:hAnsi="Times New Roman" w:cs="Times New Roman"/>
          <w:sz w:val="24"/>
          <w:szCs w:val="24"/>
        </w:rPr>
        <w:t xml:space="preserve"> and erratic insulin absorption.</w:t>
      </w:r>
      <w:r>
        <w:rPr>
          <w:rFonts w:ascii="Times New Roman" w:eastAsia="Times New Roman" w:hAnsi="Times New Roman" w:cs="Times New Roman"/>
          <w:sz w:val="24"/>
          <w:szCs w:val="24"/>
          <w:vertAlign w:val="superscript"/>
        </w:rPr>
        <w:t>6,7</w:t>
      </w:r>
    </w:p>
    <w:p w14:paraId="62B4D46C" w14:textId="77777777" w:rsidR="00AD294F" w:rsidRDefault="00AD294F">
      <w:pPr>
        <w:rPr>
          <w:rFonts w:ascii="Times New Roman" w:eastAsia="Times New Roman" w:hAnsi="Times New Roman" w:cs="Times New Roman"/>
          <w:sz w:val="24"/>
          <w:szCs w:val="24"/>
        </w:rPr>
      </w:pPr>
    </w:p>
    <w:p w14:paraId="4E4626B3"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BC960E4" wp14:editId="7796FD2A">
            <wp:extent cx="3641318" cy="2577948"/>
            <wp:effectExtent l="0" t="0" r="0" b="0"/>
            <wp:docPr id="18951123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41318" cy="2577948"/>
                    </a:xfrm>
                    <a:prstGeom prst="rect">
                      <a:avLst/>
                    </a:prstGeom>
                    <a:ln/>
                  </pic:spPr>
                </pic:pic>
              </a:graphicData>
            </a:graphic>
          </wp:inline>
        </w:drawing>
      </w:r>
    </w:p>
    <w:p w14:paraId="74477758" w14:textId="77777777" w:rsidR="00AD294F" w:rsidRDefault="00AD294F">
      <w:pPr>
        <w:rPr>
          <w:rFonts w:ascii="Times New Roman" w:eastAsia="Times New Roman" w:hAnsi="Times New Roman" w:cs="Times New Roman"/>
          <w:sz w:val="24"/>
          <w:szCs w:val="24"/>
        </w:rPr>
      </w:pPr>
    </w:p>
    <w:p w14:paraId="74BA4E65"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Knowledge domain</w:t>
      </w:r>
    </w:p>
    <w:p w14:paraId="2A5E7A65"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Knowledge was the weakest domain. Only </w:t>
      </w:r>
      <w:r>
        <w:rPr>
          <w:rFonts w:ascii="Times New Roman" w:eastAsia="Times New Roman" w:hAnsi="Times New Roman" w:cs="Times New Roman"/>
          <w:sz w:val="24"/>
          <w:szCs w:val="24"/>
        </w:rPr>
        <w:t xml:space="preserve">6% of participants knew correct insulin storage. Awareness regarding the need to avoid unsafe needle reuse, rotate injection sites, and recognize/manage </w:t>
      </w:r>
      <w:proofErr w:type="spellStart"/>
      <w:r>
        <w:rPr>
          <w:rFonts w:ascii="Times New Roman" w:eastAsia="Times New Roman" w:hAnsi="Times New Roman" w:cs="Times New Roman"/>
          <w:sz w:val="24"/>
          <w:szCs w:val="24"/>
        </w:rPr>
        <w:t>hypoglycemia</w:t>
      </w:r>
      <w:proofErr w:type="spellEnd"/>
      <w:r>
        <w:rPr>
          <w:rFonts w:ascii="Times New Roman" w:eastAsia="Times New Roman" w:hAnsi="Times New Roman" w:cs="Times New Roman"/>
          <w:sz w:val="24"/>
          <w:szCs w:val="24"/>
        </w:rPr>
        <w:t xml:space="preserve"> was also suboptimal.</w:t>
      </w:r>
    </w:p>
    <w:p w14:paraId="058A385B"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 Knowledge item-wise responses</w:t>
      </w:r>
    </w:p>
    <w:tbl>
      <w:tblPr>
        <w:tblStyle w:val="a1"/>
        <w:tblW w:w="9026" w:type="dxa"/>
        <w:tblLayout w:type="fixed"/>
        <w:tblLook w:val="0400" w:firstRow="0" w:lastRow="0" w:firstColumn="0" w:lastColumn="0" w:noHBand="0" w:noVBand="1"/>
      </w:tblPr>
      <w:tblGrid>
        <w:gridCol w:w="6615"/>
        <w:gridCol w:w="2411"/>
      </w:tblGrid>
      <w:tr w:rsidR="00AD294F" w14:paraId="4916483D" w14:textId="77777777">
        <w:trPr>
          <w:tblHeader/>
        </w:trPr>
        <w:tc>
          <w:tcPr>
            <w:tcW w:w="6615" w:type="dxa"/>
            <w:vAlign w:val="center"/>
          </w:tcPr>
          <w:p w14:paraId="22A0AF5C"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Knowledge item</w:t>
            </w:r>
          </w:p>
        </w:tc>
        <w:tc>
          <w:tcPr>
            <w:tcW w:w="2411" w:type="dxa"/>
            <w:vAlign w:val="center"/>
          </w:tcPr>
          <w:p w14:paraId="09742E06"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Correct respons</w:t>
            </w:r>
            <w:r>
              <w:rPr>
                <w:rFonts w:ascii="Times New Roman" w:eastAsia="Times New Roman" w:hAnsi="Times New Roman" w:cs="Times New Roman"/>
                <w:b/>
                <w:bCs/>
                <w:sz w:val="24"/>
                <w:szCs w:val="24"/>
              </w:rPr>
              <w:t>e (%)</w:t>
            </w:r>
          </w:p>
        </w:tc>
      </w:tr>
      <w:tr w:rsidR="00AD294F" w14:paraId="72CD05F4" w14:textId="77777777">
        <w:tc>
          <w:tcPr>
            <w:tcW w:w="6615" w:type="dxa"/>
            <w:vAlign w:val="center"/>
          </w:tcPr>
          <w:p w14:paraId="76DE1E81"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Proper insulin storage</w:t>
            </w:r>
          </w:p>
        </w:tc>
        <w:tc>
          <w:tcPr>
            <w:tcW w:w="2411" w:type="dxa"/>
            <w:vAlign w:val="center"/>
          </w:tcPr>
          <w:p w14:paraId="42452C9B"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6 (6)</w:t>
            </w:r>
          </w:p>
        </w:tc>
      </w:tr>
      <w:tr w:rsidR="00AD294F" w14:paraId="1F996082" w14:textId="77777777">
        <w:tc>
          <w:tcPr>
            <w:tcW w:w="6615" w:type="dxa"/>
            <w:vAlign w:val="center"/>
          </w:tcPr>
          <w:p w14:paraId="3E6A6511"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that needle reuse is unsafe</w:t>
            </w:r>
          </w:p>
        </w:tc>
        <w:tc>
          <w:tcPr>
            <w:tcW w:w="2411" w:type="dxa"/>
            <w:vAlign w:val="center"/>
          </w:tcPr>
          <w:p w14:paraId="12B407BC"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46 (46)</w:t>
            </w:r>
          </w:p>
        </w:tc>
      </w:tr>
      <w:tr w:rsidR="00AD294F" w14:paraId="54F215B0" w14:textId="77777777">
        <w:tc>
          <w:tcPr>
            <w:tcW w:w="6615" w:type="dxa"/>
            <w:vAlign w:val="center"/>
          </w:tcPr>
          <w:p w14:paraId="5A183151"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that injection site should be rotated</w:t>
            </w:r>
          </w:p>
        </w:tc>
        <w:tc>
          <w:tcPr>
            <w:tcW w:w="2411" w:type="dxa"/>
            <w:vAlign w:val="center"/>
          </w:tcPr>
          <w:p w14:paraId="6D28E550"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46 (46)</w:t>
            </w:r>
          </w:p>
        </w:tc>
      </w:tr>
      <w:tr w:rsidR="00AD294F" w14:paraId="3998EA50" w14:textId="77777777">
        <w:tc>
          <w:tcPr>
            <w:tcW w:w="6615" w:type="dxa"/>
            <w:vAlign w:val="center"/>
          </w:tcPr>
          <w:p w14:paraId="6636E2DE"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of hypoglycaemia recognition/management</w:t>
            </w:r>
          </w:p>
        </w:tc>
        <w:tc>
          <w:tcPr>
            <w:tcW w:w="2411" w:type="dxa"/>
            <w:vAlign w:val="center"/>
          </w:tcPr>
          <w:p w14:paraId="62AA47FF"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47 (47)</w:t>
            </w:r>
          </w:p>
        </w:tc>
      </w:tr>
    </w:tbl>
    <w:p w14:paraId="3A61CF63" w14:textId="77777777" w:rsidR="00AD294F" w:rsidRDefault="00AD294F">
      <w:pPr>
        <w:rPr>
          <w:rFonts w:ascii="Times New Roman" w:eastAsia="Times New Roman" w:hAnsi="Times New Roman" w:cs="Times New Roman"/>
          <w:sz w:val="24"/>
          <w:szCs w:val="24"/>
        </w:rPr>
      </w:pPr>
    </w:p>
    <w:p w14:paraId="555DD803" w14:textId="77777777" w:rsidR="00AD294F" w:rsidRDefault="00AD294F">
      <w:pPr>
        <w:rPr>
          <w:rFonts w:ascii="Times New Roman" w:eastAsia="Times New Roman" w:hAnsi="Times New Roman" w:cs="Times New Roman"/>
          <w:sz w:val="24"/>
          <w:szCs w:val="24"/>
        </w:rPr>
      </w:pPr>
    </w:p>
    <w:p w14:paraId="0C34DD22"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2. Correct responses for individual knowledge </w:t>
      </w:r>
      <w:r>
        <w:rPr>
          <w:rFonts w:ascii="Times New Roman" w:eastAsia="Times New Roman" w:hAnsi="Times New Roman" w:cs="Times New Roman"/>
          <w:b/>
          <w:bCs/>
          <w:sz w:val="24"/>
          <w:szCs w:val="24"/>
        </w:rPr>
        <w:t>and practice-related items</w:t>
      </w:r>
    </w:p>
    <w:p w14:paraId="6314265C" w14:textId="77777777" w:rsidR="00AD294F" w:rsidRDefault="001313E8">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finding that only 6% of participants knew correct insulin storage is particularly important because improper storage can reduce insulin potency, especially in hot climates, and can contribute to poor glycaemic control despite</w:t>
      </w:r>
      <w:r>
        <w:rPr>
          <w:rFonts w:ascii="Times New Roman" w:eastAsia="Times New Roman" w:hAnsi="Times New Roman" w:cs="Times New Roman"/>
          <w:sz w:val="24"/>
          <w:szCs w:val="24"/>
        </w:rPr>
        <w:t xml:space="preserve"> apparent adherence.</w:t>
      </w:r>
      <w:r>
        <w:rPr>
          <w:rFonts w:ascii="Times New Roman" w:eastAsia="Times New Roman" w:hAnsi="Times New Roman" w:cs="Times New Roman"/>
          <w:sz w:val="24"/>
          <w:szCs w:val="24"/>
          <w:vertAlign w:val="superscript"/>
        </w:rPr>
        <w:t>4,5</w:t>
      </w:r>
      <w:r>
        <w:rPr>
          <w:rFonts w:ascii="Times New Roman" w:eastAsia="Times New Roman" w:hAnsi="Times New Roman" w:cs="Times New Roman"/>
          <w:sz w:val="24"/>
          <w:szCs w:val="24"/>
        </w:rPr>
        <w:t xml:space="preserve"> Poor knowledge regarding site rotation and needle reuse increases the risk of </w:t>
      </w:r>
      <w:proofErr w:type="spellStart"/>
      <w:r>
        <w:rPr>
          <w:rFonts w:ascii="Times New Roman" w:eastAsia="Times New Roman" w:hAnsi="Times New Roman" w:cs="Times New Roman"/>
          <w:sz w:val="24"/>
          <w:szCs w:val="24"/>
        </w:rPr>
        <w:t>lipohypertrophy</w:t>
      </w:r>
      <w:proofErr w:type="spellEnd"/>
      <w:r>
        <w:rPr>
          <w:rFonts w:ascii="Times New Roman" w:eastAsia="Times New Roman" w:hAnsi="Times New Roman" w:cs="Times New Roman"/>
          <w:sz w:val="24"/>
          <w:szCs w:val="24"/>
        </w:rPr>
        <w:t xml:space="preserve"> and erratic insulin absorption.</w:t>
      </w:r>
      <w:r>
        <w:rPr>
          <w:rFonts w:ascii="Times New Roman" w:eastAsia="Times New Roman" w:hAnsi="Times New Roman" w:cs="Times New Roman"/>
          <w:sz w:val="24"/>
          <w:szCs w:val="24"/>
          <w:vertAlign w:val="superscript"/>
        </w:rPr>
        <w:t>6,7</w:t>
      </w:r>
    </w:p>
    <w:p w14:paraId="17107C6E" w14:textId="77777777" w:rsidR="00AD294F" w:rsidRDefault="00AD294F">
      <w:pPr>
        <w:rPr>
          <w:rFonts w:ascii="Times New Roman" w:eastAsia="Times New Roman" w:hAnsi="Times New Roman" w:cs="Times New Roman"/>
          <w:sz w:val="24"/>
          <w:szCs w:val="24"/>
          <w:vertAlign w:val="superscript"/>
        </w:rPr>
      </w:pPr>
    </w:p>
    <w:p w14:paraId="6E8235BD" w14:textId="77777777" w:rsidR="00AD294F" w:rsidRDefault="001313E8">
      <w:pPr>
        <w:rPr>
          <w:rFonts w:ascii="Times New Roman" w:eastAsia="Times New Roman" w:hAnsi="Times New Roman" w:cs="Times New Roman"/>
          <w:sz w:val="24"/>
          <w:szCs w:val="24"/>
          <w:vertAlign w:val="superscript"/>
        </w:rPr>
      </w:pPr>
      <w:r>
        <w:rPr>
          <w:rFonts w:ascii="Times New Roman" w:eastAsia="Times New Roman" w:hAnsi="Times New Roman" w:cs="Times New Roman"/>
          <w:noProof/>
          <w:sz w:val="24"/>
          <w:szCs w:val="24"/>
          <w:vertAlign w:val="superscript"/>
        </w:rPr>
        <w:lastRenderedPageBreak/>
        <w:drawing>
          <wp:inline distT="0" distB="0" distL="0" distR="0" wp14:anchorId="767B3BA6" wp14:editId="70AC5832">
            <wp:extent cx="5074006" cy="3017739"/>
            <wp:effectExtent l="0" t="0" r="0" b="0"/>
            <wp:docPr id="18951123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074006" cy="3017739"/>
                    </a:xfrm>
                    <a:prstGeom prst="rect">
                      <a:avLst/>
                    </a:prstGeom>
                    <a:ln/>
                  </pic:spPr>
                </pic:pic>
              </a:graphicData>
            </a:graphic>
          </wp:inline>
        </w:drawing>
      </w:r>
    </w:p>
    <w:p w14:paraId="14549331" w14:textId="77777777" w:rsidR="00AD294F" w:rsidRDefault="00AD294F">
      <w:pPr>
        <w:rPr>
          <w:rFonts w:ascii="Times New Roman" w:eastAsia="Times New Roman" w:hAnsi="Times New Roman" w:cs="Times New Roman"/>
          <w:sz w:val="24"/>
          <w:szCs w:val="24"/>
          <w:vertAlign w:val="superscript"/>
        </w:rPr>
      </w:pPr>
    </w:p>
    <w:p w14:paraId="0B9F7846"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Attitude domain</w:t>
      </w:r>
    </w:p>
    <w:p w14:paraId="7FD5D51D"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Attitude scores were relatively better than knowledge scores but still far from </w:t>
      </w:r>
      <w:r>
        <w:rPr>
          <w:rFonts w:ascii="Times New Roman" w:eastAsia="Times New Roman" w:hAnsi="Times New Roman" w:cs="Times New Roman"/>
          <w:sz w:val="24"/>
          <w:szCs w:val="24"/>
        </w:rPr>
        <w:t>satisfactory. Only 48% gave the favourable response that insulin does not indicate worsening diabetes, while 53% were not worried or embarrassed about taking insulin in public.</w:t>
      </w:r>
    </w:p>
    <w:p w14:paraId="495DC8DF" w14:textId="77777777" w:rsidR="00AD294F" w:rsidRDefault="00AD294F">
      <w:pPr>
        <w:rPr>
          <w:rFonts w:ascii="Times New Roman" w:eastAsia="Times New Roman" w:hAnsi="Times New Roman" w:cs="Times New Roman"/>
          <w:sz w:val="24"/>
          <w:szCs w:val="24"/>
        </w:rPr>
      </w:pPr>
    </w:p>
    <w:p w14:paraId="2DEFFF49"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 Attitude item-wise responses</w:t>
      </w:r>
    </w:p>
    <w:tbl>
      <w:tblPr>
        <w:tblStyle w:val="a2"/>
        <w:tblW w:w="9026" w:type="dxa"/>
        <w:tblLayout w:type="fixed"/>
        <w:tblLook w:val="0400" w:firstRow="0" w:lastRow="0" w:firstColumn="0" w:lastColumn="0" w:noHBand="0" w:noVBand="1"/>
      </w:tblPr>
      <w:tblGrid>
        <w:gridCol w:w="5216"/>
        <w:gridCol w:w="3810"/>
      </w:tblGrid>
      <w:tr w:rsidR="00AD294F" w14:paraId="47EA3DD0" w14:textId="77777777">
        <w:trPr>
          <w:tblHeader/>
        </w:trPr>
        <w:tc>
          <w:tcPr>
            <w:tcW w:w="5216" w:type="dxa"/>
            <w:vAlign w:val="center"/>
          </w:tcPr>
          <w:p w14:paraId="6B21590D"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Attitude item</w:t>
            </w:r>
          </w:p>
        </w:tc>
        <w:tc>
          <w:tcPr>
            <w:tcW w:w="3810" w:type="dxa"/>
            <w:vAlign w:val="center"/>
          </w:tcPr>
          <w:p w14:paraId="79623723"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Favourable response n (%)</w:t>
            </w:r>
          </w:p>
        </w:tc>
      </w:tr>
      <w:tr w:rsidR="00AD294F" w14:paraId="1577A9A1" w14:textId="77777777">
        <w:tc>
          <w:tcPr>
            <w:tcW w:w="5216" w:type="dxa"/>
            <w:vAlign w:val="center"/>
          </w:tcPr>
          <w:p w14:paraId="00523766"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Does not believe insulin means diabetes has worsened</w:t>
            </w:r>
          </w:p>
        </w:tc>
        <w:tc>
          <w:tcPr>
            <w:tcW w:w="3810" w:type="dxa"/>
            <w:vAlign w:val="center"/>
          </w:tcPr>
          <w:p w14:paraId="6D23E791"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48 (48)</w:t>
            </w:r>
          </w:p>
        </w:tc>
      </w:tr>
      <w:tr w:rsidR="00AD294F" w14:paraId="478BC008" w14:textId="77777777">
        <w:tc>
          <w:tcPr>
            <w:tcW w:w="5216" w:type="dxa"/>
            <w:vAlign w:val="center"/>
          </w:tcPr>
          <w:p w14:paraId="2AB34268"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worried/embarrassed about taking insulin in public</w:t>
            </w:r>
          </w:p>
        </w:tc>
        <w:tc>
          <w:tcPr>
            <w:tcW w:w="3810" w:type="dxa"/>
            <w:vAlign w:val="center"/>
          </w:tcPr>
          <w:p w14:paraId="3A075D1C"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53 (53)</w:t>
            </w:r>
          </w:p>
        </w:tc>
      </w:tr>
    </w:tbl>
    <w:p w14:paraId="5752C9F9"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are consistent with psychological insulin resistance described in previous studies, where insulin is associated wi</w:t>
      </w:r>
      <w:r>
        <w:rPr>
          <w:rFonts w:ascii="Times New Roman" w:eastAsia="Times New Roman" w:hAnsi="Times New Roman" w:cs="Times New Roman"/>
          <w:sz w:val="24"/>
          <w:szCs w:val="24"/>
        </w:rPr>
        <w:t>th disease severity, failure of self-care, or stigma.</w:t>
      </w:r>
      <w:r>
        <w:rPr>
          <w:rFonts w:ascii="Times New Roman" w:eastAsia="Times New Roman" w:hAnsi="Times New Roman" w:cs="Times New Roman"/>
          <w:sz w:val="24"/>
          <w:szCs w:val="24"/>
          <w:vertAlign w:val="superscript"/>
        </w:rPr>
        <w:t>8,9</w:t>
      </w:r>
      <w:r>
        <w:rPr>
          <w:rFonts w:ascii="Times New Roman" w:eastAsia="Times New Roman" w:hAnsi="Times New Roman" w:cs="Times New Roman"/>
          <w:sz w:val="24"/>
          <w:szCs w:val="24"/>
        </w:rPr>
        <w:t xml:space="preserve"> Such attitudes may reduce adherence and delay intensification of therapy</w:t>
      </w:r>
    </w:p>
    <w:p w14:paraId="1E1B31D9" w14:textId="77777777" w:rsidR="00AD294F" w:rsidRDefault="00AD294F">
      <w:pPr>
        <w:rPr>
          <w:rFonts w:ascii="Times New Roman" w:eastAsia="Times New Roman" w:hAnsi="Times New Roman" w:cs="Times New Roman"/>
          <w:sz w:val="24"/>
          <w:szCs w:val="24"/>
        </w:rPr>
      </w:pPr>
    </w:p>
    <w:p w14:paraId="145403E3"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Practice domain</w:t>
      </w:r>
    </w:p>
    <w:p w14:paraId="7625DBD3"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practice domain also showed significant deficiencies. Only 45% disposed of needles properly, and safe </w:t>
      </w:r>
      <w:r>
        <w:rPr>
          <w:rFonts w:ascii="Times New Roman" w:eastAsia="Times New Roman" w:hAnsi="Times New Roman" w:cs="Times New Roman"/>
          <w:sz w:val="24"/>
          <w:szCs w:val="24"/>
        </w:rPr>
        <w:t>needle reuse practice was observed in only 37%. Correct injection-technique-related practice was reported by 53%.</w:t>
      </w:r>
    </w:p>
    <w:p w14:paraId="256F2EFB"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5. Practice item-wise responses</w:t>
      </w:r>
    </w:p>
    <w:tbl>
      <w:tblPr>
        <w:tblStyle w:val="a3"/>
        <w:tblW w:w="6858" w:type="dxa"/>
        <w:tblLayout w:type="fixed"/>
        <w:tblLook w:val="0400" w:firstRow="0" w:lastRow="0" w:firstColumn="0" w:lastColumn="0" w:noHBand="0" w:noVBand="1"/>
      </w:tblPr>
      <w:tblGrid>
        <w:gridCol w:w="4385"/>
        <w:gridCol w:w="2473"/>
      </w:tblGrid>
      <w:tr w:rsidR="00AD294F" w14:paraId="0AB2BFB4" w14:textId="77777777">
        <w:trPr>
          <w:tblHeader/>
        </w:trPr>
        <w:tc>
          <w:tcPr>
            <w:tcW w:w="4385" w:type="dxa"/>
            <w:vAlign w:val="center"/>
          </w:tcPr>
          <w:p w14:paraId="356A1A71"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Practice item</w:t>
            </w:r>
          </w:p>
        </w:tc>
        <w:tc>
          <w:tcPr>
            <w:tcW w:w="2473" w:type="dxa"/>
            <w:vAlign w:val="center"/>
          </w:tcPr>
          <w:p w14:paraId="428530ED"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Correct response n (%)</w:t>
            </w:r>
          </w:p>
        </w:tc>
      </w:tr>
      <w:tr w:rsidR="00AD294F" w14:paraId="46BB3AC3" w14:textId="77777777">
        <w:tc>
          <w:tcPr>
            <w:tcW w:w="4385" w:type="dxa"/>
            <w:vAlign w:val="center"/>
          </w:tcPr>
          <w:p w14:paraId="06711A6F"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Proper disposal of used needles</w:t>
            </w:r>
          </w:p>
        </w:tc>
        <w:tc>
          <w:tcPr>
            <w:tcW w:w="2473" w:type="dxa"/>
            <w:vAlign w:val="center"/>
          </w:tcPr>
          <w:p w14:paraId="3C0FD716"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45 (45)</w:t>
            </w:r>
          </w:p>
        </w:tc>
      </w:tr>
      <w:tr w:rsidR="00AD294F" w14:paraId="62E58756" w14:textId="77777777">
        <w:tc>
          <w:tcPr>
            <w:tcW w:w="4385" w:type="dxa"/>
            <w:vAlign w:val="center"/>
          </w:tcPr>
          <w:p w14:paraId="17CA2787" w14:textId="77777777" w:rsidR="00AD294F" w:rsidRDefault="001313E8">
            <w:pPr>
              <w:rPr>
                <w:rFonts w:ascii="Times New Roman" w:eastAsia="Times New Roman" w:hAnsi="Times New Roman" w:cs="Times New Roman"/>
                <w:sz w:val="24"/>
                <w:szCs w:val="24"/>
              </w:rPr>
            </w:pPr>
            <w:sdt>
              <w:sdtPr>
                <w:tag w:val="goog_rdk_1"/>
                <w:id w:val="878743765"/>
              </w:sdtPr>
              <w:sdtEndPr/>
              <w:sdtContent>
                <w:r>
                  <w:rPr>
                    <w:rFonts w:ascii="Gungsuh" w:eastAsia="Gungsuh" w:hAnsi="Gungsuh" w:cs="Gungsuh"/>
                    <w:sz w:val="24"/>
                    <w:szCs w:val="24"/>
                  </w:rPr>
                  <w:t>Safe needle reuse practic</w:t>
                </w:r>
                <w:r>
                  <w:rPr>
                    <w:rFonts w:ascii="Gungsuh" w:eastAsia="Gungsuh" w:hAnsi="Gungsuh" w:cs="Gungsuh"/>
                    <w:sz w:val="24"/>
                    <w:szCs w:val="24"/>
                  </w:rPr>
                  <w:t>e (never or ≤1 time)</w:t>
                </w:r>
              </w:sdtContent>
            </w:sdt>
          </w:p>
        </w:tc>
        <w:tc>
          <w:tcPr>
            <w:tcW w:w="2473" w:type="dxa"/>
            <w:vAlign w:val="center"/>
          </w:tcPr>
          <w:p w14:paraId="415B33F8"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37 (37)</w:t>
            </w:r>
          </w:p>
        </w:tc>
      </w:tr>
      <w:tr w:rsidR="00AD294F" w14:paraId="31E1A089" w14:textId="77777777">
        <w:tc>
          <w:tcPr>
            <w:tcW w:w="4385" w:type="dxa"/>
            <w:vAlign w:val="center"/>
          </w:tcPr>
          <w:p w14:paraId="1A85CAB5"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Correct injection-technique-related practice</w:t>
            </w:r>
          </w:p>
        </w:tc>
        <w:tc>
          <w:tcPr>
            <w:tcW w:w="2473" w:type="dxa"/>
            <w:vAlign w:val="center"/>
          </w:tcPr>
          <w:p w14:paraId="19BE3AC7"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53 (53)</w:t>
            </w:r>
          </w:p>
        </w:tc>
      </w:tr>
    </w:tbl>
    <w:p w14:paraId="37D8831C"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findings show that actual day-to-day insulin-related behaviour remains poor even when some awareness is present. Practice is often shaped by cost constraints, </w:t>
      </w:r>
      <w:r>
        <w:rPr>
          <w:rFonts w:ascii="Times New Roman" w:eastAsia="Times New Roman" w:hAnsi="Times New Roman" w:cs="Times New Roman"/>
          <w:sz w:val="24"/>
          <w:szCs w:val="24"/>
        </w:rPr>
        <w:t>habit, lack of demonstration, and absence of repeated counselling.</w:t>
      </w:r>
    </w:p>
    <w:p w14:paraId="082A8CC3" w14:textId="77777777" w:rsidR="00AD294F" w:rsidRDefault="00AD294F">
      <w:pPr>
        <w:rPr>
          <w:rFonts w:ascii="Times New Roman" w:eastAsia="Times New Roman" w:hAnsi="Times New Roman" w:cs="Times New Roman"/>
          <w:sz w:val="24"/>
          <w:szCs w:val="24"/>
        </w:rPr>
      </w:pPr>
    </w:p>
    <w:p w14:paraId="6366C22B"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Disposal methods</w:t>
      </w:r>
    </w:p>
    <w:p w14:paraId="7833E7B3"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Disposal practices were heterogeneous and often unsafe. Burning and vague “other” methods were common, while formal sharps-disposal practices were less frequent.</w:t>
      </w:r>
    </w:p>
    <w:p w14:paraId="7A4CB66F"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6. </w:t>
      </w:r>
      <w:r>
        <w:rPr>
          <w:rFonts w:ascii="Times New Roman" w:eastAsia="Times New Roman" w:hAnsi="Times New Roman" w:cs="Times New Roman"/>
          <w:b/>
          <w:bCs/>
          <w:sz w:val="24"/>
          <w:szCs w:val="24"/>
        </w:rPr>
        <w:t>Disposal methods used by study participants</w:t>
      </w:r>
    </w:p>
    <w:tbl>
      <w:tblPr>
        <w:tblStyle w:val="a4"/>
        <w:tblW w:w="3050" w:type="dxa"/>
        <w:tblLayout w:type="fixed"/>
        <w:tblLook w:val="0400" w:firstRow="0" w:lastRow="0" w:firstColumn="0" w:lastColumn="0" w:noHBand="0" w:noVBand="1"/>
      </w:tblPr>
      <w:tblGrid>
        <w:gridCol w:w="1895"/>
        <w:gridCol w:w="1155"/>
      </w:tblGrid>
      <w:tr w:rsidR="00AD294F" w14:paraId="5434BF80" w14:textId="77777777">
        <w:trPr>
          <w:tblHeader/>
        </w:trPr>
        <w:tc>
          <w:tcPr>
            <w:tcW w:w="1895" w:type="dxa"/>
            <w:vAlign w:val="center"/>
          </w:tcPr>
          <w:p w14:paraId="6BFFBCA1"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Disposal method</w:t>
            </w:r>
          </w:p>
        </w:tc>
        <w:tc>
          <w:tcPr>
            <w:tcW w:w="1155" w:type="dxa"/>
            <w:vAlign w:val="center"/>
          </w:tcPr>
          <w:p w14:paraId="4CF45384"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 (%)</w:t>
            </w:r>
          </w:p>
        </w:tc>
      </w:tr>
      <w:tr w:rsidR="00AD294F" w14:paraId="226DE66D" w14:textId="77777777">
        <w:tc>
          <w:tcPr>
            <w:tcW w:w="1895" w:type="dxa"/>
            <w:vAlign w:val="center"/>
          </w:tcPr>
          <w:p w14:paraId="06A37575"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Burned</w:t>
            </w:r>
          </w:p>
        </w:tc>
        <w:tc>
          <w:tcPr>
            <w:tcW w:w="1155" w:type="dxa"/>
            <w:vAlign w:val="center"/>
          </w:tcPr>
          <w:p w14:paraId="47DDC8D1"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23 (23)</w:t>
            </w:r>
          </w:p>
        </w:tc>
      </w:tr>
      <w:tr w:rsidR="00AD294F" w14:paraId="3F898111" w14:textId="77777777">
        <w:tc>
          <w:tcPr>
            <w:tcW w:w="1895" w:type="dxa"/>
            <w:vAlign w:val="center"/>
          </w:tcPr>
          <w:p w14:paraId="6D2D97AC"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5" w:type="dxa"/>
            <w:vAlign w:val="center"/>
          </w:tcPr>
          <w:p w14:paraId="0920848B"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20 (20)</w:t>
            </w:r>
          </w:p>
        </w:tc>
      </w:tr>
      <w:tr w:rsidR="00AD294F" w14:paraId="37377D41" w14:textId="77777777">
        <w:tc>
          <w:tcPr>
            <w:tcW w:w="1895" w:type="dxa"/>
            <w:vAlign w:val="center"/>
          </w:tcPr>
          <w:p w14:paraId="19294856"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Plastic bottle</w:t>
            </w:r>
          </w:p>
        </w:tc>
        <w:tc>
          <w:tcPr>
            <w:tcW w:w="1155" w:type="dxa"/>
            <w:vAlign w:val="center"/>
          </w:tcPr>
          <w:p w14:paraId="5FC8D8F1"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17 (17)</w:t>
            </w:r>
          </w:p>
        </w:tc>
      </w:tr>
      <w:tr w:rsidR="00AD294F" w14:paraId="1ADA7E11" w14:textId="77777777">
        <w:tc>
          <w:tcPr>
            <w:tcW w:w="1895" w:type="dxa"/>
            <w:vAlign w:val="center"/>
          </w:tcPr>
          <w:p w14:paraId="66CCE913"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Sharps container</w:t>
            </w:r>
          </w:p>
        </w:tc>
        <w:tc>
          <w:tcPr>
            <w:tcW w:w="1155" w:type="dxa"/>
            <w:vAlign w:val="center"/>
          </w:tcPr>
          <w:p w14:paraId="5E165C29"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16 (16.)</w:t>
            </w:r>
          </w:p>
        </w:tc>
      </w:tr>
      <w:tr w:rsidR="00AD294F" w14:paraId="1BB10597" w14:textId="77777777">
        <w:tc>
          <w:tcPr>
            <w:tcW w:w="1895" w:type="dxa"/>
            <w:vAlign w:val="center"/>
          </w:tcPr>
          <w:p w14:paraId="4B231E9A"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Improper disposal</w:t>
            </w:r>
          </w:p>
        </w:tc>
        <w:tc>
          <w:tcPr>
            <w:tcW w:w="1155" w:type="dxa"/>
            <w:vAlign w:val="center"/>
          </w:tcPr>
          <w:p w14:paraId="1D59DE47"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12 (12)</w:t>
            </w:r>
          </w:p>
        </w:tc>
      </w:tr>
      <w:tr w:rsidR="00AD294F" w14:paraId="1075DC75" w14:textId="77777777">
        <w:tc>
          <w:tcPr>
            <w:tcW w:w="1895" w:type="dxa"/>
            <w:vAlign w:val="center"/>
          </w:tcPr>
          <w:p w14:paraId="71302361"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Hospital collection</w:t>
            </w:r>
          </w:p>
        </w:tc>
        <w:tc>
          <w:tcPr>
            <w:tcW w:w="1155" w:type="dxa"/>
            <w:vAlign w:val="center"/>
          </w:tcPr>
          <w:p w14:paraId="5ECA42E9"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12 (12)</w:t>
            </w:r>
          </w:p>
        </w:tc>
      </w:tr>
    </w:tbl>
    <w:p w14:paraId="149738FE" w14:textId="18F100AC" w:rsidR="00AD294F" w:rsidRDefault="00D407B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 3: Distribution of disposal methods among participants</w:t>
      </w:r>
    </w:p>
    <w:p w14:paraId="08721C81" w14:textId="77777777" w:rsidR="00AD294F" w:rsidRDefault="001313E8">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Although storage in puncture-proof containers such as rigid plastic bottles may be safer than open disposal, it is still not equivalent to a structured sharps-disposal system unless managed properly. Burning and non-standard disposal methods </w:t>
      </w:r>
      <w:r>
        <w:rPr>
          <w:rFonts w:ascii="Times New Roman" w:eastAsia="Times New Roman" w:hAnsi="Times New Roman" w:cs="Times New Roman"/>
          <w:sz w:val="24"/>
          <w:szCs w:val="24"/>
        </w:rPr>
        <w:t>create avoidable hazards for households and the community.</w:t>
      </w:r>
      <w:r>
        <w:rPr>
          <w:rFonts w:ascii="Times New Roman" w:eastAsia="Times New Roman" w:hAnsi="Times New Roman" w:cs="Times New Roman"/>
          <w:sz w:val="24"/>
          <w:szCs w:val="24"/>
          <w:vertAlign w:val="superscript"/>
        </w:rPr>
        <w:t>4,6</w:t>
      </w:r>
    </w:p>
    <w:p w14:paraId="1CBC2522" w14:textId="77777777" w:rsidR="00AD294F" w:rsidRDefault="00AD294F">
      <w:pPr>
        <w:rPr>
          <w:rFonts w:ascii="Times New Roman" w:eastAsia="Times New Roman" w:hAnsi="Times New Roman" w:cs="Times New Roman"/>
          <w:sz w:val="24"/>
          <w:szCs w:val="24"/>
          <w:vertAlign w:val="superscript"/>
        </w:rPr>
      </w:pPr>
    </w:p>
    <w:p w14:paraId="78E93987"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EC070F9" wp14:editId="57BACF35">
            <wp:extent cx="4858731" cy="3004418"/>
            <wp:effectExtent l="0" t="0" r="0" b="0"/>
            <wp:docPr id="18951123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858731" cy="3004418"/>
                    </a:xfrm>
                    <a:prstGeom prst="rect">
                      <a:avLst/>
                    </a:prstGeom>
                    <a:ln/>
                  </pic:spPr>
                </pic:pic>
              </a:graphicData>
            </a:graphic>
          </wp:inline>
        </w:drawing>
      </w:r>
    </w:p>
    <w:p w14:paraId="2650E861" w14:textId="77777777" w:rsidR="00AD294F" w:rsidRDefault="00AD294F">
      <w:pPr>
        <w:rPr>
          <w:rFonts w:ascii="Times New Roman" w:eastAsia="Times New Roman" w:hAnsi="Times New Roman" w:cs="Times New Roman"/>
          <w:sz w:val="24"/>
          <w:szCs w:val="24"/>
        </w:rPr>
      </w:pPr>
    </w:p>
    <w:p w14:paraId="08EFA04B"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Domain comparison</w:t>
      </w:r>
    </w:p>
    <w:p w14:paraId="6BE5028F"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7. Comparative summary of KAP domains</w:t>
      </w:r>
    </w:p>
    <w:tbl>
      <w:tblPr>
        <w:tblStyle w:val="a5"/>
        <w:tblW w:w="4200" w:type="dxa"/>
        <w:tblLayout w:type="fixed"/>
        <w:tblLook w:val="0400" w:firstRow="0" w:lastRow="0" w:firstColumn="0" w:lastColumn="0" w:noHBand="0" w:noVBand="1"/>
      </w:tblPr>
      <w:tblGrid>
        <w:gridCol w:w="1182"/>
        <w:gridCol w:w="1236"/>
        <w:gridCol w:w="1782"/>
      </w:tblGrid>
      <w:tr w:rsidR="00AD294F" w14:paraId="3538CDE2" w14:textId="77777777">
        <w:trPr>
          <w:tblHeader/>
        </w:trPr>
        <w:tc>
          <w:tcPr>
            <w:tcW w:w="1182" w:type="dxa"/>
            <w:vAlign w:val="center"/>
          </w:tcPr>
          <w:p w14:paraId="4BA01352"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Domain</w:t>
            </w:r>
          </w:p>
        </w:tc>
        <w:tc>
          <w:tcPr>
            <w:tcW w:w="1236" w:type="dxa"/>
            <w:vAlign w:val="center"/>
          </w:tcPr>
          <w:p w14:paraId="571215DE"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score</w:t>
            </w:r>
          </w:p>
        </w:tc>
        <w:tc>
          <w:tcPr>
            <w:tcW w:w="1782" w:type="dxa"/>
            <w:vAlign w:val="center"/>
          </w:tcPr>
          <w:p w14:paraId="6BDDC0C2"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w:t>
            </w:r>
          </w:p>
        </w:tc>
      </w:tr>
      <w:tr w:rsidR="00AD294F" w14:paraId="4852C957" w14:textId="77777777">
        <w:tc>
          <w:tcPr>
            <w:tcW w:w="1182" w:type="dxa"/>
            <w:vAlign w:val="center"/>
          </w:tcPr>
          <w:p w14:paraId="5F3F373C"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w:t>
            </w:r>
          </w:p>
        </w:tc>
        <w:tc>
          <w:tcPr>
            <w:tcW w:w="1236" w:type="dxa"/>
            <w:vAlign w:val="center"/>
          </w:tcPr>
          <w:p w14:paraId="1736D45D"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1.45 / 4</w:t>
            </w:r>
          </w:p>
        </w:tc>
        <w:tc>
          <w:tcPr>
            <w:tcW w:w="1782" w:type="dxa"/>
            <w:vAlign w:val="center"/>
          </w:tcPr>
          <w:p w14:paraId="2D7DA5EA"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Poor</w:t>
            </w:r>
          </w:p>
        </w:tc>
      </w:tr>
      <w:tr w:rsidR="00AD294F" w14:paraId="5CDE4DB7" w14:textId="77777777">
        <w:tc>
          <w:tcPr>
            <w:tcW w:w="1182" w:type="dxa"/>
            <w:vAlign w:val="center"/>
          </w:tcPr>
          <w:p w14:paraId="2B02E573"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Attitude</w:t>
            </w:r>
          </w:p>
        </w:tc>
        <w:tc>
          <w:tcPr>
            <w:tcW w:w="1236" w:type="dxa"/>
            <w:vAlign w:val="center"/>
          </w:tcPr>
          <w:p w14:paraId="29293443"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1.01 / 2</w:t>
            </w:r>
          </w:p>
        </w:tc>
        <w:tc>
          <w:tcPr>
            <w:tcW w:w="1782" w:type="dxa"/>
            <w:vAlign w:val="center"/>
          </w:tcPr>
          <w:p w14:paraId="2CC6ACC2"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AD294F" w14:paraId="077567E9" w14:textId="77777777">
        <w:tc>
          <w:tcPr>
            <w:tcW w:w="1182" w:type="dxa"/>
            <w:vAlign w:val="center"/>
          </w:tcPr>
          <w:p w14:paraId="57584B02"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Practice</w:t>
            </w:r>
          </w:p>
        </w:tc>
        <w:tc>
          <w:tcPr>
            <w:tcW w:w="1236" w:type="dxa"/>
            <w:vAlign w:val="center"/>
          </w:tcPr>
          <w:p w14:paraId="71426A49"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1.35 / 3</w:t>
            </w:r>
          </w:p>
        </w:tc>
        <w:tc>
          <w:tcPr>
            <w:tcW w:w="1782" w:type="dxa"/>
            <w:vAlign w:val="center"/>
          </w:tcPr>
          <w:p w14:paraId="1BF45534"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Poor</w:t>
            </w:r>
          </w:p>
        </w:tc>
      </w:tr>
      <w:tr w:rsidR="00AD294F" w14:paraId="4EE5E4A8" w14:textId="77777777">
        <w:tc>
          <w:tcPr>
            <w:tcW w:w="1182" w:type="dxa"/>
            <w:vAlign w:val="center"/>
          </w:tcPr>
          <w:p w14:paraId="3E201C14"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 KAP</w:t>
            </w:r>
          </w:p>
        </w:tc>
        <w:tc>
          <w:tcPr>
            <w:tcW w:w="1236" w:type="dxa"/>
            <w:vAlign w:val="center"/>
          </w:tcPr>
          <w:p w14:paraId="70E1FB36"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3.81 / </w:t>
            </w:r>
            <w:r>
              <w:rPr>
                <w:rFonts w:ascii="Times New Roman" w:eastAsia="Times New Roman" w:hAnsi="Times New Roman" w:cs="Times New Roman"/>
                <w:sz w:val="24"/>
                <w:szCs w:val="24"/>
              </w:rPr>
              <w:t>9</w:t>
            </w:r>
          </w:p>
        </w:tc>
        <w:tc>
          <w:tcPr>
            <w:tcW w:w="1782" w:type="dxa"/>
            <w:vAlign w:val="center"/>
          </w:tcPr>
          <w:p w14:paraId="286F3F8E"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Moderate-to-poor</w:t>
            </w:r>
          </w:p>
        </w:tc>
      </w:tr>
    </w:tbl>
    <w:p w14:paraId="6481D21A"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*KAP= knowledge, attitude and practice</w:t>
      </w:r>
    </w:p>
    <w:p w14:paraId="63661DD0" w14:textId="77777777" w:rsidR="00AD294F" w:rsidRDefault="00AD294F">
      <w:pPr>
        <w:rPr>
          <w:rFonts w:ascii="Times New Roman" w:eastAsia="Times New Roman" w:hAnsi="Times New Roman" w:cs="Times New Roman"/>
          <w:b/>
          <w:bCs/>
          <w:sz w:val="24"/>
          <w:szCs w:val="24"/>
        </w:rPr>
      </w:pPr>
    </w:p>
    <w:p w14:paraId="5F92A3C1" w14:textId="77777777" w:rsidR="00AD294F" w:rsidRDefault="00AD294F">
      <w:pPr>
        <w:rPr>
          <w:rFonts w:ascii="Times New Roman" w:eastAsia="Times New Roman" w:hAnsi="Times New Roman" w:cs="Times New Roman"/>
          <w:b/>
          <w:bCs/>
          <w:sz w:val="24"/>
          <w:szCs w:val="24"/>
        </w:rPr>
      </w:pPr>
    </w:p>
    <w:p w14:paraId="17A1123C" w14:textId="77777777" w:rsidR="00AD294F" w:rsidRDefault="00AD294F">
      <w:pPr>
        <w:rPr>
          <w:rFonts w:ascii="Times New Roman" w:eastAsia="Times New Roman" w:hAnsi="Times New Roman" w:cs="Times New Roman"/>
          <w:b/>
          <w:bCs/>
          <w:sz w:val="24"/>
          <w:szCs w:val="24"/>
        </w:rPr>
      </w:pPr>
    </w:p>
    <w:p w14:paraId="19454996" w14:textId="77777777" w:rsidR="00AD294F" w:rsidRDefault="00AD294F">
      <w:pPr>
        <w:rPr>
          <w:rFonts w:ascii="Times New Roman" w:eastAsia="Times New Roman" w:hAnsi="Times New Roman" w:cs="Times New Roman"/>
          <w:b/>
          <w:bCs/>
          <w:sz w:val="24"/>
          <w:szCs w:val="24"/>
        </w:rPr>
      </w:pPr>
    </w:p>
    <w:p w14:paraId="1224C567" w14:textId="77777777" w:rsidR="00AD294F" w:rsidRDefault="00AD294F">
      <w:pPr>
        <w:rPr>
          <w:rFonts w:ascii="Times New Roman" w:eastAsia="Times New Roman" w:hAnsi="Times New Roman" w:cs="Times New Roman"/>
          <w:b/>
          <w:bCs/>
          <w:sz w:val="24"/>
          <w:szCs w:val="24"/>
        </w:rPr>
      </w:pPr>
    </w:p>
    <w:p w14:paraId="27B5C5F4" w14:textId="77777777" w:rsidR="00AD294F" w:rsidRDefault="00AD294F">
      <w:pPr>
        <w:rPr>
          <w:rFonts w:ascii="Times New Roman" w:eastAsia="Times New Roman" w:hAnsi="Times New Roman" w:cs="Times New Roman"/>
          <w:b/>
          <w:bCs/>
          <w:sz w:val="24"/>
          <w:szCs w:val="24"/>
        </w:rPr>
      </w:pPr>
    </w:p>
    <w:p w14:paraId="0377EAB3" w14:textId="77777777" w:rsidR="00AD294F" w:rsidRDefault="00AD294F">
      <w:pPr>
        <w:rPr>
          <w:rFonts w:ascii="Times New Roman" w:eastAsia="Times New Roman" w:hAnsi="Times New Roman" w:cs="Times New Roman"/>
          <w:b/>
          <w:bCs/>
          <w:sz w:val="24"/>
          <w:szCs w:val="24"/>
        </w:rPr>
      </w:pPr>
    </w:p>
    <w:p w14:paraId="2A738C53"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8. Mean domain scores as percentage of maximum possible score</w:t>
      </w:r>
    </w:p>
    <w:tbl>
      <w:tblPr>
        <w:tblStyle w:val="a6"/>
        <w:tblW w:w="6698" w:type="dxa"/>
        <w:tblLayout w:type="fixed"/>
        <w:tblLook w:val="0400" w:firstRow="0" w:lastRow="0" w:firstColumn="0" w:lastColumn="0" w:noHBand="0" w:noVBand="1"/>
      </w:tblPr>
      <w:tblGrid>
        <w:gridCol w:w="1182"/>
        <w:gridCol w:w="1236"/>
        <w:gridCol w:w="1716"/>
        <w:gridCol w:w="2564"/>
      </w:tblGrid>
      <w:tr w:rsidR="00AD294F" w14:paraId="779D64A8" w14:textId="77777777">
        <w:trPr>
          <w:tblHeader/>
        </w:trPr>
        <w:tc>
          <w:tcPr>
            <w:tcW w:w="1182" w:type="dxa"/>
            <w:vAlign w:val="center"/>
          </w:tcPr>
          <w:p w14:paraId="2DDB27F1"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Domain</w:t>
            </w:r>
          </w:p>
        </w:tc>
        <w:tc>
          <w:tcPr>
            <w:tcW w:w="1236" w:type="dxa"/>
            <w:vAlign w:val="center"/>
          </w:tcPr>
          <w:p w14:paraId="4B980F95"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score</w:t>
            </w:r>
          </w:p>
        </w:tc>
        <w:tc>
          <w:tcPr>
            <w:tcW w:w="1716" w:type="dxa"/>
            <w:vAlign w:val="center"/>
          </w:tcPr>
          <w:p w14:paraId="239AA876"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Maximum score</w:t>
            </w:r>
          </w:p>
        </w:tc>
        <w:tc>
          <w:tcPr>
            <w:tcW w:w="2564" w:type="dxa"/>
            <w:vAlign w:val="center"/>
          </w:tcPr>
          <w:p w14:paraId="7F3D8ED4"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of maximum</w:t>
            </w:r>
          </w:p>
        </w:tc>
      </w:tr>
      <w:tr w:rsidR="00AD294F" w14:paraId="7B9F0785" w14:textId="77777777">
        <w:tc>
          <w:tcPr>
            <w:tcW w:w="1182" w:type="dxa"/>
            <w:vAlign w:val="center"/>
          </w:tcPr>
          <w:p w14:paraId="6C2B74CB"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w:t>
            </w:r>
          </w:p>
        </w:tc>
        <w:tc>
          <w:tcPr>
            <w:tcW w:w="1236" w:type="dxa"/>
            <w:vAlign w:val="center"/>
          </w:tcPr>
          <w:p w14:paraId="5A2C8203"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1716" w:type="dxa"/>
            <w:vAlign w:val="center"/>
          </w:tcPr>
          <w:p w14:paraId="78848713"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64" w:type="dxa"/>
            <w:vAlign w:val="center"/>
          </w:tcPr>
          <w:p w14:paraId="0F3EE9E1"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AD294F" w14:paraId="542AAB41" w14:textId="77777777">
        <w:tc>
          <w:tcPr>
            <w:tcW w:w="1182" w:type="dxa"/>
            <w:vAlign w:val="center"/>
          </w:tcPr>
          <w:p w14:paraId="1EF06EA8"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Attitude</w:t>
            </w:r>
          </w:p>
        </w:tc>
        <w:tc>
          <w:tcPr>
            <w:tcW w:w="1236" w:type="dxa"/>
            <w:vAlign w:val="center"/>
          </w:tcPr>
          <w:p w14:paraId="08D1E7E5"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716" w:type="dxa"/>
            <w:vAlign w:val="center"/>
          </w:tcPr>
          <w:p w14:paraId="77B9ECE4"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64" w:type="dxa"/>
            <w:vAlign w:val="center"/>
          </w:tcPr>
          <w:p w14:paraId="32C1E994"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AD294F" w14:paraId="34CE9FED" w14:textId="77777777">
        <w:tc>
          <w:tcPr>
            <w:tcW w:w="1182" w:type="dxa"/>
            <w:vAlign w:val="center"/>
          </w:tcPr>
          <w:p w14:paraId="03F8CA50"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Practice</w:t>
            </w:r>
          </w:p>
        </w:tc>
        <w:tc>
          <w:tcPr>
            <w:tcW w:w="1236" w:type="dxa"/>
            <w:vAlign w:val="center"/>
          </w:tcPr>
          <w:p w14:paraId="7A760F8A"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716" w:type="dxa"/>
            <w:vAlign w:val="center"/>
          </w:tcPr>
          <w:p w14:paraId="1E3F0EFB"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64" w:type="dxa"/>
            <w:vAlign w:val="center"/>
          </w:tcPr>
          <w:p w14:paraId="742E71BF"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AD294F" w14:paraId="4B5EF821" w14:textId="77777777">
        <w:tc>
          <w:tcPr>
            <w:tcW w:w="1182" w:type="dxa"/>
            <w:vAlign w:val="center"/>
          </w:tcPr>
          <w:p w14:paraId="75DA2488"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r>
              <w:rPr>
                <w:rFonts w:ascii="Times New Roman" w:eastAsia="Times New Roman" w:hAnsi="Times New Roman" w:cs="Times New Roman"/>
                <w:sz w:val="24"/>
                <w:szCs w:val="24"/>
              </w:rPr>
              <w:t>KAP</w:t>
            </w:r>
          </w:p>
        </w:tc>
        <w:tc>
          <w:tcPr>
            <w:tcW w:w="1236" w:type="dxa"/>
            <w:vAlign w:val="center"/>
          </w:tcPr>
          <w:p w14:paraId="4CB862A7"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1716" w:type="dxa"/>
            <w:vAlign w:val="center"/>
          </w:tcPr>
          <w:p w14:paraId="58AD7436"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564" w:type="dxa"/>
            <w:vAlign w:val="center"/>
          </w:tcPr>
          <w:p w14:paraId="115029C4"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bl>
    <w:p w14:paraId="1561DF1C"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*KAP= knowledge, attitude and practice</w:t>
      </w:r>
    </w:p>
    <w:p w14:paraId="66B8F5D5"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pattern demonstrates a clear KAP gap. Knowledge was the poorest domain, and practice also remained poor. Attitude was somewhat better, but still only around half of the maximum possible performance</w:t>
      </w:r>
      <w:r>
        <w:rPr>
          <w:rFonts w:ascii="Times New Roman" w:eastAsia="Times New Roman" w:hAnsi="Times New Roman" w:cs="Times New Roman"/>
          <w:sz w:val="24"/>
          <w:szCs w:val="24"/>
        </w:rPr>
        <w:t>.</w:t>
      </w:r>
    </w:p>
    <w:p w14:paraId="60BBE337" w14:textId="77777777" w:rsidR="00AD294F" w:rsidRDefault="00AD294F">
      <w:pPr>
        <w:rPr>
          <w:rFonts w:ascii="Times New Roman" w:eastAsia="Times New Roman" w:hAnsi="Times New Roman" w:cs="Times New Roman"/>
          <w:sz w:val="24"/>
          <w:szCs w:val="24"/>
        </w:rPr>
      </w:pPr>
    </w:p>
    <w:p w14:paraId="230891F8"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KAP score distribution</w:t>
      </w:r>
    </w:p>
    <w:p w14:paraId="1AD49A88"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median total KAP score was 4, with an interquartile range of 3–5, indicating clustering in the lower-middle range.</w:t>
      </w:r>
    </w:p>
    <w:p w14:paraId="6939192A" w14:textId="337C226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w:t>
      </w:r>
      <w:r w:rsidR="00D407B0">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 Distribution of total KAP scores among study participants</w:t>
      </w:r>
    </w:p>
    <w:p w14:paraId="61A359C4" w14:textId="07854CB2" w:rsidR="00D407B0" w:rsidRDefault="00D407B0">
      <w:pP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14:anchorId="1FDBFB65" wp14:editId="55481B09">
            <wp:extent cx="4519425" cy="2794607"/>
            <wp:effectExtent l="0" t="0" r="0" b="0"/>
            <wp:docPr id="18951123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519425" cy="2794607"/>
                    </a:xfrm>
                    <a:prstGeom prst="rect">
                      <a:avLst/>
                    </a:prstGeom>
                    <a:ln/>
                  </pic:spPr>
                </pic:pic>
              </a:graphicData>
            </a:graphic>
          </wp:inline>
        </w:drawing>
      </w:r>
    </w:p>
    <w:p w14:paraId="39491167" w14:textId="33431F9A" w:rsidR="00AD294F" w:rsidRDefault="001313E8">
      <w:pPr>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 xml:space="preserve">This score distribution supports </w:t>
      </w:r>
      <w:r>
        <w:rPr>
          <w:rFonts w:ascii="Times New Roman" w:eastAsia="Times New Roman" w:hAnsi="Times New Roman" w:cs="Times New Roman"/>
          <w:sz w:val="24"/>
          <w:szCs w:val="24"/>
        </w:rPr>
        <w:t>the conclusion that most participants did not demonstrate high levels of insulin-related knowledge and practice.</w:t>
      </w:r>
      <w:r w:rsidR="00D407B0" w:rsidRPr="00D407B0">
        <w:rPr>
          <w:rFonts w:ascii="Times New Roman" w:eastAsia="Times New Roman" w:hAnsi="Times New Roman" w:cs="Times New Roman"/>
          <w:noProof/>
          <w:sz w:val="24"/>
          <w:szCs w:val="24"/>
        </w:rPr>
        <w:t xml:space="preserve"> </w:t>
      </w:r>
    </w:p>
    <w:p w14:paraId="380B4293" w14:textId="77777777" w:rsidR="00D407B0" w:rsidRDefault="00D407B0">
      <w:pPr>
        <w:rPr>
          <w:rFonts w:ascii="Times New Roman" w:eastAsia="Times New Roman" w:hAnsi="Times New Roman" w:cs="Times New Roman"/>
          <w:sz w:val="24"/>
          <w:szCs w:val="24"/>
        </w:rPr>
      </w:pPr>
    </w:p>
    <w:p w14:paraId="5FC1C507" w14:textId="77777777" w:rsidR="00AD294F" w:rsidRDefault="001313E8">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This study demonstrates important deficiencies in insulin-related knowledge and practice among patients receiving insulin therapy, despite re</w:t>
      </w:r>
      <w:r>
        <w:rPr>
          <w:rFonts w:ascii="Times New Roman" w:eastAsia="Times New Roman" w:hAnsi="Times New Roman" w:cs="Times New Roman"/>
          <w:sz w:val="24"/>
          <w:szCs w:val="24"/>
        </w:rPr>
        <w:t>latively long duration of diabetes mellitus and insulin use. The mean knowledge score was low, with correct understanding of insulin storage present in only 6% of participants. This is particularly relevant because storage errors can reduce insulin potency</w:t>
      </w:r>
      <w:r>
        <w:rPr>
          <w:rFonts w:ascii="Times New Roman" w:eastAsia="Times New Roman" w:hAnsi="Times New Roman" w:cs="Times New Roman"/>
          <w:sz w:val="24"/>
          <w:szCs w:val="24"/>
        </w:rPr>
        <w:t xml:space="preserve"> and may be misinterpreted clinically as treatment failure.</w:t>
      </w:r>
      <w:r>
        <w:rPr>
          <w:rFonts w:ascii="Times New Roman" w:eastAsia="Times New Roman" w:hAnsi="Times New Roman" w:cs="Times New Roman"/>
          <w:sz w:val="24"/>
          <w:szCs w:val="24"/>
          <w:vertAlign w:val="superscript"/>
        </w:rPr>
        <w:t>4,5</w:t>
      </w:r>
    </w:p>
    <w:p w14:paraId="27B07908" w14:textId="77777777" w:rsidR="00AD294F" w:rsidRDefault="001313E8">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Awareness regarding needle reuse, site rotation, and hypoglycaemia was also inadequate. Repeated needle reuse and poor rotation practices are known contributors to </w:t>
      </w:r>
      <w:proofErr w:type="spellStart"/>
      <w:r>
        <w:rPr>
          <w:rFonts w:ascii="Times New Roman" w:eastAsia="Times New Roman" w:hAnsi="Times New Roman" w:cs="Times New Roman"/>
          <w:sz w:val="24"/>
          <w:szCs w:val="24"/>
        </w:rPr>
        <w:t>lipohypertrophy</w:t>
      </w:r>
      <w:proofErr w:type="spellEnd"/>
      <w:r>
        <w:rPr>
          <w:rFonts w:ascii="Times New Roman" w:eastAsia="Times New Roman" w:hAnsi="Times New Roman" w:cs="Times New Roman"/>
          <w:sz w:val="24"/>
          <w:szCs w:val="24"/>
        </w:rPr>
        <w:t>, pain, tissue</w:t>
      </w:r>
      <w:r>
        <w:rPr>
          <w:rFonts w:ascii="Times New Roman" w:eastAsia="Times New Roman" w:hAnsi="Times New Roman" w:cs="Times New Roman"/>
          <w:sz w:val="24"/>
          <w:szCs w:val="24"/>
        </w:rPr>
        <w:t xml:space="preserve"> trauma, and erratic absorption.</w:t>
      </w:r>
      <w:r>
        <w:rPr>
          <w:rFonts w:ascii="Times New Roman" w:eastAsia="Times New Roman" w:hAnsi="Times New Roman" w:cs="Times New Roman"/>
          <w:sz w:val="24"/>
          <w:szCs w:val="24"/>
          <w:vertAlign w:val="superscript"/>
        </w:rPr>
        <w:t>6,7,10</w:t>
      </w:r>
      <w:r>
        <w:rPr>
          <w:rFonts w:ascii="Times New Roman" w:eastAsia="Times New Roman" w:hAnsi="Times New Roman" w:cs="Times New Roman"/>
          <w:sz w:val="24"/>
          <w:szCs w:val="24"/>
        </w:rPr>
        <w:t xml:space="preserve"> Similarly, poor awareness of hypoglycaemia </w:t>
      </w:r>
      <w:r>
        <w:rPr>
          <w:rFonts w:ascii="Times New Roman" w:eastAsia="Times New Roman" w:hAnsi="Times New Roman" w:cs="Times New Roman"/>
          <w:sz w:val="24"/>
          <w:szCs w:val="24"/>
        </w:rPr>
        <w:lastRenderedPageBreak/>
        <w:t>is concerning because insulin-treated patients are inherently at risk of symptomatic and severe episodes.</w:t>
      </w:r>
      <w:r>
        <w:rPr>
          <w:rFonts w:ascii="Times New Roman" w:eastAsia="Times New Roman" w:hAnsi="Times New Roman" w:cs="Times New Roman"/>
          <w:sz w:val="24"/>
          <w:szCs w:val="24"/>
          <w:vertAlign w:val="superscript"/>
        </w:rPr>
        <w:t>11</w:t>
      </w:r>
    </w:p>
    <w:p w14:paraId="381FF96E" w14:textId="77777777" w:rsidR="00AD294F" w:rsidRDefault="001313E8">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Attitude-related findings showed that many participants still perc</w:t>
      </w:r>
      <w:r>
        <w:rPr>
          <w:rFonts w:ascii="Times New Roman" w:eastAsia="Times New Roman" w:hAnsi="Times New Roman" w:cs="Times New Roman"/>
          <w:sz w:val="24"/>
          <w:szCs w:val="24"/>
        </w:rPr>
        <w:t>eived insulin as a sign of worsening disease or felt discomfort about taking insulin in public. These findings align with prior literature on psychological insulin resistance and social barriers to insulin therapy.</w:t>
      </w:r>
      <w:r>
        <w:rPr>
          <w:rFonts w:ascii="Times New Roman" w:eastAsia="Times New Roman" w:hAnsi="Times New Roman" w:cs="Times New Roman"/>
          <w:sz w:val="24"/>
          <w:szCs w:val="24"/>
          <w:vertAlign w:val="superscript"/>
        </w:rPr>
        <w:t>8,9,12</w:t>
      </w:r>
    </w:p>
    <w:p w14:paraId="3DB0BC6A"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Practice findings were particularly</w:t>
      </w:r>
      <w:r>
        <w:rPr>
          <w:rFonts w:ascii="Times New Roman" w:eastAsia="Times New Roman" w:hAnsi="Times New Roman" w:cs="Times New Roman"/>
          <w:sz w:val="24"/>
          <w:szCs w:val="24"/>
        </w:rPr>
        <w:t xml:space="preserve"> concerning. Only 37% demonstrated safe needle reuse practice and only 45% reported proper disposal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Unsafe disposal practices such as burning or undefined methods suggest lack of standardized education and poor access to safe disposal systems.</w:t>
      </w:r>
    </w:p>
    <w:p w14:paraId="403904FA"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Ov</w:t>
      </w:r>
      <w:r>
        <w:rPr>
          <w:rFonts w:ascii="Times New Roman" w:eastAsia="Times New Roman" w:hAnsi="Times New Roman" w:cs="Times New Roman"/>
          <w:sz w:val="24"/>
          <w:szCs w:val="24"/>
        </w:rPr>
        <w:t>erall, the data suggest that an insulin prescription alone is not sufficient. Education must be repeated, practical, and demonstration-based. A one-time explanation at insulin initiation does not appear to produce durable behavioural improvement. Given tha</w:t>
      </w:r>
      <w:r>
        <w:rPr>
          <w:rFonts w:ascii="Times New Roman" w:eastAsia="Times New Roman" w:hAnsi="Times New Roman" w:cs="Times New Roman"/>
          <w:sz w:val="24"/>
          <w:szCs w:val="24"/>
        </w:rPr>
        <w:t>t participants had diabetes mellitus for a mean duration of over 13 years and had been on insulin for over 4 years on average, the observed deficiencies point toward inadequate reinforcement rather than lack of opportunity to learn.</w:t>
      </w:r>
    </w:p>
    <w:p w14:paraId="6680B5D2" w14:textId="77777777" w:rsidR="00AD294F" w:rsidRDefault="00AD294F">
      <w:pPr>
        <w:rPr>
          <w:rFonts w:ascii="Times New Roman" w:eastAsia="Times New Roman" w:hAnsi="Times New Roman" w:cs="Times New Roman"/>
          <w:sz w:val="24"/>
          <w:szCs w:val="24"/>
        </w:rPr>
      </w:pPr>
    </w:p>
    <w:p w14:paraId="72CC32AC"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Strengths and limitati</w:t>
      </w:r>
      <w:r>
        <w:rPr>
          <w:rFonts w:ascii="Times New Roman" w:eastAsia="Times New Roman" w:hAnsi="Times New Roman" w:cs="Times New Roman"/>
          <w:b/>
          <w:bCs/>
          <w:sz w:val="24"/>
          <w:szCs w:val="24"/>
        </w:rPr>
        <w:t>ons</w:t>
      </w:r>
    </w:p>
    <w:p w14:paraId="1EC0D437"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A strength of the study is that it evaluates knowledge, attitude, and practice together rather than focusing on a single dimension of insulin use. It also reflects real-world patient behaviour in a tertiary care setting.</w:t>
      </w:r>
    </w:p>
    <w:p w14:paraId="669A12D3"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limitation is that the</w:t>
      </w:r>
      <w:r>
        <w:rPr>
          <w:rFonts w:ascii="Times New Roman" w:eastAsia="Times New Roman" w:hAnsi="Times New Roman" w:cs="Times New Roman"/>
          <w:sz w:val="24"/>
          <w:szCs w:val="24"/>
        </w:rPr>
        <w:t xml:space="preserve"> uploaded dataset supported analysis of a 9-point KAP structure rather than the full theoretical score suggested by all questionnaire items. In addition, the present analysis is primarily descriptive. If the original dataset in spreadsheet format is availa</w:t>
      </w:r>
      <w:r>
        <w:rPr>
          <w:rFonts w:ascii="Times New Roman" w:eastAsia="Times New Roman" w:hAnsi="Times New Roman" w:cs="Times New Roman"/>
          <w:sz w:val="24"/>
          <w:szCs w:val="24"/>
        </w:rPr>
        <w:t>ble, further subgroup analysis by age, sex, education, socioeconomic status, and duration of diabetes could strengthen the manuscript.</w:t>
      </w:r>
    </w:p>
    <w:p w14:paraId="3FD1287B" w14:textId="77777777" w:rsidR="00AD294F" w:rsidRDefault="00AD294F">
      <w:pPr>
        <w:rPr>
          <w:rFonts w:ascii="Times New Roman" w:eastAsia="Times New Roman" w:hAnsi="Times New Roman" w:cs="Times New Roman"/>
          <w:sz w:val="24"/>
          <w:szCs w:val="24"/>
        </w:rPr>
      </w:pPr>
    </w:p>
    <w:p w14:paraId="560ACBE0"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773C3E5E"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shows that patients receiving insulin therapy have significant deficiencies in insulin-related </w:t>
      </w:r>
      <w:r>
        <w:rPr>
          <w:rFonts w:ascii="Times New Roman" w:eastAsia="Times New Roman" w:hAnsi="Times New Roman" w:cs="Times New Roman"/>
          <w:sz w:val="24"/>
          <w:szCs w:val="24"/>
        </w:rPr>
        <w:t>knowledge and practice, with only moderate performance in the attitude domain. The weakest area was knowledge, especially awareness of correct insulin storage. Needle reuse and disposal practices were also inadequate in a substantial proportion of particip</w:t>
      </w:r>
      <w:r>
        <w:rPr>
          <w:rFonts w:ascii="Times New Roman" w:eastAsia="Times New Roman" w:hAnsi="Times New Roman" w:cs="Times New Roman"/>
          <w:sz w:val="24"/>
          <w:szCs w:val="24"/>
        </w:rPr>
        <w:t>ants.</w:t>
      </w:r>
    </w:p>
    <w:p w14:paraId="5D318EDD"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findings highlight the need for structured and repeated education covering insulin storage, site rotation, needle </w:t>
      </w:r>
      <w:proofErr w:type="gramStart"/>
      <w:r>
        <w:rPr>
          <w:rFonts w:ascii="Times New Roman" w:eastAsia="Times New Roman" w:hAnsi="Times New Roman" w:cs="Times New Roman"/>
          <w:sz w:val="24"/>
          <w:szCs w:val="24"/>
        </w:rPr>
        <w:t>reuse,  hypoglycaemia</w:t>
      </w:r>
      <w:proofErr w:type="gramEnd"/>
      <w:r>
        <w:rPr>
          <w:rFonts w:ascii="Times New Roman" w:eastAsia="Times New Roman" w:hAnsi="Times New Roman" w:cs="Times New Roman"/>
          <w:sz w:val="24"/>
          <w:szCs w:val="24"/>
        </w:rPr>
        <w:t xml:space="preserve"> recognition, and sharps disposal. Demonstration-based counselling by physicians, nurses, and diabetes educat</w:t>
      </w:r>
      <w:r>
        <w:rPr>
          <w:rFonts w:ascii="Times New Roman" w:eastAsia="Times New Roman" w:hAnsi="Times New Roman" w:cs="Times New Roman"/>
          <w:sz w:val="24"/>
          <w:szCs w:val="24"/>
        </w:rPr>
        <w:t>ors should be integrated into routine follow-up. Improving patient knowledge and technique may improve glycaemic control, reduce complications, and decrease avoidable healthcare burden.</w:t>
      </w:r>
    </w:p>
    <w:p w14:paraId="514291B8" w14:textId="77777777" w:rsidR="00AD294F" w:rsidRDefault="00AD294F">
      <w:pPr>
        <w:rPr>
          <w:rFonts w:ascii="Times New Roman" w:eastAsia="Times New Roman" w:hAnsi="Times New Roman" w:cs="Times New Roman"/>
          <w:sz w:val="24"/>
          <w:szCs w:val="24"/>
        </w:rPr>
      </w:pPr>
    </w:p>
    <w:p w14:paraId="2E320BF6" w14:textId="77777777" w:rsidR="00AD294F" w:rsidRDefault="001313E8">
      <w:pPr>
        <w:rPr>
          <w:rFonts w:ascii="Times New Roman" w:eastAsia="Times New Roman" w:hAnsi="Times New Roman" w:cs="Times New Roman"/>
          <w:sz w:val="24"/>
          <w:szCs w:val="24"/>
        </w:rPr>
      </w:pPr>
      <w:bookmarkStart w:id="0" w:name="_GoBack"/>
      <w:bookmarkEnd w:id="0"/>
      <w:r>
        <w:pict w14:anchorId="1BE48114">
          <v:rect id="_x0000_i1025" style="width:0;height:1.5pt" o:hralign="center" o:hrstd="t" o:hr="t" fillcolor="#a0a0a0" stroked="f"/>
        </w:pict>
      </w:r>
    </w:p>
    <w:p w14:paraId="150CFE73" w14:textId="77777777" w:rsidR="00AD294F" w:rsidRDefault="00AD294F">
      <w:pPr>
        <w:rPr>
          <w:rFonts w:ascii="Times New Roman" w:eastAsia="Times New Roman" w:hAnsi="Times New Roman" w:cs="Times New Roman"/>
          <w:sz w:val="24"/>
          <w:szCs w:val="24"/>
        </w:rPr>
      </w:pPr>
    </w:p>
    <w:p w14:paraId="2E8A3B66"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CONSENT</w:t>
      </w:r>
    </w:p>
    <w:p w14:paraId="081585AF"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Informed consent was obtained from all participants included in the study.</w:t>
      </w:r>
    </w:p>
    <w:p w14:paraId="3CB644F2" w14:textId="77777777" w:rsidR="00AD294F" w:rsidRDefault="001313E8">
      <w:pPr>
        <w:rPr>
          <w:rFonts w:ascii="Times New Roman" w:eastAsia="Times New Roman" w:hAnsi="Times New Roman" w:cs="Times New Roman"/>
          <w:sz w:val="24"/>
          <w:szCs w:val="24"/>
        </w:rPr>
      </w:pPr>
      <w:r>
        <w:pict w14:anchorId="1E312F37">
          <v:rect id="_x0000_i1027" style="width:0;height:1.5pt" o:hralign="center" o:hrstd="t" o:hr="t" fillcolor="#a0a0a0" stroked="f"/>
        </w:pict>
      </w:r>
    </w:p>
    <w:p w14:paraId="377FBE7F"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ETHICAL APPROVAL</w:t>
      </w:r>
    </w:p>
    <w:p w14:paraId="3ABBEC06"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conducted after obtaining approval from the appropriate Institutional Ethics Committee and in accordance with accepted ethical standards.</w:t>
      </w:r>
    </w:p>
    <w:p w14:paraId="565A6C82" w14:textId="77777777" w:rsidR="00AD294F" w:rsidRDefault="00AD294F">
      <w:pPr>
        <w:rPr>
          <w:rFonts w:ascii="Times New Roman" w:eastAsia="Times New Roman" w:hAnsi="Times New Roman" w:cs="Times New Roman"/>
          <w:sz w:val="24"/>
          <w:szCs w:val="24"/>
        </w:rPr>
      </w:pPr>
    </w:p>
    <w:p w14:paraId="66019842" w14:textId="77777777" w:rsidR="00AD294F" w:rsidRDefault="001313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663AFE6E" w14:textId="77777777" w:rsidR="00AD294F" w:rsidRDefault="001313E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Diabetes Association. Standards of care in diabetes—2024. Diabetes Care 2024;</w:t>
      </w:r>
      <w:proofErr w:type="gramStart"/>
      <w:r>
        <w:rPr>
          <w:rFonts w:ascii="Times New Roman" w:eastAsia="Times New Roman" w:hAnsi="Times New Roman" w:cs="Times New Roman"/>
          <w:sz w:val="24"/>
          <w:szCs w:val="24"/>
        </w:rPr>
        <w:t>47:S</w:t>
      </w:r>
      <w:proofErr w:type="gramEnd"/>
      <w:r>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S321. </w:t>
      </w:r>
    </w:p>
    <w:p w14:paraId="003FB5BB" w14:textId="77777777" w:rsidR="00AD294F" w:rsidRDefault="001313E8">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color w:val="111111"/>
          <w:sz w:val="26"/>
          <w:szCs w:val="26"/>
        </w:rPr>
        <w:t xml:space="preserve">International Diabetes Federation. IDF Diabetes Atlas. 11th ed. Brussels, Belgium: International Diabetes Federation; 2025. Available from: https://diabetesatlas.org </w:t>
      </w:r>
    </w:p>
    <w:p w14:paraId="272B6C66" w14:textId="77777777" w:rsidR="00AD294F" w:rsidRDefault="00AD294F">
      <w:pPr>
        <w:spacing w:after="0"/>
        <w:rPr>
          <w:rFonts w:ascii="Times New Roman" w:eastAsia="Times New Roman" w:hAnsi="Times New Roman" w:cs="Times New Roman"/>
          <w:color w:val="111111"/>
          <w:sz w:val="26"/>
          <w:szCs w:val="26"/>
        </w:rPr>
      </w:pPr>
    </w:p>
    <w:p w14:paraId="47EA5800" w14:textId="77777777" w:rsidR="00AD294F" w:rsidRDefault="001313E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Diabetes Federation. IDF Diabetes Atlas. 10th ed. Brussels: Interna</w:t>
      </w:r>
      <w:r>
        <w:rPr>
          <w:rFonts w:ascii="Times New Roman" w:eastAsia="Times New Roman" w:hAnsi="Times New Roman" w:cs="Times New Roman"/>
          <w:sz w:val="24"/>
          <w:szCs w:val="24"/>
        </w:rPr>
        <w:t xml:space="preserve">tional Diabetes Federation; 2021. </w:t>
      </w:r>
    </w:p>
    <w:p w14:paraId="043EE327" w14:textId="77777777" w:rsidR="00AD294F" w:rsidRDefault="001313E8">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Inzucchi</w:t>
      </w:r>
      <w:proofErr w:type="spellEnd"/>
      <w:r>
        <w:rPr>
          <w:rFonts w:ascii="Times New Roman" w:eastAsia="Times New Roman" w:hAnsi="Times New Roman" w:cs="Times New Roman"/>
          <w:sz w:val="24"/>
          <w:szCs w:val="24"/>
        </w:rPr>
        <w:t xml:space="preserve"> SE, </w:t>
      </w:r>
      <w:proofErr w:type="spellStart"/>
      <w:r>
        <w:rPr>
          <w:rFonts w:ascii="Times New Roman" w:eastAsia="Times New Roman" w:hAnsi="Times New Roman" w:cs="Times New Roman"/>
          <w:sz w:val="24"/>
          <w:szCs w:val="24"/>
        </w:rPr>
        <w:t>Bergenstal</w:t>
      </w:r>
      <w:proofErr w:type="spellEnd"/>
      <w:r>
        <w:rPr>
          <w:rFonts w:ascii="Times New Roman" w:eastAsia="Times New Roman" w:hAnsi="Times New Roman" w:cs="Times New Roman"/>
          <w:sz w:val="24"/>
          <w:szCs w:val="24"/>
        </w:rPr>
        <w:t xml:space="preserve"> RM, Buse JB, Diamant M, </w:t>
      </w:r>
      <w:proofErr w:type="spellStart"/>
      <w:r>
        <w:rPr>
          <w:rFonts w:ascii="Times New Roman" w:eastAsia="Times New Roman" w:hAnsi="Times New Roman" w:cs="Times New Roman"/>
          <w:sz w:val="24"/>
          <w:szCs w:val="24"/>
        </w:rPr>
        <w:t>Ferrannini</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Nauck</w:t>
      </w:r>
      <w:proofErr w:type="spellEnd"/>
      <w:r>
        <w:rPr>
          <w:rFonts w:ascii="Times New Roman" w:eastAsia="Times New Roman" w:hAnsi="Times New Roman" w:cs="Times New Roman"/>
          <w:sz w:val="24"/>
          <w:szCs w:val="24"/>
        </w:rPr>
        <w:t xml:space="preserve"> M, et </w:t>
      </w:r>
      <w:proofErr w:type="spellStart"/>
      <w:proofErr w:type="gramStart"/>
      <w:r>
        <w:rPr>
          <w:rFonts w:ascii="Times New Roman" w:eastAsia="Times New Roman" w:hAnsi="Times New Roman" w:cs="Times New Roman"/>
          <w:sz w:val="24"/>
          <w:szCs w:val="24"/>
        </w:rPr>
        <w:t>al.Management</w:t>
      </w:r>
      <w:proofErr w:type="spellEnd"/>
      <w:proofErr w:type="gramEnd"/>
      <w:r>
        <w:rPr>
          <w:rFonts w:ascii="Times New Roman" w:eastAsia="Times New Roman" w:hAnsi="Times New Roman" w:cs="Times New Roman"/>
          <w:sz w:val="24"/>
          <w:szCs w:val="24"/>
        </w:rPr>
        <w:t xml:space="preserve"> of hyperglycaemia in type 2 diabetes: a patient-</w:t>
      </w:r>
      <w:proofErr w:type="spellStart"/>
      <w:r>
        <w:rPr>
          <w:rFonts w:ascii="Times New Roman" w:eastAsia="Times New Roman" w:hAnsi="Times New Roman" w:cs="Times New Roman"/>
          <w:sz w:val="24"/>
          <w:szCs w:val="24"/>
        </w:rPr>
        <w:t>centered</w:t>
      </w:r>
      <w:proofErr w:type="spellEnd"/>
      <w:r>
        <w:rPr>
          <w:rFonts w:ascii="Times New Roman" w:eastAsia="Times New Roman" w:hAnsi="Times New Roman" w:cs="Times New Roman"/>
          <w:sz w:val="24"/>
          <w:szCs w:val="24"/>
        </w:rPr>
        <w:t xml:space="preserve"> approach. Diabetes Care</w:t>
      </w:r>
      <w:proofErr w:type="gramStart"/>
      <w:r>
        <w:rPr>
          <w:rFonts w:ascii="Times New Roman" w:eastAsia="Times New Roman" w:hAnsi="Times New Roman" w:cs="Times New Roman"/>
          <w:sz w:val="24"/>
          <w:szCs w:val="24"/>
        </w:rPr>
        <w:t>2015;38:140</w:t>
      </w:r>
      <w:proofErr w:type="gramEnd"/>
      <w:r>
        <w:rPr>
          <w:rFonts w:ascii="Times New Roman" w:eastAsia="Times New Roman" w:hAnsi="Times New Roman" w:cs="Times New Roman"/>
          <w:sz w:val="24"/>
          <w:szCs w:val="24"/>
        </w:rPr>
        <w:t xml:space="preserve">-9. </w:t>
      </w:r>
    </w:p>
    <w:p w14:paraId="7B9CF8E6" w14:textId="77777777" w:rsidR="00AD294F" w:rsidRDefault="001313E8">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Frid</w:t>
      </w:r>
      <w:proofErr w:type="spellEnd"/>
      <w:r>
        <w:rPr>
          <w:rFonts w:ascii="Times New Roman" w:eastAsia="Times New Roman" w:hAnsi="Times New Roman" w:cs="Times New Roman"/>
          <w:sz w:val="24"/>
          <w:szCs w:val="24"/>
        </w:rPr>
        <w:t xml:space="preserve"> AH, </w:t>
      </w:r>
      <w:proofErr w:type="spellStart"/>
      <w:r>
        <w:rPr>
          <w:rFonts w:ascii="Times New Roman" w:eastAsia="Times New Roman" w:hAnsi="Times New Roman" w:cs="Times New Roman"/>
          <w:sz w:val="24"/>
          <w:szCs w:val="24"/>
        </w:rPr>
        <w:t>Kreugel</w:t>
      </w:r>
      <w:proofErr w:type="spellEnd"/>
      <w:r>
        <w:rPr>
          <w:rFonts w:ascii="Times New Roman" w:eastAsia="Times New Roman" w:hAnsi="Times New Roman" w:cs="Times New Roman"/>
          <w:sz w:val="24"/>
          <w:szCs w:val="24"/>
        </w:rPr>
        <w:t xml:space="preserve"> G, Grassi G, Halimi S, Hicks D, Hirsch LJ, et al. New insulin delivery recommendations. Mayo Clin Proc </w:t>
      </w:r>
      <w:proofErr w:type="gramStart"/>
      <w:r>
        <w:rPr>
          <w:rFonts w:ascii="Times New Roman" w:eastAsia="Times New Roman" w:hAnsi="Times New Roman" w:cs="Times New Roman"/>
          <w:sz w:val="24"/>
          <w:szCs w:val="24"/>
        </w:rPr>
        <w:t>2016;91:1231</w:t>
      </w:r>
      <w:proofErr w:type="gramEnd"/>
      <w:r>
        <w:rPr>
          <w:rFonts w:ascii="Times New Roman" w:eastAsia="Times New Roman" w:hAnsi="Times New Roman" w:cs="Times New Roman"/>
          <w:sz w:val="24"/>
          <w:szCs w:val="24"/>
        </w:rPr>
        <w:t xml:space="preserve">-55. </w:t>
      </w:r>
    </w:p>
    <w:p w14:paraId="5005966D" w14:textId="77777777" w:rsidR="00AD294F" w:rsidRDefault="001313E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Hirsch LJ, Byron K, Gibney M. Intramuscular risk at insulin injection sites and rationale for shorter-length needles. Diabetes </w:t>
      </w:r>
      <w:proofErr w:type="spellStart"/>
      <w:r>
        <w:rPr>
          <w:rFonts w:ascii="Times New Roman" w:eastAsia="Times New Roman" w:hAnsi="Times New Roman" w:cs="Times New Roman"/>
          <w:sz w:val="24"/>
          <w:szCs w:val="24"/>
        </w:rPr>
        <w:t>Technol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Ther</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2014;16:867</w:t>
      </w:r>
      <w:proofErr w:type="gramEnd"/>
      <w:r>
        <w:rPr>
          <w:rFonts w:ascii="Times New Roman" w:eastAsia="Times New Roman" w:hAnsi="Times New Roman" w:cs="Times New Roman"/>
          <w:sz w:val="24"/>
          <w:szCs w:val="24"/>
        </w:rPr>
        <w:t xml:space="preserve">-73. </w:t>
      </w:r>
    </w:p>
    <w:p w14:paraId="0168ABA4" w14:textId="77777777" w:rsidR="00AD294F" w:rsidRDefault="001313E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Kalra S, Mithal A, Sahay R, John M, Unnikrishnan AG, Saboo B, et al. Indian injection technique study: population characteristics and injection practices. Indian J Endocrinol Metab</w:t>
      </w:r>
      <w:proofErr w:type="gramStart"/>
      <w:r>
        <w:rPr>
          <w:rFonts w:ascii="Times New Roman" w:eastAsia="Times New Roman" w:hAnsi="Times New Roman" w:cs="Times New Roman"/>
          <w:sz w:val="24"/>
          <w:szCs w:val="24"/>
        </w:rPr>
        <w:t>2017;21:600</w:t>
      </w:r>
      <w:proofErr w:type="gramEnd"/>
      <w:r>
        <w:rPr>
          <w:rFonts w:ascii="Times New Roman" w:eastAsia="Times New Roman" w:hAnsi="Times New Roman" w:cs="Times New Roman"/>
          <w:sz w:val="24"/>
          <w:szCs w:val="24"/>
        </w:rPr>
        <w:t xml:space="preserve">-7. </w:t>
      </w:r>
    </w:p>
    <w:p w14:paraId="278D7677" w14:textId="44D93673" w:rsidR="00AD294F" w:rsidRDefault="001313E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Blanco M, Hernández MT, Strauss KW, A</w:t>
      </w:r>
      <w:r>
        <w:rPr>
          <w:rFonts w:ascii="Times New Roman" w:eastAsia="Times New Roman" w:hAnsi="Times New Roman" w:cs="Times New Roman"/>
          <w:sz w:val="24"/>
          <w:szCs w:val="24"/>
        </w:rPr>
        <w:t xml:space="preserve">maya M. Prevalence and risk factors of </w:t>
      </w:r>
      <w:proofErr w:type="spellStart"/>
      <w:r>
        <w:rPr>
          <w:rFonts w:ascii="Times New Roman" w:eastAsia="Times New Roman" w:hAnsi="Times New Roman" w:cs="Times New Roman"/>
          <w:sz w:val="24"/>
          <w:szCs w:val="24"/>
        </w:rPr>
        <w:t>lipohypertrophy</w:t>
      </w:r>
      <w:proofErr w:type="spellEnd"/>
      <w:r>
        <w:rPr>
          <w:rFonts w:ascii="Times New Roman" w:eastAsia="Times New Roman" w:hAnsi="Times New Roman" w:cs="Times New Roman"/>
          <w:sz w:val="24"/>
          <w:szCs w:val="24"/>
        </w:rPr>
        <w:t xml:space="preserve"> in insulin-injecting patients with diabetes. Diabetes </w:t>
      </w:r>
      <w:proofErr w:type="spellStart"/>
      <w:r>
        <w:rPr>
          <w:rFonts w:ascii="Times New Roman" w:eastAsia="Times New Roman" w:hAnsi="Times New Roman" w:cs="Times New Roman"/>
          <w:sz w:val="24"/>
          <w:szCs w:val="24"/>
        </w:rPr>
        <w:t>Metab</w:t>
      </w:r>
      <w:proofErr w:type="spellEnd"/>
      <w:sdt>
        <w:sdtPr>
          <w:tag w:val="goog_rdk_2"/>
          <w:id w:val="-233534270"/>
        </w:sdtPr>
        <w:sdtEndPr/>
        <w:sdtContent>
          <w:r>
            <w:rPr>
              <w:rFonts w:ascii="Times New Roman" w:eastAsia="Times New Roman" w:hAnsi="Times New Roman" w:cs="Times New Roman"/>
              <w:sz w:val="24"/>
              <w:szCs w:val="24"/>
            </w:rPr>
            <w:t xml:space="preserve"> </w:t>
          </w:r>
        </w:sdtContent>
      </w:sdt>
      <w:sdt>
        <w:sdtPr>
          <w:tag w:val="goog_rdk_3"/>
          <w:id w:val="-980767911"/>
          <w:showingPlcHdr/>
        </w:sdtPr>
        <w:sdtEndPr/>
        <w:sdtContent>
          <w:r w:rsidR="00A71645">
            <w:t xml:space="preserve">     </w:t>
          </w:r>
        </w:sdtContent>
      </w:sdt>
      <w:proofErr w:type="gramStart"/>
      <w:r>
        <w:rPr>
          <w:rFonts w:ascii="Times New Roman" w:eastAsia="Times New Roman" w:hAnsi="Times New Roman" w:cs="Times New Roman"/>
          <w:sz w:val="24"/>
          <w:szCs w:val="24"/>
        </w:rPr>
        <w:t>2013;39:445</w:t>
      </w:r>
      <w:proofErr w:type="gramEnd"/>
      <w:r>
        <w:rPr>
          <w:rFonts w:ascii="Times New Roman" w:eastAsia="Times New Roman" w:hAnsi="Times New Roman" w:cs="Times New Roman"/>
          <w:sz w:val="24"/>
          <w:szCs w:val="24"/>
        </w:rPr>
        <w:t xml:space="preserve">-53. </w:t>
      </w:r>
    </w:p>
    <w:p w14:paraId="79067C6F" w14:textId="5C0AC659" w:rsidR="00AD294F" w:rsidRDefault="001313E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Peyrot M, Rubin RR, Lauritzen T, Skovlund SE, Snoek FJ, Matthews DR, et al. Resistance to insulin therapy among pat</w:t>
      </w:r>
      <w:r>
        <w:rPr>
          <w:rFonts w:ascii="Times New Roman" w:eastAsia="Times New Roman" w:hAnsi="Times New Roman" w:cs="Times New Roman"/>
          <w:sz w:val="24"/>
          <w:szCs w:val="24"/>
        </w:rPr>
        <w:t>ients and providers. Diabetes Care</w:t>
      </w:r>
      <w:sdt>
        <w:sdtPr>
          <w:tag w:val="goog_rdk_4"/>
          <w:id w:val="-1106835437"/>
          <w:showingPlcHdr/>
        </w:sdtPr>
        <w:sdtEndPr/>
        <w:sdtContent>
          <w:r w:rsidR="00A71645">
            <w:t xml:space="preserve">     </w:t>
          </w:r>
        </w:sdtContent>
      </w:sdt>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2005;28:2673</w:t>
      </w:r>
      <w:proofErr w:type="gramEnd"/>
      <w:r>
        <w:rPr>
          <w:rFonts w:ascii="Times New Roman" w:eastAsia="Times New Roman" w:hAnsi="Times New Roman" w:cs="Times New Roman"/>
          <w:sz w:val="24"/>
          <w:szCs w:val="24"/>
        </w:rPr>
        <w:t xml:space="preserve">-9. </w:t>
      </w:r>
    </w:p>
    <w:p w14:paraId="08E0A56D" w14:textId="77777777" w:rsidR="00AD294F" w:rsidRDefault="001313E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Polonsky WH, Fisher L, Guzman S, Villa-Caballero L, Edelman SV. Psychological insulin resistance in patients with type 2 diabetes. Diabetes Care </w:t>
      </w:r>
      <w:proofErr w:type="gramStart"/>
      <w:r>
        <w:rPr>
          <w:rFonts w:ascii="Times New Roman" w:eastAsia="Times New Roman" w:hAnsi="Times New Roman" w:cs="Times New Roman"/>
          <w:sz w:val="24"/>
          <w:szCs w:val="24"/>
        </w:rPr>
        <w:t>2005;28:2543</w:t>
      </w:r>
      <w:proofErr w:type="gramEnd"/>
      <w:r>
        <w:rPr>
          <w:rFonts w:ascii="Times New Roman" w:eastAsia="Times New Roman" w:hAnsi="Times New Roman" w:cs="Times New Roman"/>
          <w:sz w:val="24"/>
          <w:szCs w:val="24"/>
        </w:rPr>
        <w:t xml:space="preserve">-5. </w:t>
      </w:r>
    </w:p>
    <w:p w14:paraId="2D370278" w14:textId="77777777" w:rsidR="00AD294F" w:rsidRDefault="001313E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Grassi G, </w:t>
      </w:r>
      <w:proofErr w:type="spellStart"/>
      <w:r>
        <w:rPr>
          <w:rFonts w:ascii="Times New Roman" w:eastAsia="Times New Roman" w:hAnsi="Times New Roman" w:cs="Times New Roman"/>
          <w:sz w:val="24"/>
          <w:szCs w:val="24"/>
        </w:rPr>
        <w:t>Scuntero</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Trepiccioni</w:t>
      </w:r>
      <w:proofErr w:type="spellEnd"/>
      <w:r>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Marubbi</w:t>
      </w:r>
      <w:proofErr w:type="spellEnd"/>
      <w:r>
        <w:rPr>
          <w:rFonts w:ascii="Times New Roman" w:eastAsia="Times New Roman" w:hAnsi="Times New Roman" w:cs="Times New Roman"/>
          <w:sz w:val="24"/>
          <w:szCs w:val="24"/>
        </w:rPr>
        <w:t xml:space="preserve"> F, Strauss K. Optimizing insulin injection technique and its effect on blood glucose control. J Clin Transl Endocrinol. </w:t>
      </w:r>
      <w:proofErr w:type="gramStart"/>
      <w:r>
        <w:rPr>
          <w:rFonts w:ascii="Times New Roman" w:eastAsia="Times New Roman" w:hAnsi="Times New Roman" w:cs="Times New Roman"/>
          <w:sz w:val="24"/>
          <w:szCs w:val="24"/>
        </w:rPr>
        <w:t>2014;1:145</w:t>
      </w:r>
      <w:proofErr w:type="gramEnd"/>
      <w:r>
        <w:rPr>
          <w:rFonts w:ascii="Times New Roman" w:eastAsia="Times New Roman" w:hAnsi="Times New Roman" w:cs="Times New Roman"/>
          <w:sz w:val="24"/>
          <w:szCs w:val="24"/>
        </w:rPr>
        <w:t xml:space="preserve">-50. </w:t>
      </w:r>
    </w:p>
    <w:p w14:paraId="32666E17" w14:textId="77777777" w:rsidR="00AD294F" w:rsidRDefault="001313E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Davis SN, Duckworth W, Emanuele N, Hayward R, Wiitala W, VADT Investigators. Effects of severe </w:t>
      </w:r>
      <w:proofErr w:type="spellStart"/>
      <w:r>
        <w:rPr>
          <w:rFonts w:ascii="Times New Roman" w:eastAsia="Times New Roman" w:hAnsi="Times New Roman" w:cs="Times New Roman"/>
          <w:sz w:val="24"/>
          <w:szCs w:val="24"/>
        </w:rPr>
        <w:t>hypoglycemia</w:t>
      </w:r>
      <w:proofErr w:type="spellEnd"/>
      <w:r>
        <w:rPr>
          <w:rFonts w:ascii="Times New Roman" w:eastAsia="Times New Roman" w:hAnsi="Times New Roman" w:cs="Times New Roman"/>
          <w:sz w:val="24"/>
          <w:szCs w:val="24"/>
        </w:rPr>
        <w:t xml:space="preserve"> on</w:t>
      </w:r>
      <w:r>
        <w:rPr>
          <w:rFonts w:ascii="Times New Roman" w:eastAsia="Times New Roman" w:hAnsi="Times New Roman" w:cs="Times New Roman"/>
          <w:sz w:val="24"/>
          <w:szCs w:val="24"/>
        </w:rPr>
        <w:t xml:space="preserve"> cardiovascular outcomes and death in type 2 diabetes. Endocrinol </w:t>
      </w:r>
      <w:proofErr w:type="spellStart"/>
      <w:r>
        <w:rPr>
          <w:rFonts w:ascii="Times New Roman" w:eastAsia="Times New Roman" w:hAnsi="Times New Roman" w:cs="Times New Roman"/>
          <w:sz w:val="24"/>
          <w:szCs w:val="24"/>
        </w:rPr>
        <w:t>Metab</w:t>
      </w:r>
      <w:proofErr w:type="spellEnd"/>
      <w:r>
        <w:rPr>
          <w:rFonts w:ascii="Times New Roman" w:eastAsia="Times New Roman" w:hAnsi="Times New Roman" w:cs="Times New Roman"/>
          <w:sz w:val="24"/>
          <w:szCs w:val="24"/>
        </w:rPr>
        <w:t xml:space="preserve"> Clin North Am </w:t>
      </w:r>
      <w:proofErr w:type="gramStart"/>
      <w:r>
        <w:rPr>
          <w:rFonts w:ascii="Times New Roman" w:eastAsia="Times New Roman" w:hAnsi="Times New Roman" w:cs="Times New Roman"/>
          <w:sz w:val="24"/>
          <w:szCs w:val="24"/>
        </w:rPr>
        <w:t>2013;42:657</w:t>
      </w:r>
      <w:proofErr w:type="gramEnd"/>
      <w:r>
        <w:rPr>
          <w:rFonts w:ascii="Times New Roman" w:eastAsia="Times New Roman" w:hAnsi="Times New Roman" w:cs="Times New Roman"/>
          <w:sz w:val="24"/>
          <w:szCs w:val="24"/>
        </w:rPr>
        <w:t xml:space="preserve">-76. </w:t>
      </w:r>
    </w:p>
    <w:p w14:paraId="1E9A408C" w14:textId="77777777" w:rsidR="00AD294F" w:rsidRDefault="001313E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Berard L, Cameron B, Woo V. Monitoring impact of diabetes education on self-care and </w:t>
      </w:r>
      <w:proofErr w:type="spellStart"/>
      <w:r>
        <w:rPr>
          <w:rFonts w:ascii="Times New Roman" w:eastAsia="Times New Roman" w:hAnsi="Times New Roman" w:cs="Times New Roman"/>
          <w:sz w:val="24"/>
          <w:szCs w:val="24"/>
        </w:rPr>
        <w:t>glycemic</w:t>
      </w:r>
      <w:proofErr w:type="spellEnd"/>
      <w:r>
        <w:rPr>
          <w:rFonts w:ascii="Times New Roman" w:eastAsia="Times New Roman" w:hAnsi="Times New Roman" w:cs="Times New Roman"/>
          <w:sz w:val="24"/>
          <w:szCs w:val="24"/>
        </w:rPr>
        <w:t xml:space="preserve"> outcomes. Can J Diabetes </w:t>
      </w:r>
      <w:proofErr w:type="gramStart"/>
      <w:r>
        <w:rPr>
          <w:rFonts w:ascii="Times New Roman" w:eastAsia="Times New Roman" w:hAnsi="Times New Roman" w:cs="Times New Roman"/>
          <w:sz w:val="24"/>
          <w:szCs w:val="24"/>
        </w:rPr>
        <w:t>2015;39:146</w:t>
      </w:r>
      <w:proofErr w:type="gramEnd"/>
      <w:r>
        <w:rPr>
          <w:rFonts w:ascii="Times New Roman" w:eastAsia="Times New Roman" w:hAnsi="Times New Roman" w:cs="Times New Roman"/>
          <w:sz w:val="24"/>
          <w:szCs w:val="24"/>
        </w:rPr>
        <w:t>-53.</w:t>
      </w:r>
    </w:p>
    <w:p w14:paraId="1EAB0CAF" w14:textId="77777777" w:rsidR="00AD294F" w:rsidRDefault="00AD294F">
      <w:pPr>
        <w:rPr>
          <w:rFonts w:ascii="Times New Roman" w:eastAsia="Times New Roman" w:hAnsi="Times New Roman" w:cs="Times New Roman"/>
          <w:sz w:val="24"/>
          <w:szCs w:val="24"/>
        </w:rPr>
      </w:pPr>
    </w:p>
    <w:p w14:paraId="2312568A" w14:textId="77777777" w:rsidR="00AD294F" w:rsidRDefault="00AD294F">
      <w:pPr>
        <w:rPr>
          <w:rFonts w:ascii="Times New Roman" w:eastAsia="Times New Roman" w:hAnsi="Times New Roman" w:cs="Times New Roman"/>
          <w:sz w:val="24"/>
          <w:szCs w:val="24"/>
        </w:rPr>
      </w:pPr>
    </w:p>
    <w:p w14:paraId="118EB21E" w14:textId="77777777" w:rsidR="00AD294F" w:rsidRDefault="001313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u w:val="single"/>
        </w:rPr>
        <w:t>APPENDIX</w:t>
      </w:r>
      <w:r>
        <w:rPr>
          <w:rFonts w:ascii="Times New Roman" w:eastAsia="Times New Roman" w:hAnsi="Times New Roman" w:cs="Times New Roman"/>
          <w:sz w:val="24"/>
          <w:szCs w:val="24"/>
        </w:rPr>
        <w:t xml:space="preserve"> </w:t>
      </w:r>
    </w:p>
    <w:p w14:paraId="2A53F567" w14:textId="77777777" w:rsidR="00AD294F" w:rsidRDefault="00AD294F">
      <w:pPr>
        <w:rPr>
          <w:rFonts w:ascii="Times New Roman" w:eastAsia="Times New Roman" w:hAnsi="Times New Roman" w:cs="Times New Roman"/>
          <w:sz w:val="24"/>
          <w:szCs w:val="24"/>
        </w:rPr>
      </w:pPr>
    </w:p>
    <w:p w14:paraId="71FA3559"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App</w:t>
      </w:r>
      <w:r>
        <w:rPr>
          <w:rFonts w:ascii="Times New Roman" w:eastAsia="Times New Roman" w:hAnsi="Times New Roman" w:cs="Times New Roman"/>
          <w:color w:val="111111"/>
          <w:sz w:val="26"/>
          <w:szCs w:val="26"/>
        </w:rPr>
        <w:t>endix 1: Questionnaire used for assessment of knowledge, attitude, and practice regarding insulin use</w:t>
      </w:r>
    </w:p>
    <w:p w14:paraId="26DD9BBB" w14:textId="77777777" w:rsidR="00AD294F" w:rsidRDefault="00AD294F">
      <w:pPr>
        <w:spacing w:after="0"/>
        <w:ind w:left="440"/>
        <w:rPr>
          <w:rFonts w:ascii="Times New Roman" w:eastAsia="Times New Roman" w:hAnsi="Times New Roman" w:cs="Times New Roman"/>
          <w:color w:val="111111"/>
          <w:sz w:val="26"/>
          <w:szCs w:val="26"/>
        </w:rPr>
      </w:pPr>
    </w:p>
    <w:p w14:paraId="1EAC2D47"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A structured questionnaire was used to assess knowledge, attitude, and practice (KAP) regarding insulin use among patients with diabetes mellitus.</w:t>
      </w:r>
    </w:p>
    <w:p w14:paraId="4E51B630" w14:textId="77777777" w:rsidR="00AD294F" w:rsidRDefault="00AD294F">
      <w:pPr>
        <w:spacing w:after="0"/>
        <w:ind w:left="440"/>
        <w:rPr>
          <w:rFonts w:ascii="Times New Roman" w:eastAsia="Times New Roman" w:hAnsi="Times New Roman" w:cs="Times New Roman"/>
          <w:color w:val="111111"/>
          <w:sz w:val="26"/>
          <w:szCs w:val="26"/>
        </w:rPr>
      </w:pPr>
    </w:p>
    <w:p w14:paraId="2FC72E86"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Section 1: Demographic and Clinical Data</w:t>
      </w:r>
    </w:p>
    <w:p w14:paraId="0750916A" w14:textId="77777777" w:rsidR="00AD294F" w:rsidRDefault="00AD294F">
      <w:pPr>
        <w:spacing w:after="0"/>
        <w:ind w:left="440"/>
        <w:rPr>
          <w:rFonts w:ascii="Times New Roman" w:eastAsia="Times New Roman" w:hAnsi="Times New Roman" w:cs="Times New Roman"/>
          <w:color w:val="111111"/>
          <w:sz w:val="26"/>
          <w:szCs w:val="26"/>
        </w:rPr>
      </w:pPr>
    </w:p>
    <w:p w14:paraId="38E754F8"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1. Age (in years): ________</w:t>
      </w:r>
    </w:p>
    <w:p w14:paraId="1DB3702F"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2. Sex: Male / Female</w:t>
      </w:r>
    </w:p>
    <w:p w14:paraId="07E3767F"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3. Education level: Illiterate / Primary / Secondary / Higher Secondary / Graduate / Postgraduate</w:t>
      </w:r>
    </w:p>
    <w:p w14:paraId="3C459B30"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4. Socioeconomic status: Upper / Upper-middle / Middle / Lower-mid</w:t>
      </w:r>
      <w:r>
        <w:rPr>
          <w:rFonts w:ascii="Times New Roman" w:eastAsia="Times New Roman" w:hAnsi="Times New Roman" w:cs="Times New Roman"/>
          <w:color w:val="111111"/>
          <w:sz w:val="26"/>
          <w:szCs w:val="26"/>
        </w:rPr>
        <w:t>dle / Lower</w:t>
      </w:r>
    </w:p>
    <w:p w14:paraId="555F4AFD"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5. Duration of diabetes (years): ________</w:t>
      </w:r>
    </w:p>
    <w:p w14:paraId="43CCC1D9"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6. Duration of insulin use (months): ________</w:t>
      </w:r>
    </w:p>
    <w:p w14:paraId="213577ED"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7. Type of insulin used: Human / Analog / Premix / Others</w:t>
      </w:r>
    </w:p>
    <w:p w14:paraId="1B468DA0"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8. Who administers insulin? Self / Family / Nurse / Others</w:t>
      </w:r>
    </w:p>
    <w:p w14:paraId="7CB3F462" w14:textId="77777777" w:rsidR="00AD294F" w:rsidRDefault="00AD294F">
      <w:pPr>
        <w:spacing w:after="0"/>
        <w:ind w:left="440"/>
        <w:rPr>
          <w:rFonts w:ascii="Times New Roman" w:eastAsia="Times New Roman" w:hAnsi="Times New Roman" w:cs="Times New Roman"/>
          <w:color w:val="111111"/>
          <w:sz w:val="26"/>
          <w:szCs w:val="26"/>
        </w:rPr>
      </w:pPr>
    </w:p>
    <w:p w14:paraId="1EB35BD3"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Section 2: Knowledge</w:t>
      </w:r>
    </w:p>
    <w:p w14:paraId="61D669D1" w14:textId="77777777" w:rsidR="00AD294F" w:rsidRDefault="00AD294F">
      <w:pPr>
        <w:spacing w:after="0"/>
        <w:ind w:left="440"/>
        <w:rPr>
          <w:rFonts w:ascii="Times New Roman" w:eastAsia="Times New Roman" w:hAnsi="Times New Roman" w:cs="Times New Roman"/>
          <w:color w:val="111111"/>
          <w:sz w:val="26"/>
          <w:szCs w:val="26"/>
        </w:rPr>
      </w:pPr>
    </w:p>
    <w:p w14:paraId="79A671A8"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KQ1. Do you know</w:t>
      </w:r>
      <w:r>
        <w:rPr>
          <w:rFonts w:ascii="Times New Roman" w:eastAsia="Times New Roman" w:hAnsi="Times New Roman" w:cs="Times New Roman"/>
          <w:color w:val="111111"/>
          <w:sz w:val="26"/>
          <w:szCs w:val="26"/>
        </w:rPr>
        <w:t xml:space="preserve"> how insulin should be stored properly? (Refrigerated, not frozen)</w:t>
      </w:r>
    </w:p>
    <w:p w14:paraId="0163281B"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KQ2. Is reusing insulin needles safe? (No)</w:t>
      </w:r>
    </w:p>
    <w:p w14:paraId="540640D7"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KQ3. Should the injection site be rotated each time? (Yes)</w:t>
      </w:r>
    </w:p>
    <w:p w14:paraId="0EF25851"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 xml:space="preserve">KQ4. Do you know how to recognize and manage </w:t>
      </w:r>
      <w:proofErr w:type="spellStart"/>
      <w:r>
        <w:rPr>
          <w:rFonts w:ascii="Times New Roman" w:eastAsia="Times New Roman" w:hAnsi="Times New Roman" w:cs="Times New Roman"/>
          <w:color w:val="111111"/>
          <w:sz w:val="26"/>
          <w:szCs w:val="26"/>
        </w:rPr>
        <w:t>hypoglycemia</w:t>
      </w:r>
      <w:proofErr w:type="spellEnd"/>
      <w:r>
        <w:rPr>
          <w:rFonts w:ascii="Times New Roman" w:eastAsia="Times New Roman" w:hAnsi="Times New Roman" w:cs="Times New Roman"/>
          <w:color w:val="111111"/>
          <w:sz w:val="26"/>
          <w:szCs w:val="26"/>
        </w:rPr>
        <w:t>? (Yes)</w:t>
      </w:r>
    </w:p>
    <w:p w14:paraId="0232E310" w14:textId="77777777" w:rsidR="00AD294F" w:rsidRDefault="00AD294F">
      <w:pPr>
        <w:spacing w:after="0"/>
        <w:ind w:left="440"/>
        <w:rPr>
          <w:rFonts w:ascii="Times New Roman" w:eastAsia="Times New Roman" w:hAnsi="Times New Roman" w:cs="Times New Roman"/>
          <w:color w:val="111111"/>
          <w:sz w:val="26"/>
          <w:szCs w:val="26"/>
        </w:rPr>
      </w:pPr>
    </w:p>
    <w:p w14:paraId="753D82CC"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Section 3: Attitude</w:t>
      </w:r>
    </w:p>
    <w:p w14:paraId="53CFCFD6" w14:textId="77777777" w:rsidR="00AD294F" w:rsidRDefault="00AD294F">
      <w:pPr>
        <w:spacing w:after="0"/>
        <w:ind w:left="440"/>
        <w:rPr>
          <w:rFonts w:ascii="Times New Roman" w:eastAsia="Times New Roman" w:hAnsi="Times New Roman" w:cs="Times New Roman"/>
          <w:color w:val="111111"/>
          <w:sz w:val="26"/>
          <w:szCs w:val="26"/>
        </w:rPr>
      </w:pPr>
    </w:p>
    <w:p w14:paraId="66651BBB"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lastRenderedPageBreak/>
        <w:t>AQ1. Do you think insulin means your diabetes has worsened? (No)</w:t>
      </w:r>
    </w:p>
    <w:p w14:paraId="4FE5D0B7"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AQ2. Are you worried or embarrassed about taking insulin in public? (No)</w:t>
      </w:r>
    </w:p>
    <w:p w14:paraId="3E84D904" w14:textId="77777777" w:rsidR="00AD294F" w:rsidRDefault="00AD294F">
      <w:pPr>
        <w:spacing w:after="0"/>
        <w:ind w:left="440"/>
        <w:rPr>
          <w:rFonts w:ascii="Times New Roman" w:eastAsia="Times New Roman" w:hAnsi="Times New Roman" w:cs="Times New Roman"/>
          <w:color w:val="111111"/>
          <w:sz w:val="26"/>
          <w:szCs w:val="26"/>
        </w:rPr>
      </w:pPr>
    </w:p>
    <w:p w14:paraId="098654CF"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Section 4: Practice</w:t>
      </w:r>
    </w:p>
    <w:p w14:paraId="01704153" w14:textId="77777777" w:rsidR="00AD294F" w:rsidRDefault="00AD294F">
      <w:pPr>
        <w:spacing w:after="0"/>
        <w:ind w:left="440"/>
        <w:rPr>
          <w:rFonts w:ascii="Times New Roman" w:eastAsia="Times New Roman" w:hAnsi="Times New Roman" w:cs="Times New Roman"/>
          <w:color w:val="111111"/>
          <w:sz w:val="26"/>
          <w:szCs w:val="26"/>
        </w:rPr>
      </w:pPr>
    </w:p>
    <w:p w14:paraId="4A86C280"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PQ1. How do you dispose of used insulin needles? (Proper disposal in sharps container or punctur</w:t>
      </w:r>
      <w:r>
        <w:rPr>
          <w:rFonts w:ascii="Times New Roman" w:eastAsia="Times New Roman" w:hAnsi="Times New Roman" w:cs="Times New Roman"/>
          <w:color w:val="111111"/>
          <w:sz w:val="26"/>
          <w:szCs w:val="26"/>
        </w:rPr>
        <w:t>e-proof container)</w:t>
      </w:r>
    </w:p>
    <w:p w14:paraId="2EE08EEE" w14:textId="77777777" w:rsidR="00AD294F" w:rsidRDefault="001313E8">
      <w:pPr>
        <w:spacing w:after="0"/>
        <w:ind w:left="440"/>
        <w:rPr>
          <w:rFonts w:ascii="Times New Roman" w:eastAsia="Times New Roman" w:hAnsi="Times New Roman" w:cs="Times New Roman"/>
          <w:color w:val="111111"/>
          <w:sz w:val="26"/>
          <w:szCs w:val="26"/>
        </w:rPr>
      </w:pPr>
      <w:sdt>
        <w:sdtPr>
          <w:tag w:val="goog_rdk_5"/>
          <w:id w:val="-895121394"/>
        </w:sdtPr>
        <w:sdtEndPr/>
        <w:sdtContent>
          <w:r>
            <w:rPr>
              <w:rFonts w:ascii="Gungsuh" w:eastAsia="Gungsuh" w:hAnsi="Gungsuh" w:cs="Gungsuh"/>
              <w:color w:val="111111"/>
              <w:sz w:val="26"/>
              <w:szCs w:val="26"/>
            </w:rPr>
            <w:t>PQ2. How often do you reuse insulin needles? (Never or ≤1 time)</w:t>
          </w:r>
        </w:sdtContent>
      </w:sdt>
    </w:p>
    <w:p w14:paraId="77D80B03"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PQ3. Do you rotate the injection site regularly? (Yes)</w:t>
      </w:r>
    </w:p>
    <w:p w14:paraId="362B6807"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PQ4. Do you clean the site and inject at the correct angle and depth? (Yes)</w:t>
      </w:r>
    </w:p>
    <w:p w14:paraId="3A42AAC9" w14:textId="77777777" w:rsidR="00AD294F" w:rsidRDefault="00AD294F">
      <w:pPr>
        <w:spacing w:after="0"/>
        <w:ind w:left="440"/>
        <w:rPr>
          <w:rFonts w:ascii="Times New Roman" w:eastAsia="Times New Roman" w:hAnsi="Times New Roman" w:cs="Times New Roman"/>
          <w:color w:val="111111"/>
          <w:sz w:val="26"/>
          <w:szCs w:val="26"/>
        </w:rPr>
      </w:pPr>
    </w:p>
    <w:p w14:paraId="2A9EBD7C"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Section 5: Additional Information</w:t>
      </w:r>
    </w:p>
    <w:p w14:paraId="26D7F712" w14:textId="77777777" w:rsidR="00AD294F" w:rsidRDefault="00AD294F">
      <w:pPr>
        <w:spacing w:after="0"/>
        <w:ind w:left="440"/>
        <w:rPr>
          <w:rFonts w:ascii="Times New Roman" w:eastAsia="Times New Roman" w:hAnsi="Times New Roman" w:cs="Times New Roman"/>
          <w:color w:val="111111"/>
          <w:sz w:val="26"/>
          <w:szCs w:val="26"/>
        </w:rPr>
      </w:pPr>
    </w:p>
    <w:p w14:paraId="462E29C8"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 xml:space="preserve">1. </w:t>
      </w:r>
      <w:r>
        <w:rPr>
          <w:rFonts w:ascii="Times New Roman" w:eastAsia="Times New Roman" w:hAnsi="Times New Roman" w:cs="Times New Roman"/>
          <w:color w:val="111111"/>
          <w:sz w:val="26"/>
          <w:szCs w:val="26"/>
        </w:rPr>
        <w:t>Has the patient received prior training on insulin injection technique? (Yes/No)</w:t>
      </w:r>
    </w:p>
    <w:p w14:paraId="7405B8FE"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2. Source of training: Doctor / Nurse / Educator / Others</w:t>
      </w:r>
    </w:p>
    <w:p w14:paraId="1A96D23A"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3. Latest HbA1c (if available): ________ %</w:t>
      </w:r>
    </w:p>
    <w:p w14:paraId="270BA88E"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4. Remarks/Observations: _______________________________</w:t>
      </w:r>
    </w:p>
    <w:p w14:paraId="054E0CE2" w14:textId="77777777" w:rsidR="00AD294F" w:rsidRDefault="00AD294F">
      <w:pPr>
        <w:spacing w:after="0"/>
        <w:ind w:left="440"/>
        <w:rPr>
          <w:rFonts w:ascii="Times New Roman" w:eastAsia="Times New Roman" w:hAnsi="Times New Roman" w:cs="Times New Roman"/>
          <w:color w:val="111111"/>
          <w:sz w:val="26"/>
          <w:szCs w:val="26"/>
        </w:rPr>
      </w:pPr>
    </w:p>
    <w:p w14:paraId="1E50DD8C"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Scoring System:</w:t>
      </w:r>
    </w:p>
    <w:p w14:paraId="1F4FF41E"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Each correct response = 1 point</w:t>
      </w:r>
    </w:p>
    <w:p w14:paraId="5954D579"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Incorrect/unsure = 0 points</w:t>
      </w:r>
    </w:p>
    <w:p w14:paraId="268E741A"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 xml:space="preserve">Attitude scored based on </w:t>
      </w:r>
      <w:proofErr w:type="spellStart"/>
      <w:r>
        <w:rPr>
          <w:rFonts w:ascii="Times New Roman" w:eastAsia="Times New Roman" w:hAnsi="Times New Roman" w:cs="Times New Roman"/>
          <w:color w:val="111111"/>
          <w:sz w:val="26"/>
          <w:szCs w:val="26"/>
        </w:rPr>
        <w:t>favorable</w:t>
      </w:r>
      <w:proofErr w:type="spellEnd"/>
      <w:r>
        <w:rPr>
          <w:rFonts w:ascii="Times New Roman" w:eastAsia="Times New Roman" w:hAnsi="Times New Roman" w:cs="Times New Roman"/>
          <w:color w:val="111111"/>
          <w:sz w:val="26"/>
          <w:szCs w:val="26"/>
        </w:rPr>
        <w:t xml:space="preserve"> response</w:t>
      </w:r>
    </w:p>
    <w:p w14:paraId="4208C790"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 xml:space="preserve">Total KAP score calculated from </w:t>
      </w:r>
      <w:proofErr w:type="spellStart"/>
      <w:r>
        <w:rPr>
          <w:rFonts w:ascii="Times New Roman" w:eastAsia="Times New Roman" w:hAnsi="Times New Roman" w:cs="Times New Roman"/>
          <w:color w:val="111111"/>
          <w:sz w:val="26"/>
          <w:szCs w:val="26"/>
        </w:rPr>
        <w:t>analyzable</w:t>
      </w:r>
      <w:proofErr w:type="spellEnd"/>
      <w:r>
        <w:rPr>
          <w:rFonts w:ascii="Times New Roman" w:eastAsia="Times New Roman" w:hAnsi="Times New Roman" w:cs="Times New Roman"/>
          <w:color w:val="111111"/>
          <w:sz w:val="26"/>
          <w:szCs w:val="26"/>
        </w:rPr>
        <w:t xml:space="preserve"> items</w:t>
      </w:r>
    </w:p>
    <w:p w14:paraId="65DCA90A" w14:textId="77777777" w:rsidR="00AD294F" w:rsidRDefault="00AD294F">
      <w:pPr>
        <w:spacing w:after="0"/>
        <w:ind w:left="440"/>
        <w:rPr>
          <w:rFonts w:ascii="Times New Roman" w:eastAsia="Times New Roman" w:hAnsi="Times New Roman" w:cs="Times New Roman"/>
          <w:color w:val="111111"/>
          <w:sz w:val="26"/>
          <w:szCs w:val="26"/>
        </w:rPr>
      </w:pPr>
    </w:p>
    <w:p w14:paraId="5D4DDAA5"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Note: Of the four practice items, three were included in the final analysis based on data completeness</w:t>
      </w:r>
      <w:r>
        <w:rPr>
          <w:rFonts w:ascii="Times New Roman" w:eastAsia="Times New Roman" w:hAnsi="Times New Roman" w:cs="Times New Roman"/>
          <w:color w:val="111111"/>
          <w:sz w:val="26"/>
          <w:szCs w:val="26"/>
        </w:rPr>
        <w:t>.</w:t>
      </w:r>
    </w:p>
    <w:p w14:paraId="0EC9C901" w14:textId="77777777" w:rsidR="00AD294F" w:rsidRDefault="00AD294F">
      <w:pPr>
        <w:spacing w:after="0"/>
        <w:ind w:left="440"/>
        <w:rPr>
          <w:rFonts w:ascii="Times New Roman" w:eastAsia="Times New Roman" w:hAnsi="Times New Roman" w:cs="Times New Roman"/>
          <w:color w:val="111111"/>
          <w:sz w:val="26"/>
          <w:szCs w:val="26"/>
        </w:rPr>
      </w:pPr>
    </w:p>
    <w:p w14:paraId="6E30F5C4" w14:textId="77777777" w:rsidR="00AD294F" w:rsidRDefault="00AD294F">
      <w:pPr>
        <w:spacing w:after="0"/>
        <w:ind w:left="440"/>
        <w:rPr>
          <w:rFonts w:ascii="Times New Roman" w:eastAsia="Times New Roman" w:hAnsi="Times New Roman" w:cs="Times New Roman"/>
          <w:color w:val="111111"/>
          <w:sz w:val="26"/>
          <w:szCs w:val="26"/>
        </w:rPr>
      </w:pPr>
    </w:p>
    <w:p w14:paraId="67514834" w14:textId="77777777" w:rsidR="00AD294F" w:rsidRDefault="001313E8">
      <w:pPr>
        <w:pStyle w:val="Heading3"/>
        <w:keepNext w:val="0"/>
        <w:keepLines w:val="0"/>
        <w:spacing w:before="280"/>
        <w:rPr>
          <w:rFonts w:ascii="Times New Roman" w:eastAsia="Times New Roman" w:hAnsi="Times New Roman" w:cs="Times New Roman"/>
          <w:b/>
          <w:bCs/>
          <w:color w:val="111111"/>
          <w:sz w:val="26"/>
          <w:szCs w:val="26"/>
        </w:rPr>
      </w:pPr>
      <w:bookmarkStart w:id="1" w:name="_heading=h.t17boj1a5nke" w:colFirst="0" w:colLast="0"/>
      <w:bookmarkEnd w:id="1"/>
      <w:r>
        <w:rPr>
          <w:rFonts w:ascii="Times New Roman" w:eastAsia="Times New Roman" w:hAnsi="Times New Roman" w:cs="Times New Roman"/>
          <w:b/>
          <w:bCs/>
          <w:color w:val="111111"/>
          <w:sz w:val="26"/>
          <w:szCs w:val="26"/>
        </w:rPr>
        <w:t>Appendix 2: Education Classification</w:t>
      </w:r>
    </w:p>
    <w:p w14:paraId="344BD13A"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Education level was categorized as:</w:t>
      </w:r>
    </w:p>
    <w:p w14:paraId="5BA66BD8" w14:textId="77777777" w:rsidR="00AD294F" w:rsidRDefault="001313E8">
      <w:pPr>
        <w:numPr>
          <w:ilvl w:val="0"/>
          <w:numId w:val="2"/>
        </w:numPr>
        <w:spacing w:before="480" w:after="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Illiterate – cannot read or write</w:t>
      </w:r>
      <w:r>
        <w:rPr>
          <w:rFonts w:ascii="Times New Roman" w:eastAsia="Times New Roman" w:hAnsi="Times New Roman" w:cs="Times New Roman"/>
          <w:color w:val="111111"/>
          <w:sz w:val="26"/>
          <w:szCs w:val="26"/>
        </w:rPr>
        <w:br/>
      </w:r>
    </w:p>
    <w:p w14:paraId="1A842C24" w14:textId="77777777" w:rsidR="00AD294F" w:rsidRDefault="001313E8">
      <w:pPr>
        <w:numPr>
          <w:ilvl w:val="0"/>
          <w:numId w:val="2"/>
        </w:numPr>
        <w:spacing w:after="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Primary – up to 5th standard</w:t>
      </w:r>
      <w:r>
        <w:rPr>
          <w:rFonts w:ascii="Times New Roman" w:eastAsia="Times New Roman" w:hAnsi="Times New Roman" w:cs="Times New Roman"/>
          <w:color w:val="111111"/>
          <w:sz w:val="26"/>
          <w:szCs w:val="26"/>
        </w:rPr>
        <w:br/>
      </w:r>
    </w:p>
    <w:p w14:paraId="5B9E1F6B" w14:textId="77777777" w:rsidR="00AD294F" w:rsidRDefault="001313E8">
      <w:pPr>
        <w:numPr>
          <w:ilvl w:val="0"/>
          <w:numId w:val="2"/>
        </w:numPr>
        <w:spacing w:after="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Secondary – 6th to 10th standard</w:t>
      </w:r>
      <w:r>
        <w:rPr>
          <w:rFonts w:ascii="Times New Roman" w:eastAsia="Times New Roman" w:hAnsi="Times New Roman" w:cs="Times New Roman"/>
          <w:color w:val="111111"/>
          <w:sz w:val="26"/>
          <w:szCs w:val="26"/>
        </w:rPr>
        <w:br/>
      </w:r>
    </w:p>
    <w:p w14:paraId="5C282A81" w14:textId="77777777" w:rsidR="00AD294F" w:rsidRDefault="001313E8">
      <w:pPr>
        <w:numPr>
          <w:ilvl w:val="0"/>
          <w:numId w:val="2"/>
        </w:numPr>
        <w:spacing w:after="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Higher secondary – 11th–12th / PUC</w:t>
      </w:r>
      <w:r>
        <w:rPr>
          <w:rFonts w:ascii="Times New Roman" w:eastAsia="Times New Roman" w:hAnsi="Times New Roman" w:cs="Times New Roman"/>
          <w:color w:val="111111"/>
          <w:sz w:val="26"/>
          <w:szCs w:val="26"/>
        </w:rPr>
        <w:br/>
      </w:r>
    </w:p>
    <w:p w14:paraId="0BF38084" w14:textId="77777777" w:rsidR="00AD294F" w:rsidRDefault="001313E8">
      <w:pPr>
        <w:numPr>
          <w:ilvl w:val="0"/>
          <w:numId w:val="2"/>
        </w:numPr>
        <w:spacing w:after="48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lastRenderedPageBreak/>
        <w:t xml:space="preserve">Graduate/Postgraduate – college degree or </w:t>
      </w:r>
      <w:r>
        <w:rPr>
          <w:rFonts w:ascii="Times New Roman" w:eastAsia="Times New Roman" w:hAnsi="Times New Roman" w:cs="Times New Roman"/>
          <w:color w:val="111111"/>
          <w:sz w:val="26"/>
          <w:szCs w:val="26"/>
        </w:rPr>
        <w:t>higher</w:t>
      </w:r>
      <w:r>
        <w:rPr>
          <w:rFonts w:ascii="Times New Roman" w:eastAsia="Times New Roman" w:hAnsi="Times New Roman" w:cs="Times New Roman"/>
          <w:color w:val="111111"/>
          <w:sz w:val="26"/>
          <w:szCs w:val="26"/>
        </w:rPr>
        <w:br/>
      </w:r>
    </w:p>
    <w:p w14:paraId="1795FFC7" w14:textId="77777777" w:rsidR="00AD294F" w:rsidRDefault="001313E8">
      <w:pPr>
        <w:pStyle w:val="Heading3"/>
        <w:keepNext w:val="0"/>
        <w:keepLines w:val="0"/>
        <w:spacing w:before="280"/>
        <w:rPr>
          <w:rFonts w:ascii="Times New Roman" w:eastAsia="Times New Roman" w:hAnsi="Times New Roman" w:cs="Times New Roman"/>
          <w:b/>
          <w:bCs/>
          <w:color w:val="111111"/>
          <w:sz w:val="26"/>
          <w:szCs w:val="26"/>
        </w:rPr>
      </w:pPr>
      <w:bookmarkStart w:id="2" w:name="_heading=h.iazvi6r9z9cr" w:colFirst="0" w:colLast="0"/>
      <w:bookmarkEnd w:id="2"/>
      <w:r>
        <w:rPr>
          <w:rFonts w:ascii="Times New Roman" w:eastAsia="Times New Roman" w:hAnsi="Times New Roman" w:cs="Times New Roman"/>
          <w:b/>
          <w:bCs/>
          <w:color w:val="111111"/>
          <w:sz w:val="26"/>
          <w:szCs w:val="26"/>
        </w:rPr>
        <w:t>Appendix 3: Socioeconomic Status Classification (Modified Kuppuswamy Scale)</w:t>
      </w:r>
    </w:p>
    <w:p w14:paraId="70823521" w14:textId="77777777" w:rsidR="00AD294F" w:rsidRDefault="001313E8">
      <w:pPr>
        <w:spacing w:after="0"/>
        <w:ind w:left="44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Socioeconomic status was classified based on monthly family income:</w:t>
      </w:r>
    </w:p>
    <w:p w14:paraId="4E3D29E6" w14:textId="77777777" w:rsidR="00AD294F" w:rsidRDefault="001313E8">
      <w:pPr>
        <w:numPr>
          <w:ilvl w:val="0"/>
          <w:numId w:val="3"/>
        </w:numPr>
        <w:spacing w:before="480" w:after="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Lower: &lt; ₹15,000</w:t>
      </w:r>
      <w:r>
        <w:rPr>
          <w:rFonts w:ascii="Times New Roman" w:eastAsia="Times New Roman" w:hAnsi="Times New Roman" w:cs="Times New Roman"/>
          <w:color w:val="111111"/>
          <w:sz w:val="26"/>
          <w:szCs w:val="26"/>
        </w:rPr>
        <w:br/>
      </w:r>
    </w:p>
    <w:p w14:paraId="1B7D4096" w14:textId="77777777" w:rsidR="00AD294F" w:rsidRDefault="001313E8">
      <w:pPr>
        <w:numPr>
          <w:ilvl w:val="0"/>
          <w:numId w:val="3"/>
        </w:numPr>
        <w:spacing w:after="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Lower-middle: ₹15,001–₹30,000</w:t>
      </w:r>
      <w:r>
        <w:rPr>
          <w:rFonts w:ascii="Times New Roman" w:eastAsia="Times New Roman" w:hAnsi="Times New Roman" w:cs="Times New Roman"/>
          <w:color w:val="111111"/>
          <w:sz w:val="26"/>
          <w:szCs w:val="26"/>
        </w:rPr>
        <w:br/>
      </w:r>
    </w:p>
    <w:p w14:paraId="2F2380C7" w14:textId="77777777" w:rsidR="00AD294F" w:rsidRDefault="001313E8">
      <w:pPr>
        <w:numPr>
          <w:ilvl w:val="0"/>
          <w:numId w:val="3"/>
        </w:numPr>
        <w:spacing w:after="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Middle: ₹30,001–₹60,000</w:t>
      </w:r>
      <w:r>
        <w:rPr>
          <w:rFonts w:ascii="Times New Roman" w:eastAsia="Times New Roman" w:hAnsi="Times New Roman" w:cs="Times New Roman"/>
          <w:color w:val="111111"/>
          <w:sz w:val="26"/>
          <w:szCs w:val="26"/>
        </w:rPr>
        <w:br/>
      </w:r>
    </w:p>
    <w:p w14:paraId="0010144F" w14:textId="77777777" w:rsidR="00AD294F" w:rsidRDefault="001313E8">
      <w:pPr>
        <w:numPr>
          <w:ilvl w:val="0"/>
          <w:numId w:val="3"/>
        </w:numPr>
        <w:spacing w:after="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 xml:space="preserve">Upper-middle: </w:t>
      </w:r>
      <w:r>
        <w:rPr>
          <w:rFonts w:ascii="Times New Roman" w:eastAsia="Times New Roman" w:hAnsi="Times New Roman" w:cs="Times New Roman"/>
          <w:color w:val="111111"/>
          <w:sz w:val="26"/>
          <w:szCs w:val="26"/>
        </w:rPr>
        <w:t>₹60,001–₹1,00,000</w:t>
      </w:r>
      <w:r>
        <w:rPr>
          <w:rFonts w:ascii="Times New Roman" w:eastAsia="Times New Roman" w:hAnsi="Times New Roman" w:cs="Times New Roman"/>
          <w:color w:val="111111"/>
          <w:sz w:val="26"/>
          <w:szCs w:val="26"/>
        </w:rPr>
        <w:br/>
      </w:r>
    </w:p>
    <w:p w14:paraId="03E7CF27" w14:textId="77777777" w:rsidR="00AD294F" w:rsidRDefault="001313E8">
      <w:pPr>
        <w:numPr>
          <w:ilvl w:val="0"/>
          <w:numId w:val="3"/>
        </w:numPr>
        <w:spacing w:after="48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Upper: &gt; ₹1,00,000</w:t>
      </w:r>
      <w:r>
        <w:rPr>
          <w:rFonts w:ascii="Times New Roman" w:eastAsia="Times New Roman" w:hAnsi="Times New Roman" w:cs="Times New Roman"/>
          <w:color w:val="111111"/>
          <w:sz w:val="26"/>
          <w:szCs w:val="26"/>
        </w:rPr>
        <w:br/>
      </w:r>
    </w:p>
    <w:p w14:paraId="6F02C456" w14:textId="77777777" w:rsidR="00AD294F" w:rsidRDefault="00AD294F">
      <w:pPr>
        <w:spacing w:after="0"/>
        <w:ind w:left="440"/>
        <w:rPr>
          <w:rFonts w:ascii="Times New Roman" w:eastAsia="Times New Roman" w:hAnsi="Times New Roman" w:cs="Times New Roman"/>
          <w:color w:val="111111"/>
          <w:sz w:val="26"/>
          <w:szCs w:val="26"/>
        </w:rPr>
      </w:pPr>
    </w:p>
    <w:p w14:paraId="58331570" w14:textId="77777777" w:rsidR="00AD294F" w:rsidRDefault="00AD294F">
      <w:pPr>
        <w:spacing w:after="0"/>
        <w:ind w:left="440"/>
        <w:rPr>
          <w:rFonts w:ascii="Times New Roman" w:eastAsia="Times New Roman" w:hAnsi="Times New Roman" w:cs="Times New Roman"/>
          <w:color w:val="111111"/>
          <w:sz w:val="26"/>
          <w:szCs w:val="26"/>
        </w:rPr>
      </w:pPr>
    </w:p>
    <w:p w14:paraId="3ACA5D9A" w14:textId="77777777" w:rsidR="00AD294F" w:rsidRDefault="00AD294F">
      <w:pPr>
        <w:rPr>
          <w:rFonts w:ascii="Times New Roman" w:eastAsia="Times New Roman" w:hAnsi="Times New Roman" w:cs="Times New Roman"/>
          <w:sz w:val="24"/>
          <w:szCs w:val="24"/>
        </w:rPr>
      </w:pPr>
    </w:p>
    <w:p w14:paraId="0075B6B7" w14:textId="77777777" w:rsidR="00AD294F" w:rsidRDefault="00AD294F">
      <w:pPr>
        <w:rPr>
          <w:rFonts w:ascii="Times New Roman" w:eastAsia="Times New Roman" w:hAnsi="Times New Roman" w:cs="Times New Roman"/>
          <w:sz w:val="24"/>
          <w:szCs w:val="24"/>
        </w:rPr>
      </w:pPr>
    </w:p>
    <w:p w14:paraId="3EEF2ED2" w14:textId="77777777" w:rsidR="00AD294F" w:rsidRDefault="00AD294F">
      <w:pPr>
        <w:rPr>
          <w:rFonts w:ascii="Times New Roman" w:eastAsia="Times New Roman" w:hAnsi="Times New Roman" w:cs="Times New Roman"/>
          <w:sz w:val="24"/>
          <w:szCs w:val="24"/>
        </w:rPr>
      </w:pPr>
    </w:p>
    <w:p w14:paraId="78E40BCC" w14:textId="77777777" w:rsidR="00AD294F" w:rsidRDefault="00AD294F">
      <w:pPr>
        <w:rPr>
          <w:rFonts w:ascii="Times New Roman" w:eastAsia="Times New Roman" w:hAnsi="Times New Roman" w:cs="Times New Roman"/>
          <w:sz w:val="24"/>
          <w:szCs w:val="24"/>
        </w:rPr>
      </w:pPr>
    </w:p>
    <w:p w14:paraId="5FA590C9" w14:textId="77777777" w:rsidR="00AD294F" w:rsidRDefault="00AD294F">
      <w:pPr>
        <w:rPr>
          <w:rFonts w:ascii="Times New Roman" w:eastAsia="Times New Roman" w:hAnsi="Times New Roman" w:cs="Times New Roman"/>
          <w:sz w:val="24"/>
          <w:szCs w:val="24"/>
        </w:rPr>
      </w:pPr>
    </w:p>
    <w:p w14:paraId="6DB05CA3" w14:textId="77777777" w:rsidR="00AD294F" w:rsidRDefault="00AD294F">
      <w:pPr>
        <w:rPr>
          <w:rFonts w:ascii="Times New Roman" w:eastAsia="Times New Roman" w:hAnsi="Times New Roman" w:cs="Times New Roman"/>
          <w:sz w:val="24"/>
          <w:szCs w:val="24"/>
          <w:vertAlign w:val="superscript"/>
        </w:rPr>
      </w:pPr>
    </w:p>
    <w:p w14:paraId="21DECF74" w14:textId="77777777" w:rsidR="00AD294F" w:rsidRDefault="00AD294F">
      <w:pPr>
        <w:rPr>
          <w:rFonts w:ascii="Times New Roman" w:eastAsia="Times New Roman" w:hAnsi="Times New Roman" w:cs="Times New Roman"/>
          <w:sz w:val="24"/>
          <w:szCs w:val="24"/>
        </w:rPr>
      </w:pPr>
    </w:p>
    <w:sectPr w:rsidR="00AD294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07837" w14:textId="77777777" w:rsidR="001313E8" w:rsidRDefault="001313E8" w:rsidP="008405A0">
      <w:pPr>
        <w:spacing w:after="0" w:line="240" w:lineRule="auto"/>
      </w:pPr>
      <w:r>
        <w:separator/>
      </w:r>
    </w:p>
  </w:endnote>
  <w:endnote w:type="continuationSeparator" w:id="0">
    <w:p w14:paraId="5B1A1D29" w14:textId="77777777" w:rsidR="001313E8" w:rsidRDefault="001313E8" w:rsidP="00840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08E30BC-9F95-463B-BED8-DED152262788}"/>
    <w:embedBold r:id="rId2" w:fontKey="{2CA03E49-8032-4B11-AD36-3E5AA9774A74}"/>
    <w:embedItalic r:id="rId3" w:fontKey="{3DEDE60C-0031-48C4-AC16-F7485B330623}"/>
  </w:font>
  <w:font w:name="Calibri Light">
    <w:panose1 w:val="020F0302020204030204"/>
    <w:charset w:val="00"/>
    <w:family w:val="swiss"/>
    <w:pitch w:val="variable"/>
    <w:sig w:usb0="E4002EFF" w:usb1="C000247B" w:usb2="00000009" w:usb3="00000000" w:csb0="000001FF" w:csb1="00000000"/>
    <w:embedRegular r:id="rId4" w:fontKey="{589D7E1E-D1D3-4DA3-8089-A7A787663604}"/>
  </w:font>
  <w:font w:name="Gungsuh">
    <w:charset w:val="81"/>
    <w:family w:val="roman"/>
    <w:pitch w:val="variable"/>
    <w:sig w:usb0="B00002AF" w:usb1="69D77CFB" w:usb2="00000030" w:usb3="00000000" w:csb0="0008009F" w:csb1="00000000"/>
    <w:embedRegular r:id="rId5" w:fontKey="{2D2115D5-C5D4-4D47-9571-2140DC6C23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D6209" w14:textId="77777777" w:rsidR="008405A0" w:rsidRDefault="008405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C8424" w14:textId="77777777" w:rsidR="008405A0" w:rsidRDefault="008405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C530F" w14:textId="77777777" w:rsidR="008405A0" w:rsidRDefault="008405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24C1D" w14:textId="77777777" w:rsidR="001313E8" w:rsidRDefault="001313E8" w:rsidP="008405A0">
      <w:pPr>
        <w:spacing w:after="0" w:line="240" w:lineRule="auto"/>
      </w:pPr>
      <w:r>
        <w:separator/>
      </w:r>
    </w:p>
  </w:footnote>
  <w:footnote w:type="continuationSeparator" w:id="0">
    <w:p w14:paraId="69AE7EB4" w14:textId="77777777" w:rsidR="001313E8" w:rsidRDefault="001313E8" w:rsidP="008405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D3833" w14:textId="7E8ABBCC" w:rsidR="008405A0" w:rsidRDefault="008405A0">
    <w:pPr>
      <w:pStyle w:val="Header"/>
    </w:pPr>
    <w:r>
      <w:rPr>
        <w:noProof/>
      </w:rPr>
      <w:pict w14:anchorId="5AC625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50293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BCD3F" w14:textId="730D7617" w:rsidR="008405A0" w:rsidRDefault="008405A0">
    <w:pPr>
      <w:pStyle w:val="Header"/>
    </w:pPr>
    <w:r>
      <w:rPr>
        <w:noProof/>
      </w:rPr>
      <w:pict w14:anchorId="17F6D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50293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0F3E0" w14:textId="6E22BCB7" w:rsidR="008405A0" w:rsidRDefault="008405A0">
    <w:pPr>
      <w:pStyle w:val="Header"/>
    </w:pPr>
    <w:r>
      <w:rPr>
        <w:noProof/>
      </w:rPr>
      <w:pict w14:anchorId="736112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50293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6456B4"/>
    <w:multiLevelType w:val="multilevel"/>
    <w:tmpl w:val="25689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9AB2D5F"/>
    <w:multiLevelType w:val="multilevel"/>
    <w:tmpl w:val="ACE8F0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C135B9C"/>
    <w:multiLevelType w:val="multilevel"/>
    <w:tmpl w:val="78C499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94F"/>
    <w:rsid w:val="001313E8"/>
    <w:rsid w:val="00311ED8"/>
    <w:rsid w:val="005D2979"/>
    <w:rsid w:val="008405A0"/>
    <w:rsid w:val="00A71645"/>
    <w:rsid w:val="00AD294F"/>
    <w:rsid w:val="00D407B0"/>
    <w:rsid w:val="00EB72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29D56D"/>
  <w15:docId w15:val="{9564A257-F1E5-4E00-AA41-901DCAACB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870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70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70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1870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870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8704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870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870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870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70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70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704E"/>
    <w:rPr>
      <w:rFonts w:eastAsiaTheme="majorEastAsia" w:cstheme="majorBidi"/>
      <w:color w:val="272727" w:themeColor="text1" w:themeTint="D8"/>
    </w:rPr>
  </w:style>
  <w:style w:type="character" w:customStyle="1" w:styleId="TitleChar">
    <w:name w:val="Title Char"/>
    <w:basedOn w:val="DefaultParagraphFont"/>
    <w:link w:val="Title"/>
    <w:uiPriority w:val="10"/>
    <w:rsid w:val="0018704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870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704E"/>
    <w:pPr>
      <w:spacing w:before="160"/>
      <w:jc w:val="center"/>
    </w:pPr>
    <w:rPr>
      <w:i/>
      <w:iCs/>
      <w:color w:val="404040" w:themeColor="text1" w:themeTint="BF"/>
    </w:rPr>
  </w:style>
  <w:style w:type="character" w:customStyle="1" w:styleId="QuoteChar">
    <w:name w:val="Quote Char"/>
    <w:basedOn w:val="DefaultParagraphFont"/>
    <w:link w:val="Quote"/>
    <w:uiPriority w:val="29"/>
    <w:rsid w:val="0018704E"/>
    <w:rPr>
      <w:i/>
      <w:iCs/>
      <w:color w:val="404040" w:themeColor="text1" w:themeTint="BF"/>
    </w:rPr>
  </w:style>
  <w:style w:type="paragraph" w:styleId="ListParagraph">
    <w:name w:val="List Paragraph"/>
    <w:basedOn w:val="Normal"/>
    <w:uiPriority w:val="34"/>
    <w:qFormat/>
    <w:rsid w:val="0018704E"/>
    <w:pPr>
      <w:ind w:left="720"/>
      <w:contextualSpacing/>
    </w:pPr>
  </w:style>
  <w:style w:type="character" w:styleId="IntenseEmphasis">
    <w:name w:val="Intense Emphasis"/>
    <w:basedOn w:val="DefaultParagraphFont"/>
    <w:uiPriority w:val="21"/>
    <w:qFormat/>
    <w:rsid w:val="0018704E"/>
    <w:rPr>
      <w:i/>
      <w:iCs/>
      <w:color w:val="2F5496" w:themeColor="accent1" w:themeShade="BF"/>
    </w:rPr>
  </w:style>
  <w:style w:type="paragraph" w:styleId="IntenseQuote">
    <w:name w:val="Intense Quote"/>
    <w:basedOn w:val="Normal"/>
    <w:next w:val="Normal"/>
    <w:link w:val="IntenseQuoteChar"/>
    <w:uiPriority w:val="30"/>
    <w:qFormat/>
    <w:rsid w:val="001870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8704E"/>
    <w:rPr>
      <w:i/>
      <w:iCs/>
      <w:color w:val="2F5496" w:themeColor="accent1" w:themeShade="BF"/>
    </w:rPr>
  </w:style>
  <w:style w:type="character" w:styleId="IntenseReference">
    <w:name w:val="Intense Reference"/>
    <w:basedOn w:val="DefaultParagraphFont"/>
    <w:uiPriority w:val="32"/>
    <w:qFormat/>
    <w:rsid w:val="0018704E"/>
    <w:rPr>
      <w:b/>
      <w:bCs/>
      <w:smallCaps/>
      <w:color w:val="2F5496" w:themeColor="accent1" w:themeShade="BF"/>
      <w:spacing w:val="5"/>
    </w:rPr>
  </w:style>
  <w:style w:type="paragraph" w:styleId="Revision">
    <w:name w:val="Revision"/>
    <w:hidden/>
    <w:uiPriority w:val="99"/>
    <w:semiHidden/>
    <w:rsid w:val="007767E3"/>
    <w:pPr>
      <w:spacing w:after="0" w:line="240" w:lineRule="auto"/>
    </w:pPr>
  </w:style>
  <w:style w:type="character" w:styleId="CommentReference">
    <w:name w:val="annotation reference"/>
    <w:basedOn w:val="DefaultParagraphFont"/>
    <w:uiPriority w:val="99"/>
    <w:semiHidden/>
    <w:unhideWhenUsed/>
    <w:rsid w:val="007767E3"/>
    <w:rPr>
      <w:sz w:val="16"/>
      <w:szCs w:val="16"/>
    </w:rPr>
  </w:style>
  <w:style w:type="paragraph" w:styleId="CommentText">
    <w:name w:val="annotation text"/>
    <w:basedOn w:val="Normal"/>
    <w:link w:val="CommentTextChar"/>
    <w:uiPriority w:val="99"/>
    <w:semiHidden/>
    <w:unhideWhenUsed/>
    <w:rsid w:val="007767E3"/>
    <w:pPr>
      <w:spacing w:line="240" w:lineRule="auto"/>
    </w:pPr>
    <w:rPr>
      <w:sz w:val="20"/>
      <w:szCs w:val="20"/>
    </w:rPr>
  </w:style>
  <w:style w:type="character" w:customStyle="1" w:styleId="CommentTextChar">
    <w:name w:val="Comment Text Char"/>
    <w:basedOn w:val="DefaultParagraphFont"/>
    <w:link w:val="CommentText"/>
    <w:uiPriority w:val="99"/>
    <w:semiHidden/>
    <w:rsid w:val="007767E3"/>
    <w:rPr>
      <w:sz w:val="20"/>
      <w:szCs w:val="20"/>
    </w:rPr>
  </w:style>
  <w:style w:type="paragraph" w:styleId="CommentSubject">
    <w:name w:val="annotation subject"/>
    <w:basedOn w:val="CommentText"/>
    <w:next w:val="CommentText"/>
    <w:link w:val="CommentSubjectChar"/>
    <w:uiPriority w:val="99"/>
    <w:semiHidden/>
    <w:unhideWhenUsed/>
    <w:rsid w:val="007767E3"/>
    <w:rPr>
      <w:b/>
      <w:bCs/>
    </w:rPr>
  </w:style>
  <w:style w:type="character" w:customStyle="1" w:styleId="CommentSubjectChar">
    <w:name w:val="Comment Subject Char"/>
    <w:basedOn w:val="CommentTextChar"/>
    <w:link w:val="CommentSubject"/>
    <w:uiPriority w:val="99"/>
    <w:semiHidden/>
    <w:rsid w:val="007767E3"/>
    <w:rPr>
      <w:b/>
      <w:bCs/>
      <w:sz w:val="20"/>
      <w:szCs w:val="20"/>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5D2979"/>
    <w:rPr>
      <w:color w:val="0563C1" w:themeColor="hyperlink"/>
      <w:u w:val="single"/>
    </w:rPr>
  </w:style>
  <w:style w:type="character" w:styleId="UnresolvedMention">
    <w:name w:val="Unresolved Mention"/>
    <w:basedOn w:val="DefaultParagraphFont"/>
    <w:uiPriority w:val="99"/>
    <w:semiHidden/>
    <w:unhideWhenUsed/>
    <w:rsid w:val="005D2979"/>
    <w:rPr>
      <w:color w:val="605E5C"/>
      <w:shd w:val="clear" w:color="auto" w:fill="E1DFDD"/>
    </w:rPr>
  </w:style>
  <w:style w:type="paragraph" w:styleId="Header">
    <w:name w:val="header"/>
    <w:basedOn w:val="Normal"/>
    <w:link w:val="HeaderChar"/>
    <w:uiPriority w:val="99"/>
    <w:unhideWhenUsed/>
    <w:rsid w:val="008405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5A0"/>
  </w:style>
  <w:style w:type="paragraph" w:styleId="Footer">
    <w:name w:val="footer"/>
    <w:basedOn w:val="Normal"/>
    <w:link w:val="FooterChar"/>
    <w:uiPriority w:val="99"/>
    <w:unhideWhenUsed/>
    <w:rsid w:val="00840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0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u/+BhdShs9+hZeleXeT37YR5og==">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3148</Words>
  <Characters>17948</Characters>
  <Application>Microsoft Office Word</Application>
  <DocSecurity>0</DocSecurity>
  <Lines>149</Lines>
  <Paragraphs>42</Paragraphs>
  <ScaleCrop>false</ScaleCrop>
  <Company/>
  <LinksUpToDate>false</LinksUpToDate>
  <CharactersWithSpaces>21054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kavesi97@outlook.com</dc:creator>
  <cp:lastModifiedBy>SDI 1084</cp:lastModifiedBy>
  <cp:revision>6</cp:revision>
  <dcterms:created xsi:type="dcterms:W3CDTF">2026-04-05T08:19:00Z</dcterms:created>
  <dcterms:modified xsi:type="dcterms:W3CDTF">2026-04-07T07:51:00Z</dcterms:modified>
</cp:coreProperties>
</file>