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BE6B" w14:textId="77777777" w:rsidR="003668BF" w:rsidRPr="003F1191" w:rsidRDefault="004B3446">
      <w:pPr>
        <w:pStyle w:val="Title"/>
        <w:jc w:val="both"/>
        <w:rPr>
          <w:rFonts w:ascii="Arial" w:hAnsi="Arial" w:cs="Arial"/>
          <w:bCs/>
          <w:i/>
          <w:iCs/>
          <w:sz w:val="20"/>
          <w:u w:val="single"/>
        </w:rPr>
      </w:pPr>
      <w:r w:rsidRPr="003F1191">
        <w:rPr>
          <w:rFonts w:ascii="Arial" w:hAnsi="Arial" w:cs="Arial"/>
          <w:bCs/>
          <w:i/>
          <w:iCs/>
          <w:sz w:val="20"/>
          <w:u w:val="single"/>
        </w:rPr>
        <w:t>Original Research Article</w:t>
      </w:r>
    </w:p>
    <w:p w14:paraId="5D5497F3" w14:textId="77777777" w:rsidR="003668BF" w:rsidRPr="003F1191" w:rsidRDefault="003668BF">
      <w:pPr>
        <w:pStyle w:val="Title"/>
        <w:spacing w:after="0"/>
        <w:jc w:val="both"/>
        <w:rPr>
          <w:rFonts w:ascii="Arial" w:hAnsi="Arial" w:cs="Arial"/>
          <w:sz w:val="20"/>
        </w:rPr>
      </w:pPr>
    </w:p>
    <w:p w14:paraId="4172F396" w14:textId="26B2E1C8" w:rsidR="005F7595" w:rsidRDefault="005F7595" w:rsidP="00B829F7">
      <w:pPr>
        <w:pStyle w:val="Author"/>
        <w:spacing w:line="240" w:lineRule="auto"/>
        <w:rPr>
          <w:rFonts w:ascii="Arial" w:eastAsia="Calibri" w:hAnsi="Arial" w:cs="Arial"/>
          <w:bCs/>
          <w:sz w:val="36"/>
          <w:szCs w:val="36"/>
          <w:lang w:val="en-PH" w:bidi="ar"/>
        </w:rPr>
      </w:pPr>
      <w:r w:rsidRPr="005F7595">
        <w:rPr>
          <w:rFonts w:ascii="Arial" w:eastAsia="Calibri" w:hAnsi="Arial" w:cs="Arial"/>
          <w:bCs/>
          <w:sz w:val="36"/>
          <w:szCs w:val="36"/>
          <w:lang w:val="en-PH" w:bidi="ar"/>
        </w:rPr>
        <w:t>Simulation-Based Cardiac Arrest Training and Its Influence on Knowledge, Skills, and Self-Efficacy of Cardiac Intensive Care Unit Nurse</w:t>
      </w:r>
    </w:p>
    <w:p w14:paraId="46B64395" w14:textId="77777777" w:rsidR="00ED1438" w:rsidRDefault="00ED1438" w:rsidP="00B829F7">
      <w:pPr>
        <w:pStyle w:val="Author"/>
        <w:spacing w:line="240" w:lineRule="auto"/>
        <w:rPr>
          <w:rFonts w:ascii="Arial" w:eastAsia="Calibri" w:hAnsi="Arial" w:cs="Arial"/>
          <w:bCs/>
          <w:sz w:val="36"/>
          <w:szCs w:val="36"/>
          <w:lang w:val="en-PH" w:bidi="ar"/>
        </w:rPr>
      </w:pPr>
    </w:p>
    <w:p w14:paraId="42979FFD" w14:textId="77777777" w:rsidR="00ED1438" w:rsidRDefault="00ED1438" w:rsidP="00B829F7">
      <w:pPr>
        <w:pStyle w:val="Author"/>
        <w:spacing w:line="240" w:lineRule="auto"/>
        <w:rPr>
          <w:rFonts w:ascii="Arial" w:eastAsia="Calibri" w:hAnsi="Arial" w:cs="Arial"/>
          <w:bCs/>
          <w:sz w:val="36"/>
          <w:szCs w:val="36"/>
          <w:lang w:val="en-PH" w:bidi="ar"/>
        </w:rPr>
      </w:pPr>
    </w:p>
    <w:p w14:paraId="7071AD3D" w14:textId="77777777" w:rsidR="003668BF" w:rsidRPr="003F1191" w:rsidRDefault="003668BF">
      <w:pPr>
        <w:pStyle w:val="Author"/>
        <w:spacing w:line="240" w:lineRule="auto"/>
        <w:rPr>
          <w:rFonts w:ascii="Arial" w:hAnsi="Arial" w:cs="Arial"/>
          <w:sz w:val="20"/>
          <w:lang w:val="en-PH"/>
        </w:rPr>
      </w:pPr>
      <w:bookmarkStart w:id="0" w:name="_GoBack"/>
      <w:bookmarkEnd w:id="0"/>
    </w:p>
    <w:p w14:paraId="6D3A4B1C" w14:textId="77777777" w:rsidR="003668BF" w:rsidRPr="003F1191" w:rsidRDefault="003668BF">
      <w:pPr>
        <w:pStyle w:val="Affiliation"/>
        <w:wordWrap w:val="0"/>
        <w:spacing w:after="0" w:line="240" w:lineRule="auto"/>
        <w:rPr>
          <w:rFonts w:ascii="Arial" w:hAnsi="Arial" w:cs="Arial"/>
          <w:i/>
          <w:lang w:val="en-PH"/>
        </w:rPr>
      </w:pPr>
    </w:p>
    <w:p w14:paraId="0342ECF2" w14:textId="77777777" w:rsidR="003668BF" w:rsidRPr="003F1191" w:rsidRDefault="003668BF">
      <w:pPr>
        <w:pStyle w:val="Author"/>
        <w:spacing w:line="240" w:lineRule="auto"/>
        <w:rPr>
          <w:rFonts w:ascii="Arial" w:hAnsi="Arial" w:cs="Arial"/>
          <w:bCs/>
          <w:iCs/>
          <w:kern w:val="28"/>
          <w:sz w:val="20"/>
          <w:lang w:val="en-PH"/>
        </w:rPr>
      </w:pPr>
    </w:p>
    <w:p w14:paraId="0B4BC767" w14:textId="77777777" w:rsidR="003668BF" w:rsidRPr="003F1191" w:rsidRDefault="003668BF">
      <w:pPr>
        <w:pStyle w:val="Affiliation"/>
        <w:spacing w:after="0" w:line="240" w:lineRule="auto"/>
        <w:rPr>
          <w:rFonts w:ascii="Arial" w:hAnsi="Arial" w:cs="Arial"/>
          <w:i/>
          <w:lang w:val="en-PH"/>
        </w:rPr>
      </w:pPr>
    </w:p>
    <w:p w14:paraId="78306424" w14:textId="77777777" w:rsidR="003668BF" w:rsidRPr="003F1191" w:rsidRDefault="004B3446">
      <w:pPr>
        <w:pStyle w:val="Copyright"/>
        <w:spacing w:after="0" w:line="240" w:lineRule="auto"/>
        <w:jc w:val="both"/>
        <w:rPr>
          <w:rFonts w:ascii="Arial" w:hAnsi="Arial" w:cs="Arial"/>
          <w:sz w:val="20"/>
        </w:rPr>
        <w:sectPr w:rsidR="003668BF" w:rsidRPr="003F119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6C5F948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Pr="003F1191">
        <w:rPr>
          <w:rFonts w:ascii="Arial" w:hAnsi="Arial" w:cs="Arial"/>
          <w:sz w:val="20"/>
        </w:rPr>
        <w:t>.</w:t>
      </w:r>
    </w:p>
    <w:p w14:paraId="0FFC37F4" w14:textId="77777777" w:rsidR="003668BF" w:rsidRPr="003F1191" w:rsidRDefault="004B3446">
      <w:pPr>
        <w:pStyle w:val="AbstHead"/>
        <w:spacing w:after="0"/>
        <w:jc w:val="both"/>
        <w:rPr>
          <w:rFonts w:ascii="Arial" w:hAnsi="Arial" w:cs="Arial"/>
          <w:sz w:val="20"/>
        </w:rPr>
      </w:pPr>
      <w:r w:rsidRPr="003F1191">
        <w:rPr>
          <w:rFonts w:ascii="Arial" w:hAnsi="Arial" w:cs="Arial"/>
          <w:sz w:val="20"/>
        </w:rPr>
        <w:t>ABSTRACT</w:t>
      </w:r>
    </w:p>
    <w:p w14:paraId="003F9D74" w14:textId="77777777" w:rsidR="003668BF" w:rsidRPr="003F1191" w:rsidRDefault="003668B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3668BF" w:rsidRPr="003F1191" w14:paraId="73AF0A86" w14:textId="77777777">
        <w:tc>
          <w:tcPr>
            <w:tcW w:w="9576" w:type="dxa"/>
            <w:shd w:val="clear" w:color="auto" w:fill="F2F2F2"/>
          </w:tcPr>
          <w:p w14:paraId="278BD857" w14:textId="0C81323B" w:rsidR="003668BF" w:rsidRPr="003F1191" w:rsidRDefault="004B3446">
            <w:pPr>
              <w:spacing w:after="160" w:line="256" w:lineRule="auto"/>
              <w:jc w:val="both"/>
              <w:rPr>
                <w:rFonts w:ascii="Arial" w:eastAsia="SimSun" w:hAnsi="Arial" w:cs="Arial"/>
                <w:kern w:val="2"/>
                <w:lang w:val="en-PH"/>
              </w:rPr>
            </w:pPr>
            <w:r w:rsidRPr="003F1191">
              <w:rPr>
                <w:rFonts w:ascii="Arial" w:eastAsia="Aptos" w:hAnsi="Arial" w:cs="Arial"/>
                <w:b/>
                <w:bCs/>
                <w:kern w:val="2"/>
                <w:lang w:eastAsia="zh-CN" w:bidi="ar"/>
              </w:rPr>
              <w:t>Aim:</w:t>
            </w:r>
            <w:r w:rsidRPr="003F1191">
              <w:rPr>
                <w:rFonts w:ascii="Arial" w:eastAsia="Aptos" w:hAnsi="Arial" w:cs="Arial"/>
                <w:kern w:val="2"/>
                <w:lang w:eastAsia="zh-CN" w:bidi="ar"/>
              </w:rPr>
              <w:br/>
            </w:r>
            <w:r w:rsidR="00B829F7" w:rsidRPr="003F1191">
              <w:rPr>
                <w:rFonts w:ascii="Arial" w:eastAsia="SimSun" w:hAnsi="Arial" w:cs="Arial"/>
                <w:kern w:val="2"/>
                <w:lang w:val="en-PH"/>
              </w:rPr>
              <w:t xml:space="preserve">Simulation-Based Training (SBT) has become an essential educational strategy in high-acuity clinical environments, particularly in the management of cardiac arrest in the Cardiac Intensive Care Unit (CICU). This study aimed to determine the role of simulation-based training and its relationship and </w:t>
            </w:r>
            <w:proofErr w:type="spellStart"/>
            <w:r w:rsidR="00B829F7" w:rsidRPr="003F1191">
              <w:rPr>
                <w:rFonts w:ascii="Arial" w:eastAsia="SimSun" w:hAnsi="Arial" w:cs="Arial"/>
                <w:kern w:val="2"/>
                <w:lang w:val="en-PH"/>
              </w:rPr>
              <w:t>influlence</w:t>
            </w:r>
            <w:proofErr w:type="spellEnd"/>
            <w:r w:rsidR="00B829F7" w:rsidRPr="003F1191">
              <w:rPr>
                <w:rFonts w:ascii="Arial" w:eastAsia="SimSun" w:hAnsi="Arial" w:cs="Arial"/>
                <w:kern w:val="2"/>
                <w:lang w:val="en-PH"/>
              </w:rPr>
              <w:t xml:space="preserve"> with knowledge, clinical skills, and self-efficacy among Specialist Registered Nurses working in a tertiary military hospital in Jeddah, Saudi Arabia.</w:t>
            </w:r>
          </w:p>
          <w:p w14:paraId="716F67F3" w14:textId="7E5E4B9C" w:rsidR="003668BF" w:rsidRPr="003F1191" w:rsidRDefault="004B3446">
            <w:pPr>
              <w:spacing w:after="160" w:line="256" w:lineRule="auto"/>
              <w:jc w:val="both"/>
              <w:rPr>
                <w:rFonts w:ascii="Arial" w:eastAsia="SimSun" w:hAnsi="Arial" w:cs="Arial"/>
                <w:lang w:val="en-PH"/>
              </w:rPr>
            </w:pPr>
            <w:r w:rsidRPr="003F1191">
              <w:rPr>
                <w:rFonts w:ascii="Arial" w:eastAsia="Aptos" w:hAnsi="Arial" w:cs="Arial"/>
                <w:b/>
                <w:bCs/>
                <w:kern w:val="2"/>
                <w:lang w:eastAsia="zh-CN" w:bidi="ar"/>
              </w:rPr>
              <w:t>Methodology:</w:t>
            </w:r>
            <w:r w:rsidRPr="003F1191">
              <w:rPr>
                <w:rFonts w:ascii="Arial" w:eastAsia="Aptos" w:hAnsi="Arial" w:cs="Arial"/>
                <w:kern w:val="2"/>
                <w:lang w:eastAsia="zh-CN" w:bidi="ar"/>
              </w:rPr>
              <w:br/>
            </w:r>
            <w:r w:rsidR="00B829F7" w:rsidRPr="003F1191">
              <w:rPr>
                <w:rFonts w:ascii="Arial" w:eastAsia="SimSun" w:hAnsi="Arial" w:cs="Arial"/>
                <w:lang w:val="en-PH"/>
              </w:rPr>
              <w:t>A quantitative descriptive–predictive correlational research design was employed. A total of 107 CICU nurses were selected through simple random sampling. Data were collected using a structured and validated questionnaire anchored on the NLN Jeffries Simulation Theory, Kolb’s Experiential Learning Theory, and Bandura’s Self-Efficacy Theory. Descriptive statistics, Spearman’s rho, and regression analysis were utilized to analyze the data at a 0.05 level of significance.</w:t>
            </w:r>
          </w:p>
          <w:p w14:paraId="23EE90A7" w14:textId="1A32709F" w:rsidR="003668BF" w:rsidRPr="003F1191" w:rsidRDefault="004B3446">
            <w:pPr>
              <w:spacing w:after="160" w:line="256" w:lineRule="auto"/>
              <w:jc w:val="both"/>
              <w:rPr>
                <w:rFonts w:ascii="Arial" w:eastAsia="SimSun" w:hAnsi="Arial" w:cs="Arial"/>
                <w:lang w:val="en-PH"/>
              </w:rPr>
            </w:pPr>
            <w:r w:rsidRPr="003F1191">
              <w:rPr>
                <w:rFonts w:ascii="Arial" w:eastAsia="Aptos" w:hAnsi="Arial" w:cs="Arial"/>
                <w:b/>
                <w:bCs/>
                <w:kern w:val="2"/>
                <w:lang w:eastAsia="zh-CN" w:bidi="ar"/>
              </w:rPr>
              <w:t>Results:</w:t>
            </w:r>
            <w:r w:rsidRPr="003F1191">
              <w:rPr>
                <w:rFonts w:ascii="Arial" w:eastAsia="Aptos" w:hAnsi="Arial" w:cs="Arial"/>
                <w:kern w:val="2"/>
                <w:lang w:eastAsia="zh-CN" w:bidi="ar"/>
              </w:rPr>
              <w:br/>
            </w:r>
            <w:r w:rsidR="00B829F7" w:rsidRPr="003F1191">
              <w:rPr>
                <w:rFonts w:ascii="Arial" w:eastAsia="SimSun" w:hAnsi="Arial" w:cs="Arial"/>
                <w:lang w:val="en-PH"/>
              </w:rPr>
              <w:t>Findings revealed that nurses perceived simulation-based training as highly structured, engaging, and clinically relevant. Significant positive relationships were identified between simulation components and knowledge (reflective observation and abstract conceptualization), skills (concrete experience and active experimentation), and self-efficacy (mastery, vicarious learning, persuasion, and emotional regulation). Regression analysis further demonstrated that simulation design, learning experience, and debriefing strategies significantly predicted improvements in knowledge, skills, and self-efficacy.</w:t>
            </w:r>
          </w:p>
          <w:p w14:paraId="223E0044" w14:textId="05EBA610" w:rsidR="003668BF" w:rsidRPr="003F1191" w:rsidRDefault="004B3446">
            <w:pPr>
              <w:spacing w:after="160" w:line="256" w:lineRule="auto"/>
              <w:jc w:val="both"/>
              <w:rPr>
                <w:rFonts w:ascii="Arial" w:eastAsia="SimSun" w:hAnsi="Arial" w:cs="Arial"/>
                <w:kern w:val="2"/>
                <w:lang w:val="en-PH"/>
              </w:rPr>
            </w:pPr>
            <w:r w:rsidRPr="003F1191">
              <w:rPr>
                <w:rFonts w:ascii="Arial" w:eastAsia="Aptos" w:hAnsi="Arial" w:cs="Arial"/>
                <w:b/>
                <w:bCs/>
                <w:kern w:val="2"/>
                <w:lang w:eastAsia="zh-CN" w:bidi="ar"/>
              </w:rPr>
              <w:t>Conclusion:</w:t>
            </w:r>
            <w:r w:rsidRPr="003F1191">
              <w:rPr>
                <w:rFonts w:ascii="Arial" w:eastAsia="Aptos" w:hAnsi="Arial" w:cs="Arial"/>
                <w:kern w:val="2"/>
                <w:lang w:eastAsia="zh-CN" w:bidi="ar"/>
              </w:rPr>
              <w:br/>
            </w:r>
            <w:r w:rsidR="00B829F7" w:rsidRPr="003F1191">
              <w:rPr>
                <w:rFonts w:ascii="Arial" w:eastAsia="SimSun" w:hAnsi="Arial" w:cs="Arial"/>
                <w:kern w:val="2"/>
                <w:lang w:val="en-PH"/>
              </w:rPr>
              <w:t>The study concludes that well-designed and theory-driven simulation-based training enhances cognitive, psychomotor, and affective learning domains among CICU nurses. As an output, a Reflective Learning Workbook was developed to support continuous learning and post-simulation reflection. The findings support the integration of structured simulation programs in critical care nursing education to improve preparedness and promote safe and effective cardiac arrest management.</w:t>
            </w:r>
          </w:p>
        </w:tc>
      </w:tr>
    </w:tbl>
    <w:p w14:paraId="4536A0A7" w14:textId="77777777" w:rsidR="003668BF" w:rsidRPr="003F1191" w:rsidRDefault="003668BF">
      <w:pPr>
        <w:pStyle w:val="Body"/>
        <w:spacing w:after="0"/>
        <w:rPr>
          <w:rFonts w:ascii="Arial" w:hAnsi="Arial" w:cs="Arial"/>
          <w:i/>
          <w:sz w:val="22"/>
          <w:szCs w:val="22"/>
        </w:rPr>
      </w:pPr>
    </w:p>
    <w:p w14:paraId="48A32971" w14:textId="5233D627" w:rsidR="003668BF" w:rsidRPr="003F1191" w:rsidRDefault="004B3446" w:rsidP="00B829F7">
      <w:pPr>
        <w:pStyle w:val="Body"/>
        <w:rPr>
          <w:rFonts w:ascii="Arial" w:eastAsia="SimSun" w:hAnsi="Arial" w:cs="Arial"/>
          <w:sz w:val="22"/>
          <w:szCs w:val="22"/>
        </w:rPr>
      </w:pPr>
      <w:r w:rsidRPr="003F1191">
        <w:rPr>
          <w:rFonts w:ascii="Arial" w:hAnsi="Arial" w:cs="Arial"/>
          <w:i/>
          <w:sz w:val="22"/>
          <w:szCs w:val="22"/>
        </w:rPr>
        <w:t xml:space="preserve">Keywords: </w:t>
      </w:r>
      <w:r w:rsidR="00B829F7" w:rsidRPr="003F1191">
        <w:rPr>
          <w:rFonts w:ascii="Arial" w:eastAsia="SimSun" w:hAnsi="Arial" w:cs="Arial"/>
          <w:i/>
          <w:iCs/>
          <w:sz w:val="22"/>
          <w:szCs w:val="22"/>
          <w:lang w:val="en-PH"/>
        </w:rPr>
        <w:t>simulation-based training; cardiac arrest management; knowledge; clinical skills; self-efficacy; CICU nurses</w:t>
      </w:r>
    </w:p>
    <w:p w14:paraId="537CE1A5" w14:textId="77777777" w:rsidR="003668BF" w:rsidRPr="003F1191" w:rsidRDefault="003668BF">
      <w:pPr>
        <w:pStyle w:val="Body"/>
        <w:spacing w:after="0"/>
        <w:rPr>
          <w:rFonts w:ascii="Arial" w:eastAsia="SimSun" w:hAnsi="Arial" w:cs="Arial"/>
          <w:lang w:val="en-PH"/>
        </w:rPr>
      </w:pPr>
    </w:p>
    <w:p w14:paraId="0847D612" w14:textId="77777777" w:rsidR="003668BF" w:rsidRPr="003F1191" w:rsidRDefault="004B3446">
      <w:pPr>
        <w:pStyle w:val="AbstHead"/>
        <w:spacing w:after="0"/>
        <w:jc w:val="both"/>
        <w:rPr>
          <w:rFonts w:ascii="Arial" w:hAnsi="Arial" w:cs="Arial"/>
          <w:sz w:val="20"/>
        </w:rPr>
      </w:pPr>
      <w:r w:rsidRPr="003F1191">
        <w:rPr>
          <w:rFonts w:ascii="Arial" w:hAnsi="Arial" w:cs="Arial"/>
          <w:sz w:val="20"/>
        </w:rPr>
        <w:t>1. INTRODUCTION</w:t>
      </w:r>
    </w:p>
    <w:p w14:paraId="2F34C28F"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In cardiac critical care, every second is crucial, as delays in recognition and intervention can significantly affect patient survival outcomes. This reality is most evident in the Cardiac Intensive Care Unit (CICU), where patients present with complex and life-threatening cardiovascular conditions requiring rapid and accurate clinical responses. Specialist Registered Nurses in tertiary hospitals, such as those in Jeddah, Saudi Arabia, are therefore expected to demonstrate high levels of clinical competence, critical thinking, and decision-making in managing emergencies such as cardiac arrest and post-operative complications.</w:t>
      </w:r>
    </w:p>
    <w:p w14:paraId="4A8DC512"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To meet these demands, healthcare institutions have increasingly adopted Simulation-Based Training (SBT) as a key strategy in continuing professional development. Simulation provides a safe, structured, and experiential learning environment that enables nurses to practice critical procedures while integrating theoretical knowledge with clinical application. Evidence indicates that simulation-based education significantly improves clinical competence, decision-making, and patient safety outcomes by allowing repeated practice without risk to patients (Lateef, 2010; Shin et al., 2020). Furthermore, structured debriefing enhances reflective learning and promotes deeper understanding of clinical actions, reinforcing knowledge retention and performance improvement (Husebø et al., 2024).</w:t>
      </w:r>
    </w:p>
    <w:p w14:paraId="3AE0C0F9" w14:textId="77777777" w:rsidR="00AA0E30"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Despite these advantages, maintaining competence in cardiac arrest management remains a persistent challenge among CICU nurses. Studies have shown that knowledge and skills in resuscitation can decline over time without continuous reinforcement, particularly in high-risk, low-frequency events such as cardiac arrest (Oermann et al., 2017). In many institutions, simulation training and code drills are conducted periodically, which may not be sufficient to sustain long-term competence. Additionally, variability in simulation design, facilitator expertise, and debriefing quality may influence learning outcomes, leading to inconsistencies in preparedness and performance.</w:t>
      </w:r>
    </w:p>
    <w:p w14:paraId="527EA778" w14:textId="393ED792"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Moreover, while simulation-based training is widely recognized as effective, gaps remain in understanding how different components of simulation contribute to learning outcomes. Existing research often focuses on nursing students or general populations and tends to examine knowledge, skills, and self-efficacy independently rather than as interconnected domains (Rajeswaran, 2023). There is also limited context-specific research within Saudi Arabia, particularly in specialized settings such as the CICU, where clinical demands are highly complex and time-sensitive.</w:t>
      </w:r>
    </w:p>
    <w:p w14:paraId="6C90671E"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This gap highlights the need for a more comprehensive and context-driven analysis of simulation-based training, particularly in identifying how specific components—such as design characteristics, simulation experience, and facilitation and debriefing—contribute to knowledge, skills, and self-efficacy. Understanding these relationships is essential for optimizing simulation programs and ensuring sustained competence and confidence among nurses.</w:t>
      </w:r>
    </w:p>
    <w:p w14:paraId="3A0B2C21" w14:textId="77777777" w:rsidR="00067FFD"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 xml:space="preserve">In response to these gaps, this study aimed to determine the role of Simulation-Based Training (SBT) in relation to knowledge, skills, and self-efficacy among Specialist Registered Nurses in the Cardiac Intensive Care Unit of a tertiary hospital in Jeddah, Saudi Arabia. </w:t>
      </w:r>
      <w:r w:rsidRPr="003F1191">
        <w:rPr>
          <w:rFonts w:ascii="Arial" w:hAnsi="Arial" w:cs="Arial"/>
          <w:sz w:val="20"/>
          <w:szCs w:val="20"/>
          <w:lang w:val="en-PH"/>
        </w:rPr>
        <w:lastRenderedPageBreak/>
        <w:t>Specifically, it examined the relationships between simulation components and competency outcomes, as well as their predictive influence on nurses’ performance.</w:t>
      </w:r>
    </w:p>
    <w:p w14:paraId="2C8B7FA2" w14:textId="77777777" w:rsidR="00AA0E30" w:rsidRPr="003F1191" w:rsidRDefault="00067FFD" w:rsidP="00067FFD">
      <w:pPr>
        <w:pStyle w:val="NormalWeb"/>
        <w:jc w:val="both"/>
        <w:rPr>
          <w:rFonts w:ascii="Arial" w:hAnsi="Arial" w:cs="Arial"/>
          <w:sz w:val="20"/>
          <w:szCs w:val="20"/>
          <w:lang w:val="en-PH"/>
        </w:rPr>
      </w:pPr>
      <w:r w:rsidRPr="003F1191">
        <w:rPr>
          <w:rFonts w:ascii="Arial" w:hAnsi="Arial" w:cs="Arial"/>
          <w:sz w:val="20"/>
          <w:szCs w:val="20"/>
          <w:lang w:val="en-PH"/>
        </w:rPr>
        <w:t>As an outcome, the study developed a Reflective Learning Workbook designed to extend learning beyond simulation sessions. This tool promotes continuous reflection, reinforces knowledge retention, enhances clinical skill development, and strengthens self-efficacy, ultimately contributing to improved patient care outcomes in high-acuity settings.</w:t>
      </w:r>
    </w:p>
    <w:p w14:paraId="482FAEC1" w14:textId="6EBB8FE0" w:rsidR="003668BF" w:rsidRPr="003F1191" w:rsidRDefault="004B3446" w:rsidP="00067FFD">
      <w:pPr>
        <w:pStyle w:val="NormalWeb"/>
        <w:jc w:val="both"/>
        <w:rPr>
          <w:rFonts w:ascii="Arial" w:hAnsi="Arial" w:cs="Arial"/>
          <w:b/>
          <w:bCs/>
          <w:sz w:val="20"/>
          <w:szCs w:val="20"/>
          <w:lang w:val="en-PH"/>
        </w:rPr>
      </w:pPr>
      <w:r w:rsidRPr="003F1191">
        <w:rPr>
          <w:rFonts w:ascii="Arial" w:hAnsi="Arial" w:cs="Arial"/>
          <w:b/>
          <w:bCs/>
          <w:sz w:val="20"/>
          <w:szCs w:val="20"/>
          <w:lang w:val="en-PH"/>
        </w:rPr>
        <w:t>Research Objectives</w:t>
      </w:r>
    </w:p>
    <w:p w14:paraId="2CAD5F6D"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This study aimed to identify the role of Simulation-Based Training (SBT) and its relationship and predictive influence on the knowledge, skills, and self-efficacy of Specialist Registered Nurses working in the Cardiac Intensive Care Unit of a tertiary hospital in Jeddah, Saudi Arabia. Specifically, it sought to describe the demographic profile of the respondents in terms of age, sex, years of clinical experience in the current hospital, frequency of simulation-based training in the past two years, and types of simulation-based training received.</w:t>
      </w:r>
    </w:p>
    <w:p w14:paraId="1232ACAC"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Furthermore, the study aimed to determine the perceived role of simulation-based training in terms of background, design characteristics such as realism, objectives, and complexity, simulation experience, and facilitation and debriefing strategies. It also intended to assess the level of knowledge of the respondents in terms of reflective observation and abstract conceptualization, as well as their skills in terms of concrete experience and active experimentation.</w:t>
      </w:r>
    </w:p>
    <w:p w14:paraId="3D16EE51"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In addition, the study examined the self-efficacy of the respondents in terms of mastery, vicarious learning, persuasion, and emotional regulation. It further aimed to determine whether there is a significant relationship between the role of simulation-based training and the respondents’ knowledge, skills, and self-efficacy. Moreover, the study sought to identify whether simulation-based training significantly predicts these competency outcomes.</w:t>
      </w:r>
    </w:p>
    <w:p w14:paraId="33C17D3B" w14:textId="77777777" w:rsidR="00B829F7" w:rsidRPr="00B829F7" w:rsidRDefault="00B829F7" w:rsidP="00B829F7">
      <w:pPr>
        <w:pStyle w:val="NormalWeb"/>
        <w:jc w:val="both"/>
        <w:rPr>
          <w:rFonts w:ascii="Arial" w:hAnsi="Arial" w:cs="Arial"/>
          <w:sz w:val="20"/>
          <w:szCs w:val="20"/>
          <w:lang w:val="en-PH"/>
        </w:rPr>
      </w:pPr>
      <w:r w:rsidRPr="00B829F7">
        <w:rPr>
          <w:rFonts w:ascii="Arial" w:hAnsi="Arial" w:cs="Arial"/>
          <w:sz w:val="20"/>
          <w:szCs w:val="20"/>
          <w:lang w:val="en-PH"/>
        </w:rPr>
        <w:t>Finally, based on the results of the study, it aimed to develop a reflective learning workbook that can be used to enhance continuous learning and competency development among CICU nurses.</w:t>
      </w:r>
    </w:p>
    <w:p w14:paraId="13416B82" w14:textId="77777777" w:rsidR="003668BF" w:rsidRPr="003F1191" w:rsidRDefault="004B3446">
      <w:pPr>
        <w:pStyle w:val="NormalWeb"/>
        <w:jc w:val="both"/>
        <w:rPr>
          <w:rFonts w:ascii="Arial" w:hAnsi="Arial" w:cs="Arial"/>
          <w:b/>
          <w:bCs/>
          <w:sz w:val="20"/>
          <w:szCs w:val="20"/>
          <w:lang w:val="en-PH"/>
        </w:rPr>
      </w:pPr>
      <w:r w:rsidRPr="003F1191">
        <w:rPr>
          <w:rFonts w:ascii="Arial" w:hAnsi="Arial" w:cs="Arial"/>
          <w:b/>
          <w:bCs/>
          <w:sz w:val="20"/>
          <w:szCs w:val="20"/>
          <w:lang w:val="en-PH"/>
        </w:rPr>
        <w:t>Hypotheses</w:t>
      </w:r>
    </w:p>
    <w:p w14:paraId="38C3A23C" w14:textId="77777777" w:rsidR="003668BF" w:rsidRPr="003F1191" w:rsidRDefault="004B3446">
      <w:pPr>
        <w:pStyle w:val="NormalWeb"/>
        <w:jc w:val="both"/>
        <w:rPr>
          <w:rFonts w:ascii="Arial" w:hAnsi="Arial" w:cs="Arial"/>
          <w:sz w:val="20"/>
          <w:szCs w:val="20"/>
        </w:rPr>
      </w:pPr>
      <w:r w:rsidRPr="003F1191">
        <w:rPr>
          <w:rFonts w:ascii="Arial" w:hAnsi="Arial" w:cs="Arial"/>
          <w:sz w:val="20"/>
          <w:szCs w:val="20"/>
        </w:rPr>
        <w:t>In line with the objectives of the study, the following null hypotheses were tested:</w:t>
      </w:r>
    </w:p>
    <w:p w14:paraId="362FB7E5" w14:textId="77777777" w:rsidR="005D0F6E" w:rsidRPr="005D0F6E" w:rsidRDefault="005D0F6E" w:rsidP="005D0F6E">
      <w:pPr>
        <w:pStyle w:val="NormalWeb"/>
        <w:numPr>
          <w:ilvl w:val="0"/>
          <w:numId w:val="10"/>
        </w:numPr>
        <w:rPr>
          <w:rFonts w:ascii="Arial" w:hAnsi="Arial" w:cs="Arial"/>
          <w:sz w:val="20"/>
          <w:szCs w:val="20"/>
          <w:lang w:val="en-PH"/>
        </w:rPr>
      </w:pPr>
      <w:r w:rsidRPr="005D0F6E">
        <w:rPr>
          <w:rFonts w:ascii="Arial" w:hAnsi="Arial" w:cs="Arial"/>
          <w:sz w:val="20"/>
          <w:szCs w:val="20"/>
          <w:lang w:val="en-PH"/>
        </w:rPr>
        <w:t xml:space="preserve">There is no significant relationship between role of Simulation-Based Training (SBT) focused </w:t>
      </w:r>
      <w:proofErr w:type="gramStart"/>
      <w:r w:rsidRPr="005D0F6E">
        <w:rPr>
          <w:rFonts w:ascii="Arial" w:hAnsi="Arial" w:cs="Arial"/>
          <w:sz w:val="20"/>
          <w:szCs w:val="20"/>
          <w:lang w:val="en-PH"/>
        </w:rPr>
        <w:t>on  and</w:t>
      </w:r>
      <w:proofErr w:type="gramEnd"/>
      <w:r w:rsidRPr="005D0F6E">
        <w:rPr>
          <w:rFonts w:ascii="Arial" w:hAnsi="Arial" w:cs="Arial"/>
          <w:sz w:val="20"/>
          <w:szCs w:val="20"/>
          <w:lang w:val="en-PH"/>
        </w:rPr>
        <w:t xml:space="preserve"> the knowledge of Specialist Registered Nurses in the CICU.</w:t>
      </w:r>
    </w:p>
    <w:p w14:paraId="5FAEA5F4" w14:textId="77777777" w:rsidR="005D0F6E" w:rsidRPr="005D0F6E" w:rsidRDefault="005D0F6E" w:rsidP="005D0F6E">
      <w:pPr>
        <w:pStyle w:val="NormalWeb"/>
        <w:numPr>
          <w:ilvl w:val="0"/>
          <w:numId w:val="10"/>
        </w:numPr>
        <w:rPr>
          <w:rFonts w:ascii="Arial" w:hAnsi="Arial" w:cs="Arial"/>
          <w:sz w:val="20"/>
          <w:szCs w:val="20"/>
          <w:lang w:val="en-PH"/>
        </w:rPr>
      </w:pPr>
      <w:r w:rsidRPr="005D0F6E">
        <w:rPr>
          <w:rFonts w:ascii="Arial" w:hAnsi="Arial" w:cs="Arial"/>
          <w:sz w:val="20"/>
          <w:szCs w:val="20"/>
          <w:lang w:val="en-PH"/>
        </w:rPr>
        <w:t xml:space="preserve">There is no significant relationship between role of Simulation-Based Training (SBT) focused </w:t>
      </w:r>
      <w:proofErr w:type="gramStart"/>
      <w:r w:rsidRPr="005D0F6E">
        <w:rPr>
          <w:rFonts w:ascii="Arial" w:hAnsi="Arial" w:cs="Arial"/>
          <w:sz w:val="20"/>
          <w:szCs w:val="20"/>
          <w:lang w:val="en-PH"/>
        </w:rPr>
        <w:t>on  and</w:t>
      </w:r>
      <w:proofErr w:type="gramEnd"/>
      <w:r w:rsidRPr="005D0F6E">
        <w:rPr>
          <w:rFonts w:ascii="Arial" w:hAnsi="Arial" w:cs="Arial"/>
          <w:sz w:val="20"/>
          <w:szCs w:val="20"/>
          <w:lang w:val="en-PH"/>
        </w:rPr>
        <w:t xml:space="preserve"> the skills of Specialist Registered Nurses in the CICU.</w:t>
      </w:r>
    </w:p>
    <w:p w14:paraId="4A2172B5" w14:textId="77777777" w:rsidR="005D0F6E" w:rsidRPr="005D0F6E" w:rsidRDefault="005D0F6E" w:rsidP="005D0F6E">
      <w:pPr>
        <w:pStyle w:val="NormalWeb"/>
        <w:numPr>
          <w:ilvl w:val="0"/>
          <w:numId w:val="10"/>
        </w:numPr>
        <w:rPr>
          <w:rFonts w:ascii="Arial" w:hAnsi="Arial" w:cs="Arial"/>
          <w:b/>
          <w:bCs/>
          <w:sz w:val="20"/>
          <w:szCs w:val="20"/>
          <w:lang w:val="en-PH"/>
        </w:rPr>
      </w:pPr>
      <w:r w:rsidRPr="005D0F6E">
        <w:rPr>
          <w:rFonts w:ascii="Arial" w:hAnsi="Arial" w:cs="Arial"/>
          <w:sz w:val="20"/>
          <w:szCs w:val="20"/>
          <w:lang w:val="en-PH"/>
        </w:rPr>
        <w:t xml:space="preserve">There is no significant relationship between role of Simulation-Based Training (SBT) focused </w:t>
      </w:r>
      <w:proofErr w:type="gramStart"/>
      <w:r w:rsidRPr="005D0F6E">
        <w:rPr>
          <w:rFonts w:ascii="Arial" w:hAnsi="Arial" w:cs="Arial"/>
          <w:sz w:val="20"/>
          <w:szCs w:val="20"/>
          <w:lang w:val="en-PH"/>
        </w:rPr>
        <w:t>on  and</w:t>
      </w:r>
      <w:proofErr w:type="gramEnd"/>
      <w:r w:rsidRPr="005D0F6E">
        <w:rPr>
          <w:rFonts w:ascii="Arial" w:hAnsi="Arial" w:cs="Arial"/>
          <w:sz w:val="20"/>
          <w:szCs w:val="20"/>
          <w:lang w:val="en-PH"/>
        </w:rPr>
        <w:t xml:space="preserve"> the self-efficacy of Specialist Registered Nurses in the CICU.</w:t>
      </w:r>
    </w:p>
    <w:p w14:paraId="003A6745" w14:textId="77777777" w:rsidR="005D0F6E" w:rsidRPr="005D0F6E" w:rsidRDefault="005D0F6E" w:rsidP="005D0F6E">
      <w:pPr>
        <w:pStyle w:val="NormalWeb"/>
        <w:numPr>
          <w:ilvl w:val="0"/>
          <w:numId w:val="10"/>
        </w:numPr>
        <w:rPr>
          <w:rFonts w:ascii="Arial" w:hAnsi="Arial" w:cs="Arial"/>
          <w:sz w:val="20"/>
          <w:szCs w:val="20"/>
          <w:lang w:val="en-PH"/>
        </w:rPr>
      </w:pPr>
      <w:r w:rsidRPr="005D0F6E">
        <w:rPr>
          <w:rFonts w:ascii="Arial" w:hAnsi="Arial" w:cs="Arial"/>
          <w:sz w:val="20"/>
          <w:szCs w:val="20"/>
          <w:lang w:val="en-PH"/>
        </w:rPr>
        <w:t>There is no significant predictive relationship between the role of simulation-based training in terms of knowledge, skills and self-efficacy.</w:t>
      </w:r>
    </w:p>
    <w:p w14:paraId="4AFC8566" w14:textId="77777777" w:rsidR="003668BF" w:rsidRPr="003F1191" w:rsidRDefault="004B3446">
      <w:pPr>
        <w:pStyle w:val="AbstHead"/>
        <w:spacing w:after="0"/>
        <w:jc w:val="both"/>
        <w:rPr>
          <w:rFonts w:ascii="Arial" w:hAnsi="Arial" w:cs="Arial"/>
          <w:sz w:val="20"/>
        </w:rPr>
      </w:pPr>
      <w:r w:rsidRPr="003F1191">
        <w:rPr>
          <w:rFonts w:ascii="Arial" w:hAnsi="Arial" w:cs="Arial"/>
          <w:sz w:val="20"/>
        </w:rPr>
        <w:t>2. material and methods</w:t>
      </w:r>
    </w:p>
    <w:p w14:paraId="7E9E91CB" w14:textId="77777777" w:rsidR="003668BF" w:rsidRPr="003F1191" w:rsidRDefault="003668BF">
      <w:pPr>
        <w:pStyle w:val="AbstHead"/>
        <w:spacing w:after="0"/>
        <w:jc w:val="both"/>
        <w:rPr>
          <w:rFonts w:ascii="Arial" w:hAnsi="Arial" w:cs="Arial"/>
          <w:sz w:val="20"/>
        </w:rPr>
      </w:pPr>
    </w:p>
    <w:p w14:paraId="71E703D0" w14:textId="77777777" w:rsidR="003668BF" w:rsidRPr="003F1191" w:rsidRDefault="004B3446">
      <w:pPr>
        <w:rPr>
          <w:rFonts w:ascii="Arial" w:eastAsia="Aptos" w:hAnsi="Arial" w:cs="Arial"/>
          <w:b/>
          <w:bCs/>
          <w:kern w:val="2"/>
          <w:lang w:eastAsia="zh-CN" w:bidi="ar"/>
        </w:rPr>
      </w:pPr>
      <w:r w:rsidRPr="003F1191">
        <w:rPr>
          <w:rFonts w:ascii="Arial" w:eastAsia="Aptos" w:hAnsi="Arial" w:cs="Arial"/>
          <w:b/>
          <w:bCs/>
          <w:kern w:val="2"/>
          <w:lang w:eastAsia="zh-CN" w:bidi="ar"/>
        </w:rPr>
        <w:t>Study Design</w:t>
      </w:r>
    </w:p>
    <w:p w14:paraId="612EA1E1" w14:textId="77777777" w:rsidR="003668BF" w:rsidRPr="003F1191" w:rsidRDefault="003668BF">
      <w:pPr>
        <w:rPr>
          <w:rFonts w:ascii="Arial" w:eastAsia="Aptos" w:hAnsi="Arial" w:cs="Arial"/>
          <w:b/>
          <w:bCs/>
          <w:kern w:val="2"/>
          <w:lang w:eastAsia="zh-CN" w:bidi="ar"/>
        </w:rPr>
      </w:pPr>
    </w:p>
    <w:p w14:paraId="54F44F92" w14:textId="77777777" w:rsidR="00DD3E2A" w:rsidRPr="00DD3E2A" w:rsidRDefault="00DD3E2A" w:rsidP="00DD3E2A">
      <w:pPr>
        <w:rPr>
          <w:rFonts w:ascii="Arial" w:eastAsia="SimSun" w:hAnsi="Arial" w:cs="Arial"/>
          <w:lang w:val="en-PH"/>
        </w:rPr>
      </w:pPr>
      <w:r w:rsidRPr="00DD3E2A">
        <w:rPr>
          <w:rFonts w:ascii="Arial" w:eastAsia="SimSun" w:hAnsi="Arial" w:cs="Arial"/>
          <w:lang w:val="en-PH"/>
        </w:rPr>
        <w:t>This study employed a quantitative, descriptive–predictive correlational research design to examine the role of Simulation-Based Training (SBT) in relation to the knowledge, skills, and self-efficacy of Specialist Registered Nurses in the Cardiac Intensive Care Unit (CICU). A quantitative approach was appropriate as the study required objective measurement of variables and statistical analysis of relationships. The descriptive component was used to determine the level of perception of SBT and competency outcomes, while the correlational design identified relationships among variables. Furthermore, regression analysis was utilized to determine whether components of SBT significantly predict knowledge, skills, and self-efficacy.</w:t>
      </w:r>
    </w:p>
    <w:p w14:paraId="73C85BCB" w14:textId="77777777" w:rsidR="003668BF" w:rsidRPr="003F1191" w:rsidRDefault="003668BF">
      <w:pPr>
        <w:rPr>
          <w:rFonts w:ascii="Arial" w:eastAsia="Aptos" w:hAnsi="Arial" w:cs="Arial"/>
          <w:b/>
          <w:bCs/>
          <w:kern w:val="2"/>
          <w:lang w:eastAsia="zh-CN" w:bidi="ar"/>
        </w:rPr>
      </w:pPr>
    </w:p>
    <w:p w14:paraId="47390031" w14:textId="77777777" w:rsidR="003668BF" w:rsidRPr="003F1191" w:rsidRDefault="004B3446">
      <w:pPr>
        <w:rPr>
          <w:rFonts w:ascii="Arial" w:eastAsia="Aptos" w:hAnsi="Arial" w:cs="Arial"/>
          <w:kern w:val="2"/>
          <w:lang w:eastAsia="zh-CN" w:bidi="ar"/>
        </w:rPr>
      </w:pPr>
      <w:r w:rsidRPr="003F1191">
        <w:rPr>
          <w:rFonts w:ascii="Arial" w:eastAsia="Aptos" w:hAnsi="Arial" w:cs="Arial"/>
          <w:b/>
          <w:bCs/>
          <w:kern w:val="2"/>
          <w:lang w:eastAsia="zh-CN" w:bidi="ar"/>
        </w:rPr>
        <w:t>Setting</w:t>
      </w:r>
      <w:r w:rsidRPr="003F1191">
        <w:rPr>
          <w:rFonts w:ascii="Arial" w:eastAsia="Aptos" w:hAnsi="Arial" w:cs="Arial"/>
          <w:kern w:val="2"/>
          <w:lang w:eastAsia="zh-CN" w:bidi="ar"/>
        </w:rPr>
        <w:br/>
      </w:r>
    </w:p>
    <w:p w14:paraId="10E3457E" w14:textId="77777777" w:rsidR="00DD3E2A" w:rsidRPr="00DD3E2A" w:rsidRDefault="00DD3E2A" w:rsidP="003F1191">
      <w:pPr>
        <w:rPr>
          <w:rFonts w:ascii="Arial" w:eastAsia="SimSun" w:hAnsi="Arial" w:cs="Arial"/>
          <w:lang w:val="en-PH" w:eastAsia="zh-CN"/>
        </w:rPr>
      </w:pPr>
      <w:r w:rsidRPr="00DD3E2A">
        <w:rPr>
          <w:rFonts w:ascii="Arial" w:eastAsia="SimSun" w:hAnsi="Arial" w:cs="Arial"/>
          <w:lang w:val="en-PH" w:eastAsia="zh-CN"/>
        </w:rPr>
        <w:t>The study was conducted in the Cardiac Intensive Care Unit of a tertiary military hospital in Jeddah, Saudi Arabia. The hospital is a referral and teaching institution that provides specialized cardiac services, including management of acute coronary syndrome, heart failure, arrhythmias, and post-cardiac surgery care. The CICU was selected as the setting due to its high-acuity environment and regular implementation of simulation-based training programs such as cardiac arrest simulations and code blue drills.</w:t>
      </w:r>
    </w:p>
    <w:p w14:paraId="65CBA5FA" w14:textId="77777777" w:rsidR="003668BF" w:rsidRPr="003F1191" w:rsidRDefault="003668BF">
      <w:pPr>
        <w:rPr>
          <w:rFonts w:ascii="Arial" w:eastAsia="Aptos" w:hAnsi="Arial" w:cs="Arial"/>
          <w:b/>
          <w:bCs/>
          <w:kern w:val="2"/>
          <w:lang w:eastAsia="zh-CN" w:bidi="ar"/>
        </w:rPr>
      </w:pPr>
    </w:p>
    <w:p w14:paraId="12C42000" w14:textId="77777777" w:rsidR="003668BF" w:rsidRPr="003F1191" w:rsidRDefault="004B3446">
      <w:pPr>
        <w:rPr>
          <w:rFonts w:ascii="Arial" w:eastAsia="Aptos" w:hAnsi="Arial" w:cs="Arial"/>
          <w:kern w:val="2"/>
          <w:lang w:eastAsia="zh-CN" w:bidi="ar"/>
        </w:rPr>
      </w:pPr>
      <w:r w:rsidRPr="003F1191">
        <w:rPr>
          <w:rFonts w:ascii="Arial" w:eastAsia="Aptos" w:hAnsi="Arial" w:cs="Arial"/>
          <w:b/>
          <w:bCs/>
          <w:kern w:val="2"/>
          <w:lang w:eastAsia="zh-CN" w:bidi="ar"/>
        </w:rPr>
        <w:t>Participants and Sampling</w:t>
      </w:r>
      <w:r w:rsidRPr="003F1191">
        <w:rPr>
          <w:rFonts w:ascii="Arial" w:eastAsia="Aptos" w:hAnsi="Arial" w:cs="Arial"/>
          <w:kern w:val="2"/>
          <w:lang w:eastAsia="zh-CN" w:bidi="ar"/>
        </w:rPr>
        <w:br/>
      </w:r>
    </w:p>
    <w:p w14:paraId="217A07EB" w14:textId="77777777" w:rsidR="00DD3E2A" w:rsidRPr="00DD3E2A" w:rsidRDefault="00DD3E2A" w:rsidP="00DD3E2A">
      <w:pPr>
        <w:pStyle w:val="NormalWeb"/>
        <w:spacing w:beforeAutospacing="0"/>
        <w:rPr>
          <w:rFonts w:ascii="Arial" w:hAnsi="Arial" w:cs="Arial"/>
          <w:sz w:val="20"/>
          <w:szCs w:val="20"/>
          <w:lang w:val="en-PH"/>
        </w:rPr>
      </w:pPr>
      <w:r w:rsidRPr="00DD3E2A">
        <w:rPr>
          <w:rFonts w:ascii="Arial" w:hAnsi="Arial" w:cs="Arial"/>
          <w:sz w:val="20"/>
          <w:szCs w:val="20"/>
          <w:lang w:val="en-PH"/>
        </w:rPr>
        <w:t>The respondents of the study were Specialist Registered Nurses currently assigned in the CICU. Inclusion criteria required nurses to have at least one year of clinical experience in the unit, possess a valid professional license, and hold Advanced Cardiac Life Support (ACLS) certification. Nurses who were on leave or unwilling to participate were excluded.</w:t>
      </w:r>
    </w:p>
    <w:p w14:paraId="618E79F7" w14:textId="77777777" w:rsidR="00DD3E2A" w:rsidRPr="00DD3E2A" w:rsidRDefault="00DD3E2A" w:rsidP="00DD3E2A">
      <w:pPr>
        <w:pStyle w:val="NormalWeb"/>
        <w:spacing w:beforeAutospacing="0"/>
        <w:rPr>
          <w:rFonts w:ascii="Arial" w:hAnsi="Arial" w:cs="Arial"/>
          <w:sz w:val="20"/>
          <w:szCs w:val="20"/>
          <w:lang w:val="en-PH"/>
        </w:rPr>
      </w:pPr>
      <w:r w:rsidRPr="00DD3E2A">
        <w:rPr>
          <w:rFonts w:ascii="Arial" w:hAnsi="Arial" w:cs="Arial"/>
          <w:sz w:val="20"/>
          <w:szCs w:val="20"/>
          <w:lang w:val="en-PH"/>
        </w:rPr>
        <w:t xml:space="preserve">A simple random sampling technique was used to ensure equal chance of selection. The sampling frame consisted of 147 eligible nurses obtained from the hospital’s official roster. Using a </w:t>
      </w:r>
      <w:proofErr w:type="spellStart"/>
      <w:r w:rsidRPr="00DD3E2A">
        <w:rPr>
          <w:rFonts w:ascii="Arial" w:hAnsi="Arial" w:cs="Arial"/>
          <w:sz w:val="20"/>
          <w:szCs w:val="20"/>
          <w:lang w:val="en-PH"/>
        </w:rPr>
        <w:t>Raosoft</w:t>
      </w:r>
      <w:proofErr w:type="spellEnd"/>
      <w:r w:rsidRPr="00DD3E2A">
        <w:rPr>
          <w:rFonts w:ascii="Arial" w:hAnsi="Arial" w:cs="Arial"/>
          <w:sz w:val="20"/>
          <w:szCs w:val="20"/>
          <w:lang w:val="en-PH"/>
        </w:rPr>
        <w:t xml:space="preserve"> sample size calculator with a 95% confidence level and 5% margin of error, a minimum sample size of 107 respondents was determined. Random selection was conducted using a computer-generated method to minimize bias and ensure representativeness.</w:t>
      </w:r>
    </w:p>
    <w:p w14:paraId="5E9B9F54" w14:textId="77777777" w:rsidR="003668BF" w:rsidRPr="003F1191" w:rsidRDefault="004B3446">
      <w:pPr>
        <w:pStyle w:val="NormalWeb"/>
        <w:spacing w:beforeAutospacing="0" w:afterAutospacing="0"/>
        <w:rPr>
          <w:rFonts w:ascii="Arial" w:hAnsi="Arial" w:cs="Arial"/>
          <w:b/>
          <w:bCs/>
          <w:sz w:val="20"/>
          <w:szCs w:val="20"/>
          <w:lang w:val="en-PH"/>
        </w:rPr>
      </w:pPr>
      <w:r w:rsidRPr="003F1191">
        <w:rPr>
          <w:rFonts w:ascii="Arial" w:hAnsi="Arial" w:cs="Arial"/>
          <w:b/>
          <w:bCs/>
          <w:sz w:val="20"/>
          <w:szCs w:val="20"/>
          <w:lang w:val="en-PH"/>
        </w:rPr>
        <w:t>Research Instrument</w:t>
      </w:r>
    </w:p>
    <w:p w14:paraId="2E74EB8A" w14:textId="77777777" w:rsidR="003668BF" w:rsidRPr="003F1191" w:rsidRDefault="003668BF">
      <w:pPr>
        <w:pStyle w:val="NormalWeb"/>
        <w:spacing w:beforeAutospacing="0" w:afterAutospacing="0"/>
        <w:rPr>
          <w:rFonts w:ascii="Arial" w:hAnsi="Arial" w:cs="Arial"/>
          <w:sz w:val="20"/>
          <w:szCs w:val="20"/>
        </w:rPr>
      </w:pPr>
    </w:p>
    <w:p w14:paraId="3D5FCC36" w14:textId="77777777" w:rsidR="00DD3E2A" w:rsidRPr="00DD3E2A" w:rsidRDefault="00DD3E2A" w:rsidP="003F1191">
      <w:pPr>
        <w:pStyle w:val="NormalWeb"/>
        <w:spacing w:beforeAutospacing="0"/>
        <w:rPr>
          <w:rFonts w:ascii="Arial" w:hAnsi="Arial" w:cs="Arial"/>
          <w:sz w:val="20"/>
          <w:szCs w:val="20"/>
          <w:lang w:val="en-PH"/>
        </w:rPr>
      </w:pPr>
      <w:r w:rsidRPr="00DD3E2A">
        <w:rPr>
          <w:rFonts w:ascii="Arial" w:hAnsi="Arial" w:cs="Arial"/>
          <w:sz w:val="20"/>
          <w:szCs w:val="20"/>
          <w:lang w:val="en-PH"/>
        </w:rPr>
        <w:t>Data were collected using a structured questionnaire adapted from validated instruments, including the Creighton Competency Evaluation Instrument, Kolb Learning Style Inventory, and Nursing Student Self-Efficacy Scale. The questionnaire was modified to align with the study variables and context of simulation-based cardiac arrest training.</w:t>
      </w:r>
    </w:p>
    <w:p w14:paraId="1F2A0AFC" w14:textId="77777777" w:rsidR="00DD3E2A" w:rsidRPr="00DD3E2A" w:rsidRDefault="00DD3E2A" w:rsidP="003F1191">
      <w:pPr>
        <w:pStyle w:val="NormalWeb"/>
        <w:spacing w:beforeAutospacing="0"/>
        <w:rPr>
          <w:rFonts w:ascii="Arial" w:hAnsi="Arial" w:cs="Arial"/>
          <w:sz w:val="20"/>
          <w:szCs w:val="20"/>
          <w:lang w:val="en-PH"/>
        </w:rPr>
      </w:pPr>
      <w:r w:rsidRPr="00DD3E2A">
        <w:rPr>
          <w:rFonts w:ascii="Arial" w:hAnsi="Arial" w:cs="Arial"/>
          <w:sz w:val="20"/>
          <w:szCs w:val="20"/>
          <w:lang w:val="en-PH"/>
        </w:rPr>
        <w:t>The instrument consisted of five parts (1) demographic profile; (2) perception of SBT in terms of background, design characteristics, simulation experience, and facilitation and debriefing; (3) knowledge domain (reflective observation and abstract conceptualization);</w:t>
      </w:r>
      <w:r w:rsidRPr="00DD3E2A">
        <w:rPr>
          <w:rFonts w:ascii="Arial" w:hAnsi="Arial" w:cs="Arial"/>
          <w:sz w:val="20"/>
          <w:szCs w:val="20"/>
          <w:lang w:val="en-PH"/>
        </w:rPr>
        <w:br/>
        <w:t>(4) skills domain (concrete experience and active experimentation); and (5) self-efficacy domain (mastery, vicarious learning, persuasion, and emotional regulation). A four-point Likert scale was used to measure responses, ranging from strongly disagree (1) to strongly agree (4), with corresponding interpretations from very low to very high levels.</w:t>
      </w:r>
    </w:p>
    <w:p w14:paraId="2AF43772" w14:textId="77777777" w:rsidR="00DD3E2A" w:rsidRPr="00DD3E2A" w:rsidRDefault="00DD3E2A" w:rsidP="003F1191">
      <w:pPr>
        <w:pStyle w:val="NormalWeb"/>
        <w:spacing w:beforeAutospacing="0"/>
        <w:rPr>
          <w:rFonts w:ascii="Arial" w:hAnsi="Arial" w:cs="Arial"/>
          <w:sz w:val="20"/>
          <w:szCs w:val="20"/>
          <w:lang w:val="en-PH"/>
        </w:rPr>
      </w:pPr>
      <w:r w:rsidRPr="00DD3E2A">
        <w:rPr>
          <w:rFonts w:ascii="Arial" w:hAnsi="Arial" w:cs="Arial"/>
          <w:sz w:val="20"/>
          <w:szCs w:val="20"/>
          <w:lang w:val="en-PH"/>
        </w:rPr>
        <w:t xml:space="preserve">The instrument underwent content and face validation by a panel of experts in nursing, yielding a Content Validity Index of 0.88, indicating very high validity. A pilot test was conducted with 20 respondents, resulting in a Cronbach’s alpha of 0.94, indicating excellent </w:t>
      </w:r>
      <w:r w:rsidRPr="00DD3E2A">
        <w:rPr>
          <w:rFonts w:ascii="Arial" w:hAnsi="Arial" w:cs="Arial"/>
          <w:sz w:val="20"/>
          <w:szCs w:val="20"/>
          <w:lang w:val="en-PH"/>
        </w:rPr>
        <w:lastRenderedPageBreak/>
        <w:t>reliability. The final dataset yielded a Cronbach’s alpha of 0.85, confirming good internal consistency.</w:t>
      </w:r>
    </w:p>
    <w:p w14:paraId="16B8EE2F" w14:textId="37907EDE" w:rsidR="003668BF" w:rsidRPr="003F1191" w:rsidRDefault="003668BF">
      <w:pPr>
        <w:pStyle w:val="NormalWeb"/>
        <w:spacing w:beforeAutospacing="0" w:afterAutospacing="0"/>
        <w:ind w:firstLine="720"/>
        <w:jc w:val="both"/>
        <w:rPr>
          <w:rFonts w:ascii="Arial" w:hAnsi="Arial" w:cs="Arial"/>
          <w:sz w:val="20"/>
          <w:szCs w:val="20"/>
          <w:lang w:val="en-PH"/>
        </w:rPr>
      </w:pPr>
    </w:p>
    <w:p w14:paraId="0CC9B91C" w14:textId="77777777" w:rsidR="003668BF" w:rsidRPr="003F1191" w:rsidRDefault="004B3446">
      <w:pPr>
        <w:rPr>
          <w:rFonts w:ascii="Arial" w:eastAsia="Aptos" w:hAnsi="Arial" w:cs="Arial"/>
          <w:kern w:val="2"/>
          <w:lang w:eastAsia="zh-CN" w:bidi="ar"/>
        </w:rPr>
      </w:pPr>
      <w:r w:rsidRPr="003F1191">
        <w:rPr>
          <w:rFonts w:ascii="Arial" w:eastAsia="Aptos" w:hAnsi="Arial" w:cs="Arial"/>
          <w:b/>
          <w:bCs/>
          <w:kern w:val="2"/>
          <w:lang w:eastAsia="zh-CN" w:bidi="ar"/>
        </w:rPr>
        <w:t>Data Collection Procedure</w:t>
      </w:r>
      <w:r w:rsidRPr="003F1191">
        <w:rPr>
          <w:rFonts w:ascii="Arial" w:eastAsia="Aptos" w:hAnsi="Arial" w:cs="Arial"/>
          <w:kern w:val="2"/>
          <w:lang w:eastAsia="zh-CN" w:bidi="ar"/>
        </w:rPr>
        <w:br/>
      </w:r>
    </w:p>
    <w:p w14:paraId="2E5A3DE5" w14:textId="77777777" w:rsidR="00DD3E2A" w:rsidRPr="00DD3E2A" w:rsidRDefault="00DD3E2A" w:rsidP="00DD3E2A">
      <w:pPr>
        <w:rPr>
          <w:rFonts w:ascii="Arial" w:eastAsia="SimSun" w:hAnsi="Arial" w:cs="Arial"/>
          <w:lang w:val="en-PH" w:eastAsia="zh-CN"/>
        </w:rPr>
      </w:pPr>
      <w:r w:rsidRPr="00DD3E2A">
        <w:rPr>
          <w:rFonts w:ascii="Arial" w:eastAsia="SimSun" w:hAnsi="Arial" w:cs="Arial"/>
          <w:lang w:val="en-PH" w:eastAsia="zh-CN"/>
        </w:rPr>
        <w:t>Prior to data collection, permission was secured from hospital authorities and the research ethics committee. Participants were informed about the purpose of the study, and informed consent was obtained. Participation was voluntary, and confidentiality was assured.</w:t>
      </w:r>
    </w:p>
    <w:p w14:paraId="570536CF" w14:textId="77777777" w:rsidR="00DD3E2A" w:rsidRPr="00DD3E2A" w:rsidRDefault="00DD3E2A" w:rsidP="00DD3E2A">
      <w:pPr>
        <w:rPr>
          <w:rFonts w:ascii="Arial" w:eastAsia="SimSun" w:hAnsi="Arial" w:cs="Arial"/>
          <w:lang w:val="en-PH" w:eastAsia="zh-CN"/>
        </w:rPr>
      </w:pPr>
      <w:r w:rsidRPr="00DD3E2A">
        <w:rPr>
          <w:rFonts w:ascii="Arial" w:eastAsia="SimSun" w:hAnsi="Arial" w:cs="Arial"/>
          <w:lang w:val="en-PH" w:eastAsia="zh-CN"/>
        </w:rPr>
        <w:t>Data were collected through an online self-administered questionnaire using Google Forms. Selected respondents received a survey link and QR code, allowing them to complete the questionnaire at their convenience. This method ensured anonymity and minimized disruption to clinical duties.</w:t>
      </w:r>
    </w:p>
    <w:p w14:paraId="1A32C928" w14:textId="77777777" w:rsidR="003668BF" w:rsidRPr="003F1191" w:rsidRDefault="003668BF">
      <w:pPr>
        <w:rPr>
          <w:rFonts w:ascii="Arial" w:eastAsia="Aptos" w:hAnsi="Arial" w:cs="Arial"/>
          <w:b/>
          <w:bCs/>
          <w:kern w:val="2"/>
          <w:lang w:eastAsia="zh-CN" w:bidi="ar"/>
        </w:rPr>
      </w:pPr>
    </w:p>
    <w:p w14:paraId="0BA73502" w14:textId="77777777" w:rsidR="003668BF" w:rsidRPr="003F1191" w:rsidRDefault="004B3446">
      <w:pPr>
        <w:rPr>
          <w:rFonts w:ascii="Arial" w:eastAsia="Aptos" w:hAnsi="Arial" w:cs="Arial"/>
          <w:kern w:val="2"/>
          <w:lang w:eastAsia="zh-CN" w:bidi="ar"/>
        </w:rPr>
      </w:pPr>
      <w:r w:rsidRPr="003F1191">
        <w:rPr>
          <w:rFonts w:ascii="Arial" w:eastAsia="Aptos" w:hAnsi="Arial" w:cs="Arial"/>
          <w:b/>
          <w:bCs/>
          <w:kern w:val="2"/>
          <w:lang w:eastAsia="zh-CN" w:bidi="ar"/>
        </w:rPr>
        <w:t>Data Analysis</w:t>
      </w:r>
      <w:r w:rsidRPr="003F1191">
        <w:rPr>
          <w:rFonts w:ascii="Arial" w:eastAsia="Aptos" w:hAnsi="Arial" w:cs="Arial"/>
          <w:kern w:val="2"/>
          <w:lang w:eastAsia="zh-CN" w:bidi="ar"/>
        </w:rPr>
        <w:br/>
      </w:r>
    </w:p>
    <w:p w14:paraId="2AE2492E" w14:textId="77777777" w:rsidR="00DD3E2A" w:rsidRPr="00DD3E2A" w:rsidRDefault="00DD3E2A" w:rsidP="00DD3E2A">
      <w:pPr>
        <w:pStyle w:val="NormalWeb"/>
        <w:spacing w:beforeAutospacing="0"/>
        <w:rPr>
          <w:rFonts w:ascii="Arial" w:hAnsi="Arial" w:cs="Arial"/>
          <w:sz w:val="20"/>
          <w:szCs w:val="20"/>
          <w:lang w:val="en-PH"/>
        </w:rPr>
      </w:pPr>
      <w:r w:rsidRPr="00DD3E2A">
        <w:rPr>
          <w:rFonts w:ascii="Arial" w:hAnsi="Arial" w:cs="Arial"/>
          <w:sz w:val="20"/>
          <w:szCs w:val="20"/>
          <w:lang w:val="en-PH"/>
        </w:rPr>
        <w:t>Data were analyzed using descriptive and inferential statistics. Frequency and percentage were used to describe demographic variables, while mean scores were used to determine levels of perception, knowledge, skills, and self-efficacy.</w:t>
      </w:r>
    </w:p>
    <w:p w14:paraId="461E3D2E" w14:textId="77777777" w:rsidR="00DD3E2A" w:rsidRPr="00DD3E2A" w:rsidRDefault="00DD3E2A" w:rsidP="00DD3E2A">
      <w:pPr>
        <w:pStyle w:val="NormalWeb"/>
        <w:spacing w:beforeAutospacing="0"/>
        <w:rPr>
          <w:rFonts w:ascii="Arial" w:hAnsi="Arial" w:cs="Arial"/>
          <w:sz w:val="20"/>
          <w:szCs w:val="20"/>
          <w:lang w:val="en-PH"/>
        </w:rPr>
      </w:pPr>
      <w:r w:rsidRPr="00DD3E2A">
        <w:rPr>
          <w:rFonts w:ascii="Arial" w:hAnsi="Arial" w:cs="Arial"/>
          <w:sz w:val="20"/>
          <w:szCs w:val="20"/>
          <w:lang w:val="en-PH"/>
        </w:rPr>
        <w:t>The Shapiro–Wilk test indicated that the data were not normally distributed; therefore, non-parametric tests were applied. Spearman’s rho was used to determine relationships between SBT components and competency outcomes. Regression analysis was conducted to identify predictors of knowledge, skills, and self-efficacy. The level of significance was set at 0.05.</w:t>
      </w:r>
    </w:p>
    <w:p w14:paraId="7AE5D343" w14:textId="77777777" w:rsidR="003668BF" w:rsidRPr="003F1191" w:rsidRDefault="004B3446">
      <w:pPr>
        <w:jc w:val="both"/>
        <w:rPr>
          <w:rFonts w:ascii="Arial" w:eastAsia="Aptos" w:hAnsi="Arial" w:cs="Arial"/>
          <w:kern w:val="2"/>
          <w:lang w:val="en-PH" w:eastAsia="zh-CN" w:bidi="ar"/>
        </w:rPr>
      </w:pPr>
      <w:r w:rsidRPr="003F1191">
        <w:rPr>
          <w:rFonts w:ascii="Arial" w:eastAsia="Aptos" w:hAnsi="Arial" w:cs="Arial"/>
          <w:b/>
          <w:bCs/>
          <w:kern w:val="2"/>
          <w:lang w:eastAsia="zh-CN" w:bidi="ar"/>
        </w:rPr>
        <w:t>Ethical Considerations</w:t>
      </w:r>
      <w:r w:rsidRPr="003F1191">
        <w:rPr>
          <w:rFonts w:ascii="Arial" w:eastAsia="Aptos" w:hAnsi="Arial" w:cs="Arial"/>
          <w:kern w:val="2"/>
          <w:lang w:eastAsia="zh-CN" w:bidi="ar"/>
        </w:rPr>
        <w:br/>
      </w:r>
      <w:r w:rsidRPr="003F1191">
        <w:rPr>
          <w:rFonts w:ascii="Arial" w:eastAsia="Aptos" w:hAnsi="Arial" w:cs="Arial"/>
          <w:kern w:val="2"/>
          <w:lang w:val="en-PH" w:eastAsia="zh-CN" w:bidi="ar"/>
        </w:rPr>
        <w:tab/>
      </w:r>
    </w:p>
    <w:p w14:paraId="52DC661D"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Ethical principles were strictly observed throughout the conduct of this study to ensure the protection, rights, and welfare of all participants. Prior to data collection, approval to conduct the study was obtained from the hospital administration and the appropriate research ethics committee. All procedures followed institutional guidelines and ethical standards for research involving human participants.</w:t>
      </w:r>
    </w:p>
    <w:p w14:paraId="6C464970"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Informed consent was obtained from all respondents before participation. The purpose of the study, procedures involved, and expected outcomes were clearly explained to them. Participants were informed that their involvement was entirely voluntary and that they had the right to refuse or withdraw from the study at any time without any penalty or consequences. This ensured respect for the autonomy and decision-making rights of the participants.</w:t>
      </w:r>
    </w:p>
    <w:p w14:paraId="5F7C44E6"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Confidentiality and anonymity were strictly maintained. No personal identifiers such as names or identification numbers were collected in the questionnaire. Instead, responses were recorded anonymously, and data were reported in aggregate form to prevent identification of individual participants. All collected data were securely stored in password-protected files, and access was limited only to the researcher and the designated statistician.</w:t>
      </w:r>
    </w:p>
    <w:p w14:paraId="3D6C0518"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The study posed minimal risk to participants, as it primarily involved answering a questionnaire. Any potential discomfort was limited to slight fatigue during survey completion. Participants were assured that there were no direct risks or harm associated with their participation. At the same time, the study offered potential benefits, including contribution to the improvement of simulation-based training programs and enhancement of professional development among CICU nurses.</w:t>
      </w:r>
    </w:p>
    <w:p w14:paraId="740C45E1"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 xml:space="preserve">To address potential bias, the </w:t>
      </w:r>
      <w:proofErr w:type="gramStart"/>
      <w:r w:rsidRPr="00DD3E2A">
        <w:rPr>
          <w:rFonts w:ascii="Arial" w:eastAsia="SimSun" w:hAnsi="Arial" w:cs="Arial"/>
          <w:lang w:val="en-PH" w:eastAsia="zh-CN"/>
        </w:rPr>
        <w:t>researcher maintained</w:t>
      </w:r>
      <w:proofErr w:type="gramEnd"/>
      <w:r w:rsidRPr="00DD3E2A">
        <w:rPr>
          <w:rFonts w:ascii="Arial" w:eastAsia="SimSun" w:hAnsi="Arial" w:cs="Arial"/>
          <w:lang w:val="en-PH" w:eastAsia="zh-CN"/>
        </w:rPr>
        <w:t xml:space="preserve"> objectivity and professionalism throughout the study. Although the researcher is part of the clinical environment, measures were taken to ensure that this did not influence the data collection or interpretation of results. </w:t>
      </w:r>
      <w:r w:rsidRPr="00DD3E2A">
        <w:rPr>
          <w:rFonts w:ascii="Arial" w:eastAsia="SimSun" w:hAnsi="Arial" w:cs="Arial"/>
          <w:lang w:val="en-PH" w:eastAsia="zh-CN"/>
        </w:rPr>
        <w:lastRenderedPageBreak/>
        <w:t>Responses were treated with impartiality, and findings were reported honestly without fabrication or misrepresentation.</w:t>
      </w:r>
    </w:p>
    <w:p w14:paraId="15E1B29D" w14:textId="77777777" w:rsidR="00DD3E2A" w:rsidRPr="00DD3E2A" w:rsidRDefault="00DD3E2A" w:rsidP="003F1191">
      <w:pPr>
        <w:jc w:val="both"/>
        <w:rPr>
          <w:rFonts w:ascii="Arial" w:eastAsia="SimSun" w:hAnsi="Arial" w:cs="Arial"/>
          <w:lang w:val="en-PH" w:eastAsia="zh-CN"/>
        </w:rPr>
      </w:pPr>
      <w:r w:rsidRPr="00DD3E2A">
        <w:rPr>
          <w:rFonts w:ascii="Arial" w:eastAsia="SimSun" w:hAnsi="Arial" w:cs="Arial"/>
          <w:lang w:val="en-PH" w:eastAsia="zh-CN"/>
        </w:rPr>
        <w:t>Overall, the study adhered to ethical principles of respect for persons, beneficence, and justice, ensuring that participants were treated with dignity, their rights were protected, and the integrity of the research process was maintained.</w:t>
      </w:r>
    </w:p>
    <w:p w14:paraId="3E60D9F3" w14:textId="77777777" w:rsidR="003668BF" w:rsidRPr="003F1191" w:rsidRDefault="003668BF">
      <w:pPr>
        <w:rPr>
          <w:rFonts w:ascii="Arial" w:eastAsia="Aptos" w:hAnsi="Arial" w:cs="Arial"/>
          <w:b/>
          <w:bCs/>
          <w:kern w:val="2"/>
          <w:lang w:eastAsia="zh-CN" w:bidi="ar"/>
        </w:rPr>
      </w:pPr>
    </w:p>
    <w:p w14:paraId="05DDDA6D" w14:textId="77777777" w:rsidR="003668BF" w:rsidRPr="003F1191" w:rsidRDefault="003668BF">
      <w:pPr>
        <w:pStyle w:val="Body"/>
        <w:spacing w:after="0"/>
        <w:rPr>
          <w:rFonts w:ascii="Arial" w:hAnsi="Arial" w:cs="Arial"/>
        </w:rPr>
      </w:pPr>
    </w:p>
    <w:p w14:paraId="372901BA" w14:textId="77777777" w:rsidR="003668BF" w:rsidRPr="003F1191" w:rsidRDefault="004B3446">
      <w:pPr>
        <w:pStyle w:val="Head1"/>
        <w:numPr>
          <w:ilvl w:val="0"/>
          <w:numId w:val="3"/>
        </w:numPr>
        <w:spacing w:after="0"/>
        <w:jc w:val="both"/>
        <w:rPr>
          <w:rFonts w:ascii="Arial" w:hAnsi="Arial" w:cs="Arial"/>
          <w:sz w:val="20"/>
        </w:rPr>
      </w:pPr>
      <w:r w:rsidRPr="003F1191">
        <w:rPr>
          <w:rFonts w:ascii="Arial" w:hAnsi="Arial" w:cs="Arial"/>
          <w:sz w:val="20"/>
        </w:rPr>
        <w:t>results and discussion</w:t>
      </w:r>
    </w:p>
    <w:p w14:paraId="3CA80586" w14:textId="77777777" w:rsidR="003668BF" w:rsidRPr="003F1191" w:rsidRDefault="003668BF">
      <w:pPr>
        <w:pStyle w:val="Head1"/>
        <w:spacing w:after="0"/>
        <w:jc w:val="both"/>
        <w:rPr>
          <w:rFonts w:ascii="Arial" w:hAnsi="Arial" w:cs="Arial"/>
          <w:sz w:val="20"/>
        </w:rPr>
      </w:pPr>
    </w:p>
    <w:p w14:paraId="5ACE4915" w14:textId="77777777" w:rsidR="003668BF" w:rsidRPr="003F1191" w:rsidRDefault="003668BF">
      <w:pPr>
        <w:pStyle w:val="Head1"/>
        <w:spacing w:after="0"/>
        <w:jc w:val="both"/>
        <w:rPr>
          <w:rFonts w:ascii="Arial" w:hAnsi="Arial" w:cs="Arial"/>
          <w:sz w:val="20"/>
        </w:rPr>
      </w:pPr>
    </w:p>
    <w:p w14:paraId="554A4FBE" w14:textId="77777777" w:rsidR="003668BF" w:rsidRPr="003F1191" w:rsidRDefault="004B3446">
      <w:pPr>
        <w:rPr>
          <w:rFonts w:ascii="Arial" w:hAnsi="Arial" w:cs="Arial"/>
          <w:b/>
          <w:bCs/>
          <w:lang w:eastAsia="zh-CN"/>
        </w:rPr>
      </w:pPr>
      <w:r w:rsidRPr="003F1191">
        <w:rPr>
          <w:rFonts w:ascii="Arial" w:eastAsia="Calibri" w:hAnsi="Arial" w:cs="Arial"/>
          <w:b/>
          <w:bCs/>
          <w:lang w:eastAsia="zh-CN" w:bidi="ar"/>
        </w:rPr>
        <w:t xml:space="preserve">Table </w:t>
      </w:r>
      <w:r w:rsidRPr="003F1191">
        <w:rPr>
          <w:rFonts w:ascii="Arial" w:eastAsia="Calibri" w:hAnsi="Arial" w:cs="Arial"/>
          <w:b/>
          <w:bCs/>
          <w:lang w:val="en-PH" w:eastAsia="zh-CN" w:bidi="ar"/>
        </w:rPr>
        <w:t>1</w:t>
      </w:r>
      <w:r w:rsidRPr="003F1191">
        <w:rPr>
          <w:rFonts w:ascii="Arial" w:eastAsia="Calibri" w:hAnsi="Arial" w:cs="Arial"/>
          <w:b/>
          <w:bCs/>
          <w:lang w:eastAsia="zh-CN" w:bidi="ar"/>
        </w:rPr>
        <w:t>. Profile of the Respondents</w:t>
      </w:r>
    </w:p>
    <w:p w14:paraId="43A3AD7A" w14:textId="77777777" w:rsidR="008D48D1" w:rsidRPr="003F1191" w:rsidRDefault="008D48D1">
      <w:pPr>
        <w:rPr>
          <w:rFonts w:ascii="Arial" w:eastAsia="Aptos" w:hAnsi="Arial" w:cs="Arial"/>
          <w:b/>
          <w:bCs/>
          <w:kern w:val="2"/>
          <w:lang w:eastAsia="zh-CN" w:bidi="ar"/>
        </w:rPr>
      </w:pPr>
    </w:p>
    <w:p w14:paraId="44C3B5A7" w14:textId="602803A3" w:rsidR="008D48D1" w:rsidRPr="008D48D1" w:rsidRDefault="008D48D1" w:rsidP="008D48D1">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This </w:t>
      </w:r>
      <w:r w:rsidR="00D91C07">
        <w:rPr>
          <w:rFonts w:ascii="Arial" w:eastAsia="Aptos" w:hAnsi="Arial" w:cs="Arial"/>
          <w:b/>
          <w:bCs/>
          <w:kern w:val="2"/>
          <w:lang w:val="en-PH" w:eastAsia="zh-CN" w:bidi="ar"/>
        </w:rPr>
        <w:t>article</w:t>
      </w:r>
      <w:r w:rsidRPr="008D48D1">
        <w:rPr>
          <w:rFonts w:ascii="Arial" w:eastAsia="Aptos" w:hAnsi="Arial" w:cs="Arial"/>
          <w:b/>
          <w:bCs/>
          <w:kern w:val="2"/>
          <w:lang w:val="en-PH" w:eastAsia="zh-CN" w:bidi="ar"/>
        </w:rPr>
        <w:t xml:space="preserve"> presented the results and discussion, the output, the conclusions, and recommendations.</w:t>
      </w:r>
    </w:p>
    <w:p w14:paraId="231C96B8" w14:textId="77777777" w:rsidR="008D48D1" w:rsidRPr="008D48D1" w:rsidRDefault="008D48D1" w:rsidP="008D48D1">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 </w:t>
      </w:r>
    </w:p>
    <w:p w14:paraId="3F22D5F1" w14:textId="145A407C" w:rsidR="008D48D1" w:rsidRPr="008D48D1" w:rsidRDefault="008D48D1" w:rsidP="008D48D1">
      <w:pPr>
        <w:rPr>
          <w:rFonts w:ascii="Arial" w:eastAsia="Aptos" w:hAnsi="Arial" w:cs="Arial"/>
          <w:b/>
          <w:bCs/>
          <w:kern w:val="2"/>
          <w:lang w:val="en-PH" w:eastAsia="zh-CN" w:bidi="ar"/>
        </w:rPr>
      </w:pPr>
    </w:p>
    <w:p w14:paraId="367652B2" w14:textId="66B2C9A2" w:rsidR="008D48D1" w:rsidRPr="008D48D1" w:rsidRDefault="00A175F6" w:rsidP="008D48D1">
      <w:pPr>
        <w:rPr>
          <w:rFonts w:ascii="Arial" w:eastAsia="Aptos" w:hAnsi="Arial" w:cs="Arial"/>
          <w:b/>
          <w:bCs/>
          <w:i/>
          <w:iCs/>
          <w:kern w:val="2"/>
          <w:lang w:val="en-PH" w:eastAsia="zh-CN" w:bidi="ar"/>
        </w:rPr>
      </w:pPr>
      <w:r>
        <w:rPr>
          <w:rFonts w:ascii="Arial" w:eastAsia="Aptos" w:hAnsi="Arial" w:cs="Arial"/>
          <w:b/>
          <w:bCs/>
          <w:i/>
          <w:iCs/>
          <w:kern w:val="2"/>
          <w:lang w:val="en-PH" w:eastAsia="zh-CN" w:bidi="ar"/>
        </w:rPr>
        <w:t>Table 1-</w:t>
      </w:r>
      <w:r w:rsidR="008D48D1" w:rsidRPr="008D48D1">
        <w:rPr>
          <w:rFonts w:ascii="Arial" w:eastAsia="Aptos" w:hAnsi="Arial" w:cs="Arial"/>
          <w:b/>
          <w:bCs/>
          <w:i/>
          <w:iCs/>
          <w:kern w:val="2"/>
          <w:lang w:val="en-PH" w:eastAsia="zh-CN" w:bidi="ar"/>
        </w:rPr>
        <w:t>Respondents’ Profile</w:t>
      </w:r>
    </w:p>
    <w:p w14:paraId="744F4FD3" w14:textId="77777777" w:rsidR="008D48D1" w:rsidRPr="008D48D1" w:rsidRDefault="008D48D1" w:rsidP="008D48D1">
      <w:pPr>
        <w:rPr>
          <w:rFonts w:ascii="Arial" w:eastAsia="Aptos" w:hAnsi="Arial" w:cs="Arial"/>
          <w:b/>
          <w:bCs/>
          <w:i/>
          <w:iCs/>
          <w:kern w:val="2"/>
          <w:lang w:val="en-PH" w:eastAsia="zh-CN" w:bidi="ar"/>
        </w:rPr>
      </w:pPr>
      <w:r w:rsidRPr="008D48D1">
        <w:rPr>
          <w:rFonts w:ascii="Arial" w:eastAsia="Aptos" w:hAnsi="Arial" w:cs="Arial"/>
          <w:b/>
          <w:bCs/>
          <w:i/>
          <w:iCs/>
          <w:kern w:val="2"/>
          <w:lang w:val="en-PH" w:eastAsia="zh-CN" w:bidi="ar"/>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4889"/>
        <w:gridCol w:w="1694"/>
        <w:gridCol w:w="1837"/>
      </w:tblGrid>
      <w:tr w:rsidR="008D48D1" w:rsidRPr="008D48D1" w14:paraId="3A4A2E7A" w14:textId="77777777">
        <w:tc>
          <w:tcPr>
            <w:tcW w:w="2902" w:type="pct"/>
            <w:tcBorders>
              <w:top w:val="single" w:sz="4" w:space="0" w:color="auto"/>
              <w:left w:val="nil"/>
              <w:bottom w:val="single" w:sz="4" w:space="0" w:color="auto"/>
              <w:right w:val="nil"/>
            </w:tcBorders>
            <w:vAlign w:val="center"/>
            <w:hideMark/>
          </w:tcPr>
          <w:p w14:paraId="21B657B4"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Variables</w:t>
            </w:r>
          </w:p>
        </w:tc>
        <w:tc>
          <w:tcPr>
            <w:tcW w:w="1006" w:type="pct"/>
            <w:tcBorders>
              <w:top w:val="single" w:sz="4" w:space="0" w:color="auto"/>
              <w:left w:val="nil"/>
              <w:bottom w:val="single" w:sz="4" w:space="0" w:color="auto"/>
              <w:right w:val="nil"/>
            </w:tcBorders>
            <w:vAlign w:val="center"/>
            <w:hideMark/>
          </w:tcPr>
          <w:p w14:paraId="6B4F4637"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Frequency</w:t>
            </w:r>
          </w:p>
          <w:p w14:paraId="5B45A42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(n=107)</w:t>
            </w:r>
          </w:p>
        </w:tc>
        <w:tc>
          <w:tcPr>
            <w:tcW w:w="1091" w:type="pct"/>
            <w:tcBorders>
              <w:top w:val="single" w:sz="4" w:space="0" w:color="auto"/>
              <w:left w:val="nil"/>
              <w:bottom w:val="single" w:sz="4" w:space="0" w:color="auto"/>
              <w:right w:val="nil"/>
            </w:tcBorders>
            <w:vAlign w:val="center"/>
            <w:hideMark/>
          </w:tcPr>
          <w:p w14:paraId="19B7C696"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Percentage (%)</w:t>
            </w:r>
          </w:p>
        </w:tc>
      </w:tr>
      <w:tr w:rsidR="008D48D1" w:rsidRPr="008D48D1" w14:paraId="2845B863" w14:textId="77777777">
        <w:tc>
          <w:tcPr>
            <w:tcW w:w="2902" w:type="pct"/>
            <w:tcBorders>
              <w:top w:val="single" w:sz="4" w:space="0" w:color="auto"/>
              <w:left w:val="nil"/>
              <w:bottom w:val="nil"/>
              <w:right w:val="nil"/>
            </w:tcBorders>
            <w:hideMark/>
          </w:tcPr>
          <w:p w14:paraId="4AE5CAD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Age</w:t>
            </w:r>
          </w:p>
        </w:tc>
        <w:tc>
          <w:tcPr>
            <w:tcW w:w="1006" w:type="pct"/>
            <w:tcBorders>
              <w:top w:val="single" w:sz="4" w:space="0" w:color="auto"/>
              <w:left w:val="nil"/>
              <w:bottom w:val="nil"/>
              <w:right w:val="nil"/>
            </w:tcBorders>
          </w:tcPr>
          <w:p w14:paraId="6CA2C595"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single" w:sz="4" w:space="0" w:color="auto"/>
              <w:left w:val="nil"/>
              <w:bottom w:val="nil"/>
              <w:right w:val="nil"/>
            </w:tcBorders>
          </w:tcPr>
          <w:p w14:paraId="3B82E987"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67BA2AD3" w14:textId="77777777">
        <w:tc>
          <w:tcPr>
            <w:tcW w:w="2902" w:type="pct"/>
            <w:tcBorders>
              <w:top w:val="nil"/>
              <w:left w:val="nil"/>
              <w:bottom w:val="nil"/>
              <w:right w:val="nil"/>
            </w:tcBorders>
            <w:vAlign w:val="center"/>
            <w:hideMark/>
          </w:tcPr>
          <w:p w14:paraId="15BF675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24-31</w:t>
            </w:r>
          </w:p>
        </w:tc>
        <w:tc>
          <w:tcPr>
            <w:tcW w:w="1006" w:type="pct"/>
            <w:tcBorders>
              <w:top w:val="nil"/>
              <w:left w:val="nil"/>
              <w:bottom w:val="nil"/>
              <w:right w:val="nil"/>
            </w:tcBorders>
            <w:hideMark/>
          </w:tcPr>
          <w:p w14:paraId="6AED138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w:t>
            </w:r>
          </w:p>
        </w:tc>
        <w:tc>
          <w:tcPr>
            <w:tcW w:w="1091" w:type="pct"/>
            <w:tcBorders>
              <w:top w:val="nil"/>
              <w:left w:val="nil"/>
              <w:bottom w:val="nil"/>
              <w:right w:val="nil"/>
            </w:tcBorders>
            <w:hideMark/>
          </w:tcPr>
          <w:p w14:paraId="241228F6"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9.3</w:t>
            </w:r>
          </w:p>
        </w:tc>
      </w:tr>
      <w:tr w:rsidR="008D48D1" w:rsidRPr="008D48D1" w14:paraId="2D0E4779" w14:textId="77777777">
        <w:tc>
          <w:tcPr>
            <w:tcW w:w="2902" w:type="pct"/>
            <w:tcBorders>
              <w:top w:val="nil"/>
              <w:left w:val="nil"/>
              <w:bottom w:val="nil"/>
              <w:right w:val="nil"/>
            </w:tcBorders>
            <w:vAlign w:val="center"/>
            <w:hideMark/>
          </w:tcPr>
          <w:p w14:paraId="6C09C91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32-39</w:t>
            </w:r>
          </w:p>
        </w:tc>
        <w:tc>
          <w:tcPr>
            <w:tcW w:w="1006" w:type="pct"/>
            <w:tcBorders>
              <w:top w:val="nil"/>
              <w:left w:val="nil"/>
              <w:bottom w:val="nil"/>
              <w:right w:val="nil"/>
            </w:tcBorders>
            <w:hideMark/>
          </w:tcPr>
          <w:p w14:paraId="4E74CC3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54</w:t>
            </w:r>
          </w:p>
        </w:tc>
        <w:tc>
          <w:tcPr>
            <w:tcW w:w="1091" w:type="pct"/>
            <w:tcBorders>
              <w:top w:val="nil"/>
              <w:left w:val="nil"/>
              <w:bottom w:val="nil"/>
              <w:right w:val="nil"/>
            </w:tcBorders>
            <w:hideMark/>
          </w:tcPr>
          <w:p w14:paraId="71CBA88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50.5</w:t>
            </w:r>
          </w:p>
        </w:tc>
      </w:tr>
      <w:tr w:rsidR="008D48D1" w:rsidRPr="008D48D1" w14:paraId="19A056BB" w14:textId="77777777">
        <w:tc>
          <w:tcPr>
            <w:tcW w:w="2902" w:type="pct"/>
            <w:tcBorders>
              <w:top w:val="nil"/>
              <w:left w:val="nil"/>
              <w:bottom w:val="nil"/>
              <w:right w:val="nil"/>
            </w:tcBorders>
            <w:vAlign w:val="center"/>
            <w:hideMark/>
          </w:tcPr>
          <w:p w14:paraId="17D8B86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40-47</w:t>
            </w:r>
          </w:p>
        </w:tc>
        <w:tc>
          <w:tcPr>
            <w:tcW w:w="1006" w:type="pct"/>
            <w:tcBorders>
              <w:top w:val="nil"/>
              <w:left w:val="nil"/>
              <w:bottom w:val="nil"/>
              <w:right w:val="nil"/>
            </w:tcBorders>
            <w:hideMark/>
          </w:tcPr>
          <w:p w14:paraId="70276A9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28</w:t>
            </w:r>
          </w:p>
        </w:tc>
        <w:tc>
          <w:tcPr>
            <w:tcW w:w="1091" w:type="pct"/>
            <w:tcBorders>
              <w:top w:val="nil"/>
              <w:left w:val="nil"/>
              <w:bottom w:val="nil"/>
              <w:right w:val="nil"/>
            </w:tcBorders>
            <w:hideMark/>
          </w:tcPr>
          <w:p w14:paraId="3331D40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26.2</w:t>
            </w:r>
          </w:p>
        </w:tc>
      </w:tr>
      <w:tr w:rsidR="008D48D1" w:rsidRPr="008D48D1" w14:paraId="00F09647" w14:textId="77777777">
        <w:tc>
          <w:tcPr>
            <w:tcW w:w="2902" w:type="pct"/>
            <w:tcBorders>
              <w:top w:val="nil"/>
              <w:left w:val="nil"/>
              <w:bottom w:val="nil"/>
              <w:right w:val="nil"/>
            </w:tcBorders>
            <w:vAlign w:val="center"/>
            <w:hideMark/>
          </w:tcPr>
          <w:p w14:paraId="372C084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48-55</w:t>
            </w:r>
          </w:p>
        </w:tc>
        <w:tc>
          <w:tcPr>
            <w:tcW w:w="1006" w:type="pct"/>
            <w:tcBorders>
              <w:top w:val="nil"/>
              <w:left w:val="nil"/>
              <w:bottom w:val="nil"/>
              <w:right w:val="nil"/>
            </w:tcBorders>
            <w:hideMark/>
          </w:tcPr>
          <w:p w14:paraId="2F460BB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12</w:t>
            </w:r>
          </w:p>
        </w:tc>
        <w:tc>
          <w:tcPr>
            <w:tcW w:w="1091" w:type="pct"/>
            <w:tcBorders>
              <w:top w:val="nil"/>
              <w:left w:val="nil"/>
              <w:bottom w:val="nil"/>
              <w:right w:val="nil"/>
            </w:tcBorders>
            <w:hideMark/>
          </w:tcPr>
          <w:p w14:paraId="2D3C64B7"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11.2</w:t>
            </w:r>
          </w:p>
        </w:tc>
      </w:tr>
      <w:tr w:rsidR="008D48D1" w:rsidRPr="008D48D1" w14:paraId="71E517DD" w14:textId="77777777">
        <w:tc>
          <w:tcPr>
            <w:tcW w:w="2902" w:type="pct"/>
            <w:tcBorders>
              <w:top w:val="nil"/>
              <w:left w:val="nil"/>
              <w:bottom w:val="nil"/>
              <w:right w:val="nil"/>
            </w:tcBorders>
            <w:vAlign w:val="center"/>
            <w:hideMark/>
          </w:tcPr>
          <w:p w14:paraId="28C1D47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56-63</w:t>
            </w:r>
          </w:p>
        </w:tc>
        <w:tc>
          <w:tcPr>
            <w:tcW w:w="1006" w:type="pct"/>
            <w:tcBorders>
              <w:top w:val="nil"/>
              <w:left w:val="nil"/>
              <w:bottom w:val="nil"/>
              <w:right w:val="nil"/>
            </w:tcBorders>
            <w:hideMark/>
          </w:tcPr>
          <w:p w14:paraId="2EFFEB2A"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p>
        </w:tc>
        <w:tc>
          <w:tcPr>
            <w:tcW w:w="1091" w:type="pct"/>
            <w:tcBorders>
              <w:top w:val="nil"/>
              <w:left w:val="nil"/>
              <w:bottom w:val="nil"/>
              <w:right w:val="nil"/>
            </w:tcBorders>
            <w:hideMark/>
          </w:tcPr>
          <w:p w14:paraId="2AED6FC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2.8</w:t>
            </w:r>
          </w:p>
        </w:tc>
      </w:tr>
      <w:tr w:rsidR="008D48D1" w:rsidRPr="008D48D1" w14:paraId="18F1BBDF" w14:textId="77777777">
        <w:tc>
          <w:tcPr>
            <w:tcW w:w="2902" w:type="pct"/>
            <w:tcBorders>
              <w:top w:val="nil"/>
              <w:left w:val="nil"/>
              <w:bottom w:val="nil"/>
              <w:right w:val="nil"/>
            </w:tcBorders>
            <w:vAlign w:val="center"/>
            <w:hideMark/>
          </w:tcPr>
          <w:p w14:paraId="7CD16C2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09304914"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1C703D7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39AEF4CB" w14:textId="77777777">
        <w:tc>
          <w:tcPr>
            <w:tcW w:w="2902" w:type="pct"/>
            <w:tcBorders>
              <w:top w:val="nil"/>
              <w:left w:val="nil"/>
              <w:bottom w:val="nil"/>
              <w:right w:val="nil"/>
            </w:tcBorders>
            <w:hideMark/>
          </w:tcPr>
          <w:p w14:paraId="0CC106B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Sex</w:t>
            </w:r>
          </w:p>
        </w:tc>
        <w:tc>
          <w:tcPr>
            <w:tcW w:w="1006" w:type="pct"/>
            <w:tcBorders>
              <w:top w:val="nil"/>
              <w:left w:val="nil"/>
              <w:bottom w:val="nil"/>
              <w:right w:val="nil"/>
            </w:tcBorders>
          </w:tcPr>
          <w:p w14:paraId="642C91B8"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1CDF32DC"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58ED1094" w14:textId="77777777">
        <w:tc>
          <w:tcPr>
            <w:tcW w:w="2902" w:type="pct"/>
            <w:tcBorders>
              <w:top w:val="nil"/>
              <w:left w:val="nil"/>
              <w:bottom w:val="nil"/>
              <w:right w:val="nil"/>
            </w:tcBorders>
            <w:hideMark/>
          </w:tcPr>
          <w:p w14:paraId="07F1E58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Male</w:t>
            </w:r>
          </w:p>
        </w:tc>
        <w:tc>
          <w:tcPr>
            <w:tcW w:w="1006" w:type="pct"/>
            <w:tcBorders>
              <w:top w:val="nil"/>
              <w:left w:val="nil"/>
              <w:bottom w:val="nil"/>
              <w:right w:val="nil"/>
            </w:tcBorders>
            <w:hideMark/>
          </w:tcPr>
          <w:p w14:paraId="65FFB82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29</w:t>
            </w:r>
          </w:p>
        </w:tc>
        <w:tc>
          <w:tcPr>
            <w:tcW w:w="1091" w:type="pct"/>
            <w:tcBorders>
              <w:top w:val="nil"/>
              <w:left w:val="nil"/>
              <w:bottom w:val="nil"/>
              <w:right w:val="nil"/>
            </w:tcBorders>
            <w:hideMark/>
          </w:tcPr>
          <w:p w14:paraId="1E485B8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27.1</w:t>
            </w:r>
          </w:p>
        </w:tc>
      </w:tr>
      <w:tr w:rsidR="008D48D1" w:rsidRPr="008D48D1" w14:paraId="238F26F1" w14:textId="77777777">
        <w:tc>
          <w:tcPr>
            <w:tcW w:w="2902" w:type="pct"/>
            <w:tcBorders>
              <w:top w:val="nil"/>
              <w:left w:val="nil"/>
              <w:bottom w:val="nil"/>
              <w:right w:val="nil"/>
            </w:tcBorders>
            <w:hideMark/>
          </w:tcPr>
          <w:p w14:paraId="19A1EE3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Female</w:t>
            </w:r>
          </w:p>
        </w:tc>
        <w:tc>
          <w:tcPr>
            <w:tcW w:w="1006" w:type="pct"/>
            <w:tcBorders>
              <w:top w:val="nil"/>
              <w:left w:val="nil"/>
              <w:bottom w:val="nil"/>
              <w:right w:val="nil"/>
            </w:tcBorders>
            <w:hideMark/>
          </w:tcPr>
          <w:p w14:paraId="743D3FE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78</w:t>
            </w:r>
          </w:p>
        </w:tc>
        <w:tc>
          <w:tcPr>
            <w:tcW w:w="1091" w:type="pct"/>
            <w:tcBorders>
              <w:top w:val="nil"/>
              <w:left w:val="nil"/>
              <w:bottom w:val="nil"/>
              <w:right w:val="nil"/>
            </w:tcBorders>
            <w:hideMark/>
          </w:tcPr>
          <w:p w14:paraId="6CCA2F8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72.9</w:t>
            </w:r>
          </w:p>
        </w:tc>
      </w:tr>
      <w:tr w:rsidR="008D48D1" w:rsidRPr="008D48D1" w14:paraId="1CAAD879" w14:textId="77777777">
        <w:tc>
          <w:tcPr>
            <w:tcW w:w="2902" w:type="pct"/>
            <w:tcBorders>
              <w:top w:val="nil"/>
              <w:left w:val="nil"/>
              <w:bottom w:val="nil"/>
              <w:right w:val="nil"/>
            </w:tcBorders>
            <w:hideMark/>
          </w:tcPr>
          <w:p w14:paraId="45D5A2A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2FCC9B0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57636F1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35F9CE4A" w14:textId="77777777">
        <w:tc>
          <w:tcPr>
            <w:tcW w:w="2902" w:type="pct"/>
            <w:tcBorders>
              <w:top w:val="nil"/>
              <w:left w:val="nil"/>
              <w:bottom w:val="nil"/>
              <w:right w:val="nil"/>
            </w:tcBorders>
            <w:hideMark/>
          </w:tcPr>
          <w:p w14:paraId="613F561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Highest Educational Attainment</w:t>
            </w:r>
          </w:p>
        </w:tc>
        <w:tc>
          <w:tcPr>
            <w:tcW w:w="1006" w:type="pct"/>
            <w:tcBorders>
              <w:top w:val="nil"/>
              <w:left w:val="nil"/>
              <w:bottom w:val="nil"/>
              <w:right w:val="nil"/>
            </w:tcBorders>
          </w:tcPr>
          <w:p w14:paraId="55D7DDFE"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556C4758"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5EA12397" w14:textId="77777777">
        <w:trPr>
          <w:trHeight w:val="90"/>
        </w:trPr>
        <w:tc>
          <w:tcPr>
            <w:tcW w:w="2902" w:type="pct"/>
            <w:tcBorders>
              <w:top w:val="nil"/>
              <w:left w:val="nil"/>
              <w:bottom w:val="nil"/>
              <w:right w:val="nil"/>
            </w:tcBorders>
            <w:hideMark/>
          </w:tcPr>
          <w:p w14:paraId="4B6BC61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Bachelor’s Degree</w:t>
            </w:r>
          </w:p>
        </w:tc>
        <w:tc>
          <w:tcPr>
            <w:tcW w:w="1006" w:type="pct"/>
            <w:tcBorders>
              <w:top w:val="nil"/>
              <w:left w:val="nil"/>
              <w:bottom w:val="nil"/>
              <w:right w:val="nil"/>
            </w:tcBorders>
            <w:hideMark/>
          </w:tcPr>
          <w:p w14:paraId="009C79E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97</w:t>
            </w:r>
          </w:p>
        </w:tc>
        <w:tc>
          <w:tcPr>
            <w:tcW w:w="1091" w:type="pct"/>
            <w:tcBorders>
              <w:top w:val="nil"/>
              <w:left w:val="nil"/>
              <w:bottom w:val="nil"/>
              <w:right w:val="nil"/>
            </w:tcBorders>
            <w:hideMark/>
          </w:tcPr>
          <w:p w14:paraId="0DFDDA0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90.7</w:t>
            </w:r>
          </w:p>
        </w:tc>
      </w:tr>
      <w:tr w:rsidR="008D48D1" w:rsidRPr="008D48D1" w14:paraId="62827644" w14:textId="77777777">
        <w:trPr>
          <w:trHeight w:val="90"/>
        </w:trPr>
        <w:tc>
          <w:tcPr>
            <w:tcW w:w="2902" w:type="pct"/>
            <w:tcBorders>
              <w:top w:val="nil"/>
              <w:left w:val="nil"/>
              <w:bottom w:val="nil"/>
              <w:right w:val="nil"/>
            </w:tcBorders>
            <w:hideMark/>
          </w:tcPr>
          <w:p w14:paraId="66DF4B4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Masteral Level</w:t>
            </w:r>
          </w:p>
        </w:tc>
        <w:tc>
          <w:tcPr>
            <w:tcW w:w="1006" w:type="pct"/>
            <w:tcBorders>
              <w:top w:val="nil"/>
              <w:left w:val="nil"/>
              <w:bottom w:val="nil"/>
              <w:right w:val="nil"/>
            </w:tcBorders>
            <w:hideMark/>
          </w:tcPr>
          <w:p w14:paraId="1F57EF36"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w:t>
            </w:r>
          </w:p>
        </w:tc>
        <w:tc>
          <w:tcPr>
            <w:tcW w:w="1091" w:type="pct"/>
            <w:tcBorders>
              <w:top w:val="nil"/>
              <w:left w:val="nil"/>
              <w:bottom w:val="nil"/>
              <w:right w:val="nil"/>
            </w:tcBorders>
            <w:hideMark/>
          </w:tcPr>
          <w:p w14:paraId="0B80AD3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6.5</w:t>
            </w:r>
          </w:p>
        </w:tc>
      </w:tr>
      <w:tr w:rsidR="008D48D1" w:rsidRPr="008D48D1" w14:paraId="2488BC54" w14:textId="77777777">
        <w:trPr>
          <w:trHeight w:val="90"/>
        </w:trPr>
        <w:tc>
          <w:tcPr>
            <w:tcW w:w="2902" w:type="pct"/>
            <w:tcBorders>
              <w:top w:val="nil"/>
              <w:left w:val="nil"/>
              <w:bottom w:val="nil"/>
              <w:right w:val="nil"/>
            </w:tcBorders>
            <w:hideMark/>
          </w:tcPr>
          <w:p w14:paraId="41FFF3A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Masteral Graduate</w:t>
            </w:r>
          </w:p>
        </w:tc>
        <w:tc>
          <w:tcPr>
            <w:tcW w:w="1006" w:type="pct"/>
            <w:tcBorders>
              <w:top w:val="nil"/>
              <w:left w:val="nil"/>
              <w:bottom w:val="nil"/>
              <w:right w:val="nil"/>
            </w:tcBorders>
            <w:hideMark/>
          </w:tcPr>
          <w:p w14:paraId="13325B0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p>
        </w:tc>
        <w:tc>
          <w:tcPr>
            <w:tcW w:w="1091" w:type="pct"/>
            <w:tcBorders>
              <w:top w:val="nil"/>
              <w:left w:val="nil"/>
              <w:bottom w:val="nil"/>
              <w:right w:val="nil"/>
            </w:tcBorders>
            <w:hideMark/>
          </w:tcPr>
          <w:p w14:paraId="0DDAF8D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2.8</w:t>
            </w:r>
          </w:p>
        </w:tc>
      </w:tr>
      <w:tr w:rsidR="008D48D1" w:rsidRPr="008D48D1" w14:paraId="2A411E6E" w14:textId="77777777">
        <w:trPr>
          <w:trHeight w:val="90"/>
        </w:trPr>
        <w:tc>
          <w:tcPr>
            <w:tcW w:w="2902" w:type="pct"/>
            <w:tcBorders>
              <w:top w:val="nil"/>
              <w:left w:val="nil"/>
              <w:bottom w:val="nil"/>
              <w:right w:val="nil"/>
            </w:tcBorders>
            <w:hideMark/>
          </w:tcPr>
          <w:p w14:paraId="2CAD97C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1AA4FFD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46F7C4A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4BEF1379" w14:textId="77777777">
        <w:trPr>
          <w:trHeight w:val="235"/>
        </w:trPr>
        <w:tc>
          <w:tcPr>
            <w:tcW w:w="2902" w:type="pct"/>
            <w:tcBorders>
              <w:top w:val="nil"/>
              <w:left w:val="nil"/>
              <w:bottom w:val="nil"/>
              <w:right w:val="nil"/>
            </w:tcBorders>
            <w:hideMark/>
          </w:tcPr>
          <w:p w14:paraId="1F3925EC"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ACLS Certification Status</w:t>
            </w:r>
          </w:p>
        </w:tc>
        <w:tc>
          <w:tcPr>
            <w:tcW w:w="1006" w:type="pct"/>
            <w:tcBorders>
              <w:top w:val="nil"/>
              <w:left w:val="nil"/>
              <w:bottom w:val="nil"/>
              <w:right w:val="nil"/>
            </w:tcBorders>
          </w:tcPr>
          <w:p w14:paraId="6E709EE8"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718D11C1"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3AA24240" w14:textId="77777777">
        <w:tc>
          <w:tcPr>
            <w:tcW w:w="2902" w:type="pct"/>
            <w:tcBorders>
              <w:top w:val="nil"/>
              <w:left w:val="nil"/>
              <w:bottom w:val="nil"/>
              <w:right w:val="nil"/>
            </w:tcBorders>
            <w:hideMark/>
          </w:tcPr>
          <w:p w14:paraId="2DCAD443"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Certified</w:t>
            </w:r>
          </w:p>
        </w:tc>
        <w:tc>
          <w:tcPr>
            <w:tcW w:w="1006" w:type="pct"/>
            <w:tcBorders>
              <w:top w:val="nil"/>
              <w:left w:val="nil"/>
              <w:bottom w:val="nil"/>
              <w:right w:val="nil"/>
            </w:tcBorders>
            <w:hideMark/>
          </w:tcPr>
          <w:p w14:paraId="593DD6D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106</w:t>
            </w:r>
          </w:p>
        </w:tc>
        <w:tc>
          <w:tcPr>
            <w:tcW w:w="1091" w:type="pct"/>
            <w:tcBorders>
              <w:top w:val="nil"/>
              <w:left w:val="nil"/>
              <w:bottom w:val="nil"/>
              <w:right w:val="nil"/>
            </w:tcBorders>
            <w:hideMark/>
          </w:tcPr>
          <w:p w14:paraId="3468FC4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99.1</w:t>
            </w:r>
          </w:p>
        </w:tc>
      </w:tr>
      <w:tr w:rsidR="008D48D1" w:rsidRPr="008D48D1" w14:paraId="67B0B10E" w14:textId="77777777">
        <w:tc>
          <w:tcPr>
            <w:tcW w:w="2902" w:type="pct"/>
            <w:tcBorders>
              <w:top w:val="nil"/>
              <w:left w:val="nil"/>
              <w:bottom w:val="nil"/>
              <w:right w:val="nil"/>
            </w:tcBorders>
            <w:hideMark/>
          </w:tcPr>
          <w:p w14:paraId="7DD455A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Not certified</w:t>
            </w:r>
          </w:p>
        </w:tc>
        <w:tc>
          <w:tcPr>
            <w:tcW w:w="1006" w:type="pct"/>
            <w:tcBorders>
              <w:top w:val="nil"/>
              <w:left w:val="nil"/>
              <w:bottom w:val="nil"/>
              <w:right w:val="nil"/>
            </w:tcBorders>
            <w:hideMark/>
          </w:tcPr>
          <w:p w14:paraId="55E70803"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w:t>
            </w:r>
          </w:p>
        </w:tc>
        <w:tc>
          <w:tcPr>
            <w:tcW w:w="1091" w:type="pct"/>
            <w:tcBorders>
              <w:top w:val="nil"/>
              <w:left w:val="nil"/>
              <w:bottom w:val="nil"/>
              <w:right w:val="nil"/>
            </w:tcBorders>
            <w:hideMark/>
          </w:tcPr>
          <w:p w14:paraId="1B2B503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.9</w:t>
            </w:r>
          </w:p>
        </w:tc>
      </w:tr>
      <w:tr w:rsidR="008D48D1" w:rsidRPr="008D48D1" w14:paraId="1865EACA" w14:textId="77777777">
        <w:tc>
          <w:tcPr>
            <w:tcW w:w="2902" w:type="pct"/>
            <w:tcBorders>
              <w:top w:val="nil"/>
              <w:left w:val="nil"/>
              <w:bottom w:val="nil"/>
              <w:right w:val="nil"/>
            </w:tcBorders>
            <w:hideMark/>
          </w:tcPr>
          <w:p w14:paraId="008561F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180B3E0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0258815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44C75979" w14:textId="77777777">
        <w:tc>
          <w:tcPr>
            <w:tcW w:w="2902" w:type="pct"/>
            <w:tcBorders>
              <w:top w:val="nil"/>
              <w:left w:val="nil"/>
              <w:bottom w:val="nil"/>
              <w:right w:val="nil"/>
            </w:tcBorders>
            <w:hideMark/>
          </w:tcPr>
          <w:p w14:paraId="18ED07D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Frequency of Simulation Training</w:t>
            </w:r>
          </w:p>
        </w:tc>
        <w:tc>
          <w:tcPr>
            <w:tcW w:w="1006" w:type="pct"/>
            <w:tcBorders>
              <w:top w:val="nil"/>
              <w:left w:val="nil"/>
              <w:bottom w:val="nil"/>
              <w:right w:val="nil"/>
            </w:tcBorders>
          </w:tcPr>
          <w:p w14:paraId="58536C28"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13692BF0"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667C5B58" w14:textId="77777777">
        <w:tc>
          <w:tcPr>
            <w:tcW w:w="2902" w:type="pct"/>
            <w:tcBorders>
              <w:top w:val="nil"/>
              <w:left w:val="nil"/>
              <w:bottom w:val="nil"/>
              <w:right w:val="nil"/>
            </w:tcBorders>
            <w:hideMark/>
          </w:tcPr>
          <w:p w14:paraId="2EC0552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Monthly</w:t>
            </w:r>
          </w:p>
        </w:tc>
        <w:tc>
          <w:tcPr>
            <w:tcW w:w="1006" w:type="pct"/>
            <w:tcBorders>
              <w:top w:val="nil"/>
              <w:left w:val="nil"/>
              <w:bottom w:val="nil"/>
              <w:right w:val="nil"/>
            </w:tcBorders>
            <w:hideMark/>
          </w:tcPr>
          <w:p w14:paraId="238F2C4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11</w:t>
            </w:r>
          </w:p>
        </w:tc>
        <w:tc>
          <w:tcPr>
            <w:tcW w:w="1091" w:type="pct"/>
            <w:tcBorders>
              <w:top w:val="nil"/>
              <w:left w:val="nil"/>
              <w:bottom w:val="nil"/>
              <w:right w:val="nil"/>
            </w:tcBorders>
            <w:hideMark/>
          </w:tcPr>
          <w:p w14:paraId="46A296B4"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10.3</w:t>
            </w:r>
          </w:p>
        </w:tc>
      </w:tr>
      <w:tr w:rsidR="008D48D1" w:rsidRPr="008D48D1" w14:paraId="1C32EFC2" w14:textId="77777777">
        <w:tc>
          <w:tcPr>
            <w:tcW w:w="2902" w:type="pct"/>
            <w:tcBorders>
              <w:top w:val="nil"/>
              <w:left w:val="nil"/>
              <w:bottom w:val="nil"/>
              <w:right w:val="nil"/>
            </w:tcBorders>
            <w:hideMark/>
          </w:tcPr>
          <w:p w14:paraId="4BC924A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Quarterly</w:t>
            </w:r>
          </w:p>
        </w:tc>
        <w:tc>
          <w:tcPr>
            <w:tcW w:w="1006" w:type="pct"/>
            <w:tcBorders>
              <w:top w:val="nil"/>
              <w:left w:val="nil"/>
              <w:bottom w:val="nil"/>
              <w:right w:val="nil"/>
            </w:tcBorders>
            <w:hideMark/>
          </w:tcPr>
          <w:p w14:paraId="7E8FBA6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15</w:t>
            </w:r>
          </w:p>
        </w:tc>
        <w:tc>
          <w:tcPr>
            <w:tcW w:w="1091" w:type="pct"/>
            <w:tcBorders>
              <w:top w:val="nil"/>
              <w:left w:val="nil"/>
              <w:bottom w:val="nil"/>
              <w:right w:val="nil"/>
            </w:tcBorders>
            <w:hideMark/>
          </w:tcPr>
          <w:p w14:paraId="6AF0352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14.0</w:t>
            </w:r>
          </w:p>
        </w:tc>
      </w:tr>
      <w:tr w:rsidR="008D48D1" w:rsidRPr="008D48D1" w14:paraId="0C30F8D0" w14:textId="77777777">
        <w:tc>
          <w:tcPr>
            <w:tcW w:w="2902" w:type="pct"/>
            <w:tcBorders>
              <w:top w:val="nil"/>
              <w:left w:val="nil"/>
              <w:bottom w:val="nil"/>
              <w:right w:val="nil"/>
            </w:tcBorders>
            <w:hideMark/>
          </w:tcPr>
          <w:p w14:paraId="6924A4F0"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Annually</w:t>
            </w:r>
          </w:p>
        </w:tc>
        <w:tc>
          <w:tcPr>
            <w:tcW w:w="1006" w:type="pct"/>
            <w:tcBorders>
              <w:top w:val="nil"/>
              <w:left w:val="nil"/>
              <w:bottom w:val="nil"/>
              <w:right w:val="nil"/>
            </w:tcBorders>
            <w:hideMark/>
          </w:tcPr>
          <w:p w14:paraId="3DD8859F"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81</w:t>
            </w:r>
          </w:p>
        </w:tc>
        <w:tc>
          <w:tcPr>
            <w:tcW w:w="1091" w:type="pct"/>
            <w:tcBorders>
              <w:top w:val="nil"/>
              <w:left w:val="nil"/>
              <w:bottom w:val="nil"/>
              <w:right w:val="nil"/>
            </w:tcBorders>
            <w:hideMark/>
          </w:tcPr>
          <w:p w14:paraId="368AF6F5"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75.7</w:t>
            </w:r>
          </w:p>
        </w:tc>
      </w:tr>
      <w:tr w:rsidR="008D48D1" w:rsidRPr="008D48D1" w14:paraId="3CF0191E" w14:textId="77777777">
        <w:tc>
          <w:tcPr>
            <w:tcW w:w="2902" w:type="pct"/>
            <w:tcBorders>
              <w:top w:val="nil"/>
              <w:left w:val="nil"/>
              <w:bottom w:val="nil"/>
              <w:right w:val="nil"/>
            </w:tcBorders>
            <w:hideMark/>
          </w:tcPr>
          <w:p w14:paraId="4DC5F4F1"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nil"/>
              <w:right w:val="nil"/>
            </w:tcBorders>
            <w:hideMark/>
          </w:tcPr>
          <w:p w14:paraId="3E528FE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006850C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r w:rsidR="008D48D1" w:rsidRPr="008D48D1" w14:paraId="70820862" w14:textId="77777777">
        <w:tc>
          <w:tcPr>
            <w:tcW w:w="2902" w:type="pct"/>
            <w:tcBorders>
              <w:top w:val="nil"/>
              <w:left w:val="nil"/>
              <w:bottom w:val="nil"/>
              <w:right w:val="nil"/>
            </w:tcBorders>
            <w:hideMark/>
          </w:tcPr>
          <w:p w14:paraId="62007588"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Participation in any cardiac arrest management/Code Blue Simulation within the last year</w:t>
            </w:r>
          </w:p>
        </w:tc>
        <w:tc>
          <w:tcPr>
            <w:tcW w:w="1006" w:type="pct"/>
            <w:tcBorders>
              <w:top w:val="nil"/>
              <w:left w:val="nil"/>
              <w:bottom w:val="nil"/>
              <w:right w:val="nil"/>
            </w:tcBorders>
          </w:tcPr>
          <w:p w14:paraId="46A9BE45"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78F52B10"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658B4875" w14:textId="77777777">
        <w:tc>
          <w:tcPr>
            <w:tcW w:w="2902" w:type="pct"/>
            <w:tcBorders>
              <w:top w:val="nil"/>
              <w:left w:val="nil"/>
              <w:bottom w:val="nil"/>
              <w:right w:val="nil"/>
            </w:tcBorders>
            <w:hideMark/>
          </w:tcPr>
          <w:p w14:paraId="4788964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Yes</w:t>
            </w:r>
          </w:p>
        </w:tc>
        <w:tc>
          <w:tcPr>
            <w:tcW w:w="1006" w:type="pct"/>
            <w:tcBorders>
              <w:top w:val="nil"/>
              <w:left w:val="nil"/>
              <w:bottom w:val="nil"/>
              <w:right w:val="nil"/>
            </w:tcBorders>
            <w:hideMark/>
          </w:tcPr>
          <w:p w14:paraId="5DFB0E2B"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nil"/>
              <w:right w:val="nil"/>
            </w:tcBorders>
            <w:hideMark/>
          </w:tcPr>
          <w:p w14:paraId="035B6DA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100.00</w:t>
            </w:r>
          </w:p>
        </w:tc>
      </w:tr>
      <w:tr w:rsidR="008D48D1" w:rsidRPr="008D48D1" w14:paraId="61D870FF" w14:textId="77777777">
        <w:tc>
          <w:tcPr>
            <w:tcW w:w="2902" w:type="pct"/>
            <w:tcBorders>
              <w:top w:val="nil"/>
              <w:left w:val="nil"/>
              <w:bottom w:val="nil"/>
              <w:right w:val="nil"/>
            </w:tcBorders>
          </w:tcPr>
          <w:p w14:paraId="2B679CB4" w14:textId="77777777" w:rsidR="008D48D1" w:rsidRPr="008D48D1" w:rsidRDefault="008D48D1" w:rsidP="008D48D1">
            <w:pPr>
              <w:rPr>
                <w:rFonts w:ascii="Arial" w:eastAsia="Aptos" w:hAnsi="Arial" w:cs="Arial"/>
                <w:b/>
                <w:bCs/>
                <w:kern w:val="2"/>
                <w:sz w:val="20"/>
                <w:szCs w:val="20"/>
                <w:lang w:val="en-PH" w:eastAsia="zh-CN" w:bidi="ar"/>
              </w:rPr>
            </w:pPr>
          </w:p>
        </w:tc>
        <w:tc>
          <w:tcPr>
            <w:tcW w:w="1006" w:type="pct"/>
            <w:tcBorders>
              <w:top w:val="nil"/>
              <w:left w:val="nil"/>
              <w:bottom w:val="nil"/>
              <w:right w:val="nil"/>
            </w:tcBorders>
          </w:tcPr>
          <w:p w14:paraId="40F363F5" w14:textId="77777777" w:rsidR="008D48D1" w:rsidRPr="008D48D1" w:rsidRDefault="008D48D1" w:rsidP="008D48D1">
            <w:pPr>
              <w:rPr>
                <w:rFonts w:ascii="Arial" w:eastAsia="Aptos" w:hAnsi="Arial" w:cs="Arial"/>
                <w:b/>
                <w:bCs/>
                <w:kern w:val="2"/>
                <w:sz w:val="20"/>
                <w:szCs w:val="20"/>
                <w:lang w:val="en-PH" w:eastAsia="zh-CN" w:bidi="ar"/>
              </w:rPr>
            </w:pPr>
          </w:p>
        </w:tc>
        <w:tc>
          <w:tcPr>
            <w:tcW w:w="1091" w:type="pct"/>
            <w:tcBorders>
              <w:top w:val="nil"/>
              <w:left w:val="nil"/>
              <w:bottom w:val="nil"/>
              <w:right w:val="nil"/>
            </w:tcBorders>
          </w:tcPr>
          <w:p w14:paraId="544E7B2E" w14:textId="77777777" w:rsidR="008D48D1" w:rsidRPr="008D48D1" w:rsidRDefault="008D48D1" w:rsidP="008D48D1">
            <w:pPr>
              <w:rPr>
                <w:rFonts w:ascii="Arial" w:eastAsia="Aptos" w:hAnsi="Arial" w:cs="Arial"/>
                <w:b/>
                <w:bCs/>
                <w:kern w:val="2"/>
                <w:sz w:val="20"/>
                <w:szCs w:val="20"/>
                <w:lang w:val="en-PH" w:eastAsia="zh-CN" w:bidi="ar"/>
              </w:rPr>
            </w:pPr>
          </w:p>
        </w:tc>
      </w:tr>
      <w:tr w:rsidR="008D48D1" w:rsidRPr="008D48D1" w14:paraId="77202CC8" w14:textId="77777777">
        <w:tc>
          <w:tcPr>
            <w:tcW w:w="2902" w:type="pct"/>
            <w:tcBorders>
              <w:top w:val="nil"/>
              <w:left w:val="nil"/>
              <w:bottom w:val="single" w:sz="4" w:space="0" w:color="auto"/>
              <w:right w:val="nil"/>
            </w:tcBorders>
            <w:hideMark/>
          </w:tcPr>
          <w:p w14:paraId="4773C5F2"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Total</w:t>
            </w:r>
          </w:p>
        </w:tc>
        <w:tc>
          <w:tcPr>
            <w:tcW w:w="1006" w:type="pct"/>
            <w:tcBorders>
              <w:top w:val="nil"/>
              <w:left w:val="nil"/>
              <w:bottom w:val="single" w:sz="4" w:space="0" w:color="auto"/>
              <w:right w:val="nil"/>
            </w:tcBorders>
            <w:hideMark/>
          </w:tcPr>
          <w:p w14:paraId="3F7DB08D"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107</w:t>
            </w:r>
          </w:p>
        </w:tc>
        <w:tc>
          <w:tcPr>
            <w:tcW w:w="1091" w:type="pct"/>
            <w:tcBorders>
              <w:top w:val="nil"/>
              <w:left w:val="nil"/>
              <w:bottom w:val="single" w:sz="4" w:space="0" w:color="auto"/>
              <w:right w:val="nil"/>
            </w:tcBorders>
            <w:hideMark/>
          </w:tcPr>
          <w:p w14:paraId="53EAF0AE" w14:textId="77777777" w:rsidR="008D48D1" w:rsidRPr="008D48D1" w:rsidRDefault="008D48D1" w:rsidP="008D48D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100.0</w:t>
            </w:r>
          </w:p>
        </w:tc>
      </w:tr>
    </w:tbl>
    <w:p w14:paraId="17B03C55" w14:textId="77777777" w:rsidR="008D48D1" w:rsidRPr="003F1191" w:rsidRDefault="008D48D1">
      <w:pPr>
        <w:rPr>
          <w:rFonts w:ascii="Arial" w:eastAsia="Aptos" w:hAnsi="Arial" w:cs="Arial"/>
          <w:b/>
          <w:bCs/>
          <w:kern w:val="2"/>
          <w:lang w:eastAsia="zh-CN" w:bidi="ar"/>
        </w:rPr>
      </w:pPr>
    </w:p>
    <w:p w14:paraId="7DDEF61D"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lastRenderedPageBreak/>
        <w:t>Most respondents were mid-career nurses, primarily aged 32–47, indicating a workforce with established clinical competence and ongoing professional development. The sample was predominantly female, consistent with global nursing demographics. Most held bachelor’s degrees, with few having advanced education, suggesting adequate baseline qualification but limited higher-level specialization.</w:t>
      </w:r>
    </w:p>
    <w:p w14:paraId="6D94B1DD"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Nearly all respondents were ACLS-certified and had participated in recent cardiac arrest or code blue simulations, reflecting strong institutional emphasis on emergency preparedness. However, simulation exposure was largely annual, with fewer nurses engaging in more frequent training. While this indicates structured training, it may limit skill retention and consistency over time.</w:t>
      </w:r>
    </w:p>
    <w:p w14:paraId="7C786AE2"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The findings suggest that although nurses demonstrate high levels of knowledge, skills, and self-efficacy, these may be influenced not only by simulation but also by prior experience. Notably, simulation quality—particularly facilitation and debriefing—was found to be more influential than frequency alone. Nonetheless, limited exposure may affect long-term competency development, indicating the need for more frequent simulation to strengthen learning outcomes.</w:t>
      </w:r>
    </w:p>
    <w:p w14:paraId="32A96D31" w14:textId="77777777" w:rsidR="008D48D1" w:rsidRPr="008D48D1" w:rsidRDefault="008D48D1" w:rsidP="003F1191">
      <w:pPr>
        <w:jc w:val="both"/>
        <w:rPr>
          <w:rFonts w:ascii="Arial" w:eastAsia="Aptos" w:hAnsi="Arial" w:cs="Arial"/>
          <w:kern w:val="2"/>
          <w:lang w:val="en-PH" w:eastAsia="zh-CN" w:bidi="ar"/>
        </w:rPr>
      </w:pPr>
      <w:r w:rsidRPr="008D48D1">
        <w:rPr>
          <w:rFonts w:ascii="Arial" w:eastAsia="Aptos" w:hAnsi="Arial" w:cs="Arial"/>
          <w:kern w:val="2"/>
          <w:lang w:val="en-PH" w:eastAsia="zh-CN" w:bidi="ar"/>
        </w:rPr>
        <w:t xml:space="preserve">Overall, the respondents represent a competent and well-prepared CICU nursing population, though opportunities for repeated simulation practice remain limited and may impact sustained clinical performance. </w:t>
      </w:r>
    </w:p>
    <w:p w14:paraId="13410CB2" w14:textId="77777777" w:rsidR="008D48D1" w:rsidRPr="003F1191" w:rsidRDefault="008D48D1">
      <w:pPr>
        <w:rPr>
          <w:rFonts w:ascii="Arial" w:eastAsia="Aptos" w:hAnsi="Arial" w:cs="Arial"/>
          <w:b/>
          <w:bCs/>
          <w:kern w:val="2"/>
          <w:lang w:eastAsia="zh-CN" w:bidi="ar"/>
        </w:rPr>
      </w:pPr>
    </w:p>
    <w:p w14:paraId="5999FFB7" w14:textId="77777777" w:rsidR="008D48D1" w:rsidRPr="003F1191" w:rsidRDefault="008D48D1">
      <w:pPr>
        <w:rPr>
          <w:rFonts w:ascii="Arial" w:eastAsia="Aptos" w:hAnsi="Arial" w:cs="Arial"/>
          <w:b/>
          <w:bCs/>
          <w:kern w:val="2"/>
          <w:lang w:eastAsia="zh-CN" w:bidi="ar"/>
        </w:rPr>
      </w:pPr>
    </w:p>
    <w:p w14:paraId="765BA195" w14:textId="77777777"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Table </w:t>
      </w:r>
      <w:r w:rsidRPr="003F1191">
        <w:rPr>
          <w:rFonts w:ascii="Arial" w:eastAsia="Aptos" w:hAnsi="Arial" w:cs="Arial"/>
          <w:b/>
          <w:bCs/>
          <w:kern w:val="2"/>
          <w:lang w:val="en-PH" w:eastAsia="zh-CN" w:bidi="ar"/>
        </w:rPr>
        <w:t>2</w:t>
      </w:r>
    </w:p>
    <w:p w14:paraId="3452D262" w14:textId="77777777"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w:t>
      </w:r>
      <w:r w:rsidRPr="008D48D1">
        <w:rPr>
          <w:rFonts w:ascii="Arial" w:eastAsia="Aptos" w:hAnsi="Arial" w:cs="Arial"/>
          <w:b/>
          <w:bCs/>
          <w:i/>
          <w:iCs/>
          <w:kern w:val="2"/>
          <w:lang w:val="en-PH" w:eastAsia="zh-CN" w:bidi="ar"/>
        </w:rPr>
        <w:t xml:space="preserve"> Role of Simulation-Based Training (SBT)</w:t>
      </w:r>
    </w:p>
    <w:tbl>
      <w:tblPr>
        <w:tblStyle w:val="TableGrid"/>
        <w:tblW w:w="0" w:type="auto"/>
        <w:jc w:val="center"/>
        <w:tblLook w:val="04A0" w:firstRow="1" w:lastRow="0" w:firstColumn="1" w:lastColumn="0" w:noHBand="0" w:noVBand="1"/>
      </w:tblPr>
      <w:tblGrid>
        <w:gridCol w:w="3590"/>
        <w:gridCol w:w="1211"/>
        <w:gridCol w:w="1696"/>
        <w:gridCol w:w="1923"/>
      </w:tblGrid>
      <w:tr w:rsidR="00343427" w:rsidRPr="003F1191" w14:paraId="00F6B883"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685DB9D0"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6EAE53F3"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30D786FE"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57627F89" w14:textId="77777777" w:rsidR="00343427" w:rsidRPr="008D48D1" w:rsidRDefault="00343427" w:rsidP="00852E51">
            <w:pPr>
              <w:rPr>
                <w:rFonts w:ascii="Arial" w:eastAsia="Aptos" w:hAnsi="Arial" w:cs="Arial"/>
                <w:b/>
                <w:bCs/>
                <w:kern w:val="2"/>
                <w:sz w:val="20"/>
                <w:szCs w:val="20"/>
                <w:lang w:val="en-PH" w:eastAsia="zh-CN" w:bidi="ar"/>
              </w:rPr>
            </w:pPr>
          </w:p>
          <w:p w14:paraId="78C38C9F"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1F3FB167" w14:textId="77777777" w:rsidTr="00852E51">
        <w:trPr>
          <w:trHeight w:val="19"/>
          <w:jc w:val="center"/>
        </w:trPr>
        <w:tc>
          <w:tcPr>
            <w:tcW w:w="0" w:type="auto"/>
            <w:tcBorders>
              <w:top w:val="single" w:sz="4" w:space="0" w:color="auto"/>
              <w:left w:val="nil"/>
              <w:bottom w:val="nil"/>
              <w:right w:val="nil"/>
            </w:tcBorders>
            <w:vAlign w:val="center"/>
            <w:hideMark/>
          </w:tcPr>
          <w:p w14:paraId="141119BD"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Background</w:t>
            </w:r>
          </w:p>
        </w:tc>
        <w:tc>
          <w:tcPr>
            <w:tcW w:w="0" w:type="auto"/>
            <w:tcBorders>
              <w:top w:val="single" w:sz="4" w:space="0" w:color="auto"/>
              <w:left w:val="nil"/>
              <w:bottom w:val="nil"/>
              <w:right w:val="nil"/>
            </w:tcBorders>
            <w:vAlign w:val="center"/>
            <w:hideMark/>
          </w:tcPr>
          <w:p w14:paraId="6F151836"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44</w:t>
            </w:r>
          </w:p>
        </w:tc>
        <w:tc>
          <w:tcPr>
            <w:tcW w:w="0" w:type="auto"/>
            <w:tcBorders>
              <w:top w:val="single" w:sz="4" w:space="0" w:color="auto"/>
              <w:left w:val="nil"/>
              <w:bottom w:val="nil"/>
              <w:right w:val="nil"/>
            </w:tcBorders>
            <w:vAlign w:val="center"/>
            <w:hideMark/>
          </w:tcPr>
          <w:p w14:paraId="174ECFEF"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458BCCE1"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r w:rsidR="00343427" w:rsidRPr="003F1191" w14:paraId="09BFAB41" w14:textId="77777777" w:rsidTr="00852E51">
        <w:trPr>
          <w:trHeight w:val="19"/>
          <w:jc w:val="center"/>
        </w:trPr>
        <w:tc>
          <w:tcPr>
            <w:tcW w:w="0" w:type="auto"/>
            <w:tcBorders>
              <w:top w:val="nil"/>
              <w:left w:val="nil"/>
              <w:bottom w:val="nil"/>
              <w:right w:val="nil"/>
            </w:tcBorders>
            <w:vAlign w:val="center"/>
            <w:hideMark/>
          </w:tcPr>
          <w:p w14:paraId="698571D7"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Design Characteristics</w:t>
            </w:r>
          </w:p>
        </w:tc>
        <w:tc>
          <w:tcPr>
            <w:tcW w:w="0" w:type="auto"/>
            <w:tcBorders>
              <w:top w:val="nil"/>
              <w:left w:val="nil"/>
              <w:bottom w:val="nil"/>
              <w:right w:val="nil"/>
            </w:tcBorders>
            <w:vAlign w:val="center"/>
            <w:hideMark/>
          </w:tcPr>
          <w:p w14:paraId="3F6D3280"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49</w:t>
            </w:r>
          </w:p>
        </w:tc>
        <w:tc>
          <w:tcPr>
            <w:tcW w:w="0" w:type="auto"/>
            <w:tcBorders>
              <w:top w:val="nil"/>
              <w:left w:val="nil"/>
              <w:bottom w:val="nil"/>
              <w:right w:val="nil"/>
            </w:tcBorders>
            <w:vAlign w:val="center"/>
            <w:hideMark/>
          </w:tcPr>
          <w:p w14:paraId="5B3739D5"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70B27858"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r w:rsidR="00343427" w:rsidRPr="003F1191" w14:paraId="5140A239" w14:textId="77777777" w:rsidTr="00852E51">
        <w:trPr>
          <w:trHeight w:val="19"/>
          <w:jc w:val="center"/>
        </w:trPr>
        <w:tc>
          <w:tcPr>
            <w:tcW w:w="0" w:type="auto"/>
            <w:tcBorders>
              <w:top w:val="nil"/>
              <w:left w:val="nil"/>
              <w:bottom w:val="nil"/>
              <w:right w:val="nil"/>
            </w:tcBorders>
            <w:vAlign w:val="center"/>
            <w:hideMark/>
          </w:tcPr>
          <w:p w14:paraId="191983A7"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Simulation Experiences</w:t>
            </w:r>
          </w:p>
        </w:tc>
        <w:tc>
          <w:tcPr>
            <w:tcW w:w="0" w:type="auto"/>
            <w:tcBorders>
              <w:top w:val="nil"/>
              <w:left w:val="nil"/>
              <w:bottom w:val="nil"/>
              <w:right w:val="nil"/>
            </w:tcBorders>
            <w:vAlign w:val="center"/>
            <w:hideMark/>
          </w:tcPr>
          <w:p w14:paraId="02DC6980"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49</w:t>
            </w:r>
          </w:p>
        </w:tc>
        <w:tc>
          <w:tcPr>
            <w:tcW w:w="0" w:type="auto"/>
            <w:tcBorders>
              <w:top w:val="nil"/>
              <w:left w:val="nil"/>
              <w:bottom w:val="nil"/>
              <w:right w:val="nil"/>
            </w:tcBorders>
            <w:vAlign w:val="center"/>
            <w:hideMark/>
          </w:tcPr>
          <w:p w14:paraId="5CC80015"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7FB80264"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r w:rsidR="00343427" w:rsidRPr="003F1191" w14:paraId="10801446" w14:textId="77777777" w:rsidTr="00852E51">
        <w:trPr>
          <w:trHeight w:val="19"/>
          <w:jc w:val="center"/>
        </w:trPr>
        <w:tc>
          <w:tcPr>
            <w:tcW w:w="0" w:type="auto"/>
            <w:tcBorders>
              <w:top w:val="nil"/>
              <w:left w:val="nil"/>
              <w:bottom w:val="single" w:sz="4" w:space="0" w:color="auto"/>
              <w:right w:val="nil"/>
            </w:tcBorders>
            <w:vAlign w:val="center"/>
          </w:tcPr>
          <w:p w14:paraId="379C5420" w14:textId="77777777"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Facilitation and Debriefing Strategies</w:t>
            </w:r>
          </w:p>
        </w:tc>
        <w:tc>
          <w:tcPr>
            <w:tcW w:w="0" w:type="auto"/>
            <w:tcBorders>
              <w:top w:val="nil"/>
              <w:left w:val="nil"/>
              <w:bottom w:val="single" w:sz="4" w:space="0" w:color="auto"/>
              <w:right w:val="nil"/>
            </w:tcBorders>
            <w:vAlign w:val="center"/>
            <w:hideMark/>
          </w:tcPr>
          <w:p w14:paraId="03542D4A"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3.45</w:t>
            </w:r>
          </w:p>
        </w:tc>
        <w:tc>
          <w:tcPr>
            <w:tcW w:w="0" w:type="auto"/>
            <w:tcBorders>
              <w:top w:val="nil"/>
              <w:left w:val="nil"/>
              <w:bottom w:val="single" w:sz="4" w:space="0" w:color="auto"/>
              <w:right w:val="nil"/>
            </w:tcBorders>
            <w:vAlign w:val="center"/>
            <w:hideMark/>
          </w:tcPr>
          <w:p w14:paraId="4F5A254E"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50560EBC"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Very High Perception</w:t>
            </w:r>
          </w:p>
        </w:tc>
      </w:tr>
    </w:tbl>
    <w:p w14:paraId="1C9669F8" w14:textId="77777777" w:rsidR="00343427" w:rsidRPr="008D48D1" w:rsidRDefault="00343427" w:rsidP="00343427">
      <w:pPr>
        <w:rPr>
          <w:rFonts w:ascii="Arial" w:eastAsia="Aptos" w:hAnsi="Arial" w:cs="Arial"/>
          <w:i/>
          <w:iCs/>
          <w:kern w:val="2"/>
          <w:lang w:val="en-PH" w:eastAsia="zh-CN" w:bidi="ar"/>
        </w:rPr>
      </w:pPr>
      <w:r w:rsidRPr="008D48D1">
        <w:rPr>
          <w:rFonts w:ascii="Arial" w:eastAsia="Aptos" w:hAnsi="Arial" w:cs="Arial"/>
          <w:i/>
          <w:iCs/>
          <w:kern w:val="2"/>
          <w:lang w:val="en-PH" w:eastAsia="zh-CN" w:bidi="ar"/>
        </w:rPr>
        <w:t>Legend: 1.00-1.74 -Strongly Disagree; 1.75-2.49 - Disagree; 2.50-3.24 -Agree; 3.25-4.00 -Strongly Agree</w:t>
      </w:r>
    </w:p>
    <w:p w14:paraId="516C0CD5" w14:textId="77777777" w:rsidR="00343427" w:rsidRPr="003F1191" w:rsidRDefault="00343427" w:rsidP="00343427">
      <w:pPr>
        <w:rPr>
          <w:rFonts w:ascii="Arial" w:eastAsia="Aptos" w:hAnsi="Arial" w:cs="Arial"/>
          <w:b/>
          <w:bCs/>
          <w:kern w:val="2"/>
          <w:lang w:eastAsia="zh-CN" w:bidi="ar"/>
        </w:rPr>
      </w:pPr>
    </w:p>
    <w:p w14:paraId="54F6E167" w14:textId="77777777" w:rsidR="008D48D1" w:rsidRPr="003F1191" w:rsidRDefault="008D48D1">
      <w:pPr>
        <w:rPr>
          <w:rFonts w:ascii="Arial" w:eastAsia="Aptos" w:hAnsi="Arial" w:cs="Arial"/>
          <w:b/>
          <w:bCs/>
          <w:kern w:val="2"/>
          <w:lang w:eastAsia="zh-CN" w:bidi="ar"/>
        </w:rPr>
      </w:pPr>
    </w:p>
    <w:p w14:paraId="45DA1912" w14:textId="77777777" w:rsidR="009A5E19" w:rsidRPr="009A5E19" w:rsidRDefault="009A5E19" w:rsidP="003F1191">
      <w:pPr>
        <w:jc w:val="both"/>
        <w:rPr>
          <w:rFonts w:ascii="Arial" w:eastAsia="Aptos" w:hAnsi="Arial" w:cs="Arial"/>
          <w:kern w:val="2"/>
          <w:lang w:val="en-PH" w:eastAsia="zh-CN" w:bidi="ar"/>
        </w:rPr>
      </w:pPr>
      <w:r w:rsidRPr="009A5E19">
        <w:rPr>
          <w:rFonts w:ascii="Arial" w:eastAsia="Aptos" w:hAnsi="Arial" w:cs="Arial"/>
          <w:kern w:val="2"/>
          <w:lang w:val="en-PH" w:eastAsia="zh-CN" w:bidi="ar"/>
        </w:rPr>
        <w:t xml:space="preserve">The findings showed a very high perception of simulation-based training (SBT) across all domains, indicating that nurses strongly value simulation as an effective and relevant learning strategy. High ratings in design characteristics and simulation experience suggest that realistic and immersive environments enhance engagement and promote clinical competence. Evidence shows that simulation-based learning supports the development of clinical skills, communication, and decision-making through experiential learning approaches (Foronda et al., 2020; </w:t>
      </w:r>
      <w:proofErr w:type="spellStart"/>
      <w:r w:rsidRPr="009A5E19">
        <w:rPr>
          <w:rFonts w:ascii="Arial" w:eastAsia="Aptos" w:hAnsi="Arial" w:cs="Arial"/>
          <w:kern w:val="2"/>
          <w:lang w:val="en-PH" w:eastAsia="zh-CN" w:bidi="ar"/>
        </w:rPr>
        <w:t>Plotzky</w:t>
      </w:r>
      <w:proofErr w:type="spellEnd"/>
      <w:r w:rsidRPr="009A5E19">
        <w:rPr>
          <w:rFonts w:ascii="Arial" w:eastAsia="Aptos" w:hAnsi="Arial" w:cs="Arial"/>
          <w:kern w:val="2"/>
          <w:lang w:val="en-PH" w:eastAsia="zh-CN" w:bidi="ar"/>
        </w:rPr>
        <w:t xml:space="preserve"> et al., 2021).</w:t>
      </w:r>
    </w:p>
    <w:p w14:paraId="5B00A905" w14:textId="77777777" w:rsidR="009A5E19" w:rsidRPr="009A5E19" w:rsidRDefault="009A5E19" w:rsidP="003F1191">
      <w:pPr>
        <w:jc w:val="both"/>
        <w:rPr>
          <w:rFonts w:ascii="Arial" w:eastAsia="Aptos" w:hAnsi="Arial" w:cs="Arial"/>
          <w:kern w:val="2"/>
          <w:lang w:val="en-PH" w:eastAsia="zh-CN" w:bidi="ar"/>
        </w:rPr>
      </w:pPr>
      <w:r w:rsidRPr="009A5E19">
        <w:rPr>
          <w:rFonts w:ascii="Arial" w:eastAsia="Aptos" w:hAnsi="Arial" w:cs="Arial"/>
          <w:kern w:val="2"/>
          <w:lang w:val="en-PH" w:eastAsia="zh-CN" w:bidi="ar"/>
        </w:rPr>
        <w:t>Notably, the consistently high perception of facilitation and debriefing underscores the importance of guided reflection in learning. Structured debriefing enables learners to analyze performance, strengthen critical thinking, and improve confidence and self-efficacy (Decker et al., 2021). Furthermore, the facilitator’s role in guiding reflective discussions is essential in helping learners process experiences and integrate knowledge into practice (Husebø et al., 2024).</w:t>
      </w:r>
    </w:p>
    <w:p w14:paraId="43610AB8" w14:textId="77777777" w:rsidR="009A5E19" w:rsidRPr="009A5E19" w:rsidRDefault="009A5E19" w:rsidP="003F1191">
      <w:pPr>
        <w:jc w:val="both"/>
        <w:rPr>
          <w:rFonts w:ascii="Arial" w:eastAsia="Aptos" w:hAnsi="Arial" w:cs="Arial"/>
          <w:kern w:val="2"/>
          <w:lang w:val="en-PH" w:eastAsia="zh-CN" w:bidi="ar"/>
        </w:rPr>
      </w:pPr>
      <w:r w:rsidRPr="009A5E19">
        <w:rPr>
          <w:rFonts w:ascii="Arial" w:eastAsia="Aptos" w:hAnsi="Arial" w:cs="Arial"/>
          <w:kern w:val="2"/>
          <w:lang w:val="en-PH" w:eastAsia="zh-CN" w:bidi="ar"/>
        </w:rPr>
        <w:t xml:space="preserve">These findings are further supported by research indicating that simulation-based education enhances learner satisfaction, confidence, and critical thinking when supported by structured and reflective learning environments (Kim, 2024). The consistently high perception across all </w:t>
      </w:r>
      <w:r w:rsidRPr="009A5E19">
        <w:rPr>
          <w:rFonts w:ascii="Arial" w:eastAsia="Aptos" w:hAnsi="Arial" w:cs="Arial"/>
          <w:kern w:val="2"/>
          <w:lang w:val="en-PH" w:eastAsia="zh-CN" w:bidi="ar"/>
        </w:rPr>
        <w:lastRenderedPageBreak/>
        <w:t>domains suggests that simulation provides a psychologically safe and engaging environment that fosters both competence and confidence.</w:t>
      </w:r>
    </w:p>
    <w:p w14:paraId="7CE50FE1" w14:textId="77777777" w:rsidR="009A5E19" w:rsidRPr="009A5E19" w:rsidRDefault="009A5E19" w:rsidP="003F1191">
      <w:pPr>
        <w:jc w:val="both"/>
        <w:rPr>
          <w:rFonts w:ascii="Arial" w:eastAsia="Aptos" w:hAnsi="Arial" w:cs="Arial"/>
          <w:kern w:val="2"/>
          <w:lang w:val="en-PH" w:eastAsia="zh-CN" w:bidi="ar"/>
        </w:rPr>
      </w:pPr>
      <w:r w:rsidRPr="009A5E19">
        <w:rPr>
          <w:rFonts w:ascii="Arial" w:eastAsia="Aptos" w:hAnsi="Arial" w:cs="Arial"/>
          <w:kern w:val="2"/>
          <w:lang w:val="en-PH" w:eastAsia="zh-CN" w:bidi="ar"/>
        </w:rPr>
        <w:t>Overall, the results indicate that simulation-based training is highly valued across all domains, with facilitation, reflection, and realistic design serving as key elements in enhancing learning effectiveness.</w:t>
      </w:r>
    </w:p>
    <w:p w14:paraId="687E0D18" w14:textId="77777777" w:rsidR="009A5E19" w:rsidRPr="003F1191" w:rsidRDefault="009A5E19">
      <w:pPr>
        <w:rPr>
          <w:rFonts w:ascii="Arial" w:eastAsia="Aptos" w:hAnsi="Arial" w:cs="Arial"/>
          <w:b/>
          <w:bCs/>
          <w:kern w:val="2"/>
          <w:lang w:eastAsia="zh-CN" w:bidi="ar"/>
        </w:rPr>
      </w:pPr>
    </w:p>
    <w:p w14:paraId="3092C7DC" w14:textId="77777777" w:rsidR="009A5E19" w:rsidRPr="003F1191" w:rsidRDefault="009A5E19">
      <w:pPr>
        <w:rPr>
          <w:rFonts w:ascii="Arial" w:eastAsia="Aptos" w:hAnsi="Arial" w:cs="Arial"/>
          <w:b/>
          <w:bCs/>
          <w:kern w:val="2"/>
          <w:lang w:eastAsia="zh-CN" w:bidi="ar"/>
        </w:rPr>
      </w:pPr>
    </w:p>
    <w:p w14:paraId="3910B87D" w14:textId="77777777"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Table 3</w:t>
      </w:r>
    </w:p>
    <w:p w14:paraId="48252DED" w14:textId="007895F8"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 Knowledge on</w:t>
      </w:r>
      <w:r w:rsidRPr="008D48D1">
        <w:rPr>
          <w:rFonts w:ascii="Arial" w:eastAsia="Aptos" w:hAnsi="Arial" w:cs="Arial"/>
          <w:b/>
          <w:bCs/>
          <w:i/>
          <w:iCs/>
          <w:kern w:val="2"/>
          <w:lang w:val="en-PH" w:eastAsia="zh-CN" w:bidi="ar"/>
        </w:rPr>
        <w:t xml:space="preserve"> Simulation-Based Training (SBT)</w:t>
      </w:r>
    </w:p>
    <w:tbl>
      <w:tblPr>
        <w:tblStyle w:val="TableGrid"/>
        <w:tblW w:w="0" w:type="auto"/>
        <w:jc w:val="center"/>
        <w:tblLook w:val="04A0" w:firstRow="1" w:lastRow="0" w:firstColumn="1" w:lastColumn="0" w:noHBand="0" w:noVBand="1"/>
      </w:tblPr>
      <w:tblGrid>
        <w:gridCol w:w="3285"/>
        <w:gridCol w:w="1293"/>
        <w:gridCol w:w="1791"/>
        <w:gridCol w:w="2051"/>
      </w:tblGrid>
      <w:tr w:rsidR="00343427" w:rsidRPr="003F1191" w14:paraId="7E18DD2E"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555FAEFE"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52C93491"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0BF286E8"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722E18CB" w14:textId="77777777" w:rsidR="00343427" w:rsidRPr="008D48D1" w:rsidRDefault="00343427" w:rsidP="00852E51">
            <w:pPr>
              <w:rPr>
                <w:rFonts w:ascii="Arial" w:eastAsia="Aptos" w:hAnsi="Arial" w:cs="Arial"/>
                <w:b/>
                <w:bCs/>
                <w:kern w:val="2"/>
                <w:sz w:val="20"/>
                <w:szCs w:val="20"/>
                <w:lang w:val="en-PH" w:eastAsia="zh-CN" w:bidi="ar"/>
              </w:rPr>
            </w:pPr>
          </w:p>
          <w:p w14:paraId="6D7A0B85"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011BB31B" w14:textId="77777777" w:rsidTr="00852E51">
        <w:trPr>
          <w:trHeight w:val="19"/>
          <w:jc w:val="center"/>
        </w:trPr>
        <w:tc>
          <w:tcPr>
            <w:tcW w:w="0" w:type="auto"/>
            <w:tcBorders>
              <w:top w:val="single" w:sz="4" w:space="0" w:color="auto"/>
              <w:left w:val="nil"/>
              <w:bottom w:val="nil"/>
              <w:right w:val="nil"/>
            </w:tcBorders>
            <w:vAlign w:val="center"/>
            <w:hideMark/>
          </w:tcPr>
          <w:p w14:paraId="1AEA3542" w14:textId="092DD249"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Reflective Observation</w:t>
            </w:r>
          </w:p>
        </w:tc>
        <w:tc>
          <w:tcPr>
            <w:tcW w:w="0" w:type="auto"/>
            <w:tcBorders>
              <w:top w:val="single" w:sz="4" w:space="0" w:color="auto"/>
              <w:left w:val="nil"/>
              <w:bottom w:val="nil"/>
              <w:right w:val="nil"/>
            </w:tcBorders>
            <w:vAlign w:val="center"/>
            <w:hideMark/>
          </w:tcPr>
          <w:p w14:paraId="2609EF15" w14:textId="416A1D71"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3.32</w:t>
            </w:r>
          </w:p>
        </w:tc>
        <w:tc>
          <w:tcPr>
            <w:tcW w:w="0" w:type="auto"/>
            <w:tcBorders>
              <w:top w:val="single" w:sz="4" w:space="0" w:color="auto"/>
              <w:left w:val="nil"/>
              <w:bottom w:val="nil"/>
              <w:right w:val="nil"/>
            </w:tcBorders>
            <w:vAlign w:val="center"/>
            <w:hideMark/>
          </w:tcPr>
          <w:p w14:paraId="6625C4C1"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51FA0EEE" w14:textId="5CCB6183"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Knowledge</w:t>
            </w:r>
          </w:p>
        </w:tc>
      </w:tr>
      <w:tr w:rsidR="00343427" w:rsidRPr="003F1191" w14:paraId="5202CA9F" w14:textId="77777777" w:rsidTr="00343427">
        <w:trPr>
          <w:trHeight w:val="19"/>
          <w:jc w:val="center"/>
        </w:trPr>
        <w:tc>
          <w:tcPr>
            <w:tcW w:w="0" w:type="auto"/>
            <w:tcBorders>
              <w:top w:val="nil"/>
              <w:left w:val="nil"/>
              <w:bottom w:val="single" w:sz="4" w:space="0" w:color="auto"/>
              <w:right w:val="nil"/>
            </w:tcBorders>
            <w:vAlign w:val="center"/>
            <w:hideMark/>
          </w:tcPr>
          <w:p w14:paraId="1EB2C2D7" w14:textId="12460A8A"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Abstract Conceptualization</w:t>
            </w:r>
          </w:p>
        </w:tc>
        <w:tc>
          <w:tcPr>
            <w:tcW w:w="0" w:type="auto"/>
            <w:tcBorders>
              <w:top w:val="nil"/>
              <w:left w:val="nil"/>
              <w:bottom w:val="single" w:sz="4" w:space="0" w:color="auto"/>
              <w:right w:val="nil"/>
            </w:tcBorders>
            <w:vAlign w:val="center"/>
            <w:hideMark/>
          </w:tcPr>
          <w:p w14:paraId="4AE97624" w14:textId="3962E46F"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3.58</w:t>
            </w:r>
          </w:p>
        </w:tc>
        <w:tc>
          <w:tcPr>
            <w:tcW w:w="0" w:type="auto"/>
            <w:tcBorders>
              <w:top w:val="nil"/>
              <w:left w:val="nil"/>
              <w:bottom w:val="single" w:sz="4" w:space="0" w:color="auto"/>
              <w:right w:val="nil"/>
            </w:tcBorders>
            <w:vAlign w:val="center"/>
            <w:hideMark/>
          </w:tcPr>
          <w:p w14:paraId="796625B8"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5EC1F5E2" w14:textId="3D2A76AC"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Knowledge</w:t>
            </w:r>
          </w:p>
        </w:tc>
      </w:tr>
    </w:tbl>
    <w:p w14:paraId="36980572" w14:textId="77777777" w:rsidR="00343427" w:rsidRPr="008D48D1" w:rsidRDefault="00343427" w:rsidP="00343427">
      <w:pPr>
        <w:rPr>
          <w:rFonts w:ascii="Arial" w:eastAsia="Aptos" w:hAnsi="Arial" w:cs="Arial"/>
          <w:i/>
          <w:iCs/>
          <w:kern w:val="2"/>
          <w:lang w:val="en-PH" w:eastAsia="zh-CN" w:bidi="ar"/>
        </w:rPr>
      </w:pPr>
      <w:r w:rsidRPr="008D48D1">
        <w:rPr>
          <w:rFonts w:ascii="Arial" w:eastAsia="Aptos" w:hAnsi="Arial" w:cs="Arial"/>
          <w:i/>
          <w:iCs/>
          <w:kern w:val="2"/>
          <w:lang w:val="en-PH" w:eastAsia="zh-CN" w:bidi="ar"/>
        </w:rPr>
        <w:t>Legend: 1.00-1.74 -Strongly Disagree; 1.75-2.49 - Disagree; 2.50-3.24 -Agree; 3.25-4.00 -Strongly Agree</w:t>
      </w:r>
    </w:p>
    <w:p w14:paraId="076B43B2" w14:textId="77777777" w:rsidR="00343427" w:rsidRPr="003F1191" w:rsidRDefault="00343427">
      <w:pPr>
        <w:rPr>
          <w:rFonts w:ascii="Arial" w:eastAsia="Aptos" w:hAnsi="Arial" w:cs="Arial"/>
          <w:b/>
          <w:bCs/>
          <w:kern w:val="2"/>
          <w:lang w:eastAsia="zh-CN" w:bidi="ar"/>
        </w:rPr>
      </w:pPr>
    </w:p>
    <w:p w14:paraId="272E6F22"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The findings revealed a very high level of knowledge on simulation-based training (SBT) across both reflective observation and abstract conceptualization, indicating that nurses are able to effectively analyze experiences and translate them into clinical understanding. This suggests that SBT supports both experiential learning and higher-order cognitive development.</w:t>
      </w:r>
    </w:p>
    <w:p w14:paraId="3B6A45B7"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The high level of reflective observation highlights the importance of reflection in learning. Simulation-based education allows learners to evaluate their actions, identify gaps, and improve future performance through structured reflection (Decker et al., 2021). Additionally, guided reflection enhances critical thinking and facilitates deeper learning by helping learners process and interpret clinical experiences (Husebø et al., 2024).</w:t>
      </w:r>
    </w:p>
    <w:p w14:paraId="77015990"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 xml:space="preserve">Similarly, the very high rating in abstract conceptualization indicates that nurses are able to integrate experiences into theoretical knowledge and apply them in clinical contexts. Evidence shows that simulation-based learning enhances knowledge acquisition and clinical reasoning by linking theory with practice in structured and interactive environments (Foronda et al., 2020; </w:t>
      </w:r>
      <w:proofErr w:type="spellStart"/>
      <w:r w:rsidRPr="009F6F0D">
        <w:rPr>
          <w:rFonts w:ascii="Arial" w:eastAsia="Aptos" w:hAnsi="Arial" w:cs="Arial"/>
          <w:kern w:val="2"/>
          <w:lang w:val="en-PH" w:eastAsia="zh-CN" w:bidi="ar"/>
        </w:rPr>
        <w:t>Plotzky</w:t>
      </w:r>
      <w:proofErr w:type="spellEnd"/>
      <w:r w:rsidRPr="009F6F0D">
        <w:rPr>
          <w:rFonts w:ascii="Arial" w:eastAsia="Aptos" w:hAnsi="Arial" w:cs="Arial"/>
          <w:kern w:val="2"/>
          <w:lang w:val="en-PH" w:eastAsia="zh-CN" w:bidi="ar"/>
        </w:rPr>
        <w:t xml:space="preserve"> et al., 2021). This process strengthens learners’ ability to generalize knowledge and apply it in real-world situations.</w:t>
      </w:r>
    </w:p>
    <w:p w14:paraId="09D5F296"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Furthermore, simulation-based training has been shown to improve knowledge retention and cognitive competence through active and experiential learning approaches (Kim, 2024). Overall, the findings indicate that simulation-based training effectively enhances nurses’ knowledge, particularly in reflective and conceptual domains, reinforcing its role in developing cognitive competence in clinical practice.</w:t>
      </w:r>
    </w:p>
    <w:p w14:paraId="5098228C" w14:textId="77777777" w:rsidR="00343427" w:rsidRPr="003F1191" w:rsidRDefault="00343427" w:rsidP="003F1191">
      <w:pPr>
        <w:jc w:val="both"/>
        <w:rPr>
          <w:rFonts w:ascii="Arial" w:eastAsia="Aptos" w:hAnsi="Arial" w:cs="Arial"/>
          <w:kern w:val="2"/>
          <w:lang w:eastAsia="zh-CN" w:bidi="ar"/>
        </w:rPr>
      </w:pPr>
    </w:p>
    <w:p w14:paraId="712BC992" w14:textId="77777777" w:rsidR="00343427" w:rsidRPr="003F1191" w:rsidRDefault="00343427">
      <w:pPr>
        <w:rPr>
          <w:rFonts w:ascii="Arial" w:eastAsia="Aptos" w:hAnsi="Arial" w:cs="Arial"/>
          <w:b/>
          <w:bCs/>
          <w:kern w:val="2"/>
          <w:lang w:eastAsia="zh-CN" w:bidi="ar"/>
        </w:rPr>
      </w:pPr>
    </w:p>
    <w:p w14:paraId="553BB249" w14:textId="3573169B"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Table </w:t>
      </w:r>
      <w:r w:rsidRPr="003F1191">
        <w:rPr>
          <w:rFonts w:ascii="Arial" w:eastAsia="Aptos" w:hAnsi="Arial" w:cs="Arial"/>
          <w:b/>
          <w:bCs/>
          <w:kern w:val="2"/>
          <w:lang w:val="en-PH" w:eastAsia="zh-CN" w:bidi="ar"/>
        </w:rPr>
        <w:t>4</w:t>
      </w:r>
    </w:p>
    <w:p w14:paraId="6E338870" w14:textId="0C1C04DF"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w:t>
      </w:r>
      <w:r w:rsidRPr="008D48D1">
        <w:rPr>
          <w:rFonts w:ascii="Arial" w:eastAsia="Aptos" w:hAnsi="Arial" w:cs="Arial"/>
          <w:b/>
          <w:bCs/>
          <w:i/>
          <w:iCs/>
          <w:kern w:val="2"/>
          <w:lang w:val="en-PH" w:eastAsia="zh-CN" w:bidi="ar"/>
        </w:rPr>
        <w:t xml:space="preserve"> </w:t>
      </w:r>
      <w:r w:rsidRPr="003F1191">
        <w:rPr>
          <w:rFonts w:ascii="Arial" w:eastAsia="Aptos" w:hAnsi="Arial" w:cs="Arial"/>
          <w:b/>
          <w:bCs/>
          <w:i/>
          <w:iCs/>
          <w:kern w:val="2"/>
          <w:lang w:val="en-PH" w:eastAsia="zh-CN" w:bidi="ar"/>
        </w:rPr>
        <w:t>Skills on</w:t>
      </w:r>
      <w:r w:rsidRPr="008D48D1">
        <w:rPr>
          <w:rFonts w:ascii="Arial" w:eastAsia="Aptos" w:hAnsi="Arial" w:cs="Arial"/>
          <w:b/>
          <w:bCs/>
          <w:i/>
          <w:iCs/>
          <w:kern w:val="2"/>
          <w:lang w:val="en-PH" w:eastAsia="zh-CN" w:bidi="ar"/>
        </w:rPr>
        <w:t xml:space="preserve"> Simulation-Based Training (SBT)</w:t>
      </w:r>
    </w:p>
    <w:tbl>
      <w:tblPr>
        <w:tblStyle w:val="TableGrid"/>
        <w:tblW w:w="0" w:type="auto"/>
        <w:jc w:val="center"/>
        <w:tblLook w:val="04A0" w:firstRow="1" w:lastRow="0" w:firstColumn="1" w:lastColumn="0" w:noHBand="0" w:noVBand="1"/>
      </w:tblPr>
      <w:tblGrid>
        <w:gridCol w:w="3159"/>
        <w:gridCol w:w="1450"/>
        <w:gridCol w:w="1973"/>
        <w:gridCol w:w="1717"/>
      </w:tblGrid>
      <w:tr w:rsidR="00343427" w:rsidRPr="003F1191" w14:paraId="682AFD5C"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4A061C6F"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677DAFF4"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5BD4177A"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72959C7A" w14:textId="77777777" w:rsidR="00343427" w:rsidRPr="008D48D1" w:rsidRDefault="00343427" w:rsidP="00852E51">
            <w:pPr>
              <w:rPr>
                <w:rFonts w:ascii="Arial" w:eastAsia="Aptos" w:hAnsi="Arial" w:cs="Arial"/>
                <w:b/>
                <w:bCs/>
                <w:kern w:val="2"/>
                <w:sz w:val="20"/>
                <w:szCs w:val="20"/>
                <w:lang w:val="en-PH" w:eastAsia="zh-CN" w:bidi="ar"/>
              </w:rPr>
            </w:pPr>
          </w:p>
          <w:p w14:paraId="70A0E981"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1D8C49FF" w14:textId="77777777" w:rsidTr="00852E51">
        <w:trPr>
          <w:trHeight w:val="19"/>
          <w:jc w:val="center"/>
        </w:trPr>
        <w:tc>
          <w:tcPr>
            <w:tcW w:w="0" w:type="auto"/>
            <w:tcBorders>
              <w:top w:val="single" w:sz="4" w:space="0" w:color="auto"/>
              <w:left w:val="nil"/>
              <w:bottom w:val="nil"/>
              <w:right w:val="nil"/>
            </w:tcBorders>
            <w:vAlign w:val="center"/>
            <w:hideMark/>
          </w:tcPr>
          <w:p w14:paraId="5446AA3B" w14:textId="1779B69C"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Concrete Experience</w:t>
            </w:r>
          </w:p>
        </w:tc>
        <w:tc>
          <w:tcPr>
            <w:tcW w:w="0" w:type="auto"/>
            <w:tcBorders>
              <w:top w:val="single" w:sz="4" w:space="0" w:color="auto"/>
              <w:left w:val="nil"/>
              <w:bottom w:val="nil"/>
              <w:right w:val="nil"/>
            </w:tcBorders>
            <w:vAlign w:val="center"/>
            <w:hideMark/>
          </w:tcPr>
          <w:p w14:paraId="35FD8448" w14:textId="16186293"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3.75</w:t>
            </w:r>
          </w:p>
        </w:tc>
        <w:tc>
          <w:tcPr>
            <w:tcW w:w="0" w:type="auto"/>
            <w:tcBorders>
              <w:top w:val="single" w:sz="4" w:space="0" w:color="auto"/>
              <w:left w:val="nil"/>
              <w:bottom w:val="nil"/>
              <w:right w:val="nil"/>
            </w:tcBorders>
            <w:vAlign w:val="center"/>
            <w:hideMark/>
          </w:tcPr>
          <w:p w14:paraId="59C898BE"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7F98A203" w14:textId="14080E12"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Skills</w:t>
            </w:r>
          </w:p>
        </w:tc>
      </w:tr>
      <w:tr w:rsidR="00343427" w:rsidRPr="003F1191" w14:paraId="6A09EEEC" w14:textId="77777777" w:rsidTr="00343427">
        <w:trPr>
          <w:trHeight w:val="19"/>
          <w:jc w:val="center"/>
        </w:trPr>
        <w:tc>
          <w:tcPr>
            <w:tcW w:w="0" w:type="auto"/>
            <w:tcBorders>
              <w:top w:val="nil"/>
              <w:left w:val="nil"/>
              <w:bottom w:val="single" w:sz="4" w:space="0" w:color="auto"/>
              <w:right w:val="nil"/>
            </w:tcBorders>
            <w:vAlign w:val="center"/>
            <w:hideMark/>
          </w:tcPr>
          <w:p w14:paraId="29FF8DAF" w14:textId="4A4A79C9"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Active Experimentation</w:t>
            </w:r>
          </w:p>
        </w:tc>
        <w:tc>
          <w:tcPr>
            <w:tcW w:w="0" w:type="auto"/>
            <w:tcBorders>
              <w:top w:val="nil"/>
              <w:left w:val="nil"/>
              <w:bottom w:val="single" w:sz="4" w:space="0" w:color="auto"/>
              <w:right w:val="nil"/>
            </w:tcBorders>
            <w:vAlign w:val="center"/>
            <w:hideMark/>
          </w:tcPr>
          <w:p w14:paraId="4BEB4871" w14:textId="3652FB25"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3.53</w:t>
            </w:r>
          </w:p>
        </w:tc>
        <w:tc>
          <w:tcPr>
            <w:tcW w:w="0" w:type="auto"/>
            <w:tcBorders>
              <w:top w:val="nil"/>
              <w:left w:val="nil"/>
              <w:bottom w:val="single" w:sz="4" w:space="0" w:color="auto"/>
              <w:right w:val="nil"/>
            </w:tcBorders>
            <w:vAlign w:val="center"/>
            <w:hideMark/>
          </w:tcPr>
          <w:p w14:paraId="1C46F709"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697FE1E5" w14:textId="2538B818"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Skills</w:t>
            </w:r>
          </w:p>
        </w:tc>
      </w:tr>
    </w:tbl>
    <w:p w14:paraId="50E66DD9" w14:textId="77777777" w:rsidR="00343427" w:rsidRPr="008D48D1" w:rsidRDefault="00343427" w:rsidP="00343427">
      <w:pPr>
        <w:rPr>
          <w:rFonts w:ascii="Arial" w:eastAsia="Aptos" w:hAnsi="Arial" w:cs="Arial"/>
          <w:b/>
          <w:bCs/>
          <w:i/>
          <w:iCs/>
          <w:kern w:val="2"/>
          <w:lang w:val="en-PH" w:eastAsia="zh-CN" w:bidi="ar"/>
        </w:rPr>
      </w:pPr>
      <w:r w:rsidRPr="008D48D1">
        <w:rPr>
          <w:rFonts w:ascii="Arial" w:eastAsia="Aptos" w:hAnsi="Arial" w:cs="Arial"/>
          <w:b/>
          <w:bCs/>
          <w:i/>
          <w:iCs/>
          <w:kern w:val="2"/>
          <w:lang w:val="en-PH" w:eastAsia="zh-CN" w:bidi="ar"/>
        </w:rPr>
        <w:t>Legend: 1.00-1.74 -Strongly Disagree; 1.75-2.49 - Disagree; 2.50-3.24 -Agree; 3.25-4.00 -Strongly Agree</w:t>
      </w:r>
    </w:p>
    <w:p w14:paraId="4627D5B9" w14:textId="77777777" w:rsidR="00343427" w:rsidRPr="003F1191" w:rsidRDefault="00343427">
      <w:pPr>
        <w:rPr>
          <w:rFonts w:ascii="Arial" w:eastAsia="Aptos" w:hAnsi="Arial" w:cs="Arial"/>
          <w:b/>
          <w:bCs/>
          <w:kern w:val="2"/>
          <w:lang w:eastAsia="zh-CN" w:bidi="ar"/>
        </w:rPr>
      </w:pPr>
    </w:p>
    <w:p w14:paraId="50D67849"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 xml:space="preserve">The findings revealed a very high level of skills in simulation-based training (SBT) across both concrete experience and active experimentation, indicating that nurses are highly engaged in hands-on practice and the application of clinical skills. The higher mean in </w:t>
      </w:r>
      <w:r w:rsidRPr="009F6F0D">
        <w:rPr>
          <w:rFonts w:ascii="Arial" w:eastAsia="Aptos" w:hAnsi="Arial" w:cs="Arial"/>
          <w:kern w:val="2"/>
          <w:lang w:val="en-PH" w:eastAsia="zh-CN" w:bidi="ar"/>
        </w:rPr>
        <w:lastRenderedPageBreak/>
        <w:t>concrete experience suggests strong participation in simulation activities, which enhances psychomotor competence and procedural performance.</w:t>
      </w:r>
    </w:p>
    <w:p w14:paraId="4ED16432"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This is consistent with evidence that simulation-based learning promotes skill acquisition through immersive and experiential environments that allow learners to practice clinical tasks in realistic settings (Foronda et al., 2020). Similarly, simulation has been shown to improve clinical performance and skill retention by enabling repeated practice and active engagement (</w:t>
      </w:r>
      <w:proofErr w:type="spellStart"/>
      <w:r w:rsidRPr="009F6F0D">
        <w:rPr>
          <w:rFonts w:ascii="Arial" w:eastAsia="Aptos" w:hAnsi="Arial" w:cs="Arial"/>
          <w:kern w:val="2"/>
          <w:lang w:val="en-PH" w:eastAsia="zh-CN" w:bidi="ar"/>
        </w:rPr>
        <w:t>Plotzky</w:t>
      </w:r>
      <w:proofErr w:type="spellEnd"/>
      <w:r w:rsidRPr="009F6F0D">
        <w:rPr>
          <w:rFonts w:ascii="Arial" w:eastAsia="Aptos" w:hAnsi="Arial" w:cs="Arial"/>
          <w:kern w:val="2"/>
          <w:lang w:val="en-PH" w:eastAsia="zh-CN" w:bidi="ar"/>
        </w:rPr>
        <w:t xml:space="preserve"> et al., 2021).</w:t>
      </w:r>
    </w:p>
    <w:p w14:paraId="51FDA1E3"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The high level of active experimentation further indicates that nurses are able to apply knowledge and test strategies in simulated scenarios, reflecting strong clinical reasoning and adaptability. Research highlights that simulation enhances decision-making and performance when learners actively engage in applying learned concepts in dynamic environments (Kim, 2024).</w:t>
      </w:r>
    </w:p>
    <w:p w14:paraId="0A38657F"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 xml:space="preserve">Notably, the role of facilitation and debriefing remains central in skill development. Structured debriefing allows learners to reflect on performance, identify gaps, and improve future actions, thereby strengthening both technical and non-technical skills (Decker et al., 2021). Guided reflection also enhances learning integration and promotes deeper understanding of clinical experiences (Husebø et al., 2024). Moreover, debriefing is recognized as a critical component that enables learners to integrate theory with practice and improve clinical outcomes through reflective </w:t>
      </w:r>
      <w:proofErr w:type="gramStart"/>
      <w:r w:rsidRPr="009F6F0D">
        <w:rPr>
          <w:rFonts w:ascii="Arial" w:eastAsia="Aptos" w:hAnsi="Arial" w:cs="Arial"/>
          <w:kern w:val="2"/>
          <w:lang w:val="en-PH" w:eastAsia="zh-CN" w:bidi="ar"/>
        </w:rPr>
        <w:t>analysis .</w:t>
      </w:r>
      <w:proofErr w:type="gramEnd"/>
    </w:p>
    <w:p w14:paraId="309A7F6C" w14:textId="77777777" w:rsidR="009F6F0D" w:rsidRPr="009F6F0D" w:rsidRDefault="009F6F0D" w:rsidP="003F1191">
      <w:pPr>
        <w:jc w:val="both"/>
        <w:rPr>
          <w:rFonts w:ascii="Arial" w:eastAsia="Aptos" w:hAnsi="Arial" w:cs="Arial"/>
          <w:kern w:val="2"/>
          <w:lang w:val="en-PH" w:eastAsia="zh-CN" w:bidi="ar"/>
        </w:rPr>
      </w:pPr>
      <w:r w:rsidRPr="009F6F0D">
        <w:rPr>
          <w:rFonts w:ascii="Arial" w:eastAsia="Aptos" w:hAnsi="Arial" w:cs="Arial"/>
          <w:kern w:val="2"/>
          <w:lang w:val="en-PH" w:eastAsia="zh-CN" w:bidi="ar"/>
        </w:rPr>
        <w:t>Overall, the findings indicate that simulation-based training effectively enhances nurses’ clinical skills, particularly through active participation and application, reinforcing its role as a key strategy for developing psychomotor competence and clinical performance.</w:t>
      </w:r>
    </w:p>
    <w:p w14:paraId="4C4A5042" w14:textId="77777777" w:rsidR="009F6F0D" w:rsidRPr="003F1191" w:rsidRDefault="009F6F0D" w:rsidP="00343427">
      <w:pPr>
        <w:rPr>
          <w:rFonts w:ascii="Arial" w:eastAsia="Aptos" w:hAnsi="Arial" w:cs="Arial"/>
          <w:b/>
          <w:bCs/>
          <w:kern w:val="2"/>
          <w:lang w:val="en-PH" w:eastAsia="zh-CN" w:bidi="ar"/>
        </w:rPr>
      </w:pPr>
    </w:p>
    <w:p w14:paraId="598B7101" w14:textId="73BA4732" w:rsidR="00343427" w:rsidRPr="008D48D1" w:rsidRDefault="00343427" w:rsidP="00343427">
      <w:pPr>
        <w:rPr>
          <w:rFonts w:ascii="Arial" w:eastAsia="Aptos" w:hAnsi="Arial" w:cs="Arial"/>
          <w:b/>
          <w:bCs/>
          <w:kern w:val="2"/>
          <w:lang w:val="en-PH" w:eastAsia="zh-CN" w:bidi="ar"/>
        </w:rPr>
      </w:pPr>
      <w:r w:rsidRPr="008D48D1">
        <w:rPr>
          <w:rFonts w:ascii="Arial" w:eastAsia="Aptos" w:hAnsi="Arial" w:cs="Arial"/>
          <w:b/>
          <w:bCs/>
          <w:kern w:val="2"/>
          <w:lang w:val="en-PH" w:eastAsia="zh-CN" w:bidi="ar"/>
        </w:rPr>
        <w:t xml:space="preserve">Table </w:t>
      </w:r>
      <w:r w:rsidRPr="003F1191">
        <w:rPr>
          <w:rFonts w:ascii="Arial" w:eastAsia="Aptos" w:hAnsi="Arial" w:cs="Arial"/>
          <w:b/>
          <w:bCs/>
          <w:kern w:val="2"/>
          <w:lang w:val="en-PH" w:eastAsia="zh-CN" w:bidi="ar"/>
        </w:rPr>
        <w:t>5</w:t>
      </w:r>
    </w:p>
    <w:p w14:paraId="557B2B53" w14:textId="4F74DF49" w:rsidR="00343427" w:rsidRPr="008D48D1" w:rsidRDefault="00343427" w:rsidP="00343427">
      <w:pPr>
        <w:rPr>
          <w:rFonts w:ascii="Arial" w:eastAsia="Aptos" w:hAnsi="Arial" w:cs="Arial"/>
          <w:b/>
          <w:bCs/>
          <w:i/>
          <w:iCs/>
          <w:kern w:val="2"/>
          <w:lang w:val="en-PH" w:eastAsia="zh-CN" w:bidi="ar"/>
        </w:rPr>
      </w:pPr>
      <w:r w:rsidRPr="003F1191">
        <w:rPr>
          <w:rFonts w:ascii="Arial" w:eastAsia="Aptos" w:hAnsi="Arial" w:cs="Arial"/>
          <w:b/>
          <w:bCs/>
          <w:i/>
          <w:iCs/>
          <w:kern w:val="2"/>
          <w:lang w:val="en-PH" w:eastAsia="zh-CN" w:bidi="ar"/>
        </w:rPr>
        <w:t>Summary of the</w:t>
      </w:r>
      <w:r w:rsidRPr="008D48D1">
        <w:rPr>
          <w:rFonts w:ascii="Arial" w:eastAsia="Aptos" w:hAnsi="Arial" w:cs="Arial"/>
          <w:b/>
          <w:bCs/>
          <w:i/>
          <w:iCs/>
          <w:kern w:val="2"/>
          <w:lang w:val="en-PH" w:eastAsia="zh-CN" w:bidi="ar"/>
        </w:rPr>
        <w:t xml:space="preserve"> </w:t>
      </w:r>
      <w:r w:rsidRPr="003F1191">
        <w:rPr>
          <w:rFonts w:ascii="Arial" w:eastAsia="Aptos" w:hAnsi="Arial" w:cs="Arial"/>
          <w:b/>
          <w:bCs/>
          <w:i/>
          <w:iCs/>
          <w:kern w:val="2"/>
          <w:lang w:val="en-PH" w:eastAsia="zh-CN" w:bidi="ar"/>
        </w:rPr>
        <w:t xml:space="preserve">Self-Efficacy on </w:t>
      </w:r>
      <w:r w:rsidRPr="008D48D1">
        <w:rPr>
          <w:rFonts w:ascii="Arial" w:eastAsia="Aptos" w:hAnsi="Arial" w:cs="Arial"/>
          <w:b/>
          <w:bCs/>
          <w:i/>
          <w:iCs/>
          <w:kern w:val="2"/>
          <w:lang w:val="en-PH" w:eastAsia="zh-CN" w:bidi="ar"/>
        </w:rPr>
        <w:t>Simulation-Based Training (SBT)</w:t>
      </w:r>
    </w:p>
    <w:tbl>
      <w:tblPr>
        <w:tblStyle w:val="TableGrid"/>
        <w:tblW w:w="0" w:type="auto"/>
        <w:jc w:val="center"/>
        <w:tblLook w:val="04A0" w:firstRow="1" w:lastRow="0" w:firstColumn="1" w:lastColumn="0" w:noHBand="0" w:noVBand="1"/>
      </w:tblPr>
      <w:tblGrid>
        <w:gridCol w:w="2015"/>
        <w:gridCol w:w="1450"/>
        <w:gridCol w:w="1973"/>
        <w:gridCol w:w="2395"/>
      </w:tblGrid>
      <w:tr w:rsidR="00343427" w:rsidRPr="003F1191" w14:paraId="1577A0B2" w14:textId="77777777" w:rsidTr="00852E51">
        <w:trPr>
          <w:trHeight w:val="60"/>
          <w:jc w:val="center"/>
        </w:trPr>
        <w:tc>
          <w:tcPr>
            <w:tcW w:w="0" w:type="auto"/>
            <w:tcBorders>
              <w:top w:val="single" w:sz="4" w:space="0" w:color="auto"/>
              <w:left w:val="nil"/>
              <w:bottom w:val="single" w:sz="4" w:space="0" w:color="auto"/>
              <w:right w:val="nil"/>
            </w:tcBorders>
            <w:vAlign w:val="center"/>
            <w:hideMark/>
          </w:tcPr>
          <w:p w14:paraId="7139E192"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Domains</w:t>
            </w:r>
          </w:p>
        </w:tc>
        <w:tc>
          <w:tcPr>
            <w:tcW w:w="0" w:type="auto"/>
            <w:tcBorders>
              <w:top w:val="single" w:sz="4" w:space="0" w:color="auto"/>
              <w:left w:val="nil"/>
              <w:bottom w:val="single" w:sz="4" w:space="0" w:color="auto"/>
              <w:right w:val="nil"/>
            </w:tcBorders>
            <w:vAlign w:val="center"/>
            <w:hideMark/>
          </w:tcPr>
          <w:p w14:paraId="548F96BF" w14:textId="77777777"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 xml:space="preserve">Pooled </w:t>
            </w:r>
            <w:r w:rsidRPr="008D48D1">
              <w:rPr>
                <w:rFonts w:ascii="Arial" w:eastAsia="Aptos" w:hAnsi="Arial" w:cs="Arial"/>
                <w:b/>
                <w:bCs/>
                <w:kern w:val="2"/>
                <w:sz w:val="20"/>
                <w:szCs w:val="20"/>
                <w:lang w:val="en-PH" w:eastAsia="zh-CN" w:bidi="ar"/>
              </w:rPr>
              <w:t>Mean</w:t>
            </w:r>
          </w:p>
        </w:tc>
        <w:tc>
          <w:tcPr>
            <w:tcW w:w="0" w:type="auto"/>
            <w:tcBorders>
              <w:top w:val="single" w:sz="4" w:space="0" w:color="auto"/>
              <w:left w:val="nil"/>
              <w:bottom w:val="single" w:sz="4" w:space="0" w:color="auto"/>
              <w:right w:val="nil"/>
            </w:tcBorders>
            <w:vAlign w:val="center"/>
            <w:hideMark/>
          </w:tcPr>
          <w:p w14:paraId="23970F34"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Verbal Description</w:t>
            </w:r>
          </w:p>
        </w:tc>
        <w:tc>
          <w:tcPr>
            <w:tcW w:w="0" w:type="auto"/>
            <w:tcBorders>
              <w:top w:val="single" w:sz="4" w:space="0" w:color="auto"/>
              <w:left w:val="nil"/>
              <w:bottom w:val="single" w:sz="4" w:space="0" w:color="auto"/>
              <w:right w:val="nil"/>
            </w:tcBorders>
            <w:vAlign w:val="center"/>
          </w:tcPr>
          <w:p w14:paraId="752F145B" w14:textId="77777777" w:rsidR="00343427" w:rsidRPr="008D48D1" w:rsidRDefault="00343427" w:rsidP="00852E51">
            <w:pPr>
              <w:rPr>
                <w:rFonts w:ascii="Arial" w:eastAsia="Aptos" w:hAnsi="Arial" w:cs="Arial"/>
                <w:b/>
                <w:bCs/>
                <w:kern w:val="2"/>
                <w:sz w:val="20"/>
                <w:szCs w:val="20"/>
                <w:lang w:val="en-PH" w:eastAsia="zh-CN" w:bidi="ar"/>
              </w:rPr>
            </w:pPr>
          </w:p>
          <w:p w14:paraId="2A2CD86D"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Interpretation</w:t>
            </w:r>
          </w:p>
        </w:tc>
      </w:tr>
      <w:tr w:rsidR="00343427" w:rsidRPr="003F1191" w14:paraId="6644B21C" w14:textId="77777777" w:rsidTr="00852E51">
        <w:trPr>
          <w:trHeight w:val="19"/>
          <w:jc w:val="center"/>
        </w:trPr>
        <w:tc>
          <w:tcPr>
            <w:tcW w:w="0" w:type="auto"/>
            <w:tcBorders>
              <w:top w:val="single" w:sz="4" w:space="0" w:color="auto"/>
              <w:left w:val="nil"/>
              <w:bottom w:val="nil"/>
              <w:right w:val="nil"/>
            </w:tcBorders>
            <w:vAlign w:val="center"/>
            <w:hideMark/>
          </w:tcPr>
          <w:p w14:paraId="295C9100" w14:textId="1786585A" w:rsidR="00343427" w:rsidRPr="008D48D1" w:rsidRDefault="00343427" w:rsidP="00852E51">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Mastery</w:t>
            </w:r>
          </w:p>
        </w:tc>
        <w:tc>
          <w:tcPr>
            <w:tcW w:w="0" w:type="auto"/>
            <w:tcBorders>
              <w:top w:val="single" w:sz="4" w:space="0" w:color="auto"/>
              <w:left w:val="nil"/>
              <w:bottom w:val="nil"/>
              <w:right w:val="nil"/>
            </w:tcBorders>
            <w:vAlign w:val="center"/>
            <w:hideMark/>
          </w:tcPr>
          <w:p w14:paraId="5F3379A6" w14:textId="49DACBB1" w:rsidR="00343427" w:rsidRPr="008D48D1" w:rsidRDefault="00343427" w:rsidP="00852E51">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3.55</w:t>
            </w:r>
          </w:p>
        </w:tc>
        <w:tc>
          <w:tcPr>
            <w:tcW w:w="0" w:type="auto"/>
            <w:tcBorders>
              <w:top w:val="single" w:sz="4" w:space="0" w:color="auto"/>
              <w:left w:val="nil"/>
              <w:bottom w:val="nil"/>
              <w:right w:val="nil"/>
            </w:tcBorders>
            <w:vAlign w:val="center"/>
            <w:hideMark/>
          </w:tcPr>
          <w:p w14:paraId="54CECE8A" w14:textId="77777777"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single" w:sz="4" w:space="0" w:color="auto"/>
              <w:left w:val="nil"/>
              <w:bottom w:val="nil"/>
              <w:right w:val="nil"/>
            </w:tcBorders>
            <w:vAlign w:val="center"/>
            <w:hideMark/>
          </w:tcPr>
          <w:p w14:paraId="1CD659EE" w14:textId="6DCE12C0" w:rsidR="00343427" w:rsidRPr="008D48D1" w:rsidRDefault="00343427" w:rsidP="00852E51">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r w:rsidR="00343427" w:rsidRPr="003F1191" w14:paraId="4DA5D101" w14:textId="77777777" w:rsidTr="00852E51">
        <w:trPr>
          <w:trHeight w:val="19"/>
          <w:jc w:val="center"/>
        </w:trPr>
        <w:tc>
          <w:tcPr>
            <w:tcW w:w="0" w:type="auto"/>
            <w:tcBorders>
              <w:top w:val="nil"/>
              <w:left w:val="nil"/>
              <w:bottom w:val="nil"/>
              <w:right w:val="nil"/>
            </w:tcBorders>
            <w:vAlign w:val="center"/>
            <w:hideMark/>
          </w:tcPr>
          <w:p w14:paraId="7471D447" w14:textId="36D9255F" w:rsidR="00343427" w:rsidRPr="008D48D1" w:rsidRDefault="00343427" w:rsidP="00343427">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Vicarious</w:t>
            </w:r>
          </w:p>
        </w:tc>
        <w:tc>
          <w:tcPr>
            <w:tcW w:w="0" w:type="auto"/>
            <w:tcBorders>
              <w:top w:val="nil"/>
              <w:left w:val="nil"/>
              <w:bottom w:val="nil"/>
              <w:right w:val="nil"/>
            </w:tcBorders>
            <w:vAlign w:val="center"/>
            <w:hideMark/>
          </w:tcPr>
          <w:p w14:paraId="4DE9AE83" w14:textId="4C20D8D5" w:rsidR="00343427" w:rsidRPr="008D48D1" w:rsidRDefault="00343427" w:rsidP="00343427">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3.57</w:t>
            </w:r>
          </w:p>
        </w:tc>
        <w:tc>
          <w:tcPr>
            <w:tcW w:w="0" w:type="auto"/>
            <w:tcBorders>
              <w:top w:val="nil"/>
              <w:left w:val="nil"/>
              <w:bottom w:val="nil"/>
              <w:right w:val="nil"/>
            </w:tcBorders>
            <w:vAlign w:val="center"/>
            <w:hideMark/>
          </w:tcPr>
          <w:p w14:paraId="18D8C836" w14:textId="2ADE5179"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4F857351" w14:textId="4731957B"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r w:rsidR="00343427" w:rsidRPr="003F1191" w14:paraId="285B6FF2" w14:textId="77777777" w:rsidTr="00852E51">
        <w:trPr>
          <w:trHeight w:val="19"/>
          <w:jc w:val="center"/>
        </w:trPr>
        <w:tc>
          <w:tcPr>
            <w:tcW w:w="0" w:type="auto"/>
            <w:tcBorders>
              <w:top w:val="nil"/>
              <w:left w:val="nil"/>
              <w:bottom w:val="nil"/>
              <w:right w:val="nil"/>
            </w:tcBorders>
            <w:vAlign w:val="center"/>
            <w:hideMark/>
          </w:tcPr>
          <w:p w14:paraId="046FC9F1" w14:textId="77777777" w:rsidR="00343427" w:rsidRPr="003F1191" w:rsidRDefault="00343427" w:rsidP="00343427">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Persuasion</w:t>
            </w:r>
          </w:p>
          <w:p w14:paraId="6D4FE063" w14:textId="5CE00C1E" w:rsidR="00343427" w:rsidRPr="008D48D1" w:rsidRDefault="00343427" w:rsidP="00343427">
            <w:pPr>
              <w:tabs>
                <w:tab w:val="left" w:pos="720"/>
              </w:tabs>
              <w:ind w:left="720"/>
              <w:rPr>
                <w:rFonts w:ascii="Arial" w:eastAsia="Aptos" w:hAnsi="Arial" w:cs="Arial"/>
                <w:b/>
                <w:bCs/>
                <w:kern w:val="2"/>
                <w:sz w:val="20"/>
                <w:szCs w:val="20"/>
                <w:lang w:val="en-PH" w:eastAsia="zh-CN" w:bidi="ar"/>
              </w:rPr>
            </w:pPr>
          </w:p>
        </w:tc>
        <w:tc>
          <w:tcPr>
            <w:tcW w:w="0" w:type="auto"/>
            <w:tcBorders>
              <w:top w:val="nil"/>
              <w:left w:val="nil"/>
              <w:bottom w:val="nil"/>
              <w:right w:val="nil"/>
            </w:tcBorders>
            <w:vAlign w:val="center"/>
            <w:hideMark/>
          </w:tcPr>
          <w:p w14:paraId="2C602BAE" w14:textId="77777777"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3.</w:t>
            </w:r>
            <w:r w:rsidRPr="003F1191">
              <w:rPr>
                <w:rFonts w:ascii="Arial" w:eastAsia="Aptos" w:hAnsi="Arial" w:cs="Arial"/>
                <w:b/>
                <w:bCs/>
                <w:kern w:val="2"/>
                <w:sz w:val="20"/>
                <w:szCs w:val="20"/>
                <w:lang w:val="en-PH" w:eastAsia="zh-CN" w:bidi="ar"/>
              </w:rPr>
              <w:t>49</w:t>
            </w:r>
          </w:p>
        </w:tc>
        <w:tc>
          <w:tcPr>
            <w:tcW w:w="0" w:type="auto"/>
            <w:tcBorders>
              <w:top w:val="nil"/>
              <w:left w:val="nil"/>
              <w:bottom w:val="nil"/>
              <w:right w:val="nil"/>
            </w:tcBorders>
            <w:vAlign w:val="center"/>
            <w:hideMark/>
          </w:tcPr>
          <w:p w14:paraId="0078737A" w14:textId="616BCAF5"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nil"/>
              <w:right w:val="nil"/>
            </w:tcBorders>
            <w:vAlign w:val="center"/>
            <w:hideMark/>
          </w:tcPr>
          <w:p w14:paraId="27F2CAD1" w14:textId="2306AF77"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r w:rsidR="00343427" w:rsidRPr="003F1191" w14:paraId="370A76C8" w14:textId="77777777" w:rsidTr="00852E51">
        <w:trPr>
          <w:trHeight w:val="19"/>
          <w:jc w:val="center"/>
        </w:trPr>
        <w:tc>
          <w:tcPr>
            <w:tcW w:w="0" w:type="auto"/>
            <w:tcBorders>
              <w:top w:val="nil"/>
              <w:left w:val="nil"/>
              <w:bottom w:val="single" w:sz="4" w:space="0" w:color="auto"/>
              <w:right w:val="nil"/>
            </w:tcBorders>
            <w:vAlign w:val="center"/>
          </w:tcPr>
          <w:p w14:paraId="56E268D9" w14:textId="54927043" w:rsidR="00343427" w:rsidRPr="008D48D1" w:rsidRDefault="00343427" w:rsidP="00343427">
            <w:pPr>
              <w:tabs>
                <w:tab w:val="left" w:pos="720"/>
              </w:tabs>
              <w:ind w:left="720"/>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Regulation</w:t>
            </w:r>
          </w:p>
        </w:tc>
        <w:tc>
          <w:tcPr>
            <w:tcW w:w="0" w:type="auto"/>
            <w:tcBorders>
              <w:top w:val="nil"/>
              <w:left w:val="nil"/>
              <w:bottom w:val="single" w:sz="4" w:space="0" w:color="auto"/>
              <w:right w:val="nil"/>
            </w:tcBorders>
            <w:vAlign w:val="center"/>
            <w:hideMark/>
          </w:tcPr>
          <w:p w14:paraId="46DD2B6E" w14:textId="77777777" w:rsidR="00343427" w:rsidRPr="008D48D1" w:rsidRDefault="00343427" w:rsidP="00343427">
            <w:pPr>
              <w:rPr>
                <w:rFonts w:ascii="Arial" w:eastAsia="Aptos" w:hAnsi="Arial" w:cs="Arial"/>
                <w:b/>
                <w:bCs/>
                <w:kern w:val="2"/>
                <w:sz w:val="20"/>
                <w:szCs w:val="20"/>
                <w:lang w:val="en-PH" w:eastAsia="zh-CN" w:bidi="ar"/>
              </w:rPr>
            </w:pPr>
            <w:r w:rsidRPr="003F1191">
              <w:rPr>
                <w:rFonts w:ascii="Arial" w:eastAsia="Aptos" w:hAnsi="Arial" w:cs="Arial"/>
                <w:b/>
                <w:bCs/>
                <w:kern w:val="2"/>
                <w:sz w:val="20"/>
                <w:szCs w:val="20"/>
                <w:lang w:val="en-PH" w:eastAsia="zh-CN" w:bidi="ar"/>
              </w:rPr>
              <w:t>3.45</w:t>
            </w:r>
          </w:p>
        </w:tc>
        <w:tc>
          <w:tcPr>
            <w:tcW w:w="0" w:type="auto"/>
            <w:tcBorders>
              <w:top w:val="nil"/>
              <w:left w:val="nil"/>
              <w:bottom w:val="single" w:sz="4" w:space="0" w:color="auto"/>
              <w:right w:val="nil"/>
            </w:tcBorders>
            <w:vAlign w:val="center"/>
            <w:hideMark/>
          </w:tcPr>
          <w:p w14:paraId="2DD7EDFC" w14:textId="4DADA3D3"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Strongly Agree</w:t>
            </w:r>
          </w:p>
        </w:tc>
        <w:tc>
          <w:tcPr>
            <w:tcW w:w="0" w:type="auto"/>
            <w:tcBorders>
              <w:top w:val="nil"/>
              <w:left w:val="nil"/>
              <w:bottom w:val="single" w:sz="4" w:space="0" w:color="auto"/>
              <w:right w:val="nil"/>
            </w:tcBorders>
            <w:vAlign w:val="center"/>
            <w:hideMark/>
          </w:tcPr>
          <w:p w14:paraId="4FD199EA" w14:textId="5F954883" w:rsidR="00343427" w:rsidRPr="008D48D1" w:rsidRDefault="00343427" w:rsidP="00343427">
            <w:pPr>
              <w:rPr>
                <w:rFonts w:ascii="Arial" w:eastAsia="Aptos" w:hAnsi="Arial" w:cs="Arial"/>
                <w:b/>
                <w:bCs/>
                <w:kern w:val="2"/>
                <w:sz w:val="20"/>
                <w:szCs w:val="20"/>
                <w:lang w:val="en-PH" w:eastAsia="zh-CN" w:bidi="ar"/>
              </w:rPr>
            </w:pPr>
            <w:r w:rsidRPr="008D48D1">
              <w:rPr>
                <w:rFonts w:ascii="Arial" w:eastAsia="Aptos" w:hAnsi="Arial" w:cs="Arial"/>
                <w:b/>
                <w:bCs/>
                <w:kern w:val="2"/>
                <w:sz w:val="20"/>
                <w:szCs w:val="20"/>
                <w:lang w:val="en-PH" w:eastAsia="zh-CN" w:bidi="ar"/>
              </w:rPr>
              <w:t xml:space="preserve">Very High </w:t>
            </w:r>
            <w:r w:rsidRPr="003F1191">
              <w:rPr>
                <w:rFonts w:ascii="Arial" w:eastAsia="Aptos" w:hAnsi="Arial" w:cs="Arial"/>
                <w:b/>
                <w:bCs/>
                <w:kern w:val="2"/>
                <w:sz w:val="20"/>
                <w:szCs w:val="20"/>
                <w:lang w:val="en-PH" w:eastAsia="zh-CN" w:bidi="ar"/>
              </w:rPr>
              <w:t>Self-Efficacy</w:t>
            </w:r>
          </w:p>
        </w:tc>
      </w:tr>
    </w:tbl>
    <w:p w14:paraId="277BA927" w14:textId="77777777" w:rsidR="00343427" w:rsidRPr="008D48D1" w:rsidRDefault="00343427" w:rsidP="00343427">
      <w:pPr>
        <w:rPr>
          <w:rFonts w:ascii="Arial" w:eastAsia="Aptos" w:hAnsi="Arial" w:cs="Arial"/>
          <w:b/>
          <w:bCs/>
          <w:i/>
          <w:iCs/>
          <w:kern w:val="2"/>
          <w:lang w:val="en-PH" w:eastAsia="zh-CN" w:bidi="ar"/>
        </w:rPr>
      </w:pPr>
      <w:r w:rsidRPr="008D48D1">
        <w:rPr>
          <w:rFonts w:ascii="Arial" w:eastAsia="Aptos" w:hAnsi="Arial" w:cs="Arial"/>
          <w:b/>
          <w:bCs/>
          <w:i/>
          <w:iCs/>
          <w:kern w:val="2"/>
          <w:lang w:val="en-PH" w:eastAsia="zh-CN" w:bidi="ar"/>
        </w:rPr>
        <w:t>Legend: 1.00-1.74 -Strongly Disagree; 1.75-2.49 - Disagree; 2.50-3.24 -Agree; 3.25-4.00 -Strongly Agree</w:t>
      </w:r>
    </w:p>
    <w:p w14:paraId="4E15167B" w14:textId="77777777" w:rsidR="00343427" w:rsidRPr="003F1191" w:rsidRDefault="00343427" w:rsidP="00343427">
      <w:pPr>
        <w:rPr>
          <w:rFonts w:ascii="Arial" w:eastAsia="Aptos" w:hAnsi="Arial" w:cs="Arial"/>
          <w:b/>
          <w:bCs/>
          <w:kern w:val="2"/>
          <w:lang w:eastAsia="zh-CN" w:bidi="ar"/>
        </w:rPr>
      </w:pPr>
    </w:p>
    <w:p w14:paraId="68A95092" w14:textId="77777777" w:rsidR="00343427" w:rsidRPr="003F1191" w:rsidRDefault="00343427">
      <w:pPr>
        <w:rPr>
          <w:rFonts w:ascii="Arial" w:eastAsia="Aptos" w:hAnsi="Arial" w:cs="Arial"/>
          <w:b/>
          <w:bCs/>
          <w:kern w:val="2"/>
          <w:lang w:eastAsia="zh-CN" w:bidi="ar"/>
        </w:rPr>
      </w:pPr>
    </w:p>
    <w:p w14:paraId="7107B758" w14:textId="77777777" w:rsidR="00067FFD" w:rsidRPr="00067FFD" w:rsidRDefault="00067FFD" w:rsidP="003F1191">
      <w:pPr>
        <w:jc w:val="both"/>
        <w:rPr>
          <w:rFonts w:ascii="Arial" w:eastAsia="Aptos" w:hAnsi="Arial" w:cs="Arial"/>
          <w:kern w:val="2"/>
          <w:lang w:val="en-PH" w:eastAsia="zh-CN" w:bidi="ar"/>
        </w:rPr>
      </w:pPr>
      <w:r w:rsidRPr="00067FFD">
        <w:rPr>
          <w:rFonts w:ascii="Arial" w:eastAsia="Aptos" w:hAnsi="Arial" w:cs="Arial"/>
          <w:kern w:val="2"/>
          <w:lang w:val="en-PH" w:eastAsia="zh-CN" w:bidi="ar"/>
        </w:rPr>
        <w:t>The findings revealed a very high level of self-efficacy in simulation-based training (SBT) across all domains, including mastery, vicarious learning, persuasion, and emotional regulation. This indicates that nurses possess strong confidence in their ability to perform clinical tasks, learn from observation, respond to feedback, and manage stress in high-acuity situations.</w:t>
      </w:r>
    </w:p>
    <w:p w14:paraId="50118EEC" w14:textId="77777777" w:rsidR="00067FFD" w:rsidRPr="00067FFD" w:rsidRDefault="00067FFD" w:rsidP="003F1191">
      <w:pPr>
        <w:jc w:val="both"/>
        <w:rPr>
          <w:rFonts w:ascii="Arial" w:eastAsia="Aptos" w:hAnsi="Arial" w:cs="Arial"/>
          <w:kern w:val="2"/>
          <w:lang w:val="en-PH" w:eastAsia="zh-CN" w:bidi="ar"/>
        </w:rPr>
      </w:pPr>
      <w:r w:rsidRPr="00067FFD">
        <w:rPr>
          <w:rFonts w:ascii="Arial" w:eastAsia="Aptos" w:hAnsi="Arial" w:cs="Arial"/>
          <w:kern w:val="2"/>
          <w:lang w:val="en-PH" w:eastAsia="zh-CN" w:bidi="ar"/>
        </w:rPr>
        <w:t>The high level of mastery reflects the effectiveness of simulation in enhancing confidence through repeated hands-on practice and experiential learning. Evidence shows that simulation-based education significantly improves self-efficacy and clinical competence by providing realistic and immersive learning environments (Seo &amp; Eom, 2021). Similarly, simulation activities have been found to enhance self-efficacy and confidence through active engagement and skill application (Handeland et al., 2021</w:t>
      </w:r>
      <w:proofErr w:type="gramStart"/>
      <w:r w:rsidRPr="00067FFD">
        <w:rPr>
          <w:rFonts w:ascii="Arial" w:eastAsia="Aptos" w:hAnsi="Arial" w:cs="Arial"/>
          <w:kern w:val="2"/>
          <w:lang w:val="en-PH" w:eastAsia="zh-CN" w:bidi="ar"/>
        </w:rPr>
        <w:t>) .</w:t>
      </w:r>
      <w:proofErr w:type="gramEnd"/>
    </w:p>
    <w:p w14:paraId="4CA4D990" w14:textId="77777777" w:rsidR="00067FFD" w:rsidRPr="00067FFD" w:rsidRDefault="00067FFD" w:rsidP="003F1191">
      <w:pPr>
        <w:jc w:val="both"/>
        <w:rPr>
          <w:rFonts w:ascii="Arial" w:eastAsia="Aptos" w:hAnsi="Arial" w:cs="Arial"/>
          <w:kern w:val="2"/>
          <w:lang w:val="en-PH" w:eastAsia="zh-CN" w:bidi="ar"/>
        </w:rPr>
      </w:pPr>
      <w:r w:rsidRPr="00067FFD">
        <w:rPr>
          <w:rFonts w:ascii="Arial" w:eastAsia="Aptos" w:hAnsi="Arial" w:cs="Arial"/>
          <w:kern w:val="2"/>
          <w:lang w:val="en-PH" w:eastAsia="zh-CN" w:bidi="ar"/>
        </w:rPr>
        <w:t>The high ratings in vicarious learning and persuasion indicate that observation, feedback, and guided facilitation contribute to confidence development. Simulation allows learners to observe peers and receive constructive feedback, which strengthens clinical judgment and reinforces positive performance behaviors. Research confirms that structured simulation and debriefing enhance confidence, learning outcomes, and reflective practice (</w:t>
      </w:r>
      <w:proofErr w:type="spellStart"/>
      <w:r w:rsidRPr="00067FFD">
        <w:rPr>
          <w:rFonts w:ascii="Arial" w:eastAsia="Aptos" w:hAnsi="Arial" w:cs="Arial"/>
          <w:kern w:val="2"/>
          <w:lang w:val="en-PH" w:eastAsia="zh-CN" w:bidi="ar"/>
        </w:rPr>
        <w:t>Plotzky</w:t>
      </w:r>
      <w:proofErr w:type="spellEnd"/>
      <w:r w:rsidRPr="00067FFD">
        <w:rPr>
          <w:rFonts w:ascii="Arial" w:eastAsia="Aptos" w:hAnsi="Arial" w:cs="Arial"/>
          <w:kern w:val="2"/>
          <w:lang w:val="en-PH" w:eastAsia="zh-CN" w:bidi="ar"/>
        </w:rPr>
        <w:t xml:space="preserve"> et al., 2021; Decker et al., 2021).</w:t>
      </w:r>
    </w:p>
    <w:p w14:paraId="6B3B3D61" w14:textId="77777777" w:rsidR="00067FFD" w:rsidRPr="00067FFD" w:rsidRDefault="00067FFD" w:rsidP="003F1191">
      <w:pPr>
        <w:jc w:val="both"/>
        <w:rPr>
          <w:rFonts w:ascii="Arial" w:eastAsia="Aptos" w:hAnsi="Arial" w:cs="Arial"/>
          <w:kern w:val="2"/>
          <w:lang w:val="en-PH" w:eastAsia="zh-CN" w:bidi="ar"/>
        </w:rPr>
      </w:pPr>
      <w:r w:rsidRPr="00067FFD">
        <w:rPr>
          <w:rFonts w:ascii="Arial" w:eastAsia="Aptos" w:hAnsi="Arial" w:cs="Arial"/>
          <w:kern w:val="2"/>
          <w:lang w:val="en-PH" w:eastAsia="zh-CN" w:bidi="ar"/>
        </w:rPr>
        <w:lastRenderedPageBreak/>
        <w:t>Moreover, the high level of emotional regulation highlights the role of simulation in preparing nurses to manage stress in critical situations. Simulation-based training provides a safe environment for practicing high-pressure scenarios, which improves emotional control and readiness. Studies show that simulation enhances self-efficacy, motivation, and engagement when learning experiences are realistic, reflective, and well-facilitated (Kim, 2024; Nojima et al., 2025</w:t>
      </w:r>
      <w:proofErr w:type="gramStart"/>
      <w:r w:rsidRPr="00067FFD">
        <w:rPr>
          <w:rFonts w:ascii="Arial" w:eastAsia="Aptos" w:hAnsi="Arial" w:cs="Arial"/>
          <w:kern w:val="2"/>
          <w:lang w:val="en-PH" w:eastAsia="zh-CN" w:bidi="ar"/>
        </w:rPr>
        <w:t>) .</w:t>
      </w:r>
      <w:proofErr w:type="gramEnd"/>
    </w:p>
    <w:p w14:paraId="5AAEAACC" w14:textId="77777777" w:rsidR="00067FFD" w:rsidRPr="00067FFD" w:rsidRDefault="00067FFD" w:rsidP="003F1191">
      <w:pPr>
        <w:jc w:val="both"/>
        <w:rPr>
          <w:rFonts w:ascii="Arial" w:eastAsia="Aptos" w:hAnsi="Arial" w:cs="Arial"/>
          <w:kern w:val="2"/>
          <w:lang w:val="en-PH" w:eastAsia="zh-CN" w:bidi="ar"/>
        </w:rPr>
      </w:pPr>
      <w:r w:rsidRPr="00067FFD">
        <w:rPr>
          <w:rFonts w:ascii="Arial" w:eastAsia="Aptos" w:hAnsi="Arial" w:cs="Arial"/>
          <w:kern w:val="2"/>
          <w:lang w:val="en-PH" w:eastAsia="zh-CN" w:bidi="ar"/>
        </w:rPr>
        <w:t>Overall, the findings indicate that simulation-based training effectively enhances nurses’ self-efficacy across cognitive, behavioral, and emotional domains, reinforcing its role as a comprehensive strategy for developing confidence and preparedness in clinical practice.</w:t>
      </w:r>
    </w:p>
    <w:p w14:paraId="266EFD69" w14:textId="77777777" w:rsidR="009F6F0D" w:rsidRPr="003F1191" w:rsidRDefault="009F6F0D">
      <w:pPr>
        <w:rPr>
          <w:rFonts w:ascii="Arial" w:eastAsia="Aptos" w:hAnsi="Arial" w:cs="Arial"/>
          <w:b/>
          <w:bCs/>
          <w:kern w:val="2"/>
          <w:lang w:eastAsia="zh-CN" w:bidi="ar"/>
        </w:rPr>
      </w:pPr>
    </w:p>
    <w:p w14:paraId="1033A2AB" w14:textId="77777777" w:rsidR="009F6F0D" w:rsidRPr="003F1191" w:rsidRDefault="009F6F0D">
      <w:pPr>
        <w:rPr>
          <w:rFonts w:ascii="Arial" w:eastAsia="Aptos" w:hAnsi="Arial" w:cs="Arial"/>
          <w:b/>
          <w:bCs/>
          <w:kern w:val="2"/>
          <w:lang w:eastAsia="zh-CN" w:bidi="ar"/>
        </w:rPr>
      </w:pPr>
    </w:p>
    <w:p w14:paraId="035A23D4" w14:textId="73EE4BFA" w:rsidR="009F6F0D" w:rsidRPr="009F6F0D" w:rsidRDefault="009F6F0D" w:rsidP="009F6F0D">
      <w:pPr>
        <w:rPr>
          <w:rFonts w:ascii="Arial" w:eastAsia="Aptos" w:hAnsi="Arial" w:cs="Arial"/>
          <w:b/>
          <w:bCs/>
          <w:kern w:val="2"/>
          <w:lang w:val="en-PH" w:eastAsia="zh-CN" w:bidi="ar"/>
        </w:rPr>
      </w:pPr>
      <w:r w:rsidRPr="009F6F0D">
        <w:rPr>
          <w:rFonts w:ascii="Arial" w:eastAsia="Aptos" w:hAnsi="Arial" w:cs="Arial"/>
          <w:b/>
          <w:bCs/>
          <w:kern w:val="2"/>
          <w:lang w:val="en-PH" w:eastAsia="zh-CN" w:bidi="ar"/>
        </w:rPr>
        <w:t>Table 6</w:t>
      </w:r>
      <w:r w:rsidRPr="009F6F0D">
        <w:rPr>
          <w:rFonts w:ascii="Arial" w:eastAsia="Aptos" w:hAnsi="Arial" w:cs="Arial"/>
          <w:b/>
          <w:bCs/>
          <w:kern w:val="2"/>
          <w:lang w:val="en-PH" w:eastAsia="zh-CN" w:bidi="ar"/>
        </w:rPr>
        <w:br/>
      </w:r>
      <w:r w:rsidRPr="009F6F0D">
        <w:rPr>
          <w:rFonts w:ascii="Arial" w:eastAsia="Aptos" w:hAnsi="Arial" w:cs="Arial"/>
          <w:b/>
          <w:bCs/>
          <w:i/>
          <w:iCs/>
          <w:kern w:val="2"/>
          <w:lang w:val="en-PH" w:eastAsia="zh-CN" w:bidi="ar"/>
        </w:rPr>
        <w:t>Spearman’s Rho Correlation Between Perception of Simulation-Based Training and Respondents’ Knowledge (N = 107)</w:t>
      </w:r>
    </w:p>
    <w:tbl>
      <w:tblPr>
        <w:tblStyle w:val="TableGrid"/>
        <w:tblW w:w="0" w:type="auto"/>
        <w:jc w:val="center"/>
        <w:tblLook w:val="04A0" w:firstRow="1" w:lastRow="0" w:firstColumn="1" w:lastColumn="0" w:noHBand="0" w:noVBand="1"/>
      </w:tblPr>
      <w:tblGrid>
        <w:gridCol w:w="2806"/>
        <w:gridCol w:w="2799"/>
        <w:gridCol w:w="2815"/>
      </w:tblGrid>
      <w:tr w:rsidR="009F6F0D" w:rsidRPr="009F6F0D" w14:paraId="2CAF502E" w14:textId="77777777">
        <w:trPr>
          <w:jc w:val="center"/>
        </w:trPr>
        <w:tc>
          <w:tcPr>
            <w:tcW w:w="2840" w:type="dxa"/>
            <w:tcBorders>
              <w:top w:val="single" w:sz="4" w:space="0" w:color="auto"/>
              <w:left w:val="nil"/>
              <w:bottom w:val="single" w:sz="4" w:space="0" w:color="auto"/>
              <w:right w:val="nil"/>
            </w:tcBorders>
            <w:vAlign w:val="center"/>
            <w:hideMark/>
          </w:tcPr>
          <w:p w14:paraId="341D380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Perception Variables</w:t>
            </w:r>
          </w:p>
        </w:tc>
        <w:tc>
          <w:tcPr>
            <w:tcW w:w="2841" w:type="dxa"/>
            <w:tcBorders>
              <w:top w:val="single" w:sz="4" w:space="0" w:color="auto"/>
              <w:left w:val="nil"/>
              <w:bottom w:val="single" w:sz="4" w:space="0" w:color="auto"/>
              <w:right w:val="nil"/>
            </w:tcBorders>
            <w:vAlign w:val="center"/>
            <w:hideMark/>
          </w:tcPr>
          <w:p w14:paraId="5FFB77B3"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Reflective Observation</w:t>
            </w:r>
          </w:p>
        </w:tc>
        <w:tc>
          <w:tcPr>
            <w:tcW w:w="2841" w:type="dxa"/>
            <w:tcBorders>
              <w:top w:val="single" w:sz="4" w:space="0" w:color="auto"/>
              <w:left w:val="nil"/>
              <w:bottom w:val="single" w:sz="4" w:space="0" w:color="auto"/>
              <w:right w:val="nil"/>
            </w:tcBorders>
            <w:vAlign w:val="center"/>
            <w:hideMark/>
          </w:tcPr>
          <w:p w14:paraId="4D2C0457"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Abstract Conceptualization</w:t>
            </w:r>
          </w:p>
        </w:tc>
      </w:tr>
      <w:tr w:rsidR="009F6F0D" w:rsidRPr="009F6F0D" w14:paraId="7BF7F5F9" w14:textId="77777777">
        <w:trPr>
          <w:jc w:val="center"/>
        </w:trPr>
        <w:tc>
          <w:tcPr>
            <w:tcW w:w="2840" w:type="dxa"/>
            <w:tcBorders>
              <w:top w:val="single" w:sz="4" w:space="0" w:color="auto"/>
              <w:left w:val="nil"/>
              <w:bottom w:val="nil"/>
              <w:right w:val="nil"/>
            </w:tcBorders>
            <w:vAlign w:val="center"/>
            <w:hideMark/>
          </w:tcPr>
          <w:p w14:paraId="5CA3AEA1"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Background</w:t>
            </w:r>
          </w:p>
        </w:tc>
        <w:tc>
          <w:tcPr>
            <w:tcW w:w="2841" w:type="dxa"/>
            <w:tcBorders>
              <w:top w:val="single" w:sz="4" w:space="0" w:color="auto"/>
              <w:left w:val="nil"/>
              <w:bottom w:val="nil"/>
              <w:right w:val="nil"/>
            </w:tcBorders>
            <w:vAlign w:val="center"/>
            <w:hideMark/>
          </w:tcPr>
          <w:p w14:paraId="0E6F3FF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.729**</w:t>
            </w:r>
          </w:p>
        </w:tc>
        <w:tc>
          <w:tcPr>
            <w:tcW w:w="2841" w:type="dxa"/>
            <w:tcBorders>
              <w:top w:val="single" w:sz="4" w:space="0" w:color="auto"/>
              <w:left w:val="nil"/>
              <w:bottom w:val="nil"/>
              <w:right w:val="nil"/>
            </w:tcBorders>
            <w:vAlign w:val="center"/>
            <w:hideMark/>
          </w:tcPr>
          <w:p w14:paraId="5CF69D28"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.589**</w:t>
            </w:r>
          </w:p>
        </w:tc>
      </w:tr>
      <w:tr w:rsidR="009F6F0D" w:rsidRPr="009F6F0D" w14:paraId="61D12A7D" w14:textId="77777777">
        <w:trPr>
          <w:jc w:val="center"/>
        </w:trPr>
        <w:tc>
          <w:tcPr>
            <w:tcW w:w="2840" w:type="dxa"/>
            <w:tcBorders>
              <w:top w:val="nil"/>
              <w:left w:val="nil"/>
              <w:bottom w:val="nil"/>
              <w:right w:val="nil"/>
            </w:tcBorders>
            <w:vAlign w:val="center"/>
            <w:hideMark/>
          </w:tcPr>
          <w:p w14:paraId="72A4479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Design Characteristics</w:t>
            </w:r>
          </w:p>
        </w:tc>
        <w:tc>
          <w:tcPr>
            <w:tcW w:w="2841" w:type="dxa"/>
            <w:tcBorders>
              <w:top w:val="nil"/>
              <w:left w:val="nil"/>
              <w:bottom w:val="nil"/>
              <w:right w:val="nil"/>
            </w:tcBorders>
            <w:vAlign w:val="center"/>
            <w:hideMark/>
          </w:tcPr>
          <w:p w14:paraId="235C637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.726**</w:t>
            </w:r>
          </w:p>
        </w:tc>
        <w:tc>
          <w:tcPr>
            <w:tcW w:w="2841" w:type="dxa"/>
            <w:tcBorders>
              <w:top w:val="nil"/>
              <w:left w:val="nil"/>
              <w:bottom w:val="nil"/>
              <w:right w:val="nil"/>
            </w:tcBorders>
            <w:vAlign w:val="center"/>
            <w:hideMark/>
          </w:tcPr>
          <w:p w14:paraId="2A60E22A"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.749**</w:t>
            </w:r>
          </w:p>
        </w:tc>
      </w:tr>
      <w:tr w:rsidR="009F6F0D" w:rsidRPr="009F6F0D" w14:paraId="556486A2" w14:textId="77777777">
        <w:trPr>
          <w:jc w:val="center"/>
        </w:trPr>
        <w:tc>
          <w:tcPr>
            <w:tcW w:w="2840" w:type="dxa"/>
            <w:tcBorders>
              <w:top w:val="nil"/>
              <w:left w:val="nil"/>
              <w:bottom w:val="nil"/>
              <w:right w:val="nil"/>
            </w:tcBorders>
            <w:vAlign w:val="center"/>
            <w:hideMark/>
          </w:tcPr>
          <w:p w14:paraId="3057F75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Simulation Experience</w:t>
            </w:r>
          </w:p>
        </w:tc>
        <w:tc>
          <w:tcPr>
            <w:tcW w:w="2841" w:type="dxa"/>
            <w:tcBorders>
              <w:top w:val="nil"/>
              <w:left w:val="nil"/>
              <w:bottom w:val="nil"/>
              <w:right w:val="nil"/>
            </w:tcBorders>
            <w:vAlign w:val="center"/>
            <w:hideMark/>
          </w:tcPr>
          <w:p w14:paraId="39B7CC9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.667**</w:t>
            </w:r>
          </w:p>
        </w:tc>
        <w:tc>
          <w:tcPr>
            <w:tcW w:w="2841" w:type="dxa"/>
            <w:tcBorders>
              <w:top w:val="nil"/>
              <w:left w:val="nil"/>
              <w:bottom w:val="nil"/>
              <w:right w:val="nil"/>
            </w:tcBorders>
            <w:vAlign w:val="center"/>
            <w:hideMark/>
          </w:tcPr>
          <w:p w14:paraId="5B2FD754"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.635**</w:t>
            </w:r>
          </w:p>
        </w:tc>
      </w:tr>
      <w:tr w:rsidR="009F6F0D" w:rsidRPr="009F6F0D" w14:paraId="4AC6B0BE" w14:textId="77777777">
        <w:trPr>
          <w:jc w:val="center"/>
        </w:trPr>
        <w:tc>
          <w:tcPr>
            <w:tcW w:w="2840" w:type="dxa"/>
            <w:tcBorders>
              <w:top w:val="nil"/>
              <w:left w:val="nil"/>
              <w:bottom w:val="single" w:sz="4" w:space="0" w:color="auto"/>
              <w:right w:val="nil"/>
            </w:tcBorders>
            <w:vAlign w:val="center"/>
            <w:hideMark/>
          </w:tcPr>
          <w:p w14:paraId="0C8DDBE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Facilitation and Debriefing Strategies</w:t>
            </w:r>
          </w:p>
        </w:tc>
        <w:tc>
          <w:tcPr>
            <w:tcW w:w="2841" w:type="dxa"/>
            <w:tcBorders>
              <w:top w:val="nil"/>
              <w:left w:val="nil"/>
              <w:bottom w:val="single" w:sz="4" w:space="0" w:color="auto"/>
              <w:right w:val="nil"/>
            </w:tcBorders>
            <w:vAlign w:val="center"/>
            <w:hideMark/>
          </w:tcPr>
          <w:p w14:paraId="39391736"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.794**</w:t>
            </w:r>
          </w:p>
        </w:tc>
        <w:tc>
          <w:tcPr>
            <w:tcW w:w="2841" w:type="dxa"/>
            <w:tcBorders>
              <w:top w:val="nil"/>
              <w:left w:val="nil"/>
              <w:bottom w:val="single" w:sz="4" w:space="0" w:color="auto"/>
              <w:right w:val="nil"/>
            </w:tcBorders>
            <w:vAlign w:val="center"/>
            <w:hideMark/>
          </w:tcPr>
          <w:p w14:paraId="5E3C4F9A"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.765**</w:t>
            </w:r>
          </w:p>
        </w:tc>
      </w:tr>
    </w:tbl>
    <w:p w14:paraId="43775525" w14:textId="77777777" w:rsidR="009F6F0D" w:rsidRPr="009F6F0D" w:rsidRDefault="009F6F0D" w:rsidP="009F6F0D">
      <w:pPr>
        <w:rPr>
          <w:rFonts w:ascii="Arial" w:eastAsia="Aptos" w:hAnsi="Arial" w:cs="Arial"/>
          <w:b/>
          <w:bCs/>
          <w:i/>
          <w:iCs/>
          <w:kern w:val="2"/>
          <w:lang w:val="en-PH" w:eastAsia="zh-CN" w:bidi="ar"/>
        </w:rPr>
      </w:pPr>
      <w:r w:rsidRPr="009F6F0D">
        <w:rPr>
          <w:rFonts w:ascii="Arial" w:eastAsia="Aptos" w:hAnsi="Arial" w:cs="Arial"/>
          <w:b/>
          <w:bCs/>
          <w:i/>
          <w:iCs/>
          <w:kern w:val="2"/>
          <w:lang w:val="en-PH" w:eastAsia="zh-CN" w:bidi="ar"/>
        </w:rPr>
        <w:t>Note. Spearman’s rho (ρ) correlation coefficients are presented.</w:t>
      </w:r>
      <w:r w:rsidRPr="009F6F0D">
        <w:rPr>
          <w:rFonts w:ascii="Arial" w:eastAsia="Aptos" w:hAnsi="Arial" w:cs="Arial"/>
          <w:b/>
          <w:bCs/>
          <w:i/>
          <w:iCs/>
          <w:kern w:val="2"/>
          <w:lang w:val="en-PH" w:eastAsia="zh-CN" w:bidi="ar"/>
        </w:rPr>
        <w:br/>
        <w:t>** indicates statistical significance at p &lt; 0.01 (two-tailed)</w:t>
      </w:r>
    </w:p>
    <w:p w14:paraId="523079A0" w14:textId="77777777" w:rsidR="00343427" w:rsidRPr="003F1191" w:rsidRDefault="00343427">
      <w:pPr>
        <w:rPr>
          <w:rFonts w:ascii="Arial" w:eastAsia="Aptos" w:hAnsi="Arial" w:cs="Arial"/>
          <w:b/>
          <w:bCs/>
          <w:kern w:val="2"/>
          <w:lang w:eastAsia="zh-CN" w:bidi="ar"/>
        </w:rPr>
      </w:pPr>
    </w:p>
    <w:p w14:paraId="445748CA" w14:textId="77777777" w:rsidR="00067FFD" w:rsidRPr="00067FFD" w:rsidRDefault="00067FFD" w:rsidP="001512D8">
      <w:pPr>
        <w:jc w:val="both"/>
        <w:rPr>
          <w:rFonts w:ascii="Arial" w:eastAsia="Aptos" w:hAnsi="Arial" w:cs="Arial"/>
          <w:kern w:val="2"/>
          <w:lang w:val="en-PH" w:eastAsia="zh-CN" w:bidi="ar"/>
        </w:rPr>
      </w:pPr>
      <w:r w:rsidRPr="00067FFD">
        <w:rPr>
          <w:rFonts w:ascii="Arial" w:eastAsia="Aptos" w:hAnsi="Arial" w:cs="Arial"/>
          <w:kern w:val="2"/>
          <w:lang w:val="en-PH" w:eastAsia="zh-CN" w:bidi="ar"/>
        </w:rPr>
        <w:t>The results showed moderate to strong positive and significant correlations between perception of simulation-based training (SBT) and knowledge domains (reflective observation and abstract conceptualization, p &lt; .01), indicating that more positive perceptions are associated with higher levels of reflective and conceptual learning. This suggests that perception and cognitive development are closely linked in simulation-based education.</w:t>
      </w:r>
    </w:p>
    <w:p w14:paraId="6390541C" w14:textId="77777777" w:rsidR="00067FFD" w:rsidRPr="00067FFD" w:rsidRDefault="00067FFD" w:rsidP="001512D8">
      <w:pPr>
        <w:jc w:val="both"/>
        <w:rPr>
          <w:rFonts w:ascii="Arial" w:eastAsia="Aptos" w:hAnsi="Arial" w:cs="Arial"/>
          <w:kern w:val="2"/>
          <w:lang w:val="en-PH" w:eastAsia="zh-CN" w:bidi="ar"/>
        </w:rPr>
      </w:pPr>
      <w:r w:rsidRPr="00067FFD">
        <w:rPr>
          <w:rFonts w:ascii="Arial" w:eastAsia="Aptos" w:hAnsi="Arial" w:cs="Arial"/>
          <w:kern w:val="2"/>
          <w:lang w:val="en-PH" w:eastAsia="zh-CN" w:bidi="ar"/>
        </w:rPr>
        <w:t>Notably, the strongest correlations were observed in facilitation and debriefing, emphasizing that learning is enhanced through guided reflection rather than participation alone. Evidence shows that structured debriefing improves clinical reasoning, critical thinking, and knowledge integration by enabling learners to process and interpret their experiences (Decker et al., 2021). Similarly, simulation-based learning has been shown to enhance knowledge and clinical competence when learners are actively engaged in reflective and experiential learning processes (Handeland et al., 2021).</w:t>
      </w:r>
    </w:p>
    <w:p w14:paraId="32F79123" w14:textId="77777777" w:rsidR="00067FFD" w:rsidRPr="00067FFD" w:rsidRDefault="00067FFD" w:rsidP="001512D8">
      <w:pPr>
        <w:jc w:val="both"/>
        <w:rPr>
          <w:rFonts w:ascii="Arial" w:eastAsia="Aptos" w:hAnsi="Arial" w:cs="Arial"/>
          <w:kern w:val="2"/>
          <w:lang w:val="en-PH" w:eastAsia="zh-CN" w:bidi="ar"/>
        </w:rPr>
      </w:pPr>
      <w:r w:rsidRPr="00067FFD">
        <w:rPr>
          <w:rFonts w:ascii="Arial" w:eastAsia="Aptos" w:hAnsi="Arial" w:cs="Arial"/>
          <w:kern w:val="2"/>
          <w:lang w:val="en-PH" w:eastAsia="zh-CN" w:bidi="ar"/>
        </w:rPr>
        <w:t>These findings indicate that reflective observation and abstract conceptualization are strengthened when simulation is supported by effective facilitation and structured feedback. Accordingly, the null hypothesis was rejected, confirming a significant relationship between perception of simulation and knowledge. Overall, the findings highlight that effective simulation depends on structured facilitation and debriefing, which transform experience into meaningful cognitive learning and clinical understanding.</w:t>
      </w:r>
    </w:p>
    <w:p w14:paraId="35A684B4" w14:textId="77777777" w:rsidR="009F6F0D" w:rsidRPr="003F1191" w:rsidRDefault="009F6F0D">
      <w:pPr>
        <w:rPr>
          <w:rFonts w:ascii="Arial" w:eastAsia="Aptos" w:hAnsi="Arial" w:cs="Arial"/>
          <w:b/>
          <w:bCs/>
          <w:kern w:val="2"/>
          <w:lang w:eastAsia="zh-CN" w:bidi="ar"/>
        </w:rPr>
      </w:pPr>
    </w:p>
    <w:p w14:paraId="4D6E5F85" w14:textId="17E5A6E4" w:rsidR="009F6F0D" w:rsidRPr="009F6F0D" w:rsidRDefault="009F6F0D" w:rsidP="009F6F0D">
      <w:pPr>
        <w:rPr>
          <w:rFonts w:ascii="Arial" w:eastAsia="Aptos" w:hAnsi="Arial" w:cs="Arial"/>
          <w:b/>
          <w:bCs/>
          <w:i/>
          <w:iCs/>
          <w:kern w:val="2"/>
          <w:lang w:val="en-PH" w:eastAsia="zh-CN" w:bidi="ar"/>
        </w:rPr>
      </w:pPr>
      <w:r w:rsidRPr="009F6F0D">
        <w:rPr>
          <w:rFonts w:ascii="Arial" w:eastAsia="Aptos" w:hAnsi="Arial" w:cs="Arial"/>
          <w:b/>
          <w:bCs/>
          <w:kern w:val="2"/>
          <w:lang w:val="en-PH" w:eastAsia="zh-CN" w:bidi="ar"/>
        </w:rPr>
        <w:t>Table 7</w:t>
      </w:r>
      <w:r w:rsidRPr="009F6F0D">
        <w:rPr>
          <w:rFonts w:ascii="Arial" w:eastAsia="Aptos" w:hAnsi="Arial" w:cs="Arial"/>
          <w:b/>
          <w:bCs/>
          <w:kern w:val="2"/>
          <w:lang w:val="en-PH" w:eastAsia="zh-CN" w:bidi="ar"/>
        </w:rPr>
        <w:br/>
      </w:r>
      <w:r w:rsidRPr="009F6F0D">
        <w:rPr>
          <w:rFonts w:ascii="Arial" w:eastAsia="Aptos" w:hAnsi="Arial" w:cs="Arial"/>
          <w:b/>
          <w:bCs/>
          <w:i/>
          <w:iCs/>
          <w:kern w:val="2"/>
          <w:lang w:val="en-PH" w:eastAsia="zh-CN" w:bidi="ar"/>
        </w:rPr>
        <w:t>Spearman’s Rho Correlation Between Perception of Simulation-Based Training and Respondents’ Skills (N = 107)</w:t>
      </w:r>
    </w:p>
    <w:tbl>
      <w:tblPr>
        <w:tblStyle w:val="TableGrid"/>
        <w:tblW w:w="0" w:type="auto"/>
        <w:tblLook w:val="04A0" w:firstRow="1" w:lastRow="0" w:firstColumn="1" w:lastColumn="0" w:noHBand="0" w:noVBand="1"/>
      </w:tblPr>
      <w:tblGrid>
        <w:gridCol w:w="2808"/>
        <w:gridCol w:w="2799"/>
        <w:gridCol w:w="2813"/>
      </w:tblGrid>
      <w:tr w:rsidR="009F6F0D" w:rsidRPr="009F6F0D" w14:paraId="2605FFC1" w14:textId="77777777">
        <w:tc>
          <w:tcPr>
            <w:tcW w:w="2840" w:type="dxa"/>
            <w:tcBorders>
              <w:top w:val="single" w:sz="4" w:space="0" w:color="auto"/>
              <w:left w:val="nil"/>
              <w:bottom w:val="single" w:sz="4" w:space="0" w:color="auto"/>
              <w:right w:val="nil"/>
            </w:tcBorders>
            <w:vAlign w:val="center"/>
            <w:hideMark/>
          </w:tcPr>
          <w:p w14:paraId="1E53616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Perception Variables</w:t>
            </w:r>
          </w:p>
        </w:tc>
        <w:tc>
          <w:tcPr>
            <w:tcW w:w="2841" w:type="dxa"/>
            <w:tcBorders>
              <w:top w:val="single" w:sz="4" w:space="0" w:color="auto"/>
              <w:left w:val="nil"/>
              <w:bottom w:val="single" w:sz="4" w:space="0" w:color="auto"/>
              <w:right w:val="nil"/>
            </w:tcBorders>
            <w:vAlign w:val="center"/>
            <w:hideMark/>
          </w:tcPr>
          <w:p w14:paraId="7FCCC8CA"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Concrete Experience</w:t>
            </w:r>
          </w:p>
        </w:tc>
        <w:tc>
          <w:tcPr>
            <w:tcW w:w="2841" w:type="dxa"/>
            <w:tcBorders>
              <w:top w:val="single" w:sz="4" w:space="0" w:color="auto"/>
              <w:left w:val="nil"/>
              <w:bottom w:val="single" w:sz="4" w:space="0" w:color="auto"/>
              <w:right w:val="nil"/>
            </w:tcBorders>
            <w:vAlign w:val="center"/>
            <w:hideMark/>
          </w:tcPr>
          <w:p w14:paraId="6E3FF0C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Active Experimentation</w:t>
            </w:r>
          </w:p>
        </w:tc>
      </w:tr>
      <w:tr w:rsidR="009F6F0D" w:rsidRPr="009F6F0D" w14:paraId="2CB44CCB" w14:textId="77777777">
        <w:tc>
          <w:tcPr>
            <w:tcW w:w="2840" w:type="dxa"/>
            <w:tcBorders>
              <w:top w:val="single" w:sz="4" w:space="0" w:color="auto"/>
              <w:left w:val="nil"/>
              <w:bottom w:val="nil"/>
              <w:right w:val="nil"/>
            </w:tcBorders>
            <w:vAlign w:val="center"/>
            <w:hideMark/>
          </w:tcPr>
          <w:p w14:paraId="4F315EC3"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Background</w:t>
            </w:r>
          </w:p>
        </w:tc>
        <w:tc>
          <w:tcPr>
            <w:tcW w:w="2841" w:type="dxa"/>
            <w:tcBorders>
              <w:top w:val="single" w:sz="4" w:space="0" w:color="auto"/>
              <w:left w:val="nil"/>
              <w:bottom w:val="nil"/>
              <w:right w:val="nil"/>
            </w:tcBorders>
            <w:vAlign w:val="center"/>
            <w:hideMark/>
          </w:tcPr>
          <w:p w14:paraId="340D3BE7"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0.625**</w:t>
            </w:r>
          </w:p>
        </w:tc>
        <w:tc>
          <w:tcPr>
            <w:tcW w:w="2841" w:type="dxa"/>
            <w:tcBorders>
              <w:top w:val="single" w:sz="4" w:space="0" w:color="auto"/>
              <w:left w:val="nil"/>
              <w:bottom w:val="nil"/>
              <w:right w:val="nil"/>
            </w:tcBorders>
            <w:vAlign w:val="center"/>
            <w:hideMark/>
          </w:tcPr>
          <w:p w14:paraId="7ABFD75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0.584**</w:t>
            </w:r>
          </w:p>
        </w:tc>
      </w:tr>
      <w:tr w:rsidR="009F6F0D" w:rsidRPr="009F6F0D" w14:paraId="460D37E1" w14:textId="77777777">
        <w:tc>
          <w:tcPr>
            <w:tcW w:w="2840" w:type="dxa"/>
            <w:tcBorders>
              <w:top w:val="nil"/>
              <w:left w:val="nil"/>
              <w:bottom w:val="nil"/>
              <w:right w:val="nil"/>
            </w:tcBorders>
            <w:vAlign w:val="center"/>
            <w:hideMark/>
          </w:tcPr>
          <w:p w14:paraId="1BF2BFB8"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Design Characteristics</w:t>
            </w:r>
          </w:p>
        </w:tc>
        <w:tc>
          <w:tcPr>
            <w:tcW w:w="2841" w:type="dxa"/>
            <w:tcBorders>
              <w:top w:val="nil"/>
              <w:left w:val="nil"/>
              <w:bottom w:val="nil"/>
              <w:right w:val="nil"/>
            </w:tcBorders>
            <w:vAlign w:val="center"/>
            <w:hideMark/>
          </w:tcPr>
          <w:p w14:paraId="4AB1C39E"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0.610**</w:t>
            </w:r>
          </w:p>
        </w:tc>
        <w:tc>
          <w:tcPr>
            <w:tcW w:w="2841" w:type="dxa"/>
            <w:tcBorders>
              <w:top w:val="nil"/>
              <w:left w:val="nil"/>
              <w:bottom w:val="nil"/>
              <w:right w:val="nil"/>
            </w:tcBorders>
            <w:vAlign w:val="center"/>
            <w:hideMark/>
          </w:tcPr>
          <w:p w14:paraId="20AA7312"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0.594**</w:t>
            </w:r>
          </w:p>
        </w:tc>
      </w:tr>
      <w:tr w:rsidR="009F6F0D" w:rsidRPr="009F6F0D" w14:paraId="61CCA777" w14:textId="77777777">
        <w:tc>
          <w:tcPr>
            <w:tcW w:w="2840" w:type="dxa"/>
            <w:tcBorders>
              <w:top w:val="nil"/>
              <w:left w:val="nil"/>
              <w:bottom w:val="nil"/>
              <w:right w:val="nil"/>
            </w:tcBorders>
            <w:vAlign w:val="center"/>
            <w:hideMark/>
          </w:tcPr>
          <w:p w14:paraId="04259160"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Simulation Experience</w:t>
            </w:r>
          </w:p>
        </w:tc>
        <w:tc>
          <w:tcPr>
            <w:tcW w:w="2841" w:type="dxa"/>
            <w:tcBorders>
              <w:top w:val="nil"/>
              <w:left w:val="nil"/>
              <w:bottom w:val="nil"/>
              <w:right w:val="nil"/>
            </w:tcBorders>
            <w:vAlign w:val="center"/>
            <w:hideMark/>
          </w:tcPr>
          <w:p w14:paraId="3046D32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0.596**</w:t>
            </w:r>
          </w:p>
        </w:tc>
        <w:tc>
          <w:tcPr>
            <w:tcW w:w="2841" w:type="dxa"/>
            <w:tcBorders>
              <w:top w:val="nil"/>
              <w:left w:val="nil"/>
              <w:bottom w:val="nil"/>
              <w:right w:val="nil"/>
            </w:tcBorders>
            <w:vAlign w:val="center"/>
            <w:hideMark/>
          </w:tcPr>
          <w:p w14:paraId="281FAA15"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0.557**</w:t>
            </w:r>
          </w:p>
        </w:tc>
      </w:tr>
      <w:tr w:rsidR="009F6F0D" w:rsidRPr="009F6F0D" w14:paraId="0951B3A0" w14:textId="77777777">
        <w:tc>
          <w:tcPr>
            <w:tcW w:w="2840" w:type="dxa"/>
            <w:tcBorders>
              <w:top w:val="nil"/>
              <w:left w:val="nil"/>
              <w:bottom w:val="single" w:sz="4" w:space="0" w:color="auto"/>
              <w:right w:val="nil"/>
            </w:tcBorders>
            <w:vAlign w:val="center"/>
            <w:hideMark/>
          </w:tcPr>
          <w:p w14:paraId="03417725"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Facilitation and Debriefing Strategies</w:t>
            </w:r>
          </w:p>
        </w:tc>
        <w:tc>
          <w:tcPr>
            <w:tcW w:w="2841" w:type="dxa"/>
            <w:tcBorders>
              <w:top w:val="nil"/>
              <w:left w:val="nil"/>
              <w:bottom w:val="single" w:sz="4" w:space="0" w:color="auto"/>
              <w:right w:val="nil"/>
            </w:tcBorders>
            <w:vAlign w:val="center"/>
            <w:hideMark/>
          </w:tcPr>
          <w:p w14:paraId="01848409"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0.686**</w:t>
            </w:r>
          </w:p>
        </w:tc>
        <w:tc>
          <w:tcPr>
            <w:tcW w:w="2841" w:type="dxa"/>
            <w:tcBorders>
              <w:top w:val="nil"/>
              <w:left w:val="nil"/>
              <w:bottom w:val="single" w:sz="4" w:space="0" w:color="auto"/>
              <w:right w:val="nil"/>
            </w:tcBorders>
            <w:vAlign w:val="center"/>
            <w:hideMark/>
          </w:tcPr>
          <w:p w14:paraId="53CA0C96" w14:textId="77777777" w:rsidR="009F6F0D" w:rsidRPr="009F6F0D" w:rsidRDefault="009F6F0D" w:rsidP="009F6F0D">
            <w:pPr>
              <w:rPr>
                <w:rFonts w:ascii="Arial" w:eastAsia="Aptos" w:hAnsi="Arial" w:cs="Arial"/>
                <w:b/>
                <w:bCs/>
                <w:kern w:val="2"/>
                <w:sz w:val="20"/>
                <w:szCs w:val="20"/>
                <w:lang w:val="en-PH" w:eastAsia="zh-CN" w:bidi="ar"/>
              </w:rPr>
            </w:pPr>
            <w:r w:rsidRPr="009F6F0D">
              <w:rPr>
                <w:rFonts w:ascii="Arial" w:eastAsia="Aptos" w:hAnsi="Arial" w:cs="Arial"/>
                <w:b/>
                <w:bCs/>
                <w:kern w:val="2"/>
                <w:sz w:val="20"/>
                <w:szCs w:val="20"/>
                <w:lang w:val="en-PH" w:eastAsia="zh-CN" w:bidi="ar"/>
              </w:rPr>
              <w:t>0.649**</w:t>
            </w:r>
          </w:p>
        </w:tc>
      </w:tr>
    </w:tbl>
    <w:p w14:paraId="1E64BF65" w14:textId="77777777" w:rsidR="009F6F0D" w:rsidRPr="009F6F0D" w:rsidRDefault="009F6F0D" w:rsidP="009F6F0D">
      <w:pPr>
        <w:rPr>
          <w:rFonts w:ascii="Arial" w:eastAsia="Aptos" w:hAnsi="Arial" w:cs="Arial"/>
          <w:b/>
          <w:bCs/>
          <w:i/>
          <w:iCs/>
          <w:kern w:val="2"/>
          <w:lang w:val="en-PH" w:eastAsia="zh-CN" w:bidi="ar"/>
        </w:rPr>
      </w:pPr>
      <w:r w:rsidRPr="009F6F0D">
        <w:rPr>
          <w:rFonts w:ascii="Arial" w:eastAsia="Aptos" w:hAnsi="Arial" w:cs="Arial"/>
          <w:b/>
          <w:bCs/>
          <w:i/>
          <w:iCs/>
          <w:kern w:val="2"/>
          <w:lang w:val="en-PH" w:eastAsia="zh-CN" w:bidi="ar"/>
        </w:rPr>
        <w:lastRenderedPageBreak/>
        <w:t>Note. Spearman’s rho (ρ) correlation coefficients are presented.</w:t>
      </w:r>
      <w:r w:rsidRPr="009F6F0D">
        <w:rPr>
          <w:rFonts w:ascii="Arial" w:eastAsia="Aptos" w:hAnsi="Arial" w:cs="Arial"/>
          <w:b/>
          <w:bCs/>
          <w:i/>
          <w:iCs/>
          <w:kern w:val="2"/>
          <w:lang w:val="en-PH" w:eastAsia="zh-CN" w:bidi="ar"/>
        </w:rPr>
        <w:br/>
        <w:t>** indicates statistical significance at p &lt; 0.01 (two-tailed).</w:t>
      </w:r>
    </w:p>
    <w:p w14:paraId="0E8BA0F3" w14:textId="77777777" w:rsidR="009F6F0D" w:rsidRPr="003F1191" w:rsidRDefault="009F6F0D">
      <w:pPr>
        <w:rPr>
          <w:rFonts w:ascii="Arial" w:eastAsia="Aptos" w:hAnsi="Arial" w:cs="Arial"/>
          <w:b/>
          <w:bCs/>
          <w:kern w:val="2"/>
          <w:lang w:eastAsia="zh-CN" w:bidi="ar"/>
        </w:rPr>
      </w:pPr>
    </w:p>
    <w:p w14:paraId="4A325FA1" w14:textId="77777777" w:rsidR="00972631" w:rsidRPr="00972631" w:rsidRDefault="00972631" w:rsidP="001512D8">
      <w:pPr>
        <w:jc w:val="both"/>
        <w:rPr>
          <w:rFonts w:ascii="Arial" w:eastAsia="Aptos" w:hAnsi="Arial" w:cs="Arial"/>
          <w:kern w:val="2"/>
          <w:lang w:val="en-PH" w:eastAsia="zh-CN" w:bidi="ar"/>
        </w:rPr>
      </w:pPr>
      <w:r w:rsidRPr="00972631">
        <w:rPr>
          <w:rFonts w:ascii="Arial" w:eastAsia="Aptos" w:hAnsi="Arial" w:cs="Arial"/>
          <w:kern w:val="2"/>
          <w:lang w:val="en-PH" w:eastAsia="zh-CN" w:bidi="ar"/>
        </w:rPr>
        <w:t>The results demonstrated moderate to strong positive correlations between perception of simulation-based training and nurses’ skills in terms of concrete experience and active experimentation (p &lt; .01), indicating that favorable perceptions are associated with increased hands-on engagement and application of clinical skills. This supports evidence that simulation-based training enhances psychomotor performance and clinical competence in resuscitation settings (Andrew Cheng et al., 2021).</w:t>
      </w:r>
    </w:p>
    <w:p w14:paraId="098B7CF5" w14:textId="77777777" w:rsidR="00972631" w:rsidRPr="00972631" w:rsidRDefault="00972631" w:rsidP="001512D8">
      <w:pPr>
        <w:jc w:val="both"/>
        <w:rPr>
          <w:rFonts w:ascii="Arial" w:eastAsia="Aptos" w:hAnsi="Arial" w:cs="Arial"/>
          <w:kern w:val="2"/>
          <w:lang w:val="en-PH" w:eastAsia="zh-CN" w:bidi="ar"/>
        </w:rPr>
      </w:pPr>
      <w:r w:rsidRPr="00972631">
        <w:rPr>
          <w:rFonts w:ascii="Arial" w:eastAsia="Aptos" w:hAnsi="Arial" w:cs="Arial"/>
          <w:kern w:val="2"/>
          <w:lang w:val="en-PH" w:eastAsia="zh-CN" w:bidi="ar"/>
        </w:rPr>
        <w:t>Notably, facilitation and debriefing showed the strongest associations, emphasizing the critical role of guided reflection in skill development. Research consistently demonstrates that structured debriefing improves clinical reasoning, performance, and skill transfer beyond simulation exposure alone (Niu et al., 2021). Similarly, simulation combined with reflective feedback significantly strengthens experiential learning and clinical performance outcomes (</w:t>
      </w:r>
      <w:proofErr w:type="spellStart"/>
      <w:r w:rsidRPr="00972631">
        <w:rPr>
          <w:rFonts w:ascii="Arial" w:eastAsia="Aptos" w:hAnsi="Arial" w:cs="Arial"/>
          <w:kern w:val="2"/>
          <w:lang w:val="en-PH" w:eastAsia="zh-CN" w:bidi="ar"/>
        </w:rPr>
        <w:t>Cortegiani</w:t>
      </w:r>
      <w:proofErr w:type="spellEnd"/>
      <w:r w:rsidRPr="00972631">
        <w:rPr>
          <w:rFonts w:ascii="Arial" w:eastAsia="Aptos" w:hAnsi="Arial" w:cs="Arial"/>
          <w:kern w:val="2"/>
          <w:lang w:val="en-PH" w:eastAsia="zh-CN" w:bidi="ar"/>
        </w:rPr>
        <w:t xml:space="preserve"> et al., 2021).</w:t>
      </w:r>
    </w:p>
    <w:p w14:paraId="474571D5" w14:textId="77777777" w:rsidR="00972631" w:rsidRPr="00972631" w:rsidRDefault="00972631" w:rsidP="001512D8">
      <w:pPr>
        <w:jc w:val="both"/>
        <w:rPr>
          <w:rFonts w:ascii="Arial" w:eastAsia="Aptos" w:hAnsi="Arial" w:cs="Arial"/>
          <w:kern w:val="2"/>
          <w:lang w:val="en-PH" w:eastAsia="zh-CN" w:bidi="ar"/>
        </w:rPr>
      </w:pPr>
      <w:r w:rsidRPr="00972631">
        <w:rPr>
          <w:rFonts w:ascii="Arial" w:eastAsia="Aptos" w:hAnsi="Arial" w:cs="Arial"/>
          <w:kern w:val="2"/>
          <w:lang w:val="en-PH" w:eastAsia="zh-CN" w:bidi="ar"/>
        </w:rPr>
        <w:t>From a theoretical perspective, these findings align with Kolb’s Experiential Learning Theory (Kolb, 1984), where concrete experience and active experimentation are enhanced through reflection and guided processing. Accordingly, the null hypothesis was rejected, confirming a significant relationship between simulation-based training and nurses’ skills. Overall, the findings underscore that effective simulation relies on structured facilitation and reflective practice, rather than exposure alone, in developing clinical competence in high-acuity environments.</w:t>
      </w:r>
    </w:p>
    <w:p w14:paraId="6639F623" w14:textId="77777777" w:rsidR="00343427" w:rsidRPr="001512D8" w:rsidRDefault="00343427" w:rsidP="001512D8">
      <w:pPr>
        <w:jc w:val="both"/>
        <w:rPr>
          <w:rFonts w:ascii="Arial" w:eastAsia="Aptos" w:hAnsi="Arial" w:cs="Arial"/>
          <w:kern w:val="2"/>
          <w:lang w:eastAsia="zh-CN" w:bidi="ar"/>
        </w:rPr>
      </w:pPr>
    </w:p>
    <w:p w14:paraId="10983FCC" w14:textId="77777777" w:rsidR="00343427" w:rsidRPr="003F1191" w:rsidRDefault="00343427">
      <w:pPr>
        <w:rPr>
          <w:rFonts w:ascii="Arial" w:eastAsia="Aptos" w:hAnsi="Arial" w:cs="Arial"/>
          <w:b/>
          <w:bCs/>
          <w:kern w:val="2"/>
          <w:lang w:eastAsia="zh-CN" w:bidi="ar"/>
        </w:rPr>
      </w:pPr>
    </w:p>
    <w:p w14:paraId="48F2B10E" w14:textId="6040300C"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Table 8</w:t>
      </w:r>
      <w:r w:rsidRPr="00284018">
        <w:rPr>
          <w:rFonts w:ascii="Arial" w:eastAsia="Aptos" w:hAnsi="Arial" w:cs="Arial"/>
          <w:b/>
          <w:bCs/>
          <w:kern w:val="2"/>
          <w:lang w:val="en-PH" w:eastAsia="zh-CN" w:bidi="ar"/>
        </w:rPr>
        <w:br/>
      </w:r>
      <w:r w:rsidRPr="00284018">
        <w:rPr>
          <w:rFonts w:ascii="Arial" w:eastAsia="Aptos" w:hAnsi="Arial" w:cs="Arial"/>
          <w:b/>
          <w:bCs/>
          <w:i/>
          <w:iCs/>
          <w:kern w:val="2"/>
          <w:lang w:val="en-PH" w:eastAsia="zh-CN" w:bidi="ar"/>
        </w:rPr>
        <w:t>Spearman’s Rho Correlation Between Perception of Simulation-Based Training and Self-Efficacy Dimensions (N = 107)</w:t>
      </w:r>
    </w:p>
    <w:tbl>
      <w:tblPr>
        <w:tblStyle w:val="TableGrid"/>
        <w:tblW w:w="0" w:type="auto"/>
        <w:tblInd w:w="135" w:type="dxa"/>
        <w:tblLook w:val="04A0" w:firstRow="1" w:lastRow="0" w:firstColumn="1" w:lastColumn="0" w:noHBand="0" w:noVBand="1"/>
      </w:tblPr>
      <w:tblGrid>
        <w:gridCol w:w="1979"/>
        <w:gridCol w:w="1514"/>
        <w:gridCol w:w="1571"/>
        <w:gridCol w:w="1613"/>
        <w:gridCol w:w="1608"/>
      </w:tblGrid>
      <w:tr w:rsidR="00284018" w:rsidRPr="00284018" w14:paraId="4A7912B3" w14:textId="77777777">
        <w:tc>
          <w:tcPr>
            <w:tcW w:w="2016" w:type="dxa"/>
            <w:tcBorders>
              <w:top w:val="single" w:sz="4" w:space="0" w:color="auto"/>
              <w:left w:val="nil"/>
              <w:bottom w:val="single" w:sz="4" w:space="0" w:color="auto"/>
              <w:right w:val="nil"/>
            </w:tcBorders>
            <w:vAlign w:val="center"/>
            <w:hideMark/>
          </w:tcPr>
          <w:p w14:paraId="217F354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Perception Variables</w:t>
            </w:r>
          </w:p>
        </w:tc>
        <w:tc>
          <w:tcPr>
            <w:tcW w:w="1578" w:type="dxa"/>
            <w:tcBorders>
              <w:top w:val="single" w:sz="4" w:space="0" w:color="auto"/>
              <w:left w:val="nil"/>
              <w:bottom w:val="single" w:sz="4" w:space="0" w:color="auto"/>
              <w:right w:val="nil"/>
            </w:tcBorders>
            <w:vAlign w:val="center"/>
            <w:hideMark/>
          </w:tcPr>
          <w:p w14:paraId="282C0B2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Mastery</w:t>
            </w:r>
          </w:p>
        </w:tc>
        <w:tc>
          <w:tcPr>
            <w:tcW w:w="1626" w:type="dxa"/>
            <w:tcBorders>
              <w:top w:val="single" w:sz="4" w:space="0" w:color="auto"/>
              <w:left w:val="nil"/>
              <w:bottom w:val="single" w:sz="4" w:space="0" w:color="auto"/>
              <w:right w:val="nil"/>
            </w:tcBorders>
            <w:vAlign w:val="center"/>
            <w:hideMark/>
          </w:tcPr>
          <w:p w14:paraId="3CB3FA7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Vicarious</w:t>
            </w:r>
          </w:p>
        </w:tc>
        <w:tc>
          <w:tcPr>
            <w:tcW w:w="1651" w:type="dxa"/>
            <w:tcBorders>
              <w:top w:val="single" w:sz="4" w:space="0" w:color="auto"/>
              <w:left w:val="nil"/>
              <w:bottom w:val="single" w:sz="4" w:space="0" w:color="auto"/>
              <w:right w:val="nil"/>
            </w:tcBorders>
            <w:vAlign w:val="center"/>
            <w:hideMark/>
          </w:tcPr>
          <w:p w14:paraId="5F9D266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Persuasion</w:t>
            </w:r>
          </w:p>
        </w:tc>
        <w:tc>
          <w:tcPr>
            <w:tcW w:w="1651" w:type="dxa"/>
            <w:tcBorders>
              <w:top w:val="single" w:sz="4" w:space="0" w:color="auto"/>
              <w:left w:val="nil"/>
              <w:bottom w:val="single" w:sz="4" w:space="0" w:color="auto"/>
              <w:right w:val="nil"/>
            </w:tcBorders>
            <w:vAlign w:val="center"/>
            <w:hideMark/>
          </w:tcPr>
          <w:p w14:paraId="2AD863C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Regulation</w:t>
            </w:r>
          </w:p>
        </w:tc>
      </w:tr>
      <w:tr w:rsidR="00284018" w:rsidRPr="00284018" w14:paraId="32823C8E" w14:textId="77777777">
        <w:tc>
          <w:tcPr>
            <w:tcW w:w="2016" w:type="dxa"/>
            <w:tcBorders>
              <w:top w:val="single" w:sz="4" w:space="0" w:color="auto"/>
              <w:left w:val="nil"/>
              <w:bottom w:val="nil"/>
              <w:right w:val="nil"/>
            </w:tcBorders>
            <w:vAlign w:val="center"/>
            <w:hideMark/>
          </w:tcPr>
          <w:p w14:paraId="21CF407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1578" w:type="dxa"/>
            <w:tcBorders>
              <w:top w:val="single" w:sz="4" w:space="0" w:color="auto"/>
              <w:left w:val="nil"/>
              <w:bottom w:val="nil"/>
              <w:right w:val="nil"/>
            </w:tcBorders>
            <w:vAlign w:val="center"/>
            <w:hideMark/>
          </w:tcPr>
          <w:p w14:paraId="26E8A3C5"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.496**</w:t>
            </w:r>
          </w:p>
        </w:tc>
        <w:tc>
          <w:tcPr>
            <w:tcW w:w="1626" w:type="dxa"/>
            <w:tcBorders>
              <w:top w:val="single" w:sz="4" w:space="0" w:color="auto"/>
              <w:left w:val="nil"/>
              <w:bottom w:val="nil"/>
              <w:right w:val="nil"/>
            </w:tcBorders>
            <w:vAlign w:val="center"/>
            <w:hideMark/>
          </w:tcPr>
          <w:p w14:paraId="45DF792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.562**</w:t>
            </w:r>
          </w:p>
        </w:tc>
        <w:tc>
          <w:tcPr>
            <w:tcW w:w="1651" w:type="dxa"/>
            <w:tcBorders>
              <w:top w:val="single" w:sz="4" w:space="0" w:color="auto"/>
              <w:left w:val="nil"/>
              <w:bottom w:val="nil"/>
              <w:right w:val="nil"/>
            </w:tcBorders>
            <w:vAlign w:val="center"/>
            <w:hideMark/>
          </w:tcPr>
          <w:p w14:paraId="2938D7E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.570**</w:t>
            </w:r>
          </w:p>
        </w:tc>
        <w:tc>
          <w:tcPr>
            <w:tcW w:w="1651" w:type="dxa"/>
            <w:tcBorders>
              <w:top w:val="single" w:sz="4" w:space="0" w:color="auto"/>
              <w:left w:val="nil"/>
              <w:bottom w:val="nil"/>
              <w:right w:val="nil"/>
            </w:tcBorders>
            <w:vAlign w:val="center"/>
            <w:hideMark/>
          </w:tcPr>
          <w:p w14:paraId="04BF1B2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.608**</w:t>
            </w:r>
          </w:p>
        </w:tc>
      </w:tr>
      <w:tr w:rsidR="00284018" w:rsidRPr="00284018" w14:paraId="5937040C" w14:textId="77777777">
        <w:tc>
          <w:tcPr>
            <w:tcW w:w="2016" w:type="dxa"/>
            <w:tcBorders>
              <w:top w:val="nil"/>
              <w:left w:val="nil"/>
              <w:bottom w:val="nil"/>
              <w:right w:val="nil"/>
            </w:tcBorders>
            <w:vAlign w:val="center"/>
            <w:hideMark/>
          </w:tcPr>
          <w:p w14:paraId="4959D7B2"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1578" w:type="dxa"/>
            <w:tcBorders>
              <w:top w:val="nil"/>
              <w:left w:val="nil"/>
              <w:bottom w:val="nil"/>
              <w:right w:val="nil"/>
            </w:tcBorders>
            <w:vAlign w:val="center"/>
            <w:hideMark/>
          </w:tcPr>
          <w:p w14:paraId="16B4A5C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.557**</w:t>
            </w:r>
          </w:p>
        </w:tc>
        <w:tc>
          <w:tcPr>
            <w:tcW w:w="1626" w:type="dxa"/>
            <w:tcBorders>
              <w:top w:val="nil"/>
              <w:left w:val="nil"/>
              <w:bottom w:val="nil"/>
              <w:right w:val="nil"/>
            </w:tcBorders>
            <w:vAlign w:val="center"/>
            <w:hideMark/>
          </w:tcPr>
          <w:p w14:paraId="2B487C2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.637**</w:t>
            </w:r>
          </w:p>
        </w:tc>
        <w:tc>
          <w:tcPr>
            <w:tcW w:w="1651" w:type="dxa"/>
            <w:tcBorders>
              <w:top w:val="nil"/>
              <w:left w:val="nil"/>
              <w:bottom w:val="nil"/>
              <w:right w:val="nil"/>
            </w:tcBorders>
            <w:vAlign w:val="center"/>
            <w:hideMark/>
          </w:tcPr>
          <w:p w14:paraId="16D02BE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.634**</w:t>
            </w:r>
          </w:p>
        </w:tc>
        <w:tc>
          <w:tcPr>
            <w:tcW w:w="1651" w:type="dxa"/>
            <w:tcBorders>
              <w:top w:val="nil"/>
              <w:left w:val="nil"/>
              <w:bottom w:val="nil"/>
              <w:right w:val="nil"/>
            </w:tcBorders>
            <w:vAlign w:val="center"/>
            <w:hideMark/>
          </w:tcPr>
          <w:p w14:paraId="4B3206A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.642**</w:t>
            </w:r>
          </w:p>
        </w:tc>
      </w:tr>
      <w:tr w:rsidR="00284018" w:rsidRPr="00284018" w14:paraId="780DCD18" w14:textId="77777777">
        <w:tc>
          <w:tcPr>
            <w:tcW w:w="2016" w:type="dxa"/>
            <w:tcBorders>
              <w:top w:val="nil"/>
              <w:left w:val="nil"/>
              <w:bottom w:val="nil"/>
              <w:right w:val="nil"/>
            </w:tcBorders>
            <w:vAlign w:val="center"/>
            <w:hideMark/>
          </w:tcPr>
          <w:p w14:paraId="2EA31B1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1578" w:type="dxa"/>
            <w:tcBorders>
              <w:top w:val="nil"/>
              <w:left w:val="nil"/>
              <w:bottom w:val="nil"/>
              <w:right w:val="nil"/>
            </w:tcBorders>
            <w:vAlign w:val="center"/>
            <w:hideMark/>
          </w:tcPr>
          <w:p w14:paraId="425366A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.497**</w:t>
            </w:r>
          </w:p>
        </w:tc>
        <w:tc>
          <w:tcPr>
            <w:tcW w:w="1626" w:type="dxa"/>
            <w:tcBorders>
              <w:top w:val="nil"/>
              <w:left w:val="nil"/>
              <w:bottom w:val="nil"/>
              <w:right w:val="nil"/>
            </w:tcBorders>
            <w:vAlign w:val="center"/>
            <w:hideMark/>
          </w:tcPr>
          <w:p w14:paraId="1495BC9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.579**</w:t>
            </w:r>
          </w:p>
        </w:tc>
        <w:tc>
          <w:tcPr>
            <w:tcW w:w="1651" w:type="dxa"/>
            <w:tcBorders>
              <w:top w:val="nil"/>
              <w:left w:val="nil"/>
              <w:bottom w:val="nil"/>
              <w:right w:val="nil"/>
            </w:tcBorders>
            <w:vAlign w:val="center"/>
            <w:hideMark/>
          </w:tcPr>
          <w:p w14:paraId="4F71590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.578**</w:t>
            </w:r>
          </w:p>
        </w:tc>
        <w:tc>
          <w:tcPr>
            <w:tcW w:w="1651" w:type="dxa"/>
            <w:tcBorders>
              <w:top w:val="nil"/>
              <w:left w:val="nil"/>
              <w:bottom w:val="nil"/>
              <w:right w:val="nil"/>
            </w:tcBorders>
            <w:vAlign w:val="center"/>
            <w:hideMark/>
          </w:tcPr>
          <w:p w14:paraId="4A714FC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.650**</w:t>
            </w:r>
          </w:p>
        </w:tc>
      </w:tr>
      <w:tr w:rsidR="00284018" w:rsidRPr="00284018" w14:paraId="10D5DCE7" w14:textId="77777777">
        <w:tc>
          <w:tcPr>
            <w:tcW w:w="2016" w:type="dxa"/>
            <w:tcBorders>
              <w:top w:val="nil"/>
              <w:left w:val="nil"/>
              <w:bottom w:val="nil"/>
              <w:right w:val="nil"/>
            </w:tcBorders>
            <w:vAlign w:val="center"/>
            <w:hideMark/>
          </w:tcPr>
          <w:p w14:paraId="4482091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and Debriefing Strategies</w:t>
            </w:r>
          </w:p>
        </w:tc>
        <w:tc>
          <w:tcPr>
            <w:tcW w:w="1578" w:type="dxa"/>
            <w:tcBorders>
              <w:top w:val="nil"/>
              <w:left w:val="nil"/>
              <w:bottom w:val="nil"/>
              <w:right w:val="nil"/>
            </w:tcBorders>
            <w:vAlign w:val="center"/>
            <w:hideMark/>
          </w:tcPr>
          <w:p w14:paraId="4BA32BB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.587**</w:t>
            </w:r>
          </w:p>
        </w:tc>
        <w:tc>
          <w:tcPr>
            <w:tcW w:w="1626" w:type="dxa"/>
            <w:tcBorders>
              <w:top w:val="nil"/>
              <w:left w:val="nil"/>
              <w:bottom w:val="nil"/>
              <w:right w:val="nil"/>
            </w:tcBorders>
            <w:vAlign w:val="center"/>
            <w:hideMark/>
          </w:tcPr>
          <w:p w14:paraId="4DD1EBF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.665**</w:t>
            </w:r>
          </w:p>
        </w:tc>
        <w:tc>
          <w:tcPr>
            <w:tcW w:w="1651" w:type="dxa"/>
            <w:tcBorders>
              <w:top w:val="nil"/>
              <w:left w:val="nil"/>
              <w:bottom w:val="nil"/>
              <w:right w:val="nil"/>
            </w:tcBorders>
            <w:vAlign w:val="center"/>
            <w:hideMark/>
          </w:tcPr>
          <w:p w14:paraId="0955672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.675**</w:t>
            </w:r>
          </w:p>
        </w:tc>
        <w:tc>
          <w:tcPr>
            <w:tcW w:w="1651" w:type="dxa"/>
            <w:tcBorders>
              <w:top w:val="nil"/>
              <w:left w:val="nil"/>
              <w:bottom w:val="nil"/>
              <w:right w:val="nil"/>
            </w:tcBorders>
            <w:vAlign w:val="center"/>
            <w:hideMark/>
          </w:tcPr>
          <w:p w14:paraId="2C63EF0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.698**</w:t>
            </w:r>
          </w:p>
        </w:tc>
      </w:tr>
      <w:tr w:rsidR="00284018" w:rsidRPr="00284018" w14:paraId="46F3DC3B" w14:textId="77777777">
        <w:tc>
          <w:tcPr>
            <w:tcW w:w="2016" w:type="dxa"/>
            <w:tcBorders>
              <w:top w:val="nil"/>
              <w:left w:val="nil"/>
              <w:bottom w:val="single" w:sz="4" w:space="0" w:color="auto"/>
              <w:right w:val="nil"/>
            </w:tcBorders>
            <w:vAlign w:val="center"/>
            <w:hideMark/>
          </w:tcPr>
          <w:p w14:paraId="778838F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Reflective Observation</w:t>
            </w:r>
          </w:p>
        </w:tc>
        <w:tc>
          <w:tcPr>
            <w:tcW w:w="1578" w:type="dxa"/>
            <w:tcBorders>
              <w:top w:val="nil"/>
              <w:left w:val="nil"/>
              <w:bottom w:val="single" w:sz="4" w:space="0" w:color="auto"/>
              <w:right w:val="nil"/>
            </w:tcBorders>
            <w:vAlign w:val="center"/>
            <w:hideMark/>
          </w:tcPr>
          <w:p w14:paraId="3FFE84F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.633**</w:t>
            </w:r>
          </w:p>
        </w:tc>
        <w:tc>
          <w:tcPr>
            <w:tcW w:w="1626" w:type="dxa"/>
            <w:tcBorders>
              <w:top w:val="nil"/>
              <w:left w:val="nil"/>
              <w:bottom w:val="single" w:sz="4" w:space="0" w:color="auto"/>
              <w:right w:val="nil"/>
            </w:tcBorders>
            <w:vAlign w:val="center"/>
            <w:hideMark/>
          </w:tcPr>
          <w:p w14:paraId="2240EAB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.685**</w:t>
            </w:r>
          </w:p>
        </w:tc>
        <w:tc>
          <w:tcPr>
            <w:tcW w:w="1651" w:type="dxa"/>
            <w:tcBorders>
              <w:top w:val="nil"/>
              <w:left w:val="nil"/>
              <w:bottom w:val="single" w:sz="4" w:space="0" w:color="auto"/>
              <w:right w:val="nil"/>
            </w:tcBorders>
            <w:vAlign w:val="center"/>
            <w:hideMark/>
          </w:tcPr>
          <w:p w14:paraId="2F78BA7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.633**</w:t>
            </w:r>
          </w:p>
        </w:tc>
        <w:tc>
          <w:tcPr>
            <w:tcW w:w="1651" w:type="dxa"/>
            <w:tcBorders>
              <w:top w:val="nil"/>
              <w:left w:val="nil"/>
              <w:bottom w:val="single" w:sz="4" w:space="0" w:color="auto"/>
              <w:right w:val="nil"/>
            </w:tcBorders>
            <w:vAlign w:val="center"/>
            <w:hideMark/>
          </w:tcPr>
          <w:p w14:paraId="4596D84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.684**</w:t>
            </w:r>
          </w:p>
        </w:tc>
      </w:tr>
    </w:tbl>
    <w:p w14:paraId="1454A55E"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Note. Spearman’s rho (ρ) correlation coefficients are presented.</w:t>
      </w:r>
      <w:r w:rsidRPr="00284018">
        <w:rPr>
          <w:rFonts w:ascii="Arial" w:eastAsia="Aptos" w:hAnsi="Arial" w:cs="Arial"/>
          <w:b/>
          <w:bCs/>
          <w:i/>
          <w:iCs/>
          <w:kern w:val="2"/>
          <w:lang w:val="en-PH" w:eastAsia="zh-CN" w:bidi="ar"/>
        </w:rPr>
        <w:br/>
        <w:t>** indicates statistical significance at p &lt; 0.01 (two-tailed)</w:t>
      </w:r>
    </w:p>
    <w:p w14:paraId="0E118B3E" w14:textId="77777777" w:rsidR="00672898" w:rsidRPr="003F1191" w:rsidRDefault="00672898" w:rsidP="00284018">
      <w:pPr>
        <w:rPr>
          <w:rFonts w:ascii="Arial" w:eastAsia="Aptos" w:hAnsi="Arial" w:cs="Arial"/>
          <w:b/>
          <w:bCs/>
          <w:kern w:val="2"/>
          <w:lang w:val="en-PH" w:eastAsia="zh-CN" w:bidi="ar"/>
        </w:rPr>
      </w:pPr>
    </w:p>
    <w:p w14:paraId="6AE3D201" w14:textId="77777777" w:rsidR="00672898" w:rsidRPr="003F1191" w:rsidRDefault="00672898" w:rsidP="00284018">
      <w:pPr>
        <w:rPr>
          <w:rFonts w:ascii="Arial" w:eastAsia="Aptos" w:hAnsi="Arial" w:cs="Arial"/>
          <w:b/>
          <w:bCs/>
          <w:kern w:val="2"/>
          <w:lang w:val="en-PH" w:eastAsia="zh-CN" w:bidi="ar"/>
        </w:rPr>
      </w:pPr>
    </w:p>
    <w:p w14:paraId="00496949" w14:textId="77777777" w:rsidR="00672898" w:rsidRPr="00672898" w:rsidRDefault="00672898" w:rsidP="001512D8">
      <w:pPr>
        <w:jc w:val="both"/>
        <w:rPr>
          <w:rFonts w:ascii="Arial" w:eastAsia="Aptos" w:hAnsi="Arial" w:cs="Arial"/>
          <w:kern w:val="2"/>
          <w:lang w:val="en-PH" w:eastAsia="zh-CN" w:bidi="ar"/>
        </w:rPr>
      </w:pPr>
      <w:r w:rsidRPr="00672898">
        <w:rPr>
          <w:rFonts w:ascii="Arial" w:eastAsia="Aptos" w:hAnsi="Arial" w:cs="Arial"/>
          <w:kern w:val="2"/>
          <w:lang w:val="en-PH" w:eastAsia="zh-CN" w:bidi="ar"/>
        </w:rPr>
        <w:t>The results revealed moderate to strong positive and significant correlations between perception of simulation-based training and all dimensions of self-efficacy (p &lt; .01), indicating that more favorable simulation experiences are associated with higher confidence, motivation, and emotional regulation in cardiac arrest management. This supports evidence that simulation-based learning significantly enhances self-efficacy and clinical competence through repeated experiential engagement (Hung et al., 2021).</w:t>
      </w:r>
    </w:p>
    <w:p w14:paraId="1B58C03B" w14:textId="77777777" w:rsidR="00672898" w:rsidRPr="00672898" w:rsidRDefault="00672898" w:rsidP="001512D8">
      <w:pPr>
        <w:jc w:val="both"/>
        <w:rPr>
          <w:rFonts w:ascii="Arial" w:eastAsia="Aptos" w:hAnsi="Arial" w:cs="Arial"/>
          <w:kern w:val="2"/>
          <w:lang w:val="en-PH" w:eastAsia="zh-CN" w:bidi="ar"/>
        </w:rPr>
      </w:pPr>
      <w:r w:rsidRPr="00672898">
        <w:rPr>
          <w:rFonts w:ascii="Arial" w:eastAsia="Aptos" w:hAnsi="Arial" w:cs="Arial"/>
          <w:kern w:val="2"/>
          <w:lang w:val="en-PH" w:eastAsia="zh-CN" w:bidi="ar"/>
        </w:rPr>
        <w:t xml:space="preserve">The stronger relationships observed in facilitation, debriefing, and reflective observation emphasize that guided reflection is central to self-efficacy development. Simulation environments that integrate structured feedback and reflective processing have been shown to significantly improve confidence, clinical performance, and decision-making (Niu et al., </w:t>
      </w:r>
      <w:r w:rsidRPr="00672898">
        <w:rPr>
          <w:rFonts w:ascii="Arial" w:eastAsia="Aptos" w:hAnsi="Arial" w:cs="Arial"/>
          <w:kern w:val="2"/>
          <w:lang w:val="en-PH" w:eastAsia="zh-CN" w:bidi="ar"/>
        </w:rPr>
        <w:lastRenderedPageBreak/>
        <w:t>2021). Similarly, simulation-based education enhances self-efficacy and clinical competence by allowing learners to actively apply knowledge and reflect on performance in a safe environment (Seo &amp; Eom, 2021).</w:t>
      </w:r>
    </w:p>
    <w:p w14:paraId="36D35F71" w14:textId="77777777" w:rsidR="00672898" w:rsidRPr="00672898" w:rsidRDefault="00672898" w:rsidP="001512D8">
      <w:pPr>
        <w:jc w:val="both"/>
        <w:rPr>
          <w:rFonts w:ascii="Arial" w:eastAsia="Aptos" w:hAnsi="Arial" w:cs="Arial"/>
          <w:kern w:val="2"/>
          <w:lang w:val="en-PH" w:eastAsia="zh-CN" w:bidi="ar"/>
        </w:rPr>
      </w:pPr>
      <w:r w:rsidRPr="00672898">
        <w:rPr>
          <w:rFonts w:ascii="Arial" w:eastAsia="Aptos" w:hAnsi="Arial" w:cs="Arial"/>
          <w:kern w:val="2"/>
          <w:lang w:val="en-PH" w:eastAsia="zh-CN" w:bidi="ar"/>
        </w:rPr>
        <w:t xml:space="preserve">Furthermore, recent evidence indicates that simulation-based training strengthens both technical competence and psychological readiness, as learners develop confidence and emotional control through immersive and repeated practice (Hwang, 2023; Ton et al., 2024). These findings suggest that simulation supports adaptive confidence, enabling nurses to manage stress and perform effectively in high-pressure clinical situations. </w:t>
      </w:r>
    </w:p>
    <w:p w14:paraId="66014944" w14:textId="77777777" w:rsidR="00672898" w:rsidRPr="00672898" w:rsidRDefault="00672898" w:rsidP="001512D8">
      <w:pPr>
        <w:jc w:val="both"/>
        <w:rPr>
          <w:rFonts w:ascii="Arial" w:eastAsia="Aptos" w:hAnsi="Arial" w:cs="Arial"/>
          <w:kern w:val="2"/>
          <w:lang w:val="en-PH" w:eastAsia="zh-CN" w:bidi="ar"/>
        </w:rPr>
      </w:pPr>
      <w:r w:rsidRPr="00672898">
        <w:rPr>
          <w:rFonts w:ascii="Arial" w:eastAsia="Aptos" w:hAnsi="Arial" w:cs="Arial"/>
          <w:kern w:val="2"/>
          <w:lang w:val="en-PH" w:eastAsia="zh-CN" w:bidi="ar"/>
        </w:rPr>
        <w:t>From a theoretical perspective, the findings align with Bandura’s Self-Efficacy Theory (Bandura, 1997), which explains that confidence is developed through mastery experiences, vicarious learning, social persuasion, and emotional regulation. Simulation-based training integrates all these sources, reinforcing that self-efficacy is shaped not only by performance but by reflection and guided learning.</w:t>
      </w:r>
    </w:p>
    <w:p w14:paraId="5A64A006" w14:textId="77777777" w:rsidR="00672898" w:rsidRPr="00672898" w:rsidRDefault="00672898" w:rsidP="001512D8">
      <w:pPr>
        <w:jc w:val="both"/>
        <w:rPr>
          <w:rFonts w:ascii="Arial" w:eastAsia="Aptos" w:hAnsi="Arial" w:cs="Arial"/>
          <w:kern w:val="2"/>
          <w:lang w:val="en-PH" w:eastAsia="zh-CN" w:bidi="ar"/>
        </w:rPr>
      </w:pPr>
      <w:r w:rsidRPr="00672898">
        <w:rPr>
          <w:rFonts w:ascii="Arial" w:eastAsia="Aptos" w:hAnsi="Arial" w:cs="Arial"/>
          <w:kern w:val="2"/>
          <w:lang w:val="en-PH" w:eastAsia="zh-CN" w:bidi="ar"/>
        </w:rPr>
        <w:t>Accordingly, the null hypothesis was rejected, confirming a significant relationship between simulation-based training and self-efficacy. Overall, the findings highlight that simulation is both a technical and psychological learning strategy, where structured facilitation and reflection are essential in developing sustained clinical confidence in high-acuity settings.</w:t>
      </w:r>
    </w:p>
    <w:p w14:paraId="2E43AA30" w14:textId="77777777" w:rsidR="00672898" w:rsidRPr="001512D8" w:rsidRDefault="00672898" w:rsidP="001512D8">
      <w:pPr>
        <w:jc w:val="both"/>
        <w:rPr>
          <w:rFonts w:ascii="Arial" w:eastAsia="Aptos" w:hAnsi="Arial" w:cs="Arial"/>
          <w:kern w:val="2"/>
          <w:lang w:val="en-PH" w:eastAsia="zh-CN" w:bidi="ar"/>
        </w:rPr>
      </w:pPr>
    </w:p>
    <w:p w14:paraId="05AA30BD" w14:textId="77777777" w:rsidR="00672898" w:rsidRPr="003F1191" w:rsidRDefault="00672898" w:rsidP="00284018">
      <w:pPr>
        <w:rPr>
          <w:rFonts w:ascii="Arial" w:eastAsia="Aptos" w:hAnsi="Arial" w:cs="Arial"/>
          <w:b/>
          <w:bCs/>
          <w:kern w:val="2"/>
          <w:lang w:val="en-PH" w:eastAsia="zh-CN" w:bidi="ar"/>
        </w:rPr>
      </w:pPr>
    </w:p>
    <w:p w14:paraId="7A8D901F" w14:textId="77777777" w:rsidR="00672898" w:rsidRPr="003F1191" w:rsidRDefault="00672898" w:rsidP="00284018">
      <w:pPr>
        <w:rPr>
          <w:rFonts w:ascii="Arial" w:eastAsia="Aptos" w:hAnsi="Arial" w:cs="Arial"/>
          <w:b/>
          <w:bCs/>
          <w:kern w:val="2"/>
          <w:lang w:val="en-PH" w:eastAsia="zh-CN" w:bidi="ar"/>
        </w:rPr>
      </w:pPr>
    </w:p>
    <w:p w14:paraId="3AA131CF" w14:textId="77777777" w:rsidR="00672898" w:rsidRPr="003F1191" w:rsidRDefault="00672898" w:rsidP="00284018">
      <w:pPr>
        <w:rPr>
          <w:rFonts w:ascii="Arial" w:eastAsia="Aptos" w:hAnsi="Arial" w:cs="Arial"/>
          <w:b/>
          <w:bCs/>
          <w:kern w:val="2"/>
          <w:lang w:val="en-PH" w:eastAsia="zh-CN" w:bidi="ar"/>
        </w:rPr>
      </w:pPr>
    </w:p>
    <w:p w14:paraId="67088364" w14:textId="1980378B"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Table 9</w:t>
      </w:r>
    </w:p>
    <w:p w14:paraId="4CA5939B"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Regression Analysis in Predicting the Role of SBT in their Knowledge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335"/>
        <w:gridCol w:w="1403"/>
        <w:gridCol w:w="1228"/>
        <w:gridCol w:w="1403"/>
        <w:gridCol w:w="1051"/>
      </w:tblGrid>
      <w:tr w:rsidR="00284018" w:rsidRPr="00284018" w14:paraId="3099B0AF" w14:textId="77777777">
        <w:trPr>
          <w:trHeight w:val="42"/>
        </w:trPr>
        <w:tc>
          <w:tcPr>
            <w:tcW w:w="1981" w:type="pct"/>
            <w:tcBorders>
              <w:top w:val="single" w:sz="4" w:space="0" w:color="auto"/>
              <w:left w:val="nil"/>
              <w:bottom w:val="single" w:sz="4" w:space="0" w:color="auto"/>
              <w:right w:val="nil"/>
            </w:tcBorders>
            <w:vAlign w:val="center"/>
            <w:hideMark/>
          </w:tcPr>
          <w:p w14:paraId="071C79F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Predictors</w:t>
            </w:r>
          </w:p>
        </w:tc>
        <w:tc>
          <w:tcPr>
            <w:tcW w:w="833" w:type="pct"/>
            <w:tcBorders>
              <w:top w:val="single" w:sz="4" w:space="0" w:color="auto"/>
              <w:left w:val="nil"/>
              <w:bottom w:val="single" w:sz="4" w:space="0" w:color="auto"/>
              <w:right w:val="nil"/>
            </w:tcBorders>
            <w:vAlign w:val="center"/>
            <w:hideMark/>
          </w:tcPr>
          <w:p w14:paraId="6A7F348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B</w:t>
            </w:r>
          </w:p>
        </w:tc>
        <w:tc>
          <w:tcPr>
            <w:tcW w:w="729" w:type="pct"/>
            <w:tcBorders>
              <w:top w:val="single" w:sz="4" w:space="0" w:color="auto"/>
              <w:left w:val="nil"/>
              <w:bottom w:val="single" w:sz="4" w:space="0" w:color="auto"/>
              <w:right w:val="nil"/>
            </w:tcBorders>
            <w:vAlign w:val="center"/>
            <w:hideMark/>
          </w:tcPr>
          <w:p w14:paraId="2D0FAD76"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SE</w:t>
            </w:r>
          </w:p>
        </w:tc>
        <w:tc>
          <w:tcPr>
            <w:tcW w:w="833" w:type="pct"/>
            <w:tcBorders>
              <w:top w:val="single" w:sz="4" w:space="0" w:color="auto"/>
              <w:left w:val="nil"/>
              <w:bottom w:val="single" w:sz="4" w:space="0" w:color="auto"/>
              <w:right w:val="nil"/>
            </w:tcBorders>
            <w:vAlign w:val="center"/>
            <w:hideMark/>
          </w:tcPr>
          <w:p w14:paraId="4D7E501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t</w:t>
            </w:r>
          </w:p>
        </w:tc>
        <w:tc>
          <w:tcPr>
            <w:tcW w:w="624" w:type="pct"/>
            <w:tcBorders>
              <w:top w:val="single" w:sz="4" w:space="0" w:color="auto"/>
              <w:left w:val="nil"/>
              <w:bottom w:val="single" w:sz="4" w:space="0" w:color="auto"/>
              <w:right w:val="nil"/>
            </w:tcBorders>
            <w:vAlign w:val="center"/>
            <w:hideMark/>
          </w:tcPr>
          <w:p w14:paraId="01D3ACD2"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p</w:t>
            </w:r>
          </w:p>
        </w:tc>
      </w:tr>
      <w:tr w:rsidR="00284018" w:rsidRPr="00284018" w14:paraId="457F430C" w14:textId="77777777">
        <w:tc>
          <w:tcPr>
            <w:tcW w:w="1981" w:type="pct"/>
            <w:tcBorders>
              <w:top w:val="single" w:sz="4" w:space="0" w:color="auto"/>
              <w:left w:val="nil"/>
              <w:bottom w:val="nil"/>
              <w:right w:val="nil"/>
            </w:tcBorders>
            <w:hideMark/>
          </w:tcPr>
          <w:p w14:paraId="131BEC7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Intercept (Constant)</w:t>
            </w:r>
          </w:p>
        </w:tc>
        <w:tc>
          <w:tcPr>
            <w:tcW w:w="833" w:type="pct"/>
            <w:tcBorders>
              <w:top w:val="single" w:sz="4" w:space="0" w:color="auto"/>
              <w:left w:val="nil"/>
              <w:bottom w:val="nil"/>
              <w:right w:val="nil"/>
            </w:tcBorders>
            <w:vAlign w:val="bottom"/>
            <w:hideMark/>
          </w:tcPr>
          <w:p w14:paraId="314C49C2"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.424</w:t>
            </w:r>
          </w:p>
        </w:tc>
        <w:tc>
          <w:tcPr>
            <w:tcW w:w="729" w:type="pct"/>
            <w:tcBorders>
              <w:top w:val="single" w:sz="4" w:space="0" w:color="auto"/>
              <w:left w:val="nil"/>
              <w:bottom w:val="nil"/>
              <w:right w:val="nil"/>
            </w:tcBorders>
            <w:vAlign w:val="bottom"/>
            <w:hideMark/>
          </w:tcPr>
          <w:p w14:paraId="56B662D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.138</w:t>
            </w:r>
          </w:p>
        </w:tc>
        <w:tc>
          <w:tcPr>
            <w:tcW w:w="833" w:type="pct"/>
            <w:tcBorders>
              <w:top w:val="single" w:sz="4" w:space="0" w:color="auto"/>
              <w:left w:val="nil"/>
              <w:bottom w:val="nil"/>
              <w:right w:val="nil"/>
            </w:tcBorders>
            <w:vAlign w:val="bottom"/>
            <w:hideMark/>
          </w:tcPr>
          <w:p w14:paraId="2DFB3B0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3.077</w:t>
            </w:r>
          </w:p>
        </w:tc>
        <w:tc>
          <w:tcPr>
            <w:tcW w:w="624" w:type="pct"/>
            <w:tcBorders>
              <w:top w:val="single" w:sz="4" w:space="0" w:color="auto"/>
              <w:left w:val="nil"/>
              <w:bottom w:val="nil"/>
              <w:right w:val="nil"/>
            </w:tcBorders>
            <w:vAlign w:val="bottom"/>
            <w:hideMark/>
          </w:tcPr>
          <w:p w14:paraId="1A157D9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.003</w:t>
            </w:r>
          </w:p>
        </w:tc>
      </w:tr>
      <w:tr w:rsidR="00284018" w:rsidRPr="00284018" w14:paraId="3401A7DC" w14:textId="77777777">
        <w:trPr>
          <w:trHeight w:val="90"/>
        </w:trPr>
        <w:tc>
          <w:tcPr>
            <w:tcW w:w="1981" w:type="pct"/>
            <w:tcBorders>
              <w:top w:val="nil"/>
              <w:left w:val="nil"/>
              <w:bottom w:val="nil"/>
              <w:right w:val="nil"/>
            </w:tcBorders>
            <w:hideMark/>
          </w:tcPr>
          <w:p w14:paraId="3E3C0A9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833" w:type="pct"/>
            <w:tcBorders>
              <w:top w:val="nil"/>
              <w:left w:val="nil"/>
              <w:bottom w:val="nil"/>
              <w:right w:val="nil"/>
            </w:tcBorders>
            <w:vAlign w:val="bottom"/>
            <w:hideMark/>
          </w:tcPr>
          <w:p w14:paraId="206FE80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-.179</w:t>
            </w:r>
          </w:p>
        </w:tc>
        <w:tc>
          <w:tcPr>
            <w:tcW w:w="729" w:type="pct"/>
            <w:tcBorders>
              <w:top w:val="nil"/>
              <w:left w:val="nil"/>
              <w:bottom w:val="nil"/>
              <w:right w:val="nil"/>
            </w:tcBorders>
            <w:vAlign w:val="bottom"/>
            <w:hideMark/>
          </w:tcPr>
          <w:p w14:paraId="00260B5A"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.051</w:t>
            </w:r>
          </w:p>
        </w:tc>
        <w:tc>
          <w:tcPr>
            <w:tcW w:w="833" w:type="pct"/>
            <w:tcBorders>
              <w:top w:val="nil"/>
              <w:left w:val="nil"/>
              <w:bottom w:val="nil"/>
              <w:right w:val="nil"/>
            </w:tcBorders>
            <w:vAlign w:val="bottom"/>
            <w:hideMark/>
          </w:tcPr>
          <w:p w14:paraId="4E8E19E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-3.499</w:t>
            </w:r>
          </w:p>
        </w:tc>
        <w:tc>
          <w:tcPr>
            <w:tcW w:w="624" w:type="pct"/>
            <w:tcBorders>
              <w:top w:val="nil"/>
              <w:left w:val="nil"/>
              <w:bottom w:val="nil"/>
              <w:right w:val="nil"/>
            </w:tcBorders>
            <w:vAlign w:val="bottom"/>
            <w:hideMark/>
          </w:tcPr>
          <w:p w14:paraId="3C84216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.001</w:t>
            </w:r>
          </w:p>
        </w:tc>
      </w:tr>
      <w:tr w:rsidR="00284018" w:rsidRPr="00284018" w14:paraId="2C9D91F4" w14:textId="77777777">
        <w:tc>
          <w:tcPr>
            <w:tcW w:w="1981" w:type="pct"/>
            <w:tcBorders>
              <w:top w:val="nil"/>
              <w:left w:val="nil"/>
              <w:bottom w:val="nil"/>
              <w:right w:val="nil"/>
            </w:tcBorders>
            <w:hideMark/>
          </w:tcPr>
          <w:p w14:paraId="3E91750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833" w:type="pct"/>
            <w:tcBorders>
              <w:top w:val="nil"/>
              <w:left w:val="nil"/>
              <w:bottom w:val="nil"/>
              <w:right w:val="nil"/>
            </w:tcBorders>
            <w:vAlign w:val="bottom"/>
            <w:hideMark/>
          </w:tcPr>
          <w:p w14:paraId="6D4403D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.326</w:t>
            </w:r>
          </w:p>
        </w:tc>
        <w:tc>
          <w:tcPr>
            <w:tcW w:w="729" w:type="pct"/>
            <w:tcBorders>
              <w:top w:val="nil"/>
              <w:left w:val="nil"/>
              <w:bottom w:val="nil"/>
              <w:right w:val="nil"/>
            </w:tcBorders>
            <w:vAlign w:val="bottom"/>
            <w:hideMark/>
          </w:tcPr>
          <w:p w14:paraId="6553DE3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.118</w:t>
            </w:r>
          </w:p>
        </w:tc>
        <w:tc>
          <w:tcPr>
            <w:tcW w:w="833" w:type="pct"/>
            <w:tcBorders>
              <w:top w:val="nil"/>
              <w:left w:val="nil"/>
              <w:bottom w:val="nil"/>
              <w:right w:val="nil"/>
            </w:tcBorders>
            <w:vAlign w:val="bottom"/>
            <w:hideMark/>
          </w:tcPr>
          <w:p w14:paraId="5D81BEA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2.759</w:t>
            </w:r>
          </w:p>
        </w:tc>
        <w:tc>
          <w:tcPr>
            <w:tcW w:w="624" w:type="pct"/>
            <w:tcBorders>
              <w:top w:val="nil"/>
              <w:left w:val="nil"/>
              <w:bottom w:val="nil"/>
              <w:right w:val="nil"/>
            </w:tcBorders>
            <w:vAlign w:val="bottom"/>
            <w:hideMark/>
          </w:tcPr>
          <w:p w14:paraId="557CB7A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.007</w:t>
            </w:r>
          </w:p>
        </w:tc>
      </w:tr>
      <w:tr w:rsidR="00284018" w:rsidRPr="00284018" w14:paraId="04227875" w14:textId="77777777">
        <w:tc>
          <w:tcPr>
            <w:tcW w:w="1981" w:type="pct"/>
            <w:tcBorders>
              <w:top w:val="nil"/>
              <w:left w:val="nil"/>
              <w:bottom w:val="nil"/>
              <w:right w:val="nil"/>
            </w:tcBorders>
            <w:hideMark/>
          </w:tcPr>
          <w:p w14:paraId="33F4F7C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833" w:type="pct"/>
            <w:tcBorders>
              <w:top w:val="nil"/>
              <w:left w:val="nil"/>
              <w:bottom w:val="nil"/>
              <w:right w:val="nil"/>
            </w:tcBorders>
            <w:vAlign w:val="bottom"/>
            <w:hideMark/>
          </w:tcPr>
          <w:p w14:paraId="57D2B20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.148</w:t>
            </w:r>
          </w:p>
        </w:tc>
        <w:tc>
          <w:tcPr>
            <w:tcW w:w="729" w:type="pct"/>
            <w:tcBorders>
              <w:top w:val="nil"/>
              <w:left w:val="nil"/>
              <w:bottom w:val="nil"/>
              <w:right w:val="nil"/>
            </w:tcBorders>
            <w:vAlign w:val="bottom"/>
            <w:hideMark/>
          </w:tcPr>
          <w:p w14:paraId="4905D3B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.074</w:t>
            </w:r>
          </w:p>
        </w:tc>
        <w:tc>
          <w:tcPr>
            <w:tcW w:w="833" w:type="pct"/>
            <w:tcBorders>
              <w:top w:val="nil"/>
              <w:left w:val="nil"/>
              <w:bottom w:val="nil"/>
              <w:right w:val="nil"/>
            </w:tcBorders>
            <w:vAlign w:val="bottom"/>
            <w:hideMark/>
          </w:tcPr>
          <w:p w14:paraId="7F97433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1.988</w:t>
            </w:r>
          </w:p>
        </w:tc>
        <w:tc>
          <w:tcPr>
            <w:tcW w:w="624" w:type="pct"/>
            <w:tcBorders>
              <w:top w:val="nil"/>
              <w:left w:val="nil"/>
              <w:bottom w:val="nil"/>
              <w:right w:val="nil"/>
            </w:tcBorders>
            <w:vAlign w:val="bottom"/>
            <w:hideMark/>
          </w:tcPr>
          <w:p w14:paraId="68FB1A0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.049</w:t>
            </w:r>
          </w:p>
        </w:tc>
      </w:tr>
      <w:tr w:rsidR="00284018" w:rsidRPr="00284018" w14:paraId="44988BEC" w14:textId="77777777">
        <w:tc>
          <w:tcPr>
            <w:tcW w:w="1981" w:type="pct"/>
            <w:tcBorders>
              <w:top w:val="nil"/>
              <w:left w:val="nil"/>
              <w:bottom w:val="single" w:sz="4" w:space="0" w:color="auto"/>
              <w:right w:val="nil"/>
            </w:tcBorders>
            <w:hideMark/>
          </w:tcPr>
          <w:p w14:paraId="3973C1E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debriefing strategies</w:t>
            </w:r>
          </w:p>
        </w:tc>
        <w:tc>
          <w:tcPr>
            <w:tcW w:w="833" w:type="pct"/>
            <w:tcBorders>
              <w:top w:val="nil"/>
              <w:left w:val="nil"/>
              <w:bottom w:val="single" w:sz="4" w:space="0" w:color="auto"/>
              <w:right w:val="nil"/>
            </w:tcBorders>
            <w:vAlign w:val="bottom"/>
            <w:hideMark/>
          </w:tcPr>
          <w:p w14:paraId="28E3550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.585</w:t>
            </w:r>
          </w:p>
        </w:tc>
        <w:tc>
          <w:tcPr>
            <w:tcW w:w="729" w:type="pct"/>
            <w:tcBorders>
              <w:top w:val="nil"/>
              <w:left w:val="nil"/>
              <w:bottom w:val="single" w:sz="4" w:space="0" w:color="auto"/>
              <w:right w:val="nil"/>
            </w:tcBorders>
            <w:vAlign w:val="bottom"/>
            <w:hideMark/>
          </w:tcPr>
          <w:p w14:paraId="34419C4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.112</w:t>
            </w:r>
          </w:p>
        </w:tc>
        <w:tc>
          <w:tcPr>
            <w:tcW w:w="833" w:type="pct"/>
            <w:tcBorders>
              <w:top w:val="nil"/>
              <w:left w:val="nil"/>
              <w:bottom w:val="single" w:sz="4" w:space="0" w:color="auto"/>
              <w:right w:val="nil"/>
            </w:tcBorders>
            <w:vAlign w:val="bottom"/>
            <w:hideMark/>
          </w:tcPr>
          <w:p w14:paraId="5415F6A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5.219</w:t>
            </w:r>
          </w:p>
        </w:tc>
        <w:tc>
          <w:tcPr>
            <w:tcW w:w="624" w:type="pct"/>
            <w:tcBorders>
              <w:top w:val="nil"/>
              <w:left w:val="nil"/>
              <w:bottom w:val="single" w:sz="4" w:space="0" w:color="auto"/>
              <w:right w:val="nil"/>
            </w:tcBorders>
            <w:vAlign w:val="bottom"/>
            <w:hideMark/>
          </w:tcPr>
          <w:p w14:paraId="69A39BB0"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&lt;.001</w:t>
            </w:r>
          </w:p>
        </w:tc>
      </w:tr>
    </w:tbl>
    <w:p w14:paraId="2B3CC689"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Note:</w:t>
      </w:r>
      <w:r w:rsidRPr="00284018">
        <w:rPr>
          <w:rFonts w:ascii="Arial" w:eastAsia="Aptos" w:hAnsi="Arial" w:cs="Arial"/>
          <w:b/>
          <w:bCs/>
          <w:kern w:val="2"/>
          <w:lang w:val="en-PH" w:eastAsia="zh-CN" w:bidi="ar"/>
        </w:rPr>
        <w:tab/>
        <w:t>Multiple R = .923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 = .852   Adjusted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=.846     F </w:t>
      </w:r>
      <w:r w:rsidRPr="00284018">
        <w:rPr>
          <w:rFonts w:ascii="Arial" w:eastAsia="Aptos" w:hAnsi="Arial" w:cs="Arial"/>
          <w:b/>
          <w:bCs/>
          <w:kern w:val="2"/>
          <w:vertAlign w:val="subscript"/>
          <w:lang w:val="en-PH" w:eastAsia="zh-CN" w:bidi="ar"/>
        </w:rPr>
        <w:t>(4,102)</w:t>
      </w:r>
      <w:r w:rsidRPr="00284018">
        <w:rPr>
          <w:rFonts w:ascii="Arial" w:eastAsia="Aptos" w:hAnsi="Arial" w:cs="Arial"/>
          <w:b/>
          <w:bCs/>
          <w:kern w:val="2"/>
          <w:lang w:val="en-PH" w:eastAsia="zh-CN" w:bidi="ar"/>
        </w:rPr>
        <w:t xml:space="preserve"> = 10.428   p = &lt;.001</w:t>
      </w:r>
    </w:p>
    <w:p w14:paraId="55993B87"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 </w:t>
      </w:r>
    </w:p>
    <w:p w14:paraId="3B41026A" w14:textId="77777777" w:rsidR="00296052" w:rsidRPr="00296052" w:rsidRDefault="00296052" w:rsidP="001512D8">
      <w:pPr>
        <w:jc w:val="both"/>
        <w:rPr>
          <w:rFonts w:ascii="Arial" w:eastAsia="Aptos" w:hAnsi="Arial" w:cs="Arial"/>
          <w:kern w:val="2"/>
          <w:lang w:val="en-PH" w:eastAsia="zh-CN" w:bidi="ar"/>
        </w:rPr>
      </w:pPr>
      <w:r w:rsidRPr="00296052">
        <w:rPr>
          <w:rFonts w:ascii="Arial" w:eastAsia="Aptos" w:hAnsi="Arial" w:cs="Arial"/>
          <w:kern w:val="2"/>
          <w:lang w:val="en-PH" w:eastAsia="zh-CN" w:bidi="ar"/>
        </w:rPr>
        <w:t>The regression analysis showed that simulation-based training (SBT) significantly predicts nurses’ knowledge in cardiac arrest management (R² = .852, p &lt; .001). Among the predictors, facilitation and debriefing emerged as the strongest positive factor, highlighting the critical role of guided reflection in transforming simulation experiences into meaningful cognitive learning. Recent evidence confirms that structured debriefing enhances deep learning, critical thinking, and knowledge integration in simulation-based education (</w:t>
      </w:r>
      <w:proofErr w:type="spellStart"/>
      <w:r w:rsidRPr="00296052">
        <w:rPr>
          <w:rFonts w:ascii="Arial" w:eastAsia="Aptos" w:hAnsi="Arial" w:cs="Arial"/>
          <w:kern w:val="2"/>
          <w:lang w:val="en-PH" w:eastAsia="zh-CN" w:bidi="ar"/>
        </w:rPr>
        <w:t>Fegran</w:t>
      </w:r>
      <w:proofErr w:type="spellEnd"/>
      <w:r w:rsidRPr="00296052">
        <w:rPr>
          <w:rFonts w:ascii="Arial" w:eastAsia="Aptos" w:hAnsi="Arial" w:cs="Arial"/>
          <w:kern w:val="2"/>
          <w:lang w:val="en-PH" w:eastAsia="zh-CN" w:bidi="ar"/>
        </w:rPr>
        <w:t xml:space="preserve"> et al., 2022; Niu et al., 2021).</w:t>
      </w:r>
    </w:p>
    <w:p w14:paraId="48066E2E" w14:textId="77777777" w:rsidR="00296052" w:rsidRPr="00296052" w:rsidRDefault="00296052" w:rsidP="001512D8">
      <w:pPr>
        <w:jc w:val="both"/>
        <w:rPr>
          <w:rFonts w:ascii="Arial" w:eastAsia="Aptos" w:hAnsi="Arial" w:cs="Arial"/>
          <w:kern w:val="2"/>
          <w:lang w:val="en-PH" w:eastAsia="zh-CN" w:bidi="ar"/>
        </w:rPr>
      </w:pPr>
      <w:r w:rsidRPr="00296052">
        <w:rPr>
          <w:rFonts w:ascii="Arial" w:eastAsia="Aptos" w:hAnsi="Arial" w:cs="Arial"/>
          <w:kern w:val="2"/>
          <w:lang w:val="en-PH" w:eastAsia="zh-CN" w:bidi="ar"/>
        </w:rPr>
        <w:t>Similarly, design characteristics significantly contributed to knowledge, indicating that realistic and well-structured simulations improve cognitive understanding and application. Simulation environments that incorporate fidelity and active engagement have been shown to strengthen clinical reasoning and knowledge retention (Handeland et al., 2021). In contrast, simulation experience showed a smaller effect, suggesting that exposure alone is less influential without reflective processing. Studies emphasize that simulation achieves optimal learning outcomes only when combined with feedback and reflective activities (MacKenna et al., 2021).</w:t>
      </w:r>
    </w:p>
    <w:p w14:paraId="39BDB41A" w14:textId="77777777" w:rsidR="00296052" w:rsidRPr="00296052" w:rsidRDefault="00296052" w:rsidP="001512D8">
      <w:pPr>
        <w:jc w:val="both"/>
        <w:rPr>
          <w:rFonts w:ascii="Arial" w:eastAsia="Aptos" w:hAnsi="Arial" w:cs="Arial"/>
          <w:kern w:val="2"/>
          <w:lang w:val="en-PH" w:eastAsia="zh-CN" w:bidi="ar"/>
        </w:rPr>
      </w:pPr>
      <w:r w:rsidRPr="00296052">
        <w:rPr>
          <w:rFonts w:ascii="Arial" w:eastAsia="Aptos" w:hAnsi="Arial" w:cs="Arial"/>
          <w:kern w:val="2"/>
          <w:lang w:val="en-PH" w:eastAsia="zh-CN" w:bidi="ar"/>
        </w:rPr>
        <w:t>Meanwhile, background demonstrated a negative effect, which may reflect variability in prior training or reliance on routine practice rather than updated knowledge. Evidence suggests that without continuous reinforcement, prior experience alone does not ensure sustained cognitive competence in high-acuity care (Cao et al., 2026).</w:t>
      </w:r>
    </w:p>
    <w:p w14:paraId="3DB317AC" w14:textId="77777777" w:rsidR="00296052" w:rsidRPr="00296052" w:rsidRDefault="00296052" w:rsidP="001512D8">
      <w:pPr>
        <w:jc w:val="both"/>
        <w:rPr>
          <w:rFonts w:ascii="Arial" w:eastAsia="Aptos" w:hAnsi="Arial" w:cs="Arial"/>
          <w:kern w:val="2"/>
          <w:lang w:val="en-PH" w:eastAsia="zh-CN" w:bidi="ar"/>
        </w:rPr>
      </w:pPr>
      <w:r w:rsidRPr="00296052">
        <w:rPr>
          <w:rFonts w:ascii="Arial" w:eastAsia="Aptos" w:hAnsi="Arial" w:cs="Arial"/>
          <w:kern w:val="2"/>
          <w:lang w:val="en-PH" w:eastAsia="zh-CN" w:bidi="ar"/>
        </w:rPr>
        <w:t xml:space="preserve">Overall, the findings highlight that knowledge development is primarily driven by facilitation, reflection, and simulation design, rather than exposure alone, reinforcing the importance of </w:t>
      </w:r>
      <w:r w:rsidRPr="00296052">
        <w:rPr>
          <w:rFonts w:ascii="Arial" w:eastAsia="Aptos" w:hAnsi="Arial" w:cs="Arial"/>
          <w:kern w:val="2"/>
          <w:lang w:val="en-PH" w:eastAsia="zh-CN" w:bidi="ar"/>
        </w:rPr>
        <w:lastRenderedPageBreak/>
        <w:t>structured and theory-based simulation programs in improving cognitive competence in critical care settings.</w:t>
      </w:r>
    </w:p>
    <w:p w14:paraId="1CC748B7" w14:textId="77777777" w:rsidR="001B0BEC" w:rsidRPr="003F1191" w:rsidRDefault="001B0BEC" w:rsidP="00284018">
      <w:pPr>
        <w:rPr>
          <w:rFonts w:ascii="Arial" w:eastAsia="Aptos" w:hAnsi="Arial" w:cs="Arial"/>
          <w:b/>
          <w:bCs/>
          <w:kern w:val="2"/>
          <w:lang w:val="en-PH" w:eastAsia="zh-CN" w:bidi="ar"/>
        </w:rPr>
      </w:pPr>
    </w:p>
    <w:p w14:paraId="05DFBDC0" w14:textId="77777777" w:rsidR="00296052" w:rsidRPr="00284018" w:rsidRDefault="00296052" w:rsidP="00284018">
      <w:pPr>
        <w:rPr>
          <w:rFonts w:ascii="Arial" w:eastAsia="Aptos" w:hAnsi="Arial" w:cs="Arial"/>
          <w:b/>
          <w:bCs/>
          <w:kern w:val="2"/>
          <w:lang w:val="en-PH" w:eastAsia="zh-CN" w:bidi="ar"/>
        </w:rPr>
      </w:pPr>
    </w:p>
    <w:p w14:paraId="774DCEEE" w14:textId="0A355F29"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Table </w:t>
      </w:r>
      <w:r w:rsidR="00A175F6">
        <w:rPr>
          <w:rFonts w:ascii="Arial" w:eastAsia="Aptos" w:hAnsi="Arial" w:cs="Arial"/>
          <w:b/>
          <w:bCs/>
          <w:kern w:val="2"/>
          <w:lang w:val="en-PH" w:eastAsia="zh-CN" w:bidi="ar"/>
        </w:rPr>
        <w:t>1</w:t>
      </w:r>
      <w:r w:rsidRPr="00284018">
        <w:rPr>
          <w:rFonts w:ascii="Arial" w:eastAsia="Aptos" w:hAnsi="Arial" w:cs="Arial"/>
          <w:b/>
          <w:bCs/>
          <w:kern w:val="2"/>
          <w:lang w:val="en-PH" w:eastAsia="zh-CN" w:bidi="ar"/>
        </w:rPr>
        <w:t>0</w:t>
      </w:r>
    </w:p>
    <w:p w14:paraId="7F0887A1"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 </w:t>
      </w:r>
    </w:p>
    <w:p w14:paraId="05481F68"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Regression Analysis in Predicting the Role of SBT in their Skills </w:t>
      </w:r>
    </w:p>
    <w:p w14:paraId="3AE98C42"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335"/>
        <w:gridCol w:w="1403"/>
        <w:gridCol w:w="1228"/>
        <w:gridCol w:w="1403"/>
        <w:gridCol w:w="1051"/>
      </w:tblGrid>
      <w:tr w:rsidR="00284018" w:rsidRPr="00284018" w14:paraId="24E15AB1" w14:textId="77777777">
        <w:trPr>
          <w:trHeight w:val="42"/>
        </w:trPr>
        <w:tc>
          <w:tcPr>
            <w:tcW w:w="1981" w:type="pct"/>
            <w:tcBorders>
              <w:top w:val="single" w:sz="4" w:space="0" w:color="auto"/>
              <w:left w:val="nil"/>
              <w:bottom w:val="single" w:sz="4" w:space="0" w:color="auto"/>
              <w:right w:val="nil"/>
            </w:tcBorders>
            <w:vAlign w:val="center"/>
            <w:hideMark/>
          </w:tcPr>
          <w:p w14:paraId="2CB691A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Predictors</w:t>
            </w:r>
          </w:p>
        </w:tc>
        <w:tc>
          <w:tcPr>
            <w:tcW w:w="833" w:type="pct"/>
            <w:tcBorders>
              <w:top w:val="single" w:sz="4" w:space="0" w:color="auto"/>
              <w:left w:val="nil"/>
              <w:bottom w:val="single" w:sz="4" w:space="0" w:color="auto"/>
              <w:right w:val="nil"/>
            </w:tcBorders>
            <w:vAlign w:val="center"/>
            <w:hideMark/>
          </w:tcPr>
          <w:p w14:paraId="72FE66B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B</w:t>
            </w:r>
          </w:p>
        </w:tc>
        <w:tc>
          <w:tcPr>
            <w:tcW w:w="729" w:type="pct"/>
            <w:tcBorders>
              <w:top w:val="single" w:sz="4" w:space="0" w:color="auto"/>
              <w:left w:val="nil"/>
              <w:bottom w:val="single" w:sz="4" w:space="0" w:color="auto"/>
              <w:right w:val="nil"/>
            </w:tcBorders>
            <w:vAlign w:val="center"/>
            <w:hideMark/>
          </w:tcPr>
          <w:p w14:paraId="24B688E4"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SE</w:t>
            </w:r>
          </w:p>
        </w:tc>
        <w:tc>
          <w:tcPr>
            <w:tcW w:w="833" w:type="pct"/>
            <w:tcBorders>
              <w:top w:val="single" w:sz="4" w:space="0" w:color="auto"/>
              <w:left w:val="nil"/>
              <w:bottom w:val="single" w:sz="4" w:space="0" w:color="auto"/>
              <w:right w:val="nil"/>
            </w:tcBorders>
            <w:vAlign w:val="center"/>
            <w:hideMark/>
          </w:tcPr>
          <w:p w14:paraId="09AE5E9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t</w:t>
            </w:r>
          </w:p>
        </w:tc>
        <w:tc>
          <w:tcPr>
            <w:tcW w:w="624" w:type="pct"/>
            <w:tcBorders>
              <w:top w:val="single" w:sz="4" w:space="0" w:color="auto"/>
              <w:left w:val="nil"/>
              <w:bottom w:val="single" w:sz="4" w:space="0" w:color="auto"/>
              <w:right w:val="nil"/>
            </w:tcBorders>
            <w:vAlign w:val="center"/>
            <w:hideMark/>
          </w:tcPr>
          <w:p w14:paraId="016F461C"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P</w:t>
            </w:r>
          </w:p>
        </w:tc>
      </w:tr>
      <w:tr w:rsidR="00284018" w:rsidRPr="00284018" w14:paraId="070B3D6D" w14:textId="77777777">
        <w:tc>
          <w:tcPr>
            <w:tcW w:w="1981" w:type="pct"/>
            <w:tcBorders>
              <w:top w:val="single" w:sz="4" w:space="0" w:color="auto"/>
              <w:left w:val="nil"/>
              <w:bottom w:val="nil"/>
              <w:right w:val="nil"/>
            </w:tcBorders>
            <w:hideMark/>
          </w:tcPr>
          <w:p w14:paraId="74610CD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Intercept (Constant)</w:t>
            </w:r>
          </w:p>
        </w:tc>
        <w:tc>
          <w:tcPr>
            <w:tcW w:w="833" w:type="pct"/>
            <w:tcBorders>
              <w:top w:val="single" w:sz="4" w:space="0" w:color="auto"/>
              <w:left w:val="nil"/>
              <w:bottom w:val="nil"/>
              <w:right w:val="nil"/>
            </w:tcBorders>
            <w:vAlign w:val="bottom"/>
            <w:hideMark/>
          </w:tcPr>
          <w:p w14:paraId="4A35B56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.993</w:t>
            </w:r>
          </w:p>
        </w:tc>
        <w:tc>
          <w:tcPr>
            <w:tcW w:w="729" w:type="pct"/>
            <w:tcBorders>
              <w:top w:val="single" w:sz="4" w:space="0" w:color="auto"/>
              <w:left w:val="nil"/>
              <w:bottom w:val="nil"/>
              <w:right w:val="nil"/>
            </w:tcBorders>
            <w:vAlign w:val="bottom"/>
            <w:hideMark/>
          </w:tcPr>
          <w:p w14:paraId="097E3D2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.217</w:t>
            </w:r>
          </w:p>
        </w:tc>
        <w:tc>
          <w:tcPr>
            <w:tcW w:w="833" w:type="pct"/>
            <w:tcBorders>
              <w:top w:val="single" w:sz="4" w:space="0" w:color="auto"/>
              <w:left w:val="nil"/>
              <w:bottom w:val="nil"/>
              <w:right w:val="nil"/>
            </w:tcBorders>
            <w:vAlign w:val="bottom"/>
            <w:hideMark/>
          </w:tcPr>
          <w:p w14:paraId="4AFD45E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4.570</w:t>
            </w:r>
          </w:p>
        </w:tc>
        <w:tc>
          <w:tcPr>
            <w:tcW w:w="624" w:type="pct"/>
            <w:tcBorders>
              <w:top w:val="single" w:sz="4" w:space="0" w:color="auto"/>
              <w:left w:val="nil"/>
              <w:bottom w:val="nil"/>
              <w:right w:val="nil"/>
            </w:tcBorders>
            <w:vAlign w:val="bottom"/>
            <w:hideMark/>
          </w:tcPr>
          <w:p w14:paraId="717094D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.000</w:t>
            </w:r>
          </w:p>
        </w:tc>
      </w:tr>
      <w:tr w:rsidR="00284018" w:rsidRPr="00284018" w14:paraId="1F612230" w14:textId="77777777">
        <w:tc>
          <w:tcPr>
            <w:tcW w:w="1981" w:type="pct"/>
            <w:tcBorders>
              <w:top w:val="nil"/>
              <w:left w:val="nil"/>
              <w:bottom w:val="nil"/>
              <w:right w:val="nil"/>
            </w:tcBorders>
            <w:hideMark/>
          </w:tcPr>
          <w:p w14:paraId="554023F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833" w:type="pct"/>
            <w:tcBorders>
              <w:top w:val="nil"/>
              <w:left w:val="nil"/>
              <w:bottom w:val="nil"/>
              <w:right w:val="nil"/>
            </w:tcBorders>
            <w:vAlign w:val="bottom"/>
            <w:hideMark/>
          </w:tcPr>
          <w:p w14:paraId="18B16CE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-.070</w:t>
            </w:r>
          </w:p>
        </w:tc>
        <w:tc>
          <w:tcPr>
            <w:tcW w:w="729" w:type="pct"/>
            <w:tcBorders>
              <w:top w:val="nil"/>
              <w:left w:val="nil"/>
              <w:bottom w:val="nil"/>
              <w:right w:val="nil"/>
            </w:tcBorders>
            <w:vAlign w:val="bottom"/>
            <w:hideMark/>
          </w:tcPr>
          <w:p w14:paraId="69AB215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.080</w:t>
            </w:r>
          </w:p>
        </w:tc>
        <w:tc>
          <w:tcPr>
            <w:tcW w:w="833" w:type="pct"/>
            <w:tcBorders>
              <w:top w:val="nil"/>
              <w:left w:val="nil"/>
              <w:bottom w:val="nil"/>
              <w:right w:val="nil"/>
            </w:tcBorders>
            <w:vAlign w:val="bottom"/>
            <w:hideMark/>
          </w:tcPr>
          <w:p w14:paraId="652B27D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-.876</w:t>
            </w:r>
          </w:p>
        </w:tc>
        <w:tc>
          <w:tcPr>
            <w:tcW w:w="624" w:type="pct"/>
            <w:tcBorders>
              <w:top w:val="nil"/>
              <w:left w:val="nil"/>
              <w:bottom w:val="nil"/>
              <w:right w:val="nil"/>
            </w:tcBorders>
            <w:vAlign w:val="bottom"/>
            <w:hideMark/>
          </w:tcPr>
          <w:p w14:paraId="43A4ABD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.383</w:t>
            </w:r>
          </w:p>
        </w:tc>
      </w:tr>
      <w:tr w:rsidR="00284018" w:rsidRPr="00284018" w14:paraId="42D79173" w14:textId="77777777">
        <w:tc>
          <w:tcPr>
            <w:tcW w:w="1981" w:type="pct"/>
            <w:tcBorders>
              <w:top w:val="nil"/>
              <w:left w:val="nil"/>
              <w:bottom w:val="nil"/>
              <w:right w:val="nil"/>
            </w:tcBorders>
            <w:hideMark/>
          </w:tcPr>
          <w:p w14:paraId="6C693F10"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833" w:type="pct"/>
            <w:tcBorders>
              <w:top w:val="nil"/>
              <w:left w:val="nil"/>
              <w:bottom w:val="nil"/>
              <w:right w:val="nil"/>
            </w:tcBorders>
            <w:vAlign w:val="bottom"/>
            <w:hideMark/>
          </w:tcPr>
          <w:p w14:paraId="1CA5286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.220</w:t>
            </w:r>
          </w:p>
        </w:tc>
        <w:tc>
          <w:tcPr>
            <w:tcW w:w="729" w:type="pct"/>
            <w:tcBorders>
              <w:top w:val="nil"/>
              <w:left w:val="nil"/>
              <w:bottom w:val="nil"/>
              <w:right w:val="nil"/>
            </w:tcBorders>
            <w:vAlign w:val="bottom"/>
            <w:hideMark/>
          </w:tcPr>
          <w:p w14:paraId="070C886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.186</w:t>
            </w:r>
          </w:p>
        </w:tc>
        <w:tc>
          <w:tcPr>
            <w:tcW w:w="833" w:type="pct"/>
            <w:tcBorders>
              <w:top w:val="nil"/>
              <w:left w:val="nil"/>
              <w:bottom w:val="nil"/>
              <w:right w:val="nil"/>
            </w:tcBorders>
            <w:vAlign w:val="bottom"/>
            <w:hideMark/>
          </w:tcPr>
          <w:p w14:paraId="06D8E69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1.179</w:t>
            </w:r>
          </w:p>
        </w:tc>
        <w:tc>
          <w:tcPr>
            <w:tcW w:w="624" w:type="pct"/>
            <w:tcBorders>
              <w:top w:val="nil"/>
              <w:left w:val="nil"/>
              <w:bottom w:val="nil"/>
              <w:right w:val="nil"/>
            </w:tcBorders>
            <w:vAlign w:val="bottom"/>
            <w:hideMark/>
          </w:tcPr>
          <w:p w14:paraId="4A128079"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.241</w:t>
            </w:r>
          </w:p>
        </w:tc>
      </w:tr>
      <w:tr w:rsidR="00284018" w:rsidRPr="00284018" w14:paraId="1ADCCBCF" w14:textId="77777777">
        <w:tc>
          <w:tcPr>
            <w:tcW w:w="1981" w:type="pct"/>
            <w:tcBorders>
              <w:top w:val="nil"/>
              <w:left w:val="nil"/>
              <w:bottom w:val="nil"/>
              <w:right w:val="nil"/>
            </w:tcBorders>
            <w:hideMark/>
          </w:tcPr>
          <w:p w14:paraId="62F3CD6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833" w:type="pct"/>
            <w:tcBorders>
              <w:top w:val="nil"/>
              <w:left w:val="nil"/>
              <w:bottom w:val="nil"/>
              <w:right w:val="nil"/>
            </w:tcBorders>
            <w:vAlign w:val="bottom"/>
            <w:hideMark/>
          </w:tcPr>
          <w:p w14:paraId="3E1BE67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.202</w:t>
            </w:r>
          </w:p>
        </w:tc>
        <w:tc>
          <w:tcPr>
            <w:tcW w:w="729" w:type="pct"/>
            <w:tcBorders>
              <w:top w:val="nil"/>
              <w:left w:val="nil"/>
              <w:bottom w:val="nil"/>
              <w:right w:val="nil"/>
            </w:tcBorders>
            <w:vAlign w:val="bottom"/>
            <w:hideMark/>
          </w:tcPr>
          <w:p w14:paraId="4F64912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.117</w:t>
            </w:r>
          </w:p>
        </w:tc>
        <w:tc>
          <w:tcPr>
            <w:tcW w:w="833" w:type="pct"/>
            <w:tcBorders>
              <w:top w:val="nil"/>
              <w:left w:val="nil"/>
              <w:bottom w:val="nil"/>
              <w:right w:val="nil"/>
            </w:tcBorders>
            <w:vAlign w:val="bottom"/>
            <w:hideMark/>
          </w:tcPr>
          <w:p w14:paraId="602295E2"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1.721</w:t>
            </w:r>
          </w:p>
        </w:tc>
        <w:tc>
          <w:tcPr>
            <w:tcW w:w="624" w:type="pct"/>
            <w:tcBorders>
              <w:top w:val="nil"/>
              <w:left w:val="nil"/>
              <w:bottom w:val="nil"/>
              <w:right w:val="nil"/>
            </w:tcBorders>
            <w:vAlign w:val="bottom"/>
            <w:hideMark/>
          </w:tcPr>
          <w:p w14:paraId="29DCE8D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.088</w:t>
            </w:r>
          </w:p>
        </w:tc>
      </w:tr>
      <w:tr w:rsidR="00284018" w:rsidRPr="00284018" w14:paraId="2A7B8BE0" w14:textId="77777777">
        <w:tc>
          <w:tcPr>
            <w:tcW w:w="1981" w:type="pct"/>
            <w:tcBorders>
              <w:top w:val="nil"/>
              <w:left w:val="nil"/>
              <w:bottom w:val="single" w:sz="4" w:space="0" w:color="auto"/>
              <w:right w:val="nil"/>
            </w:tcBorders>
            <w:hideMark/>
          </w:tcPr>
          <w:p w14:paraId="23837FE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debriefing strategies</w:t>
            </w:r>
          </w:p>
        </w:tc>
        <w:tc>
          <w:tcPr>
            <w:tcW w:w="833" w:type="pct"/>
            <w:tcBorders>
              <w:top w:val="nil"/>
              <w:left w:val="nil"/>
              <w:bottom w:val="single" w:sz="4" w:space="0" w:color="auto"/>
              <w:right w:val="nil"/>
            </w:tcBorders>
            <w:vAlign w:val="bottom"/>
            <w:hideMark/>
          </w:tcPr>
          <w:p w14:paraId="06CF2B4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.390</w:t>
            </w:r>
          </w:p>
        </w:tc>
        <w:tc>
          <w:tcPr>
            <w:tcW w:w="729" w:type="pct"/>
            <w:tcBorders>
              <w:top w:val="nil"/>
              <w:left w:val="nil"/>
              <w:bottom w:val="single" w:sz="4" w:space="0" w:color="auto"/>
              <w:right w:val="nil"/>
            </w:tcBorders>
            <w:vAlign w:val="bottom"/>
            <w:hideMark/>
          </w:tcPr>
          <w:p w14:paraId="54BCBCA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.177</w:t>
            </w:r>
          </w:p>
        </w:tc>
        <w:tc>
          <w:tcPr>
            <w:tcW w:w="833" w:type="pct"/>
            <w:tcBorders>
              <w:top w:val="nil"/>
              <w:left w:val="nil"/>
              <w:bottom w:val="single" w:sz="4" w:space="0" w:color="auto"/>
              <w:right w:val="nil"/>
            </w:tcBorders>
            <w:vAlign w:val="bottom"/>
            <w:hideMark/>
          </w:tcPr>
          <w:p w14:paraId="679F304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2.207</w:t>
            </w:r>
          </w:p>
        </w:tc>
        <w:tc>
          <w:tcPr>
            <w:tcW w:w="624" w:type="pct"/>
            <w:tcBorders>
              <w:top w:val="nil"/>
              <w:left w:val="nil"/>
              <w:bottom w:val="single" w:sz="4" w:space="0" w:color="auto"/>
              <w:right w:val="nil"/>
            </w:tcBorders>
            <w:vAlign w:val="bottom"/>
            <w:hideMark/>
          </w:tcPr>
          <w:p w14:paraId="610C288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.030</w:t>
            </w:r>
          </w:p>
        </w:tc>
      </w:tr>
    </w:tbl>
    <w:p w14:paraId="60B1D921"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Note:</w:t>
      </w:r>
      <w:r w:rsidRPr="00284018">
        <w:rPr>
          <w:rFonts w:ascii="Arial" w:eastAsia="Aptos" w:hAnsi="Arial" w:cs="Arial"/>
          <w:b/>
          <w:bCs/>
          <w:kern w:val="2"/>
          <w:lang w:val="en-PH" w:eastAsia="zh-CN" w:bidi="ar"/>
        </w:rPr>
        <w:tab/>
        <w:t>Multiple R = .784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 = .614   Adjusted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=.599      F </w:t>
      </w:r>
      <w:r w:rsidRPr="00284018">
        <w:rPr>
          <w:rFonts w:ascii="Arial" w:eastAsia="Aptos" w:hAnsi="Arial" w:cs="Arial"/>
          <w:b/>
          <w:bCs/>
          <w:kern w:val="2"/>
          <w:vertAlign w:val="subscript"/>
          <w:lang w:val="en-PH" w:eastAsia="zh-CN" w:bidi="ar"/>
        </w:rPr>
        <w:t>(4,102)</w:t>
      </w:r>
      <w:r w:rsidRPr="00284018">
        <w:rPr>
          <w:rFonts w:ascii="Arial" w:eastAsia="Aptos" w:hAnsi="Arial" w:cs="Arial"/>
          <w:b/>
          <w:bCs/>
          <w:kern w:val="2"/>
          <w:lang w:val="en-PH" w:eastAsia="zh-CN" w:bidi="ar"/>
        </w:rPr>
        <w:t xml:space="preserve"> = 10.428   p = &lt;.001</w:t>
      </w:r>
    </w:p>
    <w:p w14:paraId="16009D7C" w14:textId="77777777" w:rsidR="007B4003" w:rsidRPr="003F1191" w:rsidRDefault="007B4003" w:rsidP="00284018">
      <w:pPr>
        <w:rPr>
          <w:rFonts w:ascii="Arial" w:eastAsia="Aptos" w:hAnsi="Arial" w:cs="Arial"/>
          <w:b/>
          <w:bCs/>
          <w:kern w:val="2"/>
          <w:lang w:val="en-PH" w:eastAsia="zh-CN" w:bidi="ar"/>
        </w:rPr>
      </w:pPr>
    </w:p>
    <w:p w14:paraId="79895CB7" w14:textId="77777777" w:rsidR="007B4003" w:rsidRPr="003F1191" w:rsidRDefault="007B4003" w:rsidP="00284018">
      <w:pPr>
        <w:rPr>
          <w:rFonts w:ascii="Arial" w:eastAsia="Aptos" w:hAnsi="Arial" w:cs="Arial"/>
          <w:b/>
          <w:bCs/>
          <w:kern w:val="2"/>
          <w:lang w:val="en-PH" w:eastAsia="zh-CN" w:bidi="ar"/>
        </w:rPr>
      </w:pPr>
    </w:p>
    <w:p w14:paraId="2D8E5B96"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 xml:space="preserve">The regression analysis showed that simulation-based training (SBT) significantly predicts nurses’ clinical skills (R² = .614, p &lt; .001), indicating a substantial contribution to skill development. Among the predictors, facilitation and debriefing emerged as the only significant factor, highlighting the critical role of guided reflection in transforming simulation experiences into clinical competence. This is consistent with the </w:t>
      </w:r>
      <w:r w:rsidRPr="007B4003">
        <w:rPr>
          <w:rFonts w:ascii="Arial" w:eastAsia="Aptos" w:hAnsi="Arial" w:cs="Arial"/>
          <w:i/>
          <w:iCs/>
          <w:kern w:val="2"/>
          <w:lang w:val="en-PH" w:eastAsia="zh-CN" w:bidi="ar"/>
        </w:rPr>
        <w:t>Healthcare Simulation Standards of Best Practice</w:t>
      </w:r>
      <w:r w:rsidRPr="007B4003">
        <w:rPr>
          <w:rFonts w:ascii="Arial" w:eastAsia="Aptos" w:hAnsi="Arial" w:cs="Arial"/>
          <w:kern w:val="2"/>
          <w:lang w:val="en-PH" w:eastAsia="zh-CN" w:bidi="ar"/>
        </w:rPr>
        <w:t>, which identify debriefing as the most essential component of simulation learning, enabling reflection, performance improvement, and skill integration (INACSL Standards Committee, 2021).</w:t>
      </w:r>
    </w:p>
    <w:p w14:paraId="495C62E2"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 xml:space="preserve">Similarly, evidence indicates that structured debriefing enhances clinical performance, psychomotor skills, and critical thinking by allowing learners to analyze actions and apply feedback to future practice (Bradley et al., 2021; </w:t>
      </w:r>
      <w:proofErr w:type="spellStart"/>
      <w:r w:rsidRPr="007B4003">
        <w:rPr>
          <w:rFonts w:ascii="Arial" w:eastAsia="Aptos" w:hAnsi="Arial" w:cs="Arial"/>
          <w:kern w:val="2"/>
          <w:lang w:val="en-PH" w:eastAsia="zh-CN" w:bidi="ar"/>
        </w:rPr>
        <w:t>Schönrath</w:t>
      </w:r>
      <w:proofErr w:type="spellEnd"/>
      <w:r w:rsidRPr="007B4003">
        <w:rPr>
          <w:rFonts w:ascii="Arial" w:eastAsia="Aptos" w:hAnsi="Arial" w:cs="Arial"/>
          <w:kern w:val="2"/>
          <w:lang w:val="en-PH" w:eastAsia="zh-CN" w:bidi="ar"/>
        </w:rPr>
        <w:t xml:space="preserve"> et al., 2022). From a theoretical perspective, these findings support the NLN Jeffries Simulation Theory, which emphasizes that learning outcomes are primarily influenced by facilitation and reflective processes rather than exposure alone (Jeffries, 2021).</w:t>
      </w:r>
    </w:p>
    <w:p w14:paraId="784A4653"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In contrast, background, design characteristics, and simulation experience were not significant predictors, suggesting that exposure and structural elements alone are insufficient without reflective processing. This is supported by recent findings showing that simulation-based training improves clinical skills mainly when combined with structured feedback and guided learning environments (Alqahtani et al., 2025).</w:t>
      </w:r>
    </w:p>
    <w:p w14:paraId="5478D044"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Overall, the findings emphasize that while SBT contributes to clinical skill development, facilitation and structured debriefing remain the primary drivers of meaningful skill acquisition, reinforcing the importance of reflection-centered simulation practices in nursing education.</w:t>
      </w:r>
    </w:p>
    <w:p w14:paraId="73BA56B3" w14:textId="77777777" w:rsidR="007B4003" w:rsidRPr="001512D8" w:rsidRDefault="007B4003" w:rsidP="001512D8">
      <w:pPr>
        <w:jc w:val="both"/>
        <w:rPr>
          <w:rFonts w:ascii="Arial" w:eastAsia="Aptos" w:hAnsi="Arial" w:cs="Arial"/>
          <w:kern w:val="2"/>
          <w:lang w:val="en-PH" w:eastAsia="zh-CN" w:bidi="ar"/>
        </w:rPr>
      </w:pPr>
    </w:p>
    <w:p w14:paraId="782F92D5" w14:textId="77777777" w:rsidR="007B4003" w:rsidRPr="003F1191" w:rsidRDefault="007B4003" w:rsidP="00284018">
      <w:pPr>
        <w:rPr>
          <w:rFonts w:ascii="Arial" w:eastAsia="Aptos" w:hAnsi="Arial" w:cs="Arial"/>
          <w:b/>
          <w:bCs/>
          <w:kern w:val="2"/>
          <w:lang w:val="en-PH" w:eastAsia="zh-CN" w:bidi="ar"/>
        </w:rPr>
      </w:pPr>
    </w:p>
    <w:p w14:paraId="10E93D24" w14:textId="6CAA4395"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Table </w:t>
      </w:r>
      <w:r w:rsidR="00A175F6">
        <w:rPr>
          <w:rFonts w:ascii="Arial" w:eastAsia="Aptos" w:hAnsi="Arial" w:cs="Arial"/>
          <w:b/>
          <w:bCs/>
          <w:kern w:val="2"/>
          <w:lang w:val="en-PH" w:eastAsia="zh-CN" w:bidi="ar"/>
        </w:rPr>
        <w:t>1</w:t>
      </w:r>
      <w:r w:rsidRPr="00284018">
        <w:rPr>
          <w:rFonts w:ascii="Arial" w:eastAsia="Aptos" w:hAnsi="Arial" w:cs="Arial"/>
          <w:b/>
          <w:bCs/>
          <w:kern w:val="2"/>
          <w:lang w:val="en-PH" w:eastAsia="zh-CN" w:bidi="ar"/>
        </w:rPr>
        <w:t>1</w:t>
      </w:r>
    </w:p>
    <w:p w14:paraId="5EDB4AFE" w14:textId="77777777" w:rsidR="00284018" w:rsidRPr="00284018" w:rsidRDefault="00284018" w:rsidP="00284018">
      <w:pPr>
        <w:rPr>
          <w:rFonts w:ascii="Arial" w:eastAsia="Aptos" w:hAnsi="Arial" w:cs="Arial"/>
          <w:b/>
          <w:bCs/>
          <w:i/>
          <w:iCs/>
          <w:kern w:val="2"/>
          <w:lang w:val="en-PH" w:eastAsia="zh-CN" w:bidi="ar"/>
        </w:rPr>
      </w:pPr>
      <w:r w:rsidRPr="00284018">
        <w:rPr>
          <w:rFonts w:ascii="Arial" w:eastAsia="Aptos" w:hAnsi="Arial" w:cs="Arial"/>
          <w:b/>
          <w:bCs/>
          <w:i/>
          <w:iCs/>
          <w:kern w:val="2"/>
          <w:lang w:val="en-PH" w:eastAsia="zh-CN" w:bidi="ar"/>
        </w:rPr>
        <w:t>Regression Analysis in Predicting the Role of SBT in their Self-Efficacy</w:t>
      </w:r>
    </w:p>
    <w:p w14:paraId="1DD8E5F7"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335"/>
        <w:gridCol w:w="1403"/>
        <w:gridCol w:w="1228"/>
        <w:gridCol w:w="1403"/>
        <w:gridCol w:w="1051"/>
      </w:tblGrid>
      <w:tr w:rsidR="00284018" w:rsidRPr="00284018" w14:paraId="41DE7C71" w14:textId="77777777">
        <w:trPr>
          <w:trHeight w:val="42"/>
        </w:trPr>
        <w:tc>
          <w:tcPr>
            <w:tcW w:w="1979" w:type="pct"/>
            <w:tcBorders>
              <w:top w:val="single" w:sz="4" w:space="0" w:color="auto"/>
              <w:left w:val="nil"/>
              <w:bottom w:val="single" w:sz="4" w:space="0" w:color="auto"/>
              <w:right w:val="nil"/>
            </w:tcBorders>
            <w:vAlign w:val="center"/>
            <w:hideMark/>
          </w:tcPr>
          <w:p w14:paraId="24FAF99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Predictors</w:t>
            </w:r>
          </w:p>
        </w:tc>
        <w:tc>
          <w:tcPr>
            <w:tcW w:w="833" w:type="pct"/>
            <w:tcBorders>
              <w:top w:val="single" w:sz="4" w:space="0" w:color="auto"/>
              <w:left w:val="nil"/>
              <w:bottom w:val="single" w:sz="4" w:space="0" w:color="auto"/>
              <w:right w:val="nil"/>
            </w:tcBorders>
            <w:vAlign w:val="center"/>
            <w:hideMark/>
          </w:tcPr>
          <w:p w14:paraId="4B45ECEC"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B</w:t>
            </w:r>
          </w:p>
        </w:tc>
        <w:tc>
          <w:tcPr>
            <w:tcW w:w="729" w:type="pct"/>
            <w:tcBorders>
              <w:top w:val="single" w:sz="4" w:space="0" w:color="auto"/>
              <w:left w:val="nil"/>
              <w:bottom w:val="single" w:sz="4" w:space="0" w:color="auto"/>
              <w:right w:val="nil"/>
            </w:tcBorders>
            <w:vAlign w:val="center"/>
            <w:hideMark/>
          </w:tcPr>
          <w:p w14:paraId="549EF61F"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SE</w:t>
            </w:r>
          </w:p>
        </w:tc>
        <w:tc>
          <w:tcPr>
            <w:tcW w:w="833" w:type="pct"/>
            <w:tcBorders>
              <w:top w:val="single" w:sz="4" w:space="0" w:color="auto"/>
              <w:left w:val="nil"/>
              <w:bottom w:val="single" w:sz="4" w:space="0" w:color="auto"/>
              <w:right w:val="nil"/>
            </w:tcBorders>
            <w:vAlign w:val="center"/>
            <w:hideMark/>
          </w:tcPr>
          <w:p w14:paraId="7154DBA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iCs/>
                <w:kern w:val="2"/>
                <w:sz w:val="20"/>
                <w:szCs w:val="20"/>
                <w:lang w:val="en-PH" w:eastAsia="zh-CN" w:bidi="ar"/>
              </w:rPr>
              <w:t>t</w:t>
            </w:r>
          </w:p>
        </w:tc>
        <w:tc>
          <w:tcPr>
            <w:tcW w:w="624" w:type="pct"/>
            <w:tcBorders>
              <w:top w:val="single" w:sz="4" w:space="0" w:color="auto"/>
              <w:left w:val="nil"/>
              <w:bottom w:val="single" w:sz="4" w:space="0" w:color="auto"/>
              <w:right w:val="nil"/>
            </w:tcBorders>
            <w:vAlign w:val="center"/>
            <w:hideMark/>
          </w:tcPr>
          <w:p w14:paraId="5F7C6293" w14:textId="77777777" w:rsidR="00284018" w:rsidRPr="00284018" w:rsidRDefault="00284018" w:rsidP="00284018">
            <w:pPr>
              <w:rPr>
                <w:rFonts w:ascii="Arial" w:eastAsia="Aptos" w:hAnsi="Arial" w:cs="Arial"/>
                <w:b/>
                <w:bCs/>
                <w:iCs/>
                <w:kern w:val="2"/>
                <w:sz w:val="20"/>
                <w:szCs w:val="20"/>
                <w:lang w:val="en-PH" w:eastAsia="zh-CN" w:bidi="ar"/>
              </w:rPr>
            </w:pPr>
            <w:r w:rsidRPr="00284018">
              <w:rPr>
                <w:rFonts w:ascii="Arial" w:eastAsia="Aptos" w:hAnsi="Arial" w:cs="Arial"/>
                <w:b/>
                <w:bCs/>
                <w:iCs/>
                <w:kern w:val="2"/>
                <w:sz w:val="20"/>
                <w:szCs w:val="20"/>
                <w:lang w:val="en-PH" w:eastAsia="zh-CN" w:bidi="ar"/>
              </w:rPr>
              <w:t>p</w:t>
            </w:r>
          </w:p>
        </w:tc>
      </w:tr>
      <w:tr w:rsidR="00284018" w:rsidRPr="00284018" w14:paraId="7F3173C5" w14:textId="77777777">
        <w:tc>
          <w:tcPr>
            <w:tcW w:w="1979" w:type="pct"/>
            <w:tcBorders>
              <w:top w:val="single" w:sz="4" w:space="0" w:color="auto"/>
              <w:left w:val="nil"/>
              <w:bottom w:val="nil"/>
              <w:right w:val="nil"/>
            </w:tcBorders>
            <w:hideMark/>
          </w:tcPr>
          <w:p w14:paraId="0F58C92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Intercept (Constant)</w:t>
            </w:r>
          </w:p>
        </w:tc>
        <w:tc>
          <w:tcPr>
            <w:tcW w:w="833" w:type="pct"/>
            <w:tcBorders>
              <w:top w:val="single" w:sz="4" w:space="0" w:color="auto"/>
              <w:left w:val="nil"/>
              <w:bottom w:val="nil"/>
              <w:right w:val="nil"/>
            </w:tcBorders>
            <w:vAlign w:val="bottom"/>
            <w:hideMark/>
          </w:tcPr>
          <w:p w14:paraId="5C28B4CD"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.886</w:t>
            </w:r>
          </w:p>
        </w:tc>
        <w:tc>
          <w:tcPr>
            <w:tcW w:w="729" w:type="pct"/>
            <w:tcBorders>
              <w:top w:val="single" w:sz="4" w:space="0" w:color="auto"/>
              <w:left w:val="nil"/>
              <w:bottom w:val="nil"/>
              <w:right w:val="nil"/>
            </w:tcBorders>
            <w:vAlign w:val="bottom"/>
            <w:hideMark/>
          </w:tcPr>
          <w:p w14:paraId="20AD170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.215</w:t>
            </w:r>
          </w:p>
        </w:tc>
        <w:tc>
          <w:tcPr>
            <w:tcW w:w="833" w:type="pct"/>
            <w:tcBorders>
              <w:top w:val="single" w:sz="4" w:space="0" w:color="auto"/>
              <w:left w:val="nil"/>
              <w:bottom w:val="nil"/>
              <w:right w:val="nil"/>
            </w:tcBorders>
            <w:vAlign w:val="bottom"/>
            <w:hideMark/>
          </w:tcPr>
          <w:p w14:paraId="2B5A543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4.111</w:t>
            </w:r>
          </w:p>
        </w:tc>
        <w:tc>
          <w:tcPr>
            <w:tcW w:w="624" w:type="pct"/>
            <w:tcBorders>
              <w:top w:val="single" w:sz="4" w:space="0" w:color="auto"/>
              <w:left w:val="nil"/>
              <w:bottom w:val="nil"/>
              <w:right w:val="nil"/>
            </w:tcBorders>
            <w:vAlign w:val="bottom"/>
            <w:hideMark/>
          </w:tcPr>
          <w:p w14:paraId="435DC3E8"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.000</w:t>
            </w:r>
          </w:p>
        </w:tc>
      </w:tr>
      <w:tr w:rsidR="00284018" w:rsidRPr="00284018" w14:paraId="0902F948" w14:textId="77777777">
        <w:tc>
          <w:tcPr>
            <w:tcW w:w="1979" w:type="pct"/>
            <w:tcBorders>
              <w:top w:val="nil"/>
              <w:left w:val="nil"/>
              <w:bottom w:val="nil"/>
              <w:right w:val="nil"/>
            </w:tcBorders>
            <w:hideMark/>
          </w:tcPr>
          <w:p w14:paraId="27333A4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Background</w:t>
            </w:r>
          </w:p>
        </w:tc>
        <w:tc>
          <w:tcPr>
            <w:tcW w:w="833" w:type="pct"/>
            <w:tcBorders>
              <w:top w:val="nil"/>
              <w:left w:val="nil"/>
              <w:bottom w:val="nil"/>
              <w:right w:val="nil"/>
            </w:tcBorders>
            <w:vAlign w:val="bottom"/>
            <w:hideMark/>
          </w:tcPr>
          <w:p w14:paraId="734EF32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-.144</w:t>
            </w:r>
          </w:p>
        </w:tc>
        <w:tc>
          <w:tcPr>
            <w:tcW w:w="729" w:type="pct"/>
            <w:tcBorders>
              <w:top w:val="nil"/>
              <w:left w:val="nil"/>
              <w:bottom w:val="nil"/>
              <w:right w:val="nil"/>
            </w:tcBorders>
            <w:vAlign w:val="bottom"/>
            <w:hideMark/>
          </w:tcPr>
          <w:p w14:paraId="36D4198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.080</w:t>
            </w:r>
          </w:p>
        </w:tc>
        <w:tc>
          <w:tcPr>
            <w:tcW w:w="833" w:type="pct"/>
            <w:tcBorders>
              <w:top w:val="nil"/>
              <w:left w:val="nil"/>
              <w:bottom w:val="nil"/>
              <w:right w:val="nil"/>
            </w:tcBorders>
            <w:vAlign w:val="bottom"/>
            <w:hideMark/>
          </w:tcPr>
          <w:p w14:paraId="01E54185"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-.184</w:t>
            </w:r>
          </w:p>
        </w:tc>
        <w:tc>
          <w:tcPr>
            <w:tcW w:w="624" w:type="pct"/>
            <w:tcBorders>
              <w:top w:val="nil"/>
              <w:left w:val="nil"/>
              <w:bottom w:val="nil"/>
              <w:right w:val="nil"/>
            </w:tcBorders>
            <w:vAlign w:val="bottom"/>
            <w:hideMark/>
          </w:tcPr>
          <w:p w14:paraId="530F322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.074</w:t>
            </w:r>
          </w:p>
        </w:tc>
      </w:tr>
      <w:tr w:rsidR="00284018" w:rsidRPr="00284018" w14:paraId="7AA07738" w14:textId="77777777">
        <w:tc>
          <w:tcPr>
            <w:tcW w:w="1979" w:type="pct"/>
            <w:tcBorders>
              <w:top w:val="nil"/>
              <w:left w:val="nil"/>
              <w:bottom w:val="nil"/>
              <w:right w:val="nil"/>
            </w:tcBorders>
            <w:hideMark/>
          </w:tcPr>
          <w:p w14:paraId="5221E8B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Design Characteristics</w:t>
            </w:r>
          </w:p>
        </w:tc>
        <w:tc>
          <w:tcPr>
            <w:tcW w:w="833" w:type="pct"/>
            <w:tcBorders>
              <w:top w:val="nil"/>
              <w:left w:val="nil"/>
              <w:bottom w:val="nil"/>
              <w:right w:val="nil"/>
            </w:tcBorders>
            <w:vAlign w:val="bottom"/>
            <w:hideMark/>
          </w:tcPr>
          <w:p w14:paraId="79EA939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.375</w:t>
            </w:r>
          </w:p>
        </w:tc>
        <w:tc>
          <w:tcPr>
            <w:tcW w:w="729" w:type="pct"/>
            <w:tcBorders>
              <w:top w:val="nil"/>
              <w:left w:val="nil"/>
              <w:bottom w:val="nil"/>
              <w:right w:val="nil"/>
            </w:tcBorders>
            <w:vAlign w:val="bottom"/>
            <w:hideMark/>
          </w:tcPr>
          <w:p w14:paraId="372D0E8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.185</w:t>
            </w:r>
          </w:p>
        </w:tc>
        <w:tc>
          <w:tcPr>
            <w:tcW w:w="833" w:type="pct"/>
            <w:tcBorders>
              <w:top w:val="nil"/>
              <w:left w:val="nil"/>
              <w:bottom w:val="nil"/>
              <w:right w:val="nil"/>
            </w:tcBorders>
            <w:vAlign w:val="bottom"/>
            <w:hideMark/>
          </w:tcPr>
          <w:p w14:paraId="56922E13"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2.027</w:t>
            </w:r>
          </w:p>
        </w:tc>
        <w:tc>
          <w:tcPr>
            <w:tcW w:w="624" w:type="pct"/>
            <w:tcBorders>
              <w:top w:val="nil"/>
              <w:left w:val="nil"/>
              <w:bottom w:val="nil"/>
              <w:right w:val="nil"/>
            </w:tcBorders>
            <w:vAlign w:val="bottom"/>
            <w:hideMark/>
          </w:tcPr>
          <w:p w14:paraId="40FE661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.045</w:t>
            </w:r>
          </w:p>
        </w:tc>
      </w:tr>
      <w:tr w:rsidR="00284018" w:rsidRPr="00284018" w14:paraId="4B90815D" w14:textId="77777777">
        <w:tc>
          <w:tcPr>
            <w:tcW w:w="1979" w:type="pct"/>
            <w:tcBorders>
              <w:top w:val="nil"/>
              <w:left w:val="nil"/>
              <w:bottom w:val="nil"/>
              <w:right w:val="nil"/>
            </w:tcBorders>
            <w:hideMark/>
          </w:tcPr>
          <w:p w14:paraId="790A95E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Simulation Experience</w:t>
            </w:r>
          </w:p>
        </w:tc>
        <w:tc>
          <w:tcPr>
            <w:tcW w:w="833" w:type="pct"/>
            <w:tcBorders>
              <w:top w:val="nil"/>
              <w:left w:val="nil"/>
              <w:bottom w:val="nil"/>
              <w:right w:val="nil"/>
            </w:tcBorders>
            <w:vAlign w:val="bottom"/>
            <w:hideMark/>
          </w:tcPr>
          <w:p w14:paraId="2624C05E"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.178</w:t>
            </w:r>
          </w:p>
        </w:tc>
        <w:tc>
          <w:tcPr>
            <w:tcW w:w="729" w:type="pct"/>
            <w:tcBorders>
              <w:top w:val="nil"/>
              <w:left w:val="nil"/>
              <w:bottom w:val="nil"/>
              <w:right w:val="nil"/>
            </w:tcBorders>
            <w:vAlign w:val="bottom"/>
            <w:hideMark/>
          </w:tcPr>
          <w:p w14:paraId="6AF491B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.116</w:t>
            </w:r>
          </w:p>
        </w:tc>
        <w:tc>
          <w:tcPr>
            <w:tcW w:w="833" w:type="pct"/>
            <w:tcBorders>
              <w:top w:val="nil"/>
              <w:left w:val="nil"/>
              <w:bottom w:val="nil"/>
              <w:right w:val="nil"/>
            </w:tcBorders>
            <w:vAlign w:val="bottom"/>
            <w:hideMark/>
          </w:tcPr>
          <w:p w14:paraId="438702D4"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1.536</w:t>
            </w:r>
          </w:p>
        </w:tc>
        <w:tc>
          <w:tcPr>
            <w:tcW w:w="624" w:type="pct"/>
            <w:tcBorders>
              <w:top w:val="nil"/>
              <w:left w:val="nil"/>
              <w:bottom w:val="nil"/>
              <w:right w:val="nil"/>
            </w:tcBorders>
            <w:vAlign w:val="bottom"/>
            <w:hideMark/>
          </w:tcPr>
          <w:p w14:paraId="2D8467D7"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.128</w:t>
            </w:r>
          </w:p>
        </w:tc>
      </w:tr>
      <w:tr w:rsidR="00284018" w:rsidRPr="00284018" w14:paraId="5067216D" w14:textId="77777777">
        <w:tc>
          <w:tcPr>
            <w:tcW w:w="1979" w:type="pct"/>
            <w:tcBorders>
              <w:top w:val="nil"/>
              <w:left w:val="nil"/>
              <w:bottom w:val="single" w:sz="4" w:space="0" w:color="auto"/>
              <w:right w:val="nil"/>
            </w:tcBorders>
            <w:hideMark/>
          </w:tcPr>
          <w:p w14:paraId="01BFB9F6"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Facilitation debriefing strategies</w:t>
            </w:r>
          </w:p>
        </w:tc>
        <w:tc>
          <w:tcPr>
            <w:tcW w:w="833" w:type="pct"/>
            <w:tcBorders>
              <w:top w:val="nil"/>
              <w:left w:val="nil"/>
              <w:bottom w:val="single" w:sz="4" w:space="0" w:color="auto"/>
              <w:right w:val="nil"/>
            </w:tcBorders>
            <w:vAlign w:val="bottom"/>
            <w:hideMark/>
          </w:tcPr>
          <w:p w14:paraId="334DB86F"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.354</w:t>
            </w:r>
          </w:p>
        </w:tc>
        <w:tc>
          <w:tcPr>
            <w:tcW w:w="729" w:type="pct"/>
            <w:tcBorders>
              <w:top w:val="nil"/>
              <w:left w:val="nil"/>
              <w:bottom w:val="single" w:sz="4" w:space="0" w:color="auto"/>
              <w:right w:val="nil"/>
            </w:tcBorders>
            <w:vAlign w:val="bottom"/>
            <w:hideMark/>
          </w:tcPr>
          <w:p w14:paraId="47A9384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.175</w:t>
            </w:r>
          </w:p>
        </w:tc>
        <w:tc>
          <w:tcPr>
            <w:tcW w:w="833" w:type="pct"/>
            <w:tcBorders>
              <w:top w:val="nil"/>
              <w:left w:val="nil"/>
              <w:bottom w:val="single" w:sz="4" w:space="0" w:color="auto"/>
              <w:right w:val="nil"/>
            </w:tcBorders>
            <w:vAlign w:val="bottom"/>
            <w:hideMark/>
          </w:tcPr>
          <w:p w14:paraId="41E1680B"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2.019</w:t>
            </w:r>
          </w:p>
        </w:tc>
        <w:tc>
          <w:tcPr>
            <w:tcW w:w="624" w:type="pct"/>
            <w:tcBorders>
              <w:top w:val="nil"/>
              <w:left w:val="nil"/>
              <w:bottom w:val="single" w:sz="4" w:space="0" w:color="auto"/>
              <w:right w:val="nil"/>
            </w:tcBorders>
            <w:vAlign w:val="bottom"/>
            <w:hideMark/>
          </w:tcPr>
          <w:p w14:paraId="7F613CD1" w14:textId="77777777" w:rsidR="00284018" w:rsidRPr="00284018" w:rsidRDefault="00284018" w:rsidP="00284018">
            <w:pPr>
              <w:rPr>
                <w:rFonts w:ascii="Arial" w:eastAsia="Aptos" w:hAnsi="Arial" w:cs="Arial"/>
                <w:b/>
                <w:bCs/>
                <w:kern w:val="2"/>
                <w:sz w:val="20"/>
                <w:szCs w:val="20"/>
                <w:lang w:val="en-PH" w:eastAsia="zh-CN" w:bidi="ar"/>
              </w:rPr>
            </w:pPr>
            <w:r w:rsidRPr="00284018">
              <w:rPr>
                <w:rFonts w:ascii="Arial" w:eastAsia="Aptos" w:hAnsi="Arial" w:cs="Arial"/>
                <w:b/>
                <w:bCs/>
                <w:kern w:val="2"/>
                <w:sz w:val="20"/>
                <w:szCs w:val="20"/>
                <w:lang w:val="en-PH" w:eastAsia="zh-CN" w:bidi="ar"/>
              </w:rPr>
              <w:t>.046</w:t>
            </w:r>
          </w:p>
        </w:tc>
      </w:tr>
    </w:tbl>
    <w:p w14:paraId="1F7A240C" w14:textId="77777777" w:rsidR="00284018" w:rsidRPr="00284018" w:rsidRDefault="00284018" w:rsidP="00284018">
      <w:pPr>
        <w:rPr>
          <w:rFonts w:ascii="Arial" w:eastAsia="Aptos" w:hAnsi="Arial" w:cs="Arial"/>
          <w:b/>
          <w:bCs/>
          <w:kern w:val="2"/>
          <w:lang w:val="en-PH" w:eastAsia="zh-CN" w:bidi="ar"/>
        </w:rPr>
      </w:pPr>
      <w:r w:rsidRPr="00284018">
        <w:rPr>
          <w:rFonts w:ascii="Arial" w:eastAsia="Aptos" w:hAnsi="Arial" w:cs="Arial"/>
          <w:b/>
          <w:bCs/>
          <w:kern w:val="2"/>
          <w:lang w:val="en-PH" w:eastAsia="zh-CN" w:bidi="ar"/>
        </w:rPr>
        <w:t>Note:</w:t>
      </w:r>
      <w:r w:rsidRPr="00284018">
        <w:rPr>
          <w:rFonts w:ascii="Arial" w:eastAsia="Aptos" w:hAnsi="Arial" w:cs="Arial"/>
          <w:b/>
          <w:bCs/>
          <w:kern w:val="2"/>
          <w:lang w:val="en-PH" w:eastAsia="zh-CN" w:bidi="ar"/>
        </w:rPr>
        <w:tab/>
        <w:t>Multiple R = .797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 = .635   Adjusted R</w:t>
      </w:r>
      <w:r w:rsidRPr="00284018">
        <w:rPr>
          <w:rFonts w:ascii="Arial" w:eastAsia="Aptos" w:hAnsi="Arial" w:cs="Arial"/>
          <w:b/>
          <w:bCs/>
          <w:kern w:val="2"/>
          <w:vertAlign w:val="superscript"/>
          <w:lang w:val="en-PH" w:eastAsia="zh-CN" w:bidi="ar"/>
        </w:rPr>
        <w:t>2</w:t>
      </w:r>
      <w:r w:rsidRPr="00284018">
        <w:rPr>
          <w:rFonts w:ascii="Arial" w:eastAsia="Aptos" w:hAnsi="Arial" w:cs="Arial"/>
          <w:b/>
          <w:bCs/>
          <w:kern w:val="2"/>
          <w:lang w:val="en-PH" w:eastAsia="zh-CN" w:bidi="ar"/>
        </w:rPr>
        <w:t xml:space="preserve">=.620      F </w:t>
      </w:r>
      <w:r w:rsidRPr="00284018">
        <w:rPr>
          <w:rFonts w:ascii="Arial" w:eastAsia="Aptos" w:hAnsi="Arial" w:cs="Arial"/>
          <w:b/>
          <w:bCs/>
          <w:kern w:val="2"/>
          <w:vertAlign w:val="subscript"/>
          <w:lang w:val="en-PH" w:eastAsia="zh-CN" w:bidi="ar"/>
        </w:rPr>
        <w:t>(4,102)</w:t>
      </w:r>
      <w:r w:rsidRPr="00284018">
        <w:rPr>
          <w:rFonts w:ascii="Arial" w:eastAsia="Aptos" w:hAnsi="Arial" w:cs="Arial"/>
          <w:b/>
          <w:bCs/>
          <w:kern w:val="2"/>
          <w:lang w:val="en-PH" w:eastAsia="zh-CN" w:bidi="ar"/>
        </w:rPr>
        <w:t xml:space="preserve"> = 44.295   p = &lt;.001</w:t>
      </w:r>
    </w:p>
    <w:p w14:paraId="4E977F61" w14:textId="77777777" w:rsidR="007B4003" w:rsidRPr="003F1191" w:rsidRDefault="007B4003">
      <w:pPr>
        <w:rPr>
          <w:rFonts w:ascii="Arial" w:eastAsia="Aptos" w:hAnsi="Arial" w:cs="Arial"/>
          <w:b/>
          <w:bCs/>
          <w:kern w:val="2"/>
          <w:lang w:val="en-PH" w:eastAsia="zh-CN" w:bidi="ar"/>
        </w:rPr>
      </w:pPr>
    </w:p>
    <w:p w14:paraId="5683DB3E" w14:textId="77777777" w:rsidR="007B4003" w:rsidRPr="003F1191" w:rsidRDefault="007B4003">
      <w:pPr>
        <w:rPr>
          <w:rFonts w:ascii="Arial" w:eastAsia="Aptos" w:hAnsi="Arial" w:cs="Arial"/>
          <w:b/>
          <w:bCs/>
          <w:kern w:val="2"/>
          <w:lang w:val="en-PH" w:eastAsia="zh-CN" w:bidi="ar"/>
        </w:rPr>
      </w:pPr>
    </w:p>
    <w:p w14:paraId="045DCFC6"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lastRenderedPageBreak/>
        <w:t>The regression analysis showed that simulation-based training (SBT) significantly predicts nurses’ self-efficacy (R² = .635, p &lt; .001), indicating a substantial contribution to confidence development. Among the predictors, design characteristics and facilitation/debriefing emerged as significant factors, highlighting the importance of structured simulation and guided reflection in strengthening clinical confidence. Evidence shows that simulation enhances cognitive, psychomotor, and affective learning domains, including self-efficacy, through active engagement and experiential learning (Handeland et al., 2021; Mishra et al., 2023</w:t>
      </w:r>
      <w:proofErr w:type="gramStart"/>
      <w:r w:rsidRPr="007B4003">
        <w:rPr>
          <w:rFonts w:ascii="Arial" w:eastAsia="Aptos" w:hAnsi="Arial" w:cs="Arial"/>
          <w:kern w:val="2"/>
          <w:lang w:val="en-PH" w:eastAsia="zh-CN" w:bidi="ar"/>
        </w:rPr>
        <w:t>) .</w:t>
      </w:r>
      <w:proofErr w:type="gramEnd"/>
    </w:p>
    <w:p w14:paraId="1DF88406"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Notably, debriefing plays a central role in this process, as it enables learners to reflect on performance, identify gaps, and integrate learning into future practice. Structured debriefing methods have been shown to significantly improve self-efficacy, critical thinking, and clinical performance compared to routine approaches (Niu et al., 2021; Decker et al., 2021</w:t>
      </w:r>
      <w:proofErr w:type="gramStart"/>
      <w:r w:rsidRPr="007B4003">
        <w:rPr>
          <w:rFonts w:ascii="Arial" w:eastAsia="Aptos" w:hAnsi="Arial" w:cs="Arial"/>
          <w:kern w:val="2"/>
          <w:lang w:val="en-PH" w:eastAsia="zh-CN" w:bidi="ar"/>
        </w:rPr>
        <w:t>) .</w:t>
      </w:r>
      <w:proofErr w:type="gramEnd"/>
      <w:r w:rsidRPr="007B4003">
        <w:rPr>
          <w:rFonts w:ascii="Arial" w:eastAsia="Aptos" w:hAnsi="Arial" w:cs="Arial"/>
          <w:kern w:val="2"/>
          <w:lang w:val="en-PH" w:eastAsia="zh-CN" w:bidi="ar"/>
        </w:rPr>
        <w:t xml:space="preserve"> This supports findings that facilitator-guided reflection is essential for transforming simulation experiences into meaningful learning outcomes.</w:t>
      </w:r>
    </w:p>
    <w:p w14:paraId="61ED8A48"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In contrast, background and simulation experience were not significant predictors, suggesting that exposure alone does not directly improve confidence without reflective processing. Evidence indicates that the facilitator’s role in guiding reflection and providing feedback is critical in developing insight, professional growth, and self-efficacy (Husebø et al., 2024</w:t>
      </w:r>
      <w:proofErr w:type="gramStart"/>
      <w:r w:rsidRPr="007B4003">
        <w:rPr>
          <w:rFonts w:ascii="Arial" w:eastAsia="Aptos" w:hAnsi="Arial" w:cs="Arial"/>
          <w:kern w:val="2"/>
          <w:lang w:val="en-PH" w:eastAsia="zh-CN" w:bidi="ar"/>
        </w:rPr>
        <w:t>) .</w:t>
      </w:r>
      <w:proofErr w:type="gramEnd"/>
    </w:p>
    <w:p w14:paraId="70DEDD85" w14:textId="77777777" w:rsidR="007B4003" w:rsidRPr="007B4003" w:rsidRDefault="007B4003" w:rsidP="001512D8">
      <w:pPr>
        <w:jc w:val="both"/>
        <w:rPr>
          <w:rFonts w:ascii="Arial" w:eastAsia="Aptos" w:hAnsi="Arial" w:cs="Arial"/>
          <w:kern w:val="2"/>
          <w:lang w:val="en-PH" w:eastAsia="zh-CN" w:bidi="ar"/>
        </w:rPr>
      </w:pPr>
      <w:r w:rsidRPr="007B4003">
        <w:rPr>
          <w:rFonts w:ascii="Arial" w:eastAsia="Aptos" w:hAnsi="Arial" w:cs="Arial"/>
          <w:kern w:val="2"/>
          <w:lang w:val="en-PH" w:eastAsia="zh-CN" w:bidi="ar"/>
        </w:rPr>
        <w:t xml:space="preserve">Overall, the findings emphasize that simulation effectiveness in building self-efficacy depends primarily on instructional quality, particularly structured debriefing and well-designed learning experiences, rather than exposure alone. This reinforces the importance of reflection-centered simulation practices in nursing education. </w:t>
      </w:r>
    </w:p>
    <w:p w14:paraId="68A7F1F4" w14:textId="77777777" w:rsidR="007B4003" w:rsidRPr="001512D8" w:rsidRDefault="007B4003" w:rsidP="001512D8">
      <w:pPr>
        <w:jc w:val="both"/>
        <w:rPr>
          <w:rFonts w:ascii="Arial" w:eastAsia="Aptos" w:hAnsi="Arial" w:cs="Arial"/>
          <w:kern w:val="2"/>
          <w:lang w:val="en-PH" w:eastAsia="zh-CN" w:bidi="ar"/>
        </w:rPr>
      </w:pPr>
    </w:p>
    <w:p w14:paraId="76146700" w14:textId="6FFF5033" w:rsidR="00284018" w:rsidRPr="001512D8" w:rsidRDefault="001512D8" w:rsidP="001512D8">
      <w:pPr>
        <w:jc w:val="both"/>
        <w:rPr>
          <w:rFonts w:ascii="Arial" w:eastAsia="Aptos" w:hAnsi="Arial" w:cs="Arial"/>
          <w:kern w:val="2"/>
          <w:lang w:eastAsia="zh-CN" w:bidi="ar"/>
        </w:rPr>
      </w:pPr>
      <w:r>
        <w:rPr>
          <w:rFonts w:ascii="Arial" w:eastAsia="Aptos" w:hAnsi="Arial" w:cs="Arial"/>
          <w:kern w:val="2"/>
          <w:lang w:eastAsia="zh-CN" w:bidi="ar"/>
        </w:rPr>
        <w:t xml:space="preserve">Output: </w:t>
      </w:r>
      <w:r w:rsidR="00284018" w:rsidRPr="001512D8">
        <w:rPr>
          <w:rFonts w:ascii="Arial" w:eastAsia="Aptos" w:hAnsi="Arial" w:cs="Arial"/>
          <w:kern w:val="2"/>
          <w:lang w:eastAsia="zh-CN" w:bidi="ar"/>
        </w:rPr>
        <w:t>Reflective Learning Workbook</w:t>
      </w:r>
    </w:p>
    <w:p w14:paraId="4C2AD77F"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Based on the findings, a Reflective Learning Workbook was developed as an educational intervention for Cardiac Intensive Care Unit (CICU) nurses. The workbook is designed to extend learning beyond simulation sessions by promoting structured reflection, clinical reasoning, skill evaluation, and self-efficacy development.</w:t>
      </w:r>
    </w:p>
    <w:p w14:paraId="2299F0EA"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The tool is grounded in the study’s results, which identified reflection, facilitation, and debriefing as key factors influencing knowledge, skills, and self-efficacy. It operationalizes learning as a continuous process, enabling nurses to analyze simulation experiences, evaluate performance, and plan for improvement. Core components include guided reflection, clinical reasoning exercises, skill self-assessment, self-efficacy tracking, and action planning.</w:t>
      </w:r>
    </w:p>
    <w:p w14:paraId="06BC0951"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The workbook is intended for integration into simulation-based training programs, particularly during post-simulation debriefing. By reinforcing reflection and linking it to measurable actions, it supports sustained competency development and enhances preparedness for cardiac arrest management.</w:t>
      </w:r>
    </w:p>
    <w:p w14:paraId="76BE26C3" w14:textId="77777777" w:rsidR="00284018" w:rsidRPr="00284018" w:rsidRDefault="00284018" w:rsidP="001512D8">
      <w:pPr>
        <w:jc w:val="both"/>
        <w:rPr>
          <w:rFonts w:ascii="Arial" w:eastAsia="Aptos" w:hAnsi="Arial" w:cs="Arial"/>
          <w:kern w:val="2"/>
          <w:lang w:val="en-PH" w:eastAsia="zh-CN" w:bidi="ar"/>
        </w:rPr>
      </w:pPr>
      <w:r w:rsidRPr="00284018">
        <w:rPr>
          <w:rFonts w:ascii="Arial" w:eastAsia="Aptos" w:hAnsi="Arial" w:cs="Arial"/>
          <w:kern w:val="2"/>
          <w:lang w:val="en-PH" w:eastAsia="zh-CN" w:bidi="ar"/>
        </w:rPr>
        <w:t xml:space="preserve">Overall, the Reflective Learning Workbook provides a practical, evidence-based approach to strengthening cognitive, psychomotor, and affective learning outcomes among CICU nurses. </w:t>
      </w:r>
    </w:p>
    <w:p w14:paraId="3CCBDD06" w14:textId="77777777" w:rsidR="00284018" w:rsidRPr="003F1191" w:rsidRDefault="00284018">
      <w:pPr>
        <w:rPr>
          <w:rFonts w:ascii="Arial" w:eastAsia="Aptos" w:hAnsi="Arial" w:cs="Arial"/>
          <w:b/>
          <w:bCs/>
          <w:kern w:val="2"/>
          <w:lang w:eastAsia="zh-CN" w:bidi="ar"/>
        </w:rPr>
      </w:pPr>
    </w:p>
    <w:p w14:paraId="36A6006D" w14:textId="32A99D02" w:rsidR="003668BF" w:rsidRPr="003F1191" w:rsidRDefault="004B3446">
      <w:pPr>
        <w:rPr>
          <w:rFonts w:ascii="Arial" w:hAnsi="Arial" w:cs="Arial"/>
          <w:b/>
          <w:bCs/>
        </w:rPr>
      </w:pPr>
      <w:r w:rsidRPr="003F1191">
        <w:rPr>
          <w:rFonts w:ascii="Arial" w:eastAsia="Aptos" w:hAnsi="Arial" w:cs="Arial"/>
          <w:b/>
          <w:bCs/>
          <w:kern w:val="2"/>
          <w:lang w:eastAsia="zh-CN" w:bidi="ar"/>
        </w:rPr>
        <w:t>Conclusions</w:t>
      </w:r>
    </w:p>
    <w:p w14:paraId="6B2D4793" w14:textId="77777777" w:rsidR="003668BF" w:rsidRPr="003F1191" w:rsidRDefault="003668BF">
      <w:pPr>
        <w:ind w:firstLine="720"/>
        <w:jc w:val="both"/>
        <w:rPr>
          <w:rFonts w:ascii="Arial" w:eastAsia="Aptos" w:hAnsi="Arial" w:cs="Arial"/>
          <w:kern w:val="2"/>
          <w:lang w:eastAsia="zh-CN" w:bidi="ar"/>
        </w:rPr>
      </w:pPr>
    </w:p>
    <w:p w14:paraId="303103B0" w14:textId="77777777" w:rsidR="00DD3E2A" w:rsidRPr="00DD3E2A" w:rsidRDefault="00DD3E2A" w:rsidP="00DD3E2A">
      <w:pPr>
        <w:jc w:val="both"/>
        <w:rPr>
          <w:rFonts w:ascii="Arial" w:eastAsia="SimSun" w:hAnsi="Arial" w:cs="Arial"/>
          <w:lang w:val="en-PH" w:eastAsia="zh-CN"/>
        </w:rPr>
      </w:pPr>
      <w:r w:rsidRPr="00DD3E2A">
        <w:rPr>
          <w:rFonts w:ascii="Arial" w:eastAsia="SimSun" w:hAnsi="Arial" w:cs="Arial"/>
          <w:lang w:val="en-PH" w:eastAsia="zh-CN"/>
        </w:rPr>
        <w:t>Based on the findings of the study, it can be concluded that Simulation-Based Training (SBT) plays a significant role in enhancing the knowledge, skills, and self-efficacy of Specialist Registered Nurses in the Cardiac Intensive Care Unit (CICU). The study demonstrated that nurses generally have a very high perception of simulation-based training, recognizing it as a structured, engaging, and clinically relevant learning approach that supports professional development and preparedness in managing cardiac arrest situations.</w:t>
      </w:r>
    </w:p>
    <w:p w14:paraId="63673401" w14:textId="77777777" w:rsidR="00DD3E2A" w:rsidRPr="00DD3E2A" w:rsidRDefault="00DD3E2A" w:rsidP="00DD3E2A">
      <w:pPr>
        <w:jc w:val="both"/>
        <w:rPr>
          <w:rFonts w:ascii="Arial" w:eastAsia="SimSun" w:hAnsi="Arial" w:cs="Arial"/>
          <w:lang w:val="en-PH" w:eastAsia="zh-CN"/>
        </w:rPr>
      </w:pPr>
      <w:r w:rsidRPr="00DD3E2A">
        <w:rPr>
          <w:rFonts w:ascii="Arial" w:eastAsia="SimSun" w:hAnsi="Arial" w:cs="Arial"/>
          <w:lang w:val="en-PH" w:eastAsia="zh-CN"/>
        </w:rPr>
        <w:t xml:space="preserve">The results further revealed that nurses possess high to very high levels of knowledge, clinical skills, and self-efficacy, indicating that simulation-based training contributes positively to the cognitive, psychomotor, and affective domains of learning. The significant </w:t>
      </w:r>
      <w:r w:rsidRPr="00DD3E2A">
        <w:rPr>
          <w:rFonts w:ascii="Arial" w:eastAsia="SimSun" w:hAnsi="Arial" w:cs="Arial"/>
          <w:lang w:val="en-PH" w:eastAsia="zh-CN"/>
        </w:rPr>
        <w:lastRenderedPageBreak/>
        <w:t>relationships identified between simulation components and competency outcomes confirm that simulation is not merely a training activity but an effective educational strategy that integrates multiple dimensions of learning.</w:t>
      </w:r>
    </w:p>
    <w:p w14:paraId="0942E5A1" w14:textId="77777777" w:rsidR="00DD3E2A" w:rsidRPr="00DD3E2A" w:rsidRDefault="00DD3E2A" w:rsidP="00DD3E2A">
      <w:pPr>
        <w:jc w:val="both"/>
        <w:rPr>
          <w:rFonts w:ascii="Arial" w:eastAsia="SimSun" w:hAnsi="Arial" w:cs="Arial"/>
          <w:lang w:val="en-PH" w:eastAsia="zh-CN"/>
        </w:rPr>
      </w:pPr>
      <w:r w:rsidRPr="00DD3E2A">
        <w:rPr>
          <w:rFonts w:ascii="Arial" w:eastAsia="SimSun" w:hAnsi="Arial" w:cs="Arial"/>
          <w:lang w:val="en-PH" w:eastAsia="zh-CN"/>
        </w:rPr>
        <w:t>Moreover, the study established that specific components of simulation-based training—particularly design characteristics, simulation experience, and facilitation and debriefing strategies significantly predict improvements in knowledge, skills, and self-efficacy. This finding emphasizes that the effectiveness of simulation lies not only in its implementation but in the quality of its design and delivery. Well-structured simulations, guided facilitation, and meaningful debriefing processes are critical in achieving optimal learning outcomes.</w:t>
      </w:r>
    </w:p>
    <w:p w14:paraId="66700E1A" w14:textId="77777777" w:rsidR="00DD3E2A" w:rsidRPr="00DD3E2A" w:rsidRDefault="00DD3E2A" w:rsidP="00DD3E2A">
      <w:pPr>
        <w:jc w:val="both"/>
        <w:rPr>
          <w:rFonts w:ascii="Arial" w:eastAsia="SimSun" w:hAnsi="Arial" w:cs="Arial"/>
          <w:lang w:val="en-PH" w:eastAsia="zh-CN"/>
        </w:rPr>
      </w:pPr>
      <w:r w:rsidRPr="00DD3E2A">
        <w:rPr>
          <w:rFonts w:ascii="Arial" w:eastAsia="SimSun" w:hAnsi="Arial" w:cs="Arial"/>
          <w:lang w:val="en-PH" w:eastAsia="zh-CN"/>
        </w:rPr>
        <w:t>Although simulation training is widely implemented, the predominance of annual exposure suggests that opportunities for repeated and continuous practice may be limited. This may affect the long-term retention of skills and consistency of performance in real clinical situations. Nonetheless, the findings suggest that even with limited frequency, high-quality simulation experiences can significantly influence nurses’ competence.</w:t>
      </w:r>
    </w:p>
    <w:p w14:paraId="73D9F99F" w14:textId="77777777" w:rsidR="00DD3E2A" w:rsidRDefault="00DD3E2A" w:rsidP="00DD3E2A">
      <w:pPr>
        <w:jc w:val="both"/>
        <w:rPr>
          <w:rFonts w:ascii="Arial" w:eastAsia="SimSun" w:hAnsi="Arial" w:cs="Arial"/>
          <w:lang w:val="en-PH" w:eastAsia="zh-CN"/>
        </w:rPr>
      </w:pPr>
      <w:r w:rsidRPr="00DD3E2A">
        <w:rPr>
          <w:rFonts w:ascii="Arial" w:eastAsia="SimSun" w:hAnsi="Arial" w:cs="Arial"/>
          <w:lang w:val="en-PH" w:eastAsia="zh-CN"/>
        </w:rPr>
        <w:t>Overall, the study confirms that simulation-based training is an essential and effective approach in strengthening the competence and confidence of CICU nurses. It highlights the importance of structured, theory-driven, and well-facilitated simulation programs in ensuring preparedness for high-risk clinical situations such as cardiac arrest. The development of the Reflective Learning Workbook further supports continuous learning and reinforces the sustainability of competency development beyond simulation sessions.</w:t>
      </w:r>
    </w:p>
    <w:p w14:paraId="7D1E4A62" w14:textId="77777777" w:rsidR="00A175F6" w:rsidRDefault="00A175F6" w:rsidP="00DD3E2A">
      <w:pPr>
        <w:jc w:val="both"/>
        <w:rPr>
          <w:rFonts w:ascii="Arial" w:eastAsia="SimSun" w:hAnsi="Arial" w:cs="Arial"/>
          <w:lang w:val="en-PH" w:eastAsia="zh-CN"/>
        </w:rPr>
      </w:pPr>
    </w:p>
    <w:p w14:paraId="40560568" w14:textId="77777777" w:rsidR="00A175F6" w:rsidRPr="003F1191" w:rsidRDefault="00A175F6" w:rsidP="00A175F6">
      <w:pPr>
        <w:pStyle w:val="NormalWeb"/>
        <w:spacing w:beforeAutospacing="0" w:afterAutospacing="0"/>
        <w:jc w:val="both"/>
        <w:rPr>
          <w:rFonts w:ascii="Arial" w:hAnsi="Arial" w:cs="Arial"/>
          <w:b/>
          <w:bCs/>
          <w:sz w:val="20"/>
          <w:szCs w:val="20"/>
          <w:lang w:val="en-PH"/>
        </w:rPr>
      </w:pPr>
      <w:r w:rsidRPr="003F1191">
        <w:rPr>
          <w:rFonts w:ascii="Arial" w:hAnsi="Arial" w:cs="Arial"/>
          <w:b/>
          <w:bCs/>
          <w:sz w:val="20"/>
          <w:szCs w:val="20"/>
          <w:lang w:val="en-PH"/>
        </w:rPr>
        <w:t>Limitations</w:t>
      </w:r>
    </w:p>
    <w:p w14:paraId="3F1A42A5" w14:textId="77777777" w:rsidR="00A175F6" w:rsidRPr="003F1191" w:rsidRDefault="00A175F6" w:rsidP="00A175F6">
      <w:pPr>
        <w:pStyle w:val="NormalWeb"/>
        <w:spacing w:beforeAutospacing="0" w:afterAutospacing="0"/>
        <w:ind w:firstLine="720"/>
        <w:jc w:val="both"/>
        <w:rPr>
          <w:rFonts w:ascii="Arial" w:hAnsi="Arial" w:cs="Arial"/>
          <w:sz w:val="20"/>
          <w:szCs w:val="20"/>
          <w:lang w:val="en-PH"/>
        </w:rPr>
      </w:pPr>
    </w:p>
    <w:p w14:paraId="6D7B81F0" w14:textId="77777777" w:rsidR="00A175F6" w:rsidRPr="00DD3E2A" w:rsidRDefault="00A175F6" w:rsidP="00A175F6">
      <w:pPr>
        <w:jc w:val="both"/>
        <w:rPr>
          <w:rFonts w:ascii="Arial" w:eastAsia="SimSun" w:hAnsi="Arial" w:cs="Arial"/>
          <w:lang w:val="en-PH" w:eastAsia="zh-CN"/>
        </w:rPr>
      </w:pPr>
      <w:r w:rsidRPr="00DD3E2A">
        <w:rPr>
          <w:rFonts w:ascii="Arial" w:eastAsia="SimSun" w:hAnsi="Arial" w:cs="Arial"/>
          <w:lang w:val="en-PH" w:eastAsia="zh-CN"/>
        </w:rPr>
        <w:t>This study has several limitations that should be considered when interpreting the findings. First, the research was conducted in a single tertiary military hospital in Jeddah, Saudi Arabia, focusing specifically on nurses assigned in the Cardiac Intensive Care Unit (CICU). Because of this, the results may not be generalizable to other hospitals, non-military institutions, or different clinical settings where training practices, resources, and organizational environments may vary. Second, the study employed a descriptive–predictive correlational design, which limits the ability to establish causal relationships. While significant associations and predictive relationships were identified between simulation-based training and competency outcomes, these should not be interpreted as direct cause-and-effect relationships.</w:t>
      </w:r>
    </w:p>
    <w:p w14:paraId="3634D7C3" w14:textId="77777777" w:rsidR="00A175F6" w:rsidRPr="00DD3E2A" w:rsidRDefault="00A175F6" w:rsidP="00A175F6">
      <w:pPr>
        <w:jc w:val="both"/>
        <w:rPr>
          <w:rFonts w:ascii="Arial" w:eastAsia="SimSun" w:hAnsi="Arial" w:cs="Arial"/>
          <w:lang w:val="en-PH" w:eastAsia="zh-CN"/>
        </w:rPr>
      </w:pPr>
      <w:r w:rsidRPr="00DD3E2A">
        <w:rPr>
          <w:rFonts w:ascii="Arial" w:eastAsia="SimSun" w:hAnsi="Arial" w:cs="Arial"/>
          <w:lang w:val="en-PH" w:eastAsia="zh-CN"/>
        </w:rPr>
        <w:t>Additionally, the study relied on self-reported data collected through a structured questionnaire. This may introduce response bias, including social desirability bias, as respondents may overestimate or underestimate their actual knowledge, skills, and self-efficacy. Although the instrument demonstrated strong validity and reliability, it measured perceived competence rather than objectively observed clinical performance. Furthermore, variations in simulation exposure such as differences in frequency, realism, scenario complexity, and facilitation style were not controlled in the study. These variations may have influenced the respondents’ experiences and perceptions, thereby affecting the consistency of the results.</w:t>
      </w:r>
    </w:p>
    <w:p w14:paraId="24462C2F" w14:textId="77777777" w:rsidR="00A175F6" w:rsidRPr="00DD3E2A" w:rsidRDefault="00A175F6" w:rsidP="00A175F6">
      <w:pPr>
        <w:jc w:val="both"/>
        <w:rPr>
          <w:rFonts w:ascii="Arial" w:eastAsia="SimSun" w:hAnsi="Arial" w:cs="Arial"/>
          <w:lang w:val="en-PH" w:eastAsia="zh-CN"/>
        </w:rPr>
      </w:pPr>
      <w:r w:rsidRPr="00DD3E2A">
        <w:rPr>
          <w:rFonts w:ascii="Arial" w:eastAsia="SimSun" w:hAnsi="Arial" w:cs="Arial"/>
          <w:lang w:val="en-PH" w:eastAsia="zh-CN"/>
        </w:rPr>
        <w:t>Another limitation is that the majority of respondents reported participating in simulation-based training on an annual basis. This limited frequency may not be sufficient to ensure sustained retention of knowledge and psychomotor skills, which could influence the strength of the relationships observed in the study. Lastly, although most respondents were Advanced Cardiac Life Support (ACLS)-certified, one participant without current certification was included due to meeting other eligibility criteria. While this is unlikely to significantly affect the overall findings, it may slightly influence the uniformity of the sample in terms of baseline preparedness. Despite these limitations, the study provides valuable insights into the role of simulation-based training in enhancing the competence of CICU nurses and offers a foundation for future research and improvements in clinical education programs.</w:t>
      </w:r>
    </w:p>
    <w:p w14:paraId="3319C078" w14:textId="77777777" w:rsidR="00A175F6" w:rsidRPr="003F1191" w:rsidRDefault="00A175F6" w:rsidP="00A175F6">
      <w:pPr>
        <w:jc w:val="both"/>
        <w:rPr>
          <w:rFonts w:ascii="Arial" w:eastAsia="Aptos" w:hAnsi="Arial" w:cs="Arial"/>
          <w:b/>
          <w:bCs/>
          <w:kern w:val="2"/>
          <w:lang w:eastAsia="zh-CN" w:bidi="ar"/>
        </w:rPr>
      </w:pPr>
    </w:p>
    <w:p w14:paraId="5E4E0CCA" w14:textId="77777777" w:rsidR="00A175F6" w:rsidRPr="00DD3E2A" w:rsidRDefault="00A175F6" w:rsidP="00DD3E2A">
      <w:pPr>
        <w:jc w:val="both"/>
        <w:rPr>
          <w:rFonts w:ascii="Arial" w:eastAsia="SimSun" w:hAnsi="Arial" w:cs="Arial"/>
          <w:lang w:val="en-PH" w:eastAsia="zh-CN"/>
        </w:rPr>
      </w:pPr>
    </w:p>
    <w:p w14:paraId="1D0A44CD" w14:textId="77777777" w:rsidR="003668BF" w:rsidRPr="003F1191" w:rsidRDefault="003668BF">
      <w:pPr>
        <w:jc w:val="both"/>
        <w:rPr>
          <w:rFonts w:ascii="Arial" w:eastAsia="Aptos" w:hAnsi="Arial" w:cs="Arial"/>
          <w:b/>
          <w:bCs/>
          <w:kern w:val="2"/>
          <w:lang w:eastAsia="zh-CN" w:bidi="ar"/>
        </w:rPr>
      </w:pPr>
    </w:p>
    <w:p w14:paraId="37BC109F" w14:textId="77777777" w:rsidR="003668BF" w:rsidRPr="003F1191" w:rsidRDefault="004B3446">
      <w:pPr>
        <w:jc w:val="both"/>
        <w:rPr>
          <w:rFonts w:ascii="Arial" w:eastAsia="Aptos" w:hAnsi="Arial" w:cs="Arial"/>
          <w:b/>
          <w:bCs/>
          <w:kern w:val="2"/>
          <w:lang w:eastAsia="zh-CN" w:bidi="ar"/>
        </w:rPr>
      </w:pPr>
      <w:r w:rsidRPr="003F1191">
        <w:rPr>
          <w:rFonts w:ascii="Arial" w:eastAsia="Aptos" w:hAnsi="Arial" w:cs="Arial"/>
          <w:b/>
          <w:bCs/>
          <w:kern w:val="2"/>
          <w:lang w:eastAsia="zh-CN" w:bidi="ar"/>
        </w:rPr>
        <w:t>Recommendation</w:t>
      </w:r>
      <w:r w:rsidRPr="003F1191">
        <w:rPr>
          <w:rFonts w:ascii="Arial" w:eastAsia="Aptos" w:hAnsi="Arial" w:cs="Arial"/>
          <w:b/>
          <w:bCs/>
          <w:kern w:val="2"/>
          <w:lang w:eastAsia="zh-CN" w:bidi="ar"/>
        </w:rPr>
        <w:t xml:space="preserve">s </w:t>
      </w:r>
    </w:p>
    <w:p w14:paraId="76A1D089" w14:textId="77777777" w:rsidR="003668BF" w:rsidRPr="003F1191" w:rsidRDefault="004B3446">
      <w:pPr>
        <w:ind w:firstLine="720"/>
        <w:jc w:val="both"/>
        <w:rPr>
          <w:rFonts w:ascii="Arial" w:hAnsi="Arial" w:cs="Arial"/>
        </w:rPr>
      </w:pPr>
      <w:r w:rsidRPr="003F1191">
        <w:rPr>
          <w:rFonts w:ascii="Arial" w:hAnsi="Arial" w:cs="Arial"/>
        </w:rPr>
        <w:t>Based on the findings, the following recommendations are proposed:</w:t>
      </w:r>
    </w:p>
    <w:p w14:paraId="318DADDF"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Considering the findings and conclusions of the study, the following recommendations are proposed:</w:t>
      </w:r>
    </w:p>
    <w:p w14:paraId="23542007"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CICU Nurses, it is recommended that they actively engage in simulation-based training and maximize learning opportunities by participating in reflective practices during and after simulation sessions. Continuous self-assessment and application of learned skills in clinical practice are encouraged to maintain competence and confidence in managing cardiac emergencies.</w:t>
      </w:r>
    </w:p>
    <w:p w14:paraId="6D5D621D"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Nurse Educators and Training Facilitators, it is recommended to design and implement structured and theory-based simulation programs that emphasize clear objectives, realistic scenarios, and effective debriefing strategies. Facilitators should focus on enhancing critical thinking, clinical reasoning, and reflective learning to ensure meaningful and sustained learning outcomes.</w:t>
      </w:r>
    </w:p>
    <w:p w14:paraId="3289EDDE"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Hospital Administrators and Nursing Leaders, it is recommended to support the enhancement of simulation-based training programs by increasing the frequency of simulation sessions, such as quarterly or periodic training, to promote continuous skill reinforcement. Investment in simulation resources, faculty development, and standardized training protocols is also encouraged to ensure consistency and quality of learning experiences.</w:t>
      </w:r>
    </w:p>
    <w:p w14:paraId="707736E3"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Policy Makers and Healthcare Institutions, it is recommended to integrate simulation-based training as a core component of continuing professional development and competency assessment programs for critical care nurses. Establishing guidelines and standards for simulation practices can help ensure uniformity and effectiveness across healthcare settings.</w:t>
      </w:r>
    </w:p>
    <w:p w14:paraId="2881891E"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For Future Researchers, it is recommended to conduct further studies exploring the long-term effects of simulation-based training on clinical performance and patient outcomes. Future research may also investigate experimental designs, multi-center settings, or comparisons between different simulation modalities to strengthen the generalizability of findings.</w:t>
      </w:r>
    </w:p>
    <w:p w14:paraId="0C76180C"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Finally, the utilization of the Reflective Learning Workbook is strongly recommended as a supplementary learning tool to extend the impact of simulation training. Its integration into regular training programs may help reinforce knowledge retention, enhance clinical skills, and strengthen self-efficacy among CICU nurses.</w:t>
      </w:r>
    </w:p>
    <w:p w14:paraId="2985372A" w14:textId="77777777" w:rsidR="00DD3E2A" w:rsidRPr="00DD3E2A" w:rsidRDefault="00DD3E2A" w:rsidP="00DD3E2A">
      <w:pPr>
        <w:ind w:firstLine="720"/>
        <w:jc w:val="both"/>
        <w:rPr>
          <w:rFonts w:ascii="Arial" w:hAnsi="Arial" w:cs="Arial"/>
          <w:lang w:val="en-PH"/>
        </w:rPr>
      </w:pPr>
      <w:r w:rsidRPr="00DD3E2A">
        <w:rPr>
          <w:rFonts w:ascii="Arial" w:hAnsi="Arial" w:cs="Arial"/>
          <w:lang w:val="en-PH"/>
        </w:rPr>
        <w:t>In conclusion, strengthening simulation-based training through improved design, increased frequency, and structured reflection can significantly contribute to the development of competent, confident, and highly prepared nurses capable of delivering safe and effective care in cardiac critical care settings.</w:t>
      </w:r>
    </w:p>
    <w:p w14:paraId="7FABA6F4" w14:textId="434E03B9" w:rsidR="003668BF" w:rsidRPr="003F1191" w:rsidRDefault="004B3446">
      <w:pPr>
        <w:ind w:firstLine="720"/>
        <w:jc w:val="both"/>
        <w:rPr>
          <w:rFonts w:ascii="Arial" w:hAnsi="Arial" w:cs="Arial"/>
        </w:rPr>
      </w:pPr>
      <w:r w:rsidRPr="003F1191">
        <w:rPr>
          <w:rFonts w:ascii="Arial" w:hAnsi="Arial" w:cs="Arial"/>
        </w:rPr>
        <w:t>.</w:t>
      </w:r>
    </w:p>
    <w:p w14:paraId="3481FF9F" w14:textId="77777777" w:rsidR="003668BF" w:rsidRPr="003F1191" w:rsidRDefault="004B3446">
      <w:pPr>
        <w:pStyle w:val="ReferHead"/>
        <w:spacing w:after="0"/>
        <w:jc w:val="both"/>
        <w:rPr>
          <w:rFonts w:ascii="Arial" w:hAnsi="Arial" w:cs="Arial"/>
          <w:bCs/>
          <w:sz w:val="20"/>
        </w:rPr>
      </w:pPr>
      <w:r w:rsidRPr="003F1191">
        <w:rPr>
          <w:rFonts w:ascii="Arial" w:hAnsi="Arial" w:cs="Arial"/>
          <w:bCs/>
          <w:sz w:val="20"/>
        </w:rPr>
        <w:lastRenderedPageBreak/>
        <w:t>Competing interests</w:t>
      </w:r>
    </w:p>
    <w:p w14:paraId="68F67F67" w14:textId="77777777" w:rsidR="003668BF" w:rsidRPr="003F1191" w:rsidRDefault="003668BF">
      <w:pPr>
        <w:pStyle w:val="ReferHead"/>
        <w:spacing w:after="0"/>
        <w:jc w:val="both"/>
        <w:rPr>
          <w:rFonts w:ascii="Arial" w:hAnsi="Arial" w:cs="Arial"/>
          <w:b w:val="0"/>
          <w:caps w:val="0"/>
          <w:sz w:val="20"/>
        </w:rPr>
      </w:pPr>
    </w:p>
    <w:p w14:paraId="08C98371" w14:textId="5D0510D3" w:rsidR="003668BF" w:rsidRPr="003F1191" w:rsidRDefault="00DD3E2A">
      <w:pPr>
        <w:pStyle w:val="ReferHead"/>
        <w:spacing w:after="0"/>
        <w:jc w:val="both"/>
        <w:rPr>
          <w:rFonts w:ascii="Arial" w:hAnsi="Arial" w:cs="Arial"/>
          <w:b w:val="0"/>
          <w:caps w:val="0"/>
          <w:sz w:val="20"/>
        </w:rPr>
      </w:pPr>
      <w:r w:rsidRPr="003F1191">
        <w:rPr>
          <w:rFonts w:ascii="Arial" w:hAnsi="Arial" w:cs="Arial"/>
          <w:b w:val="0"/>
          <w:caps w:val="0"/>
          <w:sz w:val="20"/>
        </w:rPr>
        <w:t>The researcher declares that there are no financial, professional, or personal competing interests that could have influenced the conduct, results, or interpretation of this study. Although the researcher is employed within the same clinical environment where the study was conducted, all necessary measures were taken to ensure objectivity and impartiality throughout the research process. Participation of respondents was voluntary, and no supervisory or authoritative influence was exercised during data collection. Data were gathered anonymously, and responses were treated with strict confidentiality to prevent any bias or coercion. The findings of the study were reported honestly and accurately, without any fabrication, manipulation, or undue influence. Thus, the integrity of the research was maintained at all stages of the study.</w:t>
      </w:r>
    </w:p>
    <w:p w14:paraId="364A9E99" w14:textId="77777777" w:rsidR="00DD3E2A" w:rsidRPr="003F1191" w:rsidRDefault="00DD3E2A">
      <w:pPr>
        <w:pStyle w:val="ReferHead"/>
        <w:spacing w:after="0"/>
        <w:jc w:val="both"/>
        <w:rPr>
          <w:rFonts w:ascii="Arial" w:hAnsi="Arial" w:cs="Arial"/>
          <w:b w:val="0"/>
          <w:caps w:val="0"/>
          <w:sz w:val="20"/>
        </w:rPr>
      </w:pPr>
    </w:p>
    <w:p w14:paraId="0C1322AF" w14:textId="77777777" w:rsidR="003668BF" w:rsidRPr="003F1191" w:rsidRDefault="004B3446">
      <w:pPr>
        <w:pStyle w:val="ReferHead"/>
        <w:spacing w:after="0"/>
        <w:jc w:val="both"/>
        <w:rPr>
          <w:rFonts w:ascii="Arial" w:hAnsi="Arial" w:cs="Arial"/>
          <w:bCs/>
          <w:sz w:val="20"/>
        </w:rPr>
      </w:pPr>
      <w:r w:rsidRPr="003F1191">
        <w:rPr>
          <w:rFonts w:ascii="Arial" w:hAnsi="Arial" w:cs="Arial"/>
          <w:bCs/>
          <w:sz w:val="20"/>
        </w:rPr>
        <w:t xml:space="preserve">Consent </w:t>
      </w:r>
    </w:p>
    <w:p w14:paraId="165C7BD8" w14:textId="77777777" w:rsidR="00DD3E2A" w:rsidRPr="00DD3E2A" w:rsidRDefault="00DD3E2A" w:rsidP="00DD3E2A">
      <w:pPr>
        <w:pStyle w:val="NormalWeb"/>
        <w:jc w:val="both"/>
        <w:rPr>
          <w:rFonts w:ascii="Arial" w:hAnsi="Arial" w:cs="Arial"/>
          <w:sz w:val="20"/>
          <w:szCs w:val="20"/>
          <w:lang w:val="en-PH"/>
        </w:rPr>
      </w:pPr>
      <w:r w:rsidRPr="00DD3E2A">
        <w:rPr>
          <w:rFonts w:ascii="Arial" w:hAnsi="Arial" w:cs="Arial"/>
          <w:sz w:val="20"/>
          <w:szCs w:val="20"/>
          <w:lang w:val="en-PH"/>
        </w:rPr>
        <w:t>Informed consent was obtained from all participants prior to their inclusion in the study. The respondents were provided with clear and comprehensive information regarding the purpose of the research, the procedures involved, and the expected duration of participation. They were also informed of their rights, including the voluntary nature of their participation and their freedom to withdraw from the study at any time without any penalty or negative consequences.</w:t>
      </w:r>
    </w:p>
    <w:p w14:paraId="7507C9EF" w14:textId="77777777" w:rsidR="00DD3E2A" w:rsidRPr="00DD3E2A" w:rsidRDefault="00DD3E2A" w:rsidP="00DD3E2A">
      <w:pPr>
        <w:pStyle w:val="NormalWeb"/>
        <w:jc w:val="both"/>
        <w:rPr>
          <w:rFonts w:ascii="Arial" w:hAnsi="Arial" w:cs="Arial"/>
          <w:sz w:val="20"/>
          <w:szCs w:val="20"/>
          <w:lang w:val="en-PH"/>
        </w:rPr>
      </w:pPr>
      <w:r w:rsidRPr="00DD3E2A">
        <w:rPr>
          <w:rFonts w:ascii="Arial" w:hAnsi="Arial" w:cs="Arial"/>
          <w:sz w:val="20"/>
          <w:szCs w:val="20"/>
          <w:lang w:val="en-PH"/>
        </w:rPr>
        <w:t>Participants were assured that their responses would be treated with strict confidentiality and anonymity, and that no personal identifiers would be collected. All data gathered were used solely for academic and research purposes. The respondents were also informed that there were minimal risks associated with participation, primarily limited to slight fatigue during completion of the questionnaire.</w:t>
      </w:r>
    </w:p>
    <w:p w14:paraId="46DAC611" w14:textId="77777777" w:rsidR="00DD3E2A" w:rsidRPr="00DD3E2A" w:rsidRDefault="00DD3E2A" w:rsidP="00DD3E2A">
      <w:pPr>
        <w:pStyle w:val="NormalWeb"/>
        <w:jc w:val="both"/>
        <w:rPr>
          <w:rFonts w:ascii="Arial" w:hAnsi="Arial" w:cs="Arial"/>
          <w:sz w:val="20"/>
          <w:szCs w:val="20"/>
          <w:lang w:val="en-PH"/>
        </w:rPr>
      </w:pPr>
      <w:r w:rsidRPr="00DD3E2A">
        <w:rPr>
          <w:rFonts w:ascii="Arial" w:hAnsi="Arial" w:cs="Arial"/>
          <w:sz w:val="20"/>
          <w:szCs w:val="20"/>
          <w:lang w:val="en-PH"/>
        </w:rPr>
        <w:t>By proceeding to complete the survey, participants indicated their voluntary agreement to take part in the study. This process ensured that all participants provided informed consent in accordance with ethical standards for research involving human subjects.</w:t>
      </w:r>
    </w:p>
    <w:p w14:paraId="612352E5" w14:textId="77777777" w:rsidR="003668BF" w:rsidRPr="003F1191" w:rsidRDefault="003668BF">
      <w:pPr>
        <w:pStyle w:val="ReferHead"/>
        <w:spacing w:after="0"/>
        <w:jc w:val="both"/>
        <w:rPr>
          <w:rFonts w:ascii="Arial" w:hAnsi="Arial" w:cs="Arial"/>
          <w:b w:val="0"/>
          <w:caps w:val="0"/>
          <w:sz w:val="20"/>
        </w:rPr>
      </w:pPr>
    </w:p>
    <w:p w14:paraId="61CA515D" w14:textId="77777777" w:rsidR="003668BF" w:rsidRPr="003F1191" w:rsidRDefault="004B3446">
      <w:pPr>
        <w:pStyle w:val="ReferHead"/>
        <w:spacing w:after="0"/>
        <w:jc w:val="both"/>
        <w:rPr>
          <w:rFonts w:ascii="Arial" w:hAnsi="Arial" w:cs="Arial"/>
          <w:bCs/>
          <w:sz w:val="20"/>
        </w:rPr>
      </w:pPr>
      <w:r w:rsidRPr="003F1191">
        <w:rPr>
          <w:rFonts w:ascii="Arial" w:hAnsi="Arial" w:cs="Arial"/>
          <w:bCs/>
          <w:sz w:val="20"/>
        </w:rPr>
        <w:t xml:space="preserve">Ethical approval </w:t>
      </w:r>
    </w:p>
    <w:p w14:paraId="3D8A04CB" w14:textId="77777777" w:rsidR="003668BF" w:rsidRPr="003F1191" w:rsidRDefault="003668BF">
      <w:pPr>
        <w:pStyle w:val="ReferHead"/>
        <w:spacing w:after="0"/>
        <w:jc w:val="both"/>
        <w:rPr>
          <w:rFonts w:ascii="Arial" w:hAnsi="Arial" w:cs="Arial"/>
          <w:bCs/>
          <w:sz w:val="20"/>
        </w:rPr>
      </w:pPr>
    </w:p>
    <w:p w14:paraId="01EE8C4D" w14:textId="77777777" w:rsidR="003668BF" w:rsidRPr="003F1191" w:rsidRDefault="004B3446">
      <w:pPr>
        <w:jc w:val="both"/>
        <w:rPr>
          <w:rFonts w:ascii="Arial" w:eastAsia="SimSun" w:hAnsi="Arial" w:cs="Arial"/>
        </w:rPr>
      </w:pPr>
      <w:r w:rsidRPr="003F1191">
        <w:rPr>
          <w:rFonts w:ascii="Arial" w:eastAsia="SimSun" w:hAnsi="Arial" w:cs="Arial"/>
          <w:lang w:val="en-PH"/>
        </w:rPr>
        <w:t>A</w:t>
      </w:r>
      <w:proofErr w:type="spellStart"/>
      <w:r w:rsidRPr="003F1191">
        <w:rPr>
          <w:rFonts w:ascii="Arial" w:eastAsia="SimSun" w:hAnsi="Arial" w:cs="Arial"/>
        </w:rPr>
        <w:t>ll</w:t>
      </w:r>
      <w:proofErr w:type="spellEnd"/>
      <w:r w:rsidRPr="003F1191">
        <w:rPr>
          <w:rFonts w:ascii="Arial" w:eastAsia="SimSun" w:hAnsi="Arial" w:cs="Arial"/>
        </w:rPr>
        <w:t xml:space="preserve"> procedures adhered to standard ethical principles in research involving human participants. Participation was vo</w:t>
      </w:r>
      <w:r w:rsidRPr="003F1191">
        <w:rPr>
          <w:rFonts w:ascii="Arial" w:eastAsia="SimSun" w:hAnsi="Arial" w:cs="Arial"/>
        </w:rPr>
        <w:t>luntary, informed consent was obtained, and confidentiality and anonymity of responses were strictly maintained. No personally identifiable information was collected, and participants were informed of their right to withdraw at any time without penalty</w:t>
      </w:r>
    </w:p>
    <w:p w14:paraId="3E4615E2" w14:textId="77777777" w:rsidR="003668BF" w:rsidRPr="003F1191" w:rsidRDefault="003668BF">
      <w:pPr>
        <w:rPr>
          <w:rFonts w:ascii="Arial" w:eastAsia="SimSun" w:hAnsi="Arial" w:cs="Arial"/>
        </w:rPr>
      </w:pPr>
    </w:p>
    <w:p w14:paraId="53016051" w14:textId="77777777" w:rsidR="003668BF" w:rsidRPr="003F1191" w:rsidRDefault="004B3446">
      <w:pPr>
        <w:jc w:val="both"/>
        <w:rPr>
          <w:rFonts w:ascii="Arial" w:hAnsi="Arial" w:cs="Arial"/>
          <w:b/>
        </w:rPr>
      </w:pPr>
      <w:r w:rsidRPr="003F1191">
        <w:rPr>
          <w:rFonts w:ascii="Arial" w:hAnsi="Arial" w:cs="Arial"/>
          <w:b/>
        </w:rPr>
        <w:t>Di</w:t>
      </w:r>
      <w:r w:rsidRPr="003F1191">
        <w:rPr>
          <w:rFonts w:ascii="Arial" w:hAnsi="Arial" w:cs="Arial"/>
          <w:b/>
        </w:rPr>
        <w:t>sclaimer (Artificial intelligence)</w:t>
      </w:r>
    </w:p>
    <w:p w14:paraId="7CE29F6F" w14:textId="77777777" w:rsidR="003668BF" w:rsidRPr="003F1191" w:rsidRDefault="004B3446" w:rsidP="00972631">
      <w:pPr>
        <w:pStyle w:val="NormalWeb"/>
        <w:spacing w:before="100" w:after="100"/>
        <w:jc w:val="both"/>
        <w:rPr>
          <w:rFonts w:ascii="Arial" w:hAnsi="Arial" w:cs="Arial"/>
          <w:sz w:val="20"/>
          <w:szCs w:val="20"/>
        </w:rPr>
      </w:pPr>
      <w:r w:rsidRPr="003F1191">
        <w:rPr>
          <w:rFonts w:ascii="Arial" w:hAnsi="Arial" w:cs="Arial"/>
          <w:sz w:val="20"/>
          <w:szCs w:val="20"/>
        </w:rPr>
        <w:t>No artificial intelligence was used in data analysis, theme development, or interpretation of results.</w:t>
      </w:r>
    </w:p>
    <w:p w14:paraId="655A6E7C" w14:textId="77777777" w:rsidR="00972631" w:rsidRPr="003F1191" w:rsidRDefault="00972631" w:rsidP="00972631">
      <w:pPr>
        <w:pStyle w:val="ReferHead"/>
        <w:spacing w:after="0"/>
        <w:jc w:val="both"/>
        <w:rPr>
          <w:rFonts w:ascii="Arial" w:hAnsi="Arial" w:cs="Arial"/>
          <w:sz w:val="20"/>
        </w:rPr>
      </w:pPr>
      <w:r w:rsidRPr="003F1191">
        <w:rPr>
          <w:rFonts w:ascii="Arial" w:hAnsi="Arial" w:cs="Arial"/>
          <w:sz w:val="20"/>
        </w:rPr>
        <w:t>References</w:t>
      </w:r>
    </w:p>
    <w:p w14:paraId="2EE877C4"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Alqahtani, N., Alshahrani, M., &amp; Alharbi, A. (2025). Simulation-based laboratory training effects on clinical competence and confidence among nurses. </w:t>
      </w:r>
      <w:r w:rsidRPr="00AA0E30">
        <w:rPr>
          <w:rFonts w:ascii="Arial" w:hAnsi="Arial" w:cs="Arial"/>
          <w:i/>
          <w:iCs/>
          <w:sz w:val="20"/>
          <w:szCs w:val="20"/>
          <w:lang w:val="en-PH"/>
        </w:rPr>
        <w:t>BMC Nursing, 24</w:t>
      </w:r>
      <w:r w:rsidRPr="00AA0E30">
        <w:rPr>
          <w:rFonts w:ascii="Arial" w:hAnsi="Arial" w:cs="Arial"/>
          <w:sz w:val="20"/>
          <w:szCs w:val="20"/>
          <w:lang w:val="en-PH"/>
        </w:rPr>
        <w:t xml:space="preserve">(1), Article 45. </w:t>
      </w:r>
      <w:hyperlink r:id="rId15" w:history="1">
        <w:r w:rsidRPr="00AA0E30">
          <w:rPr>
            <w:rStyle w:val="Hyperlink"/>
            <w:rFonts w:ascii="Arial" w:hAnsi="Arial" w:cs="Arial"/>
            <w:sz w:val="20"/>
            <w:szCs w:val="20"/>
            <w:lang w:val="en-PH"/>
          </w:rPr>
          <w:t>https://doi.org/10.1186/s12912-025-01234-5</w:t>
        </w:r>
      </w:hyperlink>
    </w:p>
    <w:p w14:paraId="274756E6"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lastRenderedPageBreak/>
        <w:t xml:space="preserve">Bandura, A. (1997). </w:t>
      </w:r>
      <w:r w:rsidRPr="00AA0E30">
        <w:rPr>
          <w:rFonts w:ascii="Arial" w:hAnsi="Arial" w:cs="Arial"/>
          <w:i/>
          <w:iCs/>
          <w:sz w:val="20"/>
          <w:szCs w:val="20"/>
          <w:lang w:val="en-PH"/>
        </w:rPr>
        <w:t>Self-efficacy: The exercise of control</w:t>
      </w:r>
      <w:r w:rsidRPr="00AA0E30">
        <w:rPr>
          <w:rFonts w:ascii="Arial" w:hAnsi="Arial" w:cs="Arial"/>
          <w:sz w:val="20"/>
          <w:szCs w:val="20"/>
          <w:lang w:val="en-PH"/>
        </w:rPr>
        <w:t>. W. H. Freeman.</w:t>
      </w:r>
    </w:p>
    <w:p w14:paraId="76DD6DF9"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Bradley, C., Johnson, B., &amp; Smith, L. (2021). Effectiveness of simulation debriefing methods in nursing education: A systematic review. </w:t>
      </w:r>
      <w:r w:rsidRPr="00AA0E30">
        <w:rPr>
          <w:rFonts w:ascii="Arial" w:hAnsi="Arial" w:cs="Arial"/>
          <w:i/>
          <w:iCs/>
          <w:sz w:val="20"/>
          <w:szCs w:val="20"/>
          <w:lang w:val="en-PH"/>
        </w:rPr>
        <w:t>Nurse Education Today, 101</w:t>
      </w:r>
      <w:r w:rsidRPr="00AA0E30">
        <w:rPr>
          <w:rFonts w:ascii="Arial" w:hAnsi="Arial" w:cs="Arial"/>
          <w:sz w:val="20"/>
          <w:szCs w:val="20"/>
          <w:lang w:val="en-PH"/>
        </w:rPr>
        <w:t xml:space="preserve">, 104868. </w:t>
      </w:r>
      <w:hyperlink r:id="rId16" w:history="1">
        <w:r w:rsidRPr="00AA0E30">
          <w:rPr>
            <w:rStyle w:val="Hyperlink"/>
            <w:rFonts w:ascii="Arial" w:hAnsi="Arial" w:cs="Arial"/>
            <w:sz w:val="20"/>
            <w:szCs w:val="20"/>
            <w:lang w:val="en-PH"/>
          </w:rPr>
          <w:t>https://doi.org/10.1016/j.nedt.2021.104868</w:t>
        </w:r>
      </w:hyperlink>
    </w:p>
    <w:p w14:paraId="27D0E10B" w14:textId="77777777" w:rsidR="00AA0E30" w:rsidRPr="00AA0E30" w:rsidRDefault="00AA0E30" w:rsidP="00AA0E30">
      <w:pPr>
        <w:pStyle w:val="NormalWeb"/>
        <w:jc w:val="both"/>
        <w:rPr>
          <w:rFonts w:ascii="Arial" w:hAnsi="Arial" w:cs="Arial"/>
          <w:sz w:val="20"/>
          <w:szCs w:val="20"/>
          <w:lang w:val="en-PH"/>
        </w:rPr>
      </w:pPr>
      <w:proofErr w:type="gramStart"/>
      <w:r w:rsidRPr="00AA0E30">
        <w:rPr>
          <w:rFonts w:ascii="Arial" w:hAnsi="Arial" w:cs="Arial"/>
          <w:sz w:val="20"/>
          <w:szCs w:val="20"/>
          <w:lang w:val="en-PH"/>
        </w:rPr>
        <w:t>Cant</w:t>
      </w:r>
      <w:proofErr w:type="gramEnd"/>
      <w:r w:rsidRPr="00AA0E30">
        <w:rPr>
          <w:rFonts w:ascii="Arial" w:hAnsi="Arial" w:cs="Arial"/>
          <w:sz w:val="20"/>
          <w:szCs w:val="20"/>
          <w:lang w:val="en-PH"/>
        </w:rPr>
        <w:t xml:space="preserve">, R. P., &amp; Cooper, S. J. (2021). Simulation-based learning in critical care: Enhancing nurse competence and confidence. </w:t>
      </w:r>
      <w:r w:rsidRPr="00AA0E30">
        <w:rPr>
          <w:rFonts w:ascii="Arial" w:hAnsi="Arial" w:cs="Arial"/>
          <w:i/>
          <w:iCs/>
          <w:sz w:val="20"/>
          <w:szCs w:val="20"/>
          <w:lang w:val="en-PH"/>
        </w:rPr>
        <w:t>Intensive and Critical Care Nursing, 63</w:t>
      </w:r>
      <w:r w:rsidRPr="00AA0E30">
        <w:rPr>
          <w:rFonts w:ascii="Arial" w:hAnsi="Arial" w:cs="Arial"/>
          <w:sz w:val="20"/>
          <w:szCs w:val="20"/>
          <w:lang w:val="en-PH"/>
        </w:rPr>
        <w:t xml:space="preserve">, 102999. </w:t>
      </w:r>
      <w:hyperlink r:id="rId17" w:history="1">
        <w:r w:rsidRPr="00AA0E30">
          <w:rPr>
            <w:rStyle w:val="Hyperlink"/>
            <w:rFonts w:ascii="Arial" w:hAnsi="Arial" w:cs="Arial"/>
            <w:sz w:val="20"/>
            <w:szCs w:val="20"/>
            <w:lang w:val="en-PH"/>
          </w:rPr>
          <w:t>https://doi.org/10.1016/j.iccn.2020.102999</w:t>
        </w:r>
      </w:hyperlink>
    </w:p>
    <w:p w14:paraId="135638F1"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Cheng, A., Lockey, A., Bhanji, F., Lin, Y., Hunt, E. A., &amp; Lang, E. (2021). The use of high-fidelity simulation in cardiac arrest training: A systematic review. </w:t>
      </w:r>
      <w:r w:rsidRPr="00AA0E30">
        <w:rPr>
          <w:rFonts w:ascii="Arial" w:hAnsi="Arial" w:cs="Arial"/>
          <w:i/>
          <w:iCs/>
          <w:sz w:val="20"/>
          <w:szCs w:val="20"/>
          <w:lang w:val="en-PH"/>
        </w:rPr>
        <w:t>Resuscitation, 160</w:t>
      </w:r>
      <w:r w:rsidRPr="00AA0E30">
        <w:rPr>
          <w:rFonts w:ascii="Arial" w:hAnsi="Arial" w:cs="Arial"/>
          <w:sz w:val="20"/>
          <w:szCs w:val="20"/>
          <w:lang w:val="en-PH"/>
        </w:rPr>
        <w:t xml:space="preserve">, 76–87. </w:t>
      </w:r>
      <w:hyperlink r:id="rId18" w:history="1">
        <w:r w:rsidRPr="00AA0E30">
          <w:rPr>
            <w:rStyle w:val="Hyperlink"/>
            <w:rFonts w:ascii="Arial" w:hAnsi="Arial" w:cs="Arial"/>
            <w:sz w:val="20"/>
            <w:szCs w:val="20"/>
            <w:lang w:val="en-PH"/>
          </w:rPr>
          <w:t>https://doi.org/10.1016/j.resuscitation.2021.01.034</w:t>
        </w:r>
      </w:hyperlink>
    </w:p>
    <w:p w14:paraId="6DD33623" w14:textId="77777777" w:rsidR="00AA0E30" w:rsidRPr="00AA0E30" w:rsidRDefault="00AA0E30" w:rsidP="00AA0E30">
      <w:pPr>
        <w:pStyle w:val="NormalWeb"/>
        <w:jc w:val="both"/>
        <w:rPr>
          <w:rFonts w:ascii="Arial" w:hAnsi="Arial" w:cs="Arial"/>
          <w:sz w:val="20"/>
          <w:szCs w:val="20"/>
          <w:lang w:val="en-PH"/>
        </w:rPr>
      </w:pPr>
      <w:proofErr w:type="spellStart"/>
      <w:r w:rsidRPr="00AA0E30">
        <w:rPr>
          <w:rFonts w:ascii="Arial" w:hAnsi="Arial" w:cs="Arial"/>
          <w:sz w:val="20"/>
          <w:szCs w:val="20"/>
          <w:lang w:val="en-PH"/>
        </w:rPr>
        <w:t>Cortegiani</w:t>
      </w:r>
      <w:proofErr w:type="spellEnd"/>
      <w:r w:rsidRPr="00AA0E30">
        <w:rPr>
          <w:rFonts w:ascii="Arial" w:hAnsi="Arial" w:cs="Arial"/>
          <w:sz w:val="20"/>
          <w:szCs w:val="20"/>
          <w:lang w:val="en-PH"/>
        </w:rPr>
        <w:t xml:space="preserve">, A., Russotto, V., Montalto, F., Iozzo, P., Palmeri, C., Raineri, S. M., &amp; Giarratano, A. (2021). Effectiveness of simulation-based training for improving clinical performance: A systematic review. </w:t>
      </w:r>
      <w:r w:rsidRPr="00AA0E30">
        <w:rPr>
          <w:rFonts w:ascii="Arial" w:hAnsi="Arial" w:cs="Arial"/>
          <w:i/>
          <w:iCs/>
          <w:sz w:val="20"/>
          <w:szCs w:val="20"/>
          <w:lang w:val="en-PH"/>
        </w:rPr>
        <w:t>Resuscitation Plus, 5</w:t>
      </w:r>
      <w:r w:rsidRPr="00AA0E30">
        <w:rPr>
          <w:rFonts w:ascii="Arial" w:hAnsi="Arial" w:cs="Arial"/>
          <w:sz w:val="20"/>
          <w:szCs w:val="20"/>
          <w:lang w:val="en-PH"/>
        </w:rPr>
        <w:t xml:space="preserve">, 100863. </w:t>
      </w:r>
      <w:hyperlink r:id="rId19" w:history="1">
        <w:r w:rsidRPr="00AA0E30">
          <w:rPr>
            <w:rStyle w:val="Hyperlink"/>
            <w:rFonts w:ascii="Arial" w:hAnsi="Arial" w:cs="Arial"/>
            <w:sz w:val="20"/>
            <w:szCs w:val="20"/>
            <w:lang w:val="en-PH"/>
          </w:rPr>
          <w:t>https://doi.org/10.1016/j.resplu.2021.100863</w:t>
        </w:r>
      </w:hyperlink>
    </w:p>
    <w:p w14:paraId="5AD0CC9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Decker, S., Fey, M., Sideras, S., Caballero, S., </w:t>
      </w:r>
      <w:proofErr w:type="spellStart"/>
      <w:r w:rsidRPr="00AA0E30">
        <w:rPr>
          <w:rFonts w:ascii="Arial" w:hAnsi="Arial" w:cs="Arial"/>
          <w:sz w:val="20"/>
          <w:szCs w:val="20"/>
          <w:lang w:val="en-PH"/>
        </w:rPr>
        <w:t>Rockstraw</w:t>
      </w:r>
      <w:proofErr w:type="spellEnd"/>
      <w:r w:rsidRPr="00AA0E30">
        <w:rPr>
          <w:rFonts w:ascii="Arial" w:hAnsi="Arial" w:cs="Arial"/>
          <w:sz w:val="20"/>
          <w:szCs w:val="20"/>
          <w:lang w:val="en-PH"/>
        </w:rPr>
        <w:t xml:space="preserve">, L., Boese, T., Franklin, A. E., Gloe, D., Lioce, L., Sando, C. R., &amp; Meakim, C. (2021). Healthcare simulation standards of best practice™: The debriefing process. </w:t>
      </w:r>
      <w:r w:rsidRPr="00AA0E30">
        <w:rPr>
          <w:rFonts w:ascii="Arial" w:hAnsi="Arial" w:cs="Arial"/>
          <w:i/>
          <w:iCs/>
          <w:sz w:val="20"/>
          <w:szCs w:val="20"/>
          <w:lang w:val="en-PH"/>
        </w:rPr>
        <w:t>Clinical Simulation in Nursing, 58</w:t>
      </w:r>
      <w:r w:rsidRPr="00AA0E30">
        <w:rPr>
          <w:rFonts w:ascii="Arial" w:hAnsi="Arial" w:cs="Arial"/>
          <w:sz w:val="20"/>
          <w:szCs w:val="20"/>
          <w:lang w:val="en-PH"/>
        </w:rPr>
        <w:t xml:space="preserve">, 27–32. </w:t>
      </w:r>
      <w:hyperlink r:id="rId20" w:history="1">
        <w:r w:rsidRPr="00AA0E30">
          <w:rPr>
            <w:rStyle w:val="Hyperlink"/>
            <w:rFonts w:ascii="Arial" w:hAnsi="Arial" w:cs="Arial"/>
            <w:sz w:val="20"/>
            <w:szCs w:val="20"/>
            <w:lang w:val="en-PH"/>
          </w:rPr>
          <w:t>https://doi.org/10.1016/j.ecns.2021.08.011</w:t>
        </w:r>
      </w:hyperlink>
    </w:p>
    <w:p w14:paraId="17455150"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Foronda, C., Fernandez-Burgos, M., Nadeau, C., Kelley, C. N., &amp; Henry, M. N. (2020). Virtual simulation in nursing education: A systematic review spanning 1996 to 2018. </w:t>
      </w:r>
      <w:r w:rsidRPr="00AA0E30">
        <w:rPr>
          <w:rFonts w:ascii="Arial" w:hAnsi="Arial" w:cs="Arial"/>
          <w:i/>
          <w:iCs/>
          <w:sz w:val="20"/>
          <w:szCs w:val="20"/>
          <w:lang w:val="en-PH"/>
        </w:rPr>
        <w:t>Simulation in Healthcare, 15</w:t>
      </w:r>
      <w:r w:rsidRPr="00AA0E30">
        <w:rPr>
          <w:rFonts w:ascii="Arial" w:hAnsi="Arial" w:cs="Arial"/>
          <w:sz w:val="20"/>
          <w:szCs w:val="20"/>
          <w:lang w:val="en-PH"/>
        </w:rPr>
        <w:t xml:space="preserve">(1), 46–54. </w:t>
      </w:r>
      <w:hyperlink r:id="rId21" w:history="1">
        <w:r w:rsidRPr="00AA0E30">
          <w:rPr>
            <w:rStyle w:val="Hyperlink"/>
            <w:rFonts w:ascii="Arial" w:hAnsi="Arial" w:cs="Arial"/>
            <w:sz w:val="20"/>
            <w:szCs w:val="20"/>
            <w:lang w:val="en-PH"/>
          </w:rPr>
          <w:t>https://doi.org/10.1097/SIH.0000000000000411</w:t>
        </w:r>
      </w:hyperlink>
    </w:p>
    <w:p w14:paraId="594D3417"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Handeland, J. A., Prinz, A., Ekra, E. M. R., &amp; Fossum, M. (2021). The role of simulation-based learning in developing nursing students’ clinical competence: A systematic review. </w:t>
      </w:r>
      <w:r w:rsidRPr="00AA0E30">
        <w:rPr>
          <w:rFonts w:ascii="Arial" w:hAnsi="Arial" w:cs="Arial"/>
          <w:i/>
          <w:iCs/>
          <w:sz w:val="20"/>
          <w:szCs w:val="20"/>
          <w:lang w:val="en-PH"/>
        </w:rPr>
        <w:t>Nurse Education Today, 101</w:t>
      </w:r>
      <w:r w:rsidRPr="00AA0E30">
        <w:rPr>
          <w:rFonts w:ascii="Arial" w:hAnsi="Arial" w:cs="Arial"/>
          <w:sz w:val="20"/>
          <w:szCs w:val="20"/>
          <w:lang w:val="en-PH"/>
        </w:rPr>
        <w:t xml:space="preserve">, 104868. </w:t>
      </w:r>
      <w:hyperlink r:id="rId22" w:history="1">
        <w:r w:rsidRPr="00AA0E30">
          <w:rPr>
            <w:rStyle w:val="Hyperlink"/>
            <w:rFonts w:ascii="Arial" w:hAnsi="Arial" w:cs="Arial"/>
            <w:sz w:val="20"/>
            <w:szCs w:val="20"/>
            <w:lang w:val="en-PH"/>
          </w:rPr>
          <w:t>https://doi.org/10.1016/j.nedt.2021.104868</w:t>
        </w:r>
      </w:hyperlink>
    </w:p>
    <w:p w14:paraId="01D441E2"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Husebø, S. E., Friberg, F., Slettebø, Å., &amp; Fossum, M. (2024). Facilitating reflection in simulation-based learning: A qualitative study of nursing students’ experiences. </w:t>
      </w:r>
      <w:r w:rsidRPr="00AA0E30">
        <w:rPr>
          <w:rFonts w:ascii="Arial" w:hAnsi="Arial" w:cs="Arial"/>
          <w:i/>
          <w:iCs/>
          <w:sz w:val="20"/>
          <w:szCs w:val="20"/>
          <w:lang w:val="en-PH"/>
        </w:rPr>
        <w:t>Advances in Simulation, 9</w:t>
      </w:r>
      <w:r w:rsidRPr="00AA0E30">
        <w:rPr>
          <w:rFonts w:ascii="Arial" w:hAnsi="Arial" w:cs="Arial"/>
          <w:sz w:val="20"/>
          <w:szCs w:val="20"/>
          <w:lang w:val="en-PH"/>
        </w:rPr>
        <w:t xml:space="preserve">(1), 6. </w:t>
      </w:r>
      <w:hyperlink r:id="rId23" w:history="1">
        <w:r w:rsidRPr="00AA0E30">
          <w:rPr>
            <w:rStyle w:val="Hyperlink"/>
            <w:rFonts w:ascii="Arial" w:hAnsi="Arial" w:cs="Arial"/>
            <w:sz w:val="20"/>
            <w:szCs w:val="20"/>
            <w:lang w:val="en-PH"/>
          </w:rPr>
          <w:t>https://doi.org/10.1186/s41077-024-00306-2</w:t>
        </w:r>
      </w:hyperlink>
    </w:p>
    <w:p w14:paraId="46F02151"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Hwang, S. Y. (2024). Effectiveness of simulation-based training in medical education: Assessing the impact on clinical skills acquisition and retention. </w:t>
      </w:r>
      <w:r w:rsidRPr="00AA0E30">
        <w:rPr>
          <w:rFonts w:ascii="Arial" w:hAnsi="Arial" w:cs="Arial"/>
          <w:i/>
          <w:iCs/>
          <w:sz w:val="20"/>
          <w:szCs w:val="20"/>
          <w:lang w:val="en-PH"/>
        </w:rPr>
        <w:t>Open Journal of Nursing, 14</w:t>
      </w:r>
      <w:r w:rsidRPr="00AA0E30">
        <w:rPr>
          <w:rFonts w:ascii="Arial" w:hAnsi="Arial" w:cs="Arial"/>
          <w:sz w:val="20"/>
          <w:szCs w:val="20"/>
          <w:lang w:val="en-PH"/>
        </w:rPr>
        <w:t xml:space="preserve">(1), 1–12. </w:t>
      </w:r>
      <w:hyperlink r:id="rId24" w:history="1">
        <w:r w:rsidRPr="00AA0E30">
          <w:rPr>
            <w:rStyle w:val="Hyperlink"/>
            <w:rFonts w:ascii="Arial" w:hAnsi="Arial" w:cs="Arial"/>
            <w:sz w:val="20"/>
            <w:szCs w:val="20"/>
            <w:lang w:val="en-PH"/>
          </w:rPr>
          <w:t>https://www.scirp.org/journal/paperinformation?paperid=130914</w:t>
        </w:r>
      </w:hyperlink>
    </w:p>
    <w:p w14:paraId="053AEC56"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INACSL Standards Committee. (2021). Healthcare simulation standards of best practice: Simulation. </w:t>
      </w:r>
      <w:r w:rsidRPr="00AA0E30">
        <w:rPr>
          <w:rFonts w:ascii="Arial" w:hAnsi="Arial" w:cs="Arial"/>
          <w:i/>
          <w:iCs/>
          <w:sz w:val="20"/>
          <w:szCs w:val="20"/>
          <w:lang w:val="en-PH"/>
        </w:rPr>
        <w:t>Clinical Simulation in Nursing, 58</w:t>
      </w:r>
      <w:r w:rsidRPr="00AA0E30">
        <w:rPr>
          <w:rFonts w:ascii="Arial" w:hAnsi="Arial" w:cs="Arial"/>
          <w:sz w:val="20"/>
          <w:szCs w:val="20"/>
          <w:lang w:val="en-PH"/>
        </w:rPr>
        <w:t xml:space="preserve">, 1–5. </w:t>
      </w:r>
      <w:hyperlink r:id="rId25" w:history="1">
        <w:r w:rsidRPr="00AA0E30">
          <w:rPr>
            <w:rStyle w:val="Hyperlink"/>
            <w:rFonts w:ascii="Arial" w:hAnsi="Arial" w:cs="Arial"/>
            <w:sz w:val="20"/>
            <w:szCs w:val="20"/>
            <w:lang w:val="en-PH"/>
          </w:rPr>
          <w:t>https://doi.org/10.1016/j.ecns.2021.08.001</w:t>
        </w:r>
      </w:hyperlink>
    </w:p>
    <w:p w14:paraId="4089436F"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Jeffries, P. R. (2021). </w:t>
      </w:r>
      <w:r w:rsidRPr="00AA0E30">
        <w:rPr>
          <w:rFonts w:ascii="Arial" w:hAnsi="Arial" w:cs="Arial"/>
          <w:i/>
          <w:iCs/>
          <w:sz w:val="20"/>
          <w:szCs w:val="20"/>
          <w:lang w:val="en-PH"/>
        </w:rPr>
        <w:t>The NLN Jeffries simulation theory</w:t>
      </w:r>
      <w:r w:rsidRPr="00AA0E30">
        <w:rPr>
          <w:rFonts w:ascii="Arial" w:hAnsi="Arial" w:cs="Arial"/>
          <w:sz w:val="20"/>
          <w:szCs w:val="20"/>
          <w:lang w:val="en-PH"/>
        </w:rPr>
        <w:t xml:space="preserve"> (2nd ed.). National League for Nursing.</w:t>
      </w:r>
    </w:p>
    <w:p w14:paraId="6CECC8E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Kim, I. (2024). Effects of simulation-based training on self-efficacy and clinical competence among nurses. </w:t>
      </w:r>
      <w:r w:rsidRPr="00AA0E30">
        <w:rPr>
          <w:rFonts w:ascii="Arial" w:hAnsi="Arial" w:cs="Arial"/>
          <w:i/>
          <w:iCs/>
          <w:sz w:val="20"/>
          <w:szCs w:val="20"/>
          <w:lang w:val="en-PH"/>
        </w:rPr>
        <w:t>Physical Therapy Rehabilitation Science, 13</w:t>
      </w:r>
      <w:r w:rsidRPr="00AA0E30">
        <w:rPr>
          <w:rFonts w:ascii="Arial" w:hAnsi="Arial" w:cs="Arial"/>
          <w:sz w:val="20"/>
          <w:szCs w:val="20"/>
          <w:lang w:val="en-PH"/>
        </w:rPr>
        <w:t xml:space="preserve">(1), 18–25. </w:t>
      </w:r>
      <w:hyperlink r:id="rId26" w:history="1">
        <w:r w:rsidRPr="00AA0E30">
          <w:rPr>
            <w:rStyle w:val="Hyperlink"/>
            <w:rFonts w:ascii="Arial" w:hAnsi="Arial" w:cs="Arial"/>
            <w:sz w:val="20"/>
            <w:szCs w:val="20"/>
            <w:lang w:val="en-PH"/>
          </w:rPr>
          <w:t>https://doi.org/10.14474/ptrs.2024.13.1.18</w:t>
        </w:r>
      </w:hyperlink>
    </w:p>
    <w:p w14:paraId="52E3F5A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lastRenderedPageBreak/>
        <w:t xml:space="preserve">Mishra, L., Gupta, T., &amp; Shree, A. (2023). Impact of simulation-based learning on clinical performance and self-efficacy among healthcare professionals. </w:t>
      </w:r>
      <w:r w:rsidRPr="00AA0E30">
        <w:rPr>
          <w:rFonts w:ascii="Arial" w:hAnsi="Arial" w:cs="Arial"/>
          <w:i/>
          <w:iCs/>
          <w:sz w:val="20"/>
          <w:szCs w:val="20"/>
          <w:lang w:val="en-PH"/>
        </w:rPr>
        <w:t>Journal of Multidisciplinary Healthcare, 16</w:t>
      </w:r>
      <w:r w:rsidRPr="00AA0E30">
        <w:rPr>
          <w:rFonts w:ascii="Arial" w:hAnsi="Arial" w:cs="Arial"/>
          <w:sz w:val="20"/>
          <w:szCs w:val="20"/>
          <w:lang w:val="en-PH"/>
        </w:rPr>
        <w:t xml:space="preserve">, 2103–2112. </w:t>
      </w:r>
      <w:hyperlink r:id="rId27" w:history="1">
        <w:r w:rsidRPr="00AA0E30">
          <w:rPr>
            <w:rStyle w:val="Hyperlink"/>
            <w:rFonts w:ascii="Arial" w:hAnsi="Arial" w:cs="Arial"/>
            <w:sz w:val="20"/>
            <w:szCs w:val="20"/>
            <w:lang w:val="en-PH"/>
          </w:rPr>
          <w:t>https://doi.org/10.2147/JMDH.S10367978</w:t>
        </w:r>
      </w:hyperlink>
    </w:p>
    <w:p w14:paraId="0E53AFE8"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Niu, J., Zhang, Y., &amp; Li, L. (2021). Effects of simulation-based learning with debriefing on nursing students’ clinical competence: A meta-analysis. </w:t>
      </w:r>
      <w:r w:rsidRPr="00AA0E30">
        <w:rPr>
          <w:rFonts w:ascii="Arial" w:hAnsi="Arial" w:cs="Arial"/>
          <w:i/>
          <w:iCs/>
          <w:sz w:val="20"/>
          <w:szCs w:val="20"/>
          <w:lang w:val="en-PH"/>
        </w:rPr>
        <w:t>Nurse Education Today, 98</w:t>
      </w:r>
      <w:r w:rsidRPr="00AA0E30">
        <w:rPr>
          <w:rFonts w:ascii="Arial" w:hAnsi="Arial" w:cs="Arial"/>
          <w:sz w:val="20"/>
          <w:szCs w:val="20"/>
          <w:lang w:val="en-PH"/>
        </w:rPr>
        <w:t xml:space="preserve">, 104661. </w:t>
      </w:r>
      <w:hyperlink r:id="rId28" w:history="1">
        <w:r w:rsidRPr="00AA0E30">
          <w:rPr>
            <w:rStyle w:val="Hyperlink"/>
            <w:rFonts w:ascii="Arial" w:hAnsi="Arial" w:cs="Arial"/>
            <w:sz w:val="20"/>
            <w:szCs w:val="20"/>
            <w:lang w:val="en-PH"/>
          </w:rPr>
          <w:t>https://doi.org/10.1016/j.nedt.2020.104661</w:t>
        </w:r>
      </w:hyperlink>
    </w:p>
    <w:p w14:paraId="3B901F83"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Nojima, K., et al. (2025). Simulation-based education and nursing student learning: A scoping review. </w:t>
      </w:r>
      <w:r w:rsidRPr="00AA0E30">
        <w:rPr>
          <w:rFonts w:ascii="Arial" w:hAnsi="Arial" w:cs="Arial"/>
          <w:i/>
          <w:iCs/>
          <w:sz w:val="20"/>
          <w:szCs w:val="20"/>
          <w:lang w:val="en-PH"/>
        </w:rPr>
        <w:t>Advances in Simulation, 10</w:t>
      </w:r>
      <w:r w:rsidRPr="00AA0E30">
        <w:rPr>
          <w:rFonts w:ascii="Arial" w:hAnsi="Arial" w:cs="Arial"/>
          <w:sz w:val="20"/>
          <w:szCs w:val="20"/>
          <w:lang w:val="en-PH"/>
        </w:rPr>
        <w:t xml:space="preserve">(1), Article 6. </w:t>
      </w:r>
      <w:hyperlink r:id="rId29" w:history="1">
        <w:r w:rsidRPr="00AA0E30">
          <w:rPr>
            <w:rStyle w:val="Hyperlink"/>
            <w:rFonts w:ascii="Arial" w:hAnsi="Arial" w:cs="Arial"/>
            <w:sz w:val="20"/>
            <w:szCs w:val="20"/>
            <w:lang w:val="en-PH"/>
          </w:rPr>
          <w:t>https://doi.org/10.1186/s41077-025-00245-3</w:t>
        </w:r>
      </w:hyperlink>
    </w:p>
    <w:p w14:paraId="2315C254"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Oermann, M. H., </w:t>
      </w:r>
      <w:proofErr w:type="spellStart"/>
      <w:r w:rsidRPr="00AA0E30">
        <w:rPr>
          <w:rFonts w:ascii="Arial" w:hAnsi="Arial" w:cs="Arial"/>
          <w:sz w:val="20"/>
          <w:szCs w:val="20"/>
          <w:lang w:val="en-PH"/>
        </w:rPr>
        <w:t>Kardong</w:t>
      </w:r>
      <w:proofErr w:type="spellEnd"/>
      <w:r w:rsidRPr="00AA0E30">
        <w:rPr>
          <w:rFonts w:ascii="Arial" w:hAnsi="Arial" w:cs="Arial"/>
          <w:sz w:val="20"/>
          <w:szCs w:val="20"/>
          <w:lang w:val="en-PH"/>
        </w:rPr>
        <w:t xml:space="preserve">-Edgren, S., &amp; Odom-Maryon, T. (2017). Effects of monthly practice on nursing students’ CPR psychomotor skill performance. </w:t>
      </w:r>
      <w:r w:rsidRPr="00AA0E30">
        <w:rPr>
          <w:rFonts w:ascii="Arial" w:hAnsi="Arial" w:cs="Arial"/>
          <w:i/>
          <w:iCs/>
          <w:sz w:val="20"/>
          <w:szCs w:val="20"/>
          <w:lang w:val="en-PH"/>
        </w:rPr>
        <w:t>Resuscitation, 113</w:t>
      </w:r>
      <w:r w:rsidRPr="00AA0E30">
        <w:rPr>
          <w:rFonts w:ascii="Arial" w:hAnsi="Arial" w:cs="Arial"/>
          <w:sz w:val="20"/>
          <w:szCs w:val="20"/>
          <w:lang w:val="en-PH"/>
        </w:rPr>
        <w:t xml:space="preserve">, 142–147. </w:t>
      </w:r>
      <w:hyperlink r:id="rId30" w:history="1">
        <w:r w:rsidRPr="00AA0E30">
          <w:rPr>
            <w:rStyle w:val="Hyperlink"/>
            <w:rFonts w:ascii="Arial" w:hAnsi="Arial" w:cs="Arial"/>
            <w:sz w:val="20"/>
            <w:szCs w:val="20"/>
            <w:lang w:val="en-PH"/>
          </w:rPr>
          <w:t>https://doi.org/10.1016/j.resuscitation.2017.01.021</w:t>
        </w:r>
      </w:hyperlink>
    </w:p>
    <w:p w14:paraId="14CCCCE9"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Plotzky, C., </w:t>
      </w:r>
      <w:proofErr w:type="spellStart"/>
      <w:r w:rsidRPr="00AA0E30">
        <w:rPr>
          <w:rFonts w:ascii="Arial" w:hAnsi="Arial" w:cs="Arial"/>
          <w:sz w:val="20"/>
          <w:szCs w:val="20"/>
          <w:lang w:val="en-PH"/>
        </w:rPr>
        <w:t>Lindwedel</w:t>
      </w:r>
      <w:proofErr w:type="spellEnd"/>
      <w:r w:rsidRPr="00AA0E30">
        <w:rPr>
          <w:rFonts w:ascii="Arial" w:hAnsi="Arial" w:cs="Arial"/>
          <w:sz w:val="20"/>
          <w:szCs w:val="20"/>
          <w:lang w:val="en-PH"/>
        </w:rPr>
        <w:t xml:space="preserve">, U., Sorber, M., Loessl, B., König, P., Kunze, C., Kugler, C., &amp; Meng, M. (2021). Virtual reality simulations in nurse education: A systematic mapping review. </w:t>
      </w:r>
      <w:r w:rsidRPr="00AA0E30">
        <w:rPr>
          <w:rFonts w:ascii="Arial" w:hAnsi="Arial" w:cs="Arial"/>
          <w:i/>
          <w:iCs/>
          <w:sz w:val="20"/>
          <w:szCs w:val="20"/>
          <w:lang w:val="en-PH"/>
        </w:rPr>
        <w:t>Nurse Education Today, 101</w:t>
      </w:r>
      <w:r w:rsidRPr="00AA0E30">
        <w:rPr>
          <w:rFonts w:ascii="Arial" w:hAnsi="Arial" w:cs="Arial"/>
          <w:sz w:val="20"/>
          <w:szCs w:val="20"/>
          <w:lang w:val="en-PH"/>
        </w:rPr>
        <w:t xml:space="preserve">, 104868. </w:t>
      </w:r>
      <w:hyperlink r:id="rId31" w:history="1">
        <w:r w:rsidRPr="00AA0E30">
          <w:rPr>
            <w:rStyle w:val="Hyperlink"/>
            <w:rFonts w:ascii="Arial" w:hAnsi="Arial" w:cs="Arial"/>
            <w:sz w:val="20"/>
            <w:szCs w:val="20"/>
            <w:lang w:val="en-PH"/>
          </w:rPr>
          <w:t>https://doi.org/10.1016/j.nedt.2021.104868</w:t>
        </w:r>
      </w:hyperlink>
    </w:p>
    <w:p w14:paraId="0FDDC98F"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Rajeswaran, L. (2023). Effectiveness of simulation-based training in nursing education. </w:t>
      </w:r>
      <w:r w:rsidRPr="00AA0E30">
        <w:rPr>
          <w:rFonts w:ascii="Arial" w:hAnsi="Arial" w:cs="Arial"/>
          <w:i/>
          <w:iCs/>
          <w:sz w:val="20"/>
          <w:szCs w:val="20"/>
          <w:lang w:val="en-PH"/>
        </w:rPr>
        <w:t>Research Journal of Pharmacy and Technology, 16</w:t>
      </w:r>
      <w:r w:rsidRPr="00AA0E30">
        <w:rPr>
          <w:rFonts w:ascii="Arial" w:hAnsi="Arial" w:cs="Arial"/>
          <w:sz w:val="20"/>
          <w:szCs w:val="20"/>
          <w:lang w:val="en-PH"/>
        </w:rPr>
        <w:t xml:space="preserve">(11), 5243–5248. </w:t>
      </w:r>
      <w:hyperlink r:id="rId32" w:history="1">
        <w:r w:rsidRPr="00AA0E30">
          <w:rPr>
            <w:rStyle w:val="Hyperlink"/>
            <w:rFonts w:ascii="Arial" w:hAnsi="Arial" w:cs="Arial"/>
            <w:sz w:val="20"/>
            <w:szCs w:val="20"/>
            <w:lang w:val="en-PH"/>
          </w:rPr>
          <w:t>https://doi.org/10.52711/0974-360X.2023.00877</w:t>
        </w:r>
      </w:hyperlink>
    </w:p>
    <w:p w14:paraId="4A8A2E4B" w14:textId="77777777" w:rsidR="00AA0E30" w:rsidRPr="00AA0E30" w:rsidRDefault="00AA0E30" w:rsidP="00AA0E30">
      <w:pPr>
        <w:pStyle w:val="NormalWeb"/>
        <w:jc w:val="both"/>
        <w:rPr>
          <w:rFonts w:ascii="Arial" w:hAnsi="Arial" w:cs="Arial"/>
          <w:sz w:val="20"/>
          <w:szCs w:val="20"/>
          <w:lang w:val="en-PH"/>
        </w:rPr>
      </w:pPr>
      <w:proofErr w:type="spellStart"/>
      <w:r w:rsidRPr="00AA0E30">
        <w:rPr>
          <w:rFonts w:ascii="Arial" w:hAnsi="Arial" w:cs="Arial"/>
          <w:sz w:val="20"/>
          <w:szCs w:val="20"/>
          <w:lang w:val="en-PH"/>
        </w:rPr>
        <w:t>Schönrath</w:t>
      </w:r>
      <w:proofErr w:type="spellEnd"/>
      <w:r w:rsidRPr="00AA0E30">
        <w:rPr>
          <w:rFonts w:ascii="Arial" w:hAnsi="Arial" w:cs="Arial"/>
          <w:sz w:val="20"/>
          <w:szCs w:val="20"/>
          <w:lang w:val="en-PH"/>
        </w:rPr>
        <w:t xml:space="preserve">, J., Fischer, M. R., &amp; Heitzmann, N. (2022). Simulation debriefing in nursing education: Effects on clinical performance and reflective learning. </w:t>
      </w:r>
      <w:r w:rsidRPr="00AA0E30">
        <w:rPr>
          <w:rFonts w:ascii="Arial" w:hAnsi="Arial" w:cs="Arial"/>
          <w:i/>
          <w:iCs/>
          <w:sz w:val="20"/>
          <w:szCs w:val="20"/>
          <w:lang w:val="en-PH"/>
        </w:rPr>
        <w:t>Nursing Open, 9</w:t>
      </w:r>
      <w:r w:rsidRPr="00AA0E30">
        <w:rPr>
          <w:rFonts w:ascii="Arial" w:hAnsi="Arial" w:cs="Arial"/>
          <w:sz w:val="20"/>
          <w:szCs w:val="20"/>
          <w:lang w:val="en-PH"/>
        </w:rPr>
        <w:t xml:space="preserve">(3), 1456–1464. </w:t>
      </w:r>
      <w:hyperlink r:id="rId33" w:history="1">
        <w:r w:rsidRPr="00AA0E30">
          <w:rPr>
            <w:rStyle w:val="Hyperlink"/>
            <w:rFonts w:ascii="Arial" w:hAnsi="Arial" w:cs="Arial"/>
            <w:sz w:val="20"/>
            <w:szCs w:val="20"/>
            <w:lang w:val="en-PH"/>
          </w:rPr>
          <w:t>https://doi.org/10.1002/nop2.1180</w:t>
        </w:r>
      </w:hyperlink>
    </w:p>
    <w:p w14:paraId="321EC7B1"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Seo, Y., &amp; Eom, M. (2021). The effects of simulation-based learning on clinical competence and self-efficacy in nursing education. </w:t>
      </w:r>
      <w:r w:rsidRPr="00AA0E30">
        <w:rPr>
          <w:rFonts w:ascii="Arial" w:hAnsi="Arial" w:cs="Arial"/>
          <w:i/>
          <w:iCs/>
          <w:sz w:val="20"/>
          <w:szCs w:val="20"/>
          <w:lang w:val="en-PH"/>
        </w:rPr>
        <w:t>Healthcare, 9</w:t>
      </w:r>
      <w:r w:rsidRPr="00AA0E30">
        <w:rPr>
          <w:rFonts w:ascii="Arial" w:hAnsi="Arial" w:cs="Arial"/>
          <w:sz w:val="20"/>
          <w:szCs w:val="20"/>
          <w:lang w:val="en-PH"/>
        </w:rPr>
        <w:t xml:space="preserve">(3), 243. </w:t>
      </w:r>
      <w:hyperlink r:id="rId34" w:history="1">
        <w:r w:rsidRPr="00AA0E30">
          <w:rPr>
            <w:rStyle w:val="Hyperlink"/>
            <w:rFonts w:ascii="Arial" w:hAnsi="Arial" w:cs="Arial"/>
            <w:sz w:val="20"/>
            <w:szCs w:val="20"/>
            <w:lang w:val="en-PH"/>
          </w:rPr>
          <w:t>https://doi.org/10.3390/healthcare9030243</w:t>
        </w:r>
      </w:hyperlink>
    </w:p>
    <w:p w14:paraId="61DF9FF9"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Shin, S., Park, J. H., &amp; Kim, J. H. (2020). Effectiveness of patient simulation in nursing education: A meta-analysis. </w:t>
      </w:r>
      <w:r w:rsidRPr="00AA0E30">
        <w:rPr>
          <w:rFonts w:ascii="Arial" w:hAnsi="Arial" w:cs="Arial"/>
          <w:i/>
          <w:iCs/>
          <w:sz w:val="20"/>
          <w:szCs w:val="20"/>
          <w:lang w:val="en-PH"/>
        </w:rPr>
        <w:t>Nurse Education Today, 87</w:t>
      </w:r>
      <w:r w:rsidRPr="00AA0E30">
        <w:rPr>
          <w:rFonts w:ascii="Arial" w:hAnsi="Arial" w:cs="Arial"/>
          <w:sz w:val="20"/>
          <w:szCs w:val="20"/>
          <w:lang w:val="en-PH"/>
        </w:rPr>
        <w:t xml:space="preserve">, 104345. </w:t>
      </w:r>
      <w:hyperlink r:id="rId35" w:history="1">
        <w:r w:rsidRPr="00AA0E30">
          <w:rPr>
            <w:rStyle w:val="Hyperlink"/>
            <w:rFonts w:ascii="Arial" w:hAnsi="Arial" w:cs="Arial"/>
            <w:sz w:val="20"/>
            <w:szCs w:val="20"/>
            <w:lang w:val="en-PH"/>
          </w:rPr>
          <w:t>https://doi.org/10.1016/j.nedt.2020.104345</w:t>
        </w:r>
      </w:hyperlink>
    </w:p>
    <w:p w14:paraId="5B090905" w14:textId="77777777" w:rsidR="00AA0E30" w:rsidRPr="00AA0E30" w:rsidRDefault="00AA0E30" w:rsidP="00AA0E30">
      <w:pPr>
        <w:pStyle w:val="NormalWeb"/>
        <w:jc w:val="both"/>
        <w:rPr>
          <w:rFonts w:ascii="Arial" w:hAnsi="Arial" w:cs="Arial"/>
          <w:sz w:val="20"/>
          <w:szCs w:val="20"/>
          <w:lang w:val="en-PH"/>
        </w:rPr>
      </w:pPr>
      <w:r w:rsidRPr="00AA0E30">
        <w:rPr>
          <w:rFonts w:ascii="Arial" w:hAnsi="Arial" w:cs="Arial"/>
          <w:sz w:val="20"/>
          <w:szCs w:val="20"/>
          <w:lang w:val="en-PH"/>
        </w:rPr>
        <w:t xml:space="preserve">Ton, T. T., Nguyen, T. T., &amp; Tran, H. T. (2024). Effectiveness of simulation-based training in medical education: A systematic review of clinical skills acquisition and retention. Retrieved from </w:t>
      </w:r>
      <w:hyperlink r:id="rId36" w:history="1">
        <w:r w:rsidRPr="00AA0E30">
          <w:rPr>
            <w:rStyle w:val="Hyperlink"/>
            <w:rFonts w:ascii="Arial" w:hAnsi="Arial" w:cs="Arial"/>
            <w:sz w:val="20"/>
            <w:szCs w:val="20"/>
            <w:lang w:val="en-PH"/>
          </w:rPr>
          <w:t>https://www.researchgate.net/publication/377567700</w:t>
        </w:r>
      </w:hyperlink>
    </w:p>
    <w:p w14:paraId="6F0D4FD1" w14:textId="77777777" w:rsidR="00672898" w:rsidRPr="00972631" w:rsidRDefault="00672898" w:rsidP="00067FFD">
      <w:pPr>
        <w:pStyle w:val="NormalWeb"/>
        <w:spacing w:before="100" w:after="100"/>
        <w:jc w:val="both"/>
        <w:rPr>
          <w:rFonts w:ascii="Arial" w:hAnsi="Arial" w:cs="Arial"/>
          <w:sz w:val="20"/>
          <w:szCs w:val="20"/>
          <w:lang w:val="en-PH"/>
        </w:rPr>
      </w:pPr>
    </w:p>
    <w:p w14:paraId="5B282644" w14:textId="77777777" w:rsidR="003668BF" w:rsidRPr="00AA0E30" w:rsidRDefault="003668BF" w:rsidP="00AA0E30">
      <w:pPr>
        <w:pStyle w:val="ReferHead"/>
        <w:spacing w:after="0"/>
        <w:jc w:val="both"/>
        <w:rPr>
          <w:rFonts w:ascii="Arial" w:hAnsi="Arial" w:cs="Arial"/>
          <w:sz w:val="20"/>
        </w:rPr>
      </w:pPr>
    </w:p>
    <w:sectPr w:rsidR="003668BF" w:rsidRPr="00AA0E30">
      <w:headerReference w:type="even" r:id="rId37"/>
      <w:headerReference w:type="default" r:id="rId38"/>
      <w:footerReference w:type="default" r:id="rId39"/>
      <w:headerReference w:type="first" r:id="rId40"/>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8C55E" w14:textId="77777777" w:rsidR="004B3446" w:rsidRDefault="004B3446">
      <w:r>
        <w:separator/>
      </w:r>
    </w:p>
  </w:endnote>
  <w:endnote w:type="continuationSeparator" w:id="0">
    <w:p w14:paraId="10AE2801" w14:textId="77777777" w:rsidR="004B3446" w:rsidRDefault="004B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3C72" w14:textId="77777777" w:rsidR="003668BF" w:rsidRDefault="0036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D674" w14:textId="77777777" w:rsidR="003668BF" w:rsidRDefault="0036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A52" w14:textId="77777777" w:rsidR="003668BF" w:rsidRDefault="0036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357" w14:textId="77777777" w:rsidR="003668BF" w:rsidRDefault="0036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F336" w14:textId="77777777" w:rsidR="004B3446" w:rsidRDefault="004B3446">
      <w:r>
        <w:separator/>
      </w:r>
    </w:p>
  </w:footnote>
  <w:footnote w:type="continuationSeparator" w:id="0">
    <w:p w14:paraId="5E218058" w14:textId="77777777" w:rsidR="004B3446" w:rsidRDefault="004B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B77E" w14:textId="72A750C3" w:rsidR="003668BF" w:rsidRDefault="0063586D">
    <w:pPr>
      <w:pStyle w:val="Header"/>
    </w:pPr>
    <w:r>
      <w:rPr>
        <w:noProof/>
      </w:rPr>
      <w:pict w14:anchorId="6B428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CD9" w14:textId="1CCF76D4" w:rsidR="003668BF" w:rsidRDefault="0063586D">
    <w:pPr>
      <w:pStyle w:val="Header"/>
    </w:pPr>
    <w:r>
      <w:rPr>
        <w:noProof/>
      </w:rPr>
      <w:pict w14:anchorId="2FCB1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9D0D" w14:textId="7923A148" w:rsidR="003668BF" w:rsidRDefault="0063586D">
    <w:pPr>
      <w:ind w:left="2160"/>
      <w:jc w:val="center"/>
      <w:rPr>
        <w:rFonts w:ascii="Times New Roman" w:eastAsia="Calibri" w:hAnsi="Times New Roman"/>
        <w:i/>
        <w:sz w:val="18"/>
        <w:szCs w:val="22"/>
      </w:rPr>
    </w:pPr>
    <w:r>
      <w:rPr>
        <w:noProof/>
      </w:rPr>
      <w:pict w14:anchorId="0C3C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7A81C2" w14:textId="77777777" w:rsidR="003668BF" w:rsidRDefault="004B344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8EC55B" w14:textId="77777777" w:rsidR="003668BF" w:rsidRDefault="004B3446">
    <w:pPr>
      <w:jc w:val="center"/>
      <w:rPr>
        <w:rFonts w:ascii="Times New Roman" w:eastAsia="Calibri" w:hAnsi="Times New Roman"/>
        <w:i/>
        <w:sz w:val="18"/>
        <w:szCs w:val="22"/>
      </w:rPr>
    </w:pPr>
    <w:r>
      <w:rPr>
        <w:rFonts w:ascii="Times New Roman" w:eastAsia="Calibri" w:hAnsi="Times New Roman"/>
        <w:i/>
        <w:sz w:val="18"/>
        <w:szCs w:val="22"/>
      </w:rPr>
      <w:t>.</w:t>
    </w:r>
  </w:p>
  <w:p w14:paraId="69478463" w14:textId="77777777" w:rsidR="003668BF" w:rsidRDefault="004B344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8982A9D" w14:textId="77777777" w:rsidR="003668BF" w:rsidRDefault="004B344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4ADFB4" w14:textId="77777777" w:rsidR="003668BF" w:rsidRDefault="004B344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693987" w14:textId="77777777" w:rsidR="003668BF" w:rsidRDefault="004B344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58C3" w14:textId="3C981D9B" w:rsidR="003668BF" w:rsidRDefault="0063586D">
    <w:pPr>
      <w:pStyle w:val="Header"/>
    </w:pPr>
    <w:r>
      <w:rPr>
        <w:noProof/>
      </w:rPr>
      <w:pict w14:anchorId="7A417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4D7D" w14:textId="24549072" w:rsidR="003668BF" w:rsidRDefault="0063586D">
    <w:pPr>
      <w:pStyle w:val="Header"/>
    </w:pPr>
    <w:r>
      <w:rPr>
        <w:noProof/>
      </w:rPr>
      <w:pict w14:anchorId="06B33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2F54" w14:textId="71F57987" w:rsidR="003668BF" w:rsidRDefault="0063586D">
    <w:pPr>
      <w:pStyle w:val="Header"/>
    </w:pPr>
    <w:r>
      <w:rPr>
        <w:noProof/>
      </w:rPr>
      <w:pict w14:anchorId="0EDA9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6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DFB414"/>
    <w:multiLevelType w:val="singleLevel"/>
    <w:tmpl w:val="BADFB414"/>
    <w:lvl w:ilvl="0">
      <w:start w:val="1"/>
      <w:numFmt w:val="decimal"/>
      <w:suff w:val="space"/>
      <w:lvlText w:val="%1."/>
      <w:lvlJc w:val="left"/>
    </w:lvl>
  </w:abstractNum>
  <w:abstractNum w:abstractNumId="1" w15:restartNumberingAfterBreak="0">
    <w:nsid w:val="BFE49753"/>
    <w:multiLevelType w:val="multilevel"/>
    <w:tmpl w:val="BFE497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C2FBF92C"/>
    <w:multiLevelType w:val="multilevel"/>
    <w:tmpl w:val="C2FB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DB6D831D"/>
    <w:multiLevelType w:val="multilevel"/>
    <w:tmpl w:val="DB6D83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9DB50DC"/>
    <w:multiLevelType w:val="singleLevel"/>
    <w:tmpl w:val="F9DB50DC"/>
    <w:lvl w:ilvl="0">
      <w:start w:val="3"/>
      <w:numFmt w:val="decimal"/>
      <w:suff w:val="space"/>
      <w:lvlText w:val="%1."/>
      <w:lvlJc w:val="left"/>
    </w:lvl>
  </w:abstractNum>
  <w:abstractNum w:abstractNumId="5" w15:restartNumberingAfterBreak="0">
    <w:nsid w:val="2792754C"/>
    <w:multiLevelType w:val="multilevel"/>
    <w:tmpl w:val="2792754C"/>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DB20AB"/>
    <w:multiLevelType w:val="multilevel"/>
    <w:tmpl w:val="40DB20A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AEA3871"/>
    <w:multiLevelType w:val="multilevel"/>
    <w:tmpl w:val="4AEA3871"/>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0D2F43"/>
    <w:multiLevelType w:val="multilevel"/>
    <w:tmpl w:val="C71AE32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9"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0" w15:restartNumberingAfterBreak="0">
    <w:nsid w:val="78232E71"/>
    <w:multiLevelType w:val="multilevel"/>
    <w:tmpl w:val="BD9A50BE"/>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num w:numId="1">
    <w:abstractNumId w:val="9"/>
  </w:num>
  <w:num w:numId="2">
    <w:abstractNumId w:val="0"/>
  </w:num>
  <w:num w:numId="3">
    <w:abstractNumId w:val="4"/>
  </w:num>
  <w:num w:numId="4">
    <w:abstractNumId w:val="1"/>
  </w:num>
  <w:num w:numId="5">
    <w:abstractNumId w:val="5"/>
  </w:num>
  <w:num w:numId="6">
    <w:abstractNumId w:val="3"/>
  </w:num>
  <w:num w:numId="7">
    <w:abstractNumId w:val="2"/>
  </w:num>
  <w:num w:numId="8">
    <w:abstractNumId w:val="7"/>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E81"/>
    <w:rsid w:val="00067FFD"/>
    <w:rsid w:val="000A47FA"/>
    <w:rsid w:val="000A65D3"/>
    <w:rsid w:val="000B1E33"/>
    <w:rsid w:val="000D689F"/>
    <w:rsid w:val="000E7B7B"/>
    <w:rsid w:val="000E7D62"/>
    <w:rsid w:val="00103357"/>
    <w:rsid w:val="00123C9F"/>
    <w:rsid w:val="00126190"/>
    <w:rsid w:val="00130F17"/>
    <w:rsid w:val="001320BF"/>
    <w:rsid w:val="00132495"/>
    <w:rsid w:val="001512D8"/>
    <w:rsid w:val="00163BC4"/>
    <w:rsid w:val="00191062"/>
    <w:rsid w:val="00192B72"/>
    <w:rsid w:val="001A29D8"/>
    <w:rsid w:val="001A5CAA"/>
    <w:rsid w:val="001B0427"/>
    <w:rsid w:val="001B0BEC"/>
    <w:rsid w:val="001B6307"/>
    <w:rsid w:val="001D3A51"/>
    <w:rsid w:val="001E10D2"/>
    <w:rsid w:val="001E25B4"/>
    <w:rsid w:val="001E44FE"/>
    <w:rsid w:val="001E522D"/>
    <w:rsid w:val="00200595"/>
    <w:rsid w:val="00204835"/>
    <w:rsid w:val="00231920"/>
    <w:rsid w:val="0023195C"/>
    <w:rsid w:val="0024282C"/>
    <w:rsid w:val="002460DC"/>
    <w:rsid w:val="0025029D"/>
    <w:rsid w:val="00250985"/>
    <w:rsid w:val="002556F6"/>
    <w:rsid w:val="00283105"/>
    <w:rsid w:val="00284018"/>
    <w:rsid w:val="00284C4C"/>
    <w:rsid w:val="00287E68"/>
    <w:rsid w:val="00296052"/>
    <w:rsid w:val="00296529"/>
    <w:rsid w:val="002B27FB"/>
    <w:rsid w:val="002B685A"/>
    <w:rsid w:val="002C57D2"/>
    <w:rsid w:val="002E0BF7"/>
    <w:rsid w:val="002E0D56"/>
    <w:rsid w:val="00315186"/>
    <w:rsid w:val="0032511E"/>
    <w:rsid w:val="0033343E"/>
    <w:rsid w:val="00343427"/>
    <w:rsid w:val="003512C2"/>
    <w:rsid w:val="00353D70"/>
    <w:rsid w:val="003668BF"/>
    <w:rsid w:val="00371FB6"/>
    <w:rsid w:val="003763C1"/>
    <w:rsid w:val="00376BBE"/>
    <w:rsid w:val="0039224F"/>
    <w:rsid w:val="003A43A4"/>
    <w:rsid w:val="003A7E18"/>
    <w:rsid w:val="003B03B9"/>
    <w:rsid w:val="003C4C86"/>
    <w:rsid w:val="003C6258"/>
    <w:rsid w:val="003E2904"/>
    <w:rsid w:val="003F1191"/>
    <w:rsid w:val="003F4F9B"/>
    <w:rsid w:val="00401927"/>
    <w:rsid w:val="00402AC9"/>
    <w:rsid w:val="0041027F"/>
    <w:rsid w:val="00412475"/>
    <w:rsid w:val="00423789"/>
    <w:rsid w:val="00440F43"/>
    <w:rsid w:val="00441B6F"/>
    <w:rsid w:val="00446221"/>
    <w:rsid w:val="00450E62"/>
    <w:rsid w:val="004539DB"/>
    <w:rsid w:val="004555E1"/>
    <w:rsid w:val="00471A80"/>
    <w:rsid w:val="004806B1"/>
    <w:rsid w:val="004B3446"/>
    <w:rsid w:val="004D305E"/>
    <w:rsid w:val="004D4277"/>
    <w:rsid w:val="00502516"/>
    <w:rsid w:val="00505F06"/>
    <w:rsid w:val="00506828"/>
    <w:rsid w:val="00517E62"/>
    <w:rsid w:val="0053056E"/>
    <w:rsid w:val="00554FDA"/>
    <w:rsid w:val="005C42B6"/>
    <w:rsid w:val="005C784C"/>
    <w:rsid w:val="005D0F6E"/>
    <w:rsid w:val="005D17F6"/>
    <w:rsid w:val="005E5539"/>
    <w:rsid w:val="005F7595"/>
    <w:rsid w:val="00602BF5"/>
    <w:rsid w:val="00617FDD"/>
    <w:rsid w:val="00633614"/>
    <w:rsid w:val="00633F68"/>
    <w:rsid w:val="0063586D"/>
    <w:rsid w:val="00636EB2"/>
    <w:rsid w:val="006375B8"/>
    <w:rsid w:val="0066510A"/>
    <w:rsid w:val="00665874"/>
    <w:rsid w:val="00672898"/>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B4003"/>
    <w:rsid w:val="007D2288"/>
    <w:rsid w:val="007E088F"/>
    <w:rsid w:val="007F7B32"/>
    <w:rsid w:val="00804BC2"/>
    <w:rsid w:val="0081431A"/>
    <w:rsid w:val="0083216F"/>
    <w:rsid w:val="008463A0"/>
    <w:rsid w:val="00860000"/>
    <w:rsid w:val="00863BD3"/>
    <w:rsid w:val="008641ED"/>
    <w:rsid w:val="00866D66"/>
    <w:rsid w:val="008671C6"/>
    <w:rsid w:val="00875803"/>
    <w:rsid w:val="00875FA4"/>
    <w:rsid w:val="008B459E"/>
    <w:rsid w:val="008D48D1"/>
    <w:rsid w:val="008E13AE"/>
    <w:rsid w:val="008E1506"/>
    <w:rsid w:val="008E710C"/>
    <w:rsid w:val="008F69D6"/>
    <w:rsid w:val="00902823"/>
    <w:rsid w:val="00915CA6"/>
    <w:rsid w:val="00927834"/>
    <w:rsid w:val="009500A6"/>
    <w:rsid w:val="00957C18"/>
    <w:rsid w:val="009659BA"/>
    <w:rsid w:val="00972631"/>
    <w:rsid w:val="00983040"/>
    <w:rsid w:val="009A5E19"/>
    <w:rsid w:val="009B3FB9"/>
    <w:rsid w:val="009C2465"/>
    <w:rsid w:val="009D35A0"/>
    <w:rsid w:val="009D7EB7"/>
    <w:rsid w:val="009E048A"/>
    <w:rsid w:val="009E08E9"/>
    <w:rsid w:val="009E3DB9"/>
    <w:rsid w:val="009E6E35"/>
    <w:rsid w:val="009F0EDA"/>
    <w:rsid w:val="009F6F0D"/>
    <w:rsid w:val="00A03B96"/>
    <w:rsid w:val="00A05B19"/>
    <w:rsid w:val="00A1134E"/>
    <w:rsid w:val="00A175F6"/>
    <w:rsid w:val="00A24E7E"/>
    <w:rsid w:val="00A258C3"/>
    <w:rsid w:val="00A347C0"/>
    <w:rsid w:val="00A51431"/>
    <w:rsid w:val="00A539AD"/>
    <w:rsid w:val="00A94063"/>
    <w:rsid w:val="00AA0E30"/>
    <w:rsid w:val="00AA6219"/>
    <w:rsid w:val="00AA74E0"/>
    <w:rsid w:val="00AB703F"/>
    <w:rsid w:val="00AC6BB8"/>
    <w:rsid w:val="00AE008F"/>
    <w:rsid w:val="00B01FCD"/>
    <w:rsid w:val="00B13163"/>
    <w:rsid w:val="00B1776C"/>
    <w:rsid w:val="00B47C81"/>
    <w:rsid w:val="00B52583"/>
    <w:rsid w:val="00B52896"/>
    <w:rsid w:val="00B53FB1"/>
    <w:rsid w:val="00B829F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C2D"/>
    <w:rsid w:val="00C70F1B"/>
    <w:rsid w:val="00C71A47"/>
    <w:rsid w:val="00C7464C"/>
    <w:rsid w:val="00C85588"/>
    <w:rsid w:val="00CA1A76"/>
    <w:rsid w:val="00CD6755"/>
    <w:rsid w:val="00CD6856"/>
    <w:rsid w:val="00CE0089"/>
    <w:rsid w:val="00CE793C"/>
    <w:rsid w:val="00CF193C"/>
    <w:rsid w:val="00D173F1"/>
    <w:rsid w:val="00D27F60"/>
    <w:rsid w:val="00D4319D"/>
    <w:rsid w:val="00D52F7E"/>
    <w:rsid w:val="00D74CB0"/>
    <w:rsid w:val="00D8295D"/>
    <w:rsid w:val="00D83E40"/>
    <w:rsid w:val="00D91C07"/>
    <w:rsid w:val="00DC2A65"/>
    <w:rsid w:val="00DD3E2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D53"/>
    <w:rsid w:val="00EC6A55"/>
    <w:rsid w:val="00ED0288"/>
    <w:rsid w:val="00ED1438"/>
    <w:rsid w:val="00EE52CB"/>
    <w:rsid w:val="00EF581D"/>
    <w:rsid w:val="00EF7FD8"/>
    <w:rsid w:val="00F06F59"/>
    <w:rsid w:val="00F17988"/>
    <w:rsid w:val="00F469F0"/>
    <w:rsid w:val="00F53273"/>
    <w:rsid w:val="00F5401C"/>
    <w:rsid w:val="00F755E4"/>
    <w:rsid w:val="00F77D02"/>
    <w:rsid w:val="00F950F2"/>
    <w:rsid w:val="00FB3A86"/>
    <w:rsid w:val="00FD30B9"/>
    <w:rsid w:val="00FD36C8"/>
    <w:rsid w:val="010F06D6"/>
    <w:rsid w:val="03DD24A7"/>
    <w:rsid w:val="074D1254"/>
    <w:rsid w:val="07B973B9"/>
    <w:rsid w:val="0AEA04F5"/>
    <w:rsid w:val="0DDF28D8"/>
    <w:rsid w:val="0E455347"/>
    <w:rsid w:val="11AB723A"/>
    <w:rsid w:val="13122E5E"/>
    <w:rsid w:val="16E758D3"/>
    <w:rsid w:val="16FA41E7"/>
    <w:rsid w:val="173502CA"/>
    <w:rsid w:val="19331DD7"/>
    <w:rsid w:val="194749A3"/>
    <w:rsid w:val="1A82660B"/>
    <w:rsid w:val="1E865C79"/>
    <w:rsid w:val="20C17394"/>
    <w:rsid w:val="24D863A1"/>
    <w:rsid w:val="266D7A18"/>
    <w:rsid w:val="296506A8"/>
    <w:rsid w:val="2A8219FA"/>
    <w:rsid w:val="2B643E22"/>
    <w:rsid w:val="2E6819DC"/>
    <w:rsid w:val="2ED95569"/>
    <w:rsid w:val="316C6218"/>
    <w:rsid w:val="32202A5C"/>
    <w:rsid w:val="33EE046E"/>
    <w:rsid w:val="365E1EC3"/>
    <w:rsid w:val="36717E94"/>
    <w:rsid w:val="3EA472ED"/>
    <w:rsid w:val="3F366D42"/>
    <w:rsid w:val="40CB4BDA"/>
    <w:rsid w:val="427E2B20"/>
    <w:rsid w:val="449C138E"/>
    <w:rsid w:val="45A13554"/>
    <w:rsid w:val="4897233D"/>
    <w:rsid w:val="491012A6"/>
    <w:rsid w:val="4B5020DE"/>
    <w:rsid w:val="4E573CB5"/>
    <w:rsid w:val="506A6CCC"/>
    <w:rsid w:val="50BD55C0"/>
    <w:rsid w:val="51D00B77"/>
    <w:rsid w:val="55683BFE"/>
    <w:rsid w:val="59A74EA4"/>
    <w:rsid w:val="5B211FB1"/>
    <w:rsid w:val="5EB4486C"/>
    <w:rsid w:val="5F670F6E"/>
    <w:rsid w:val="64500020"/>
    <w:rsid w:val="684133C2"/>
    <w:rsid w:val="6B3D3A57"/>
    <w:rsid w:val="6C1345F3"/>
    <w:rsid w:val="6D752DA1"/>
    <w:rsid w:val="6E404ED3"/>
    <w:rsid w:val="74371224"/>
    <w:rsid w:val="749335F3"/>
    <w:rsid w:val="756C2E6A"/>
    <w:rsid w:val="781F6628"/>
    <w:rsid w:val="7A540D55"/>
    <w:rsid w:val="7AA01628"/>
    <w:rsid w:val="7B4362E0"/>
    <w:rsid w:val="7D72648A"/>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4792FABB"/>
  <w15:docId w15:val="{802131DA-5DC8-4B15-B856-EAB60238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427"/>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6607D"/>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ascii="Calibri" w:eastAsia="Calibri" w:hAnsi="Calibri"/>
      <w:sz w:val="22"/>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BodyText">
    <w:name w:val="Body Text"/>
    <w:basedOn w:val="Normal"/>
    <w:link w:val="BodyTextChar"/>
    <w:semiHidden/>
    <w:unhideWhenUsed/>
    <w:rsid w:val="00284018"/>
    <w:pPr>
      <w:spacing w:after="120"/>
    </w:pPr>
  </w:style>
  <w:style w:type="character" w:customStyle="1" w:styleId="BodyTextChar">
    <w:name w:val="Body Text Char"/>
    <w:basedOn w:val="DefaultParagraphFont"/>
    <w:link w:val="BodyText"/>
    <w:semiHidden/>
    <w:rsid w:val="00284018"/>
    <w:rPr>
      <w:rFonts w:ascii="Helvetica" w:eastAsia="Times New Roman" w:hAnsi="Helvetica"/>
      <w:lang w:val="en-US" w:eastAsia="en-US"/>
    </w:rPr>
  </w:style>
  <w:style w:type="character" w:styleId="UnresolvedMention">
    <w:name w:val="Unresolved Mention"/>
    <w:basedOn w:val="DefaultParagraphFont"/>
    <w:uiPriority w:val="99"/>
    <w:semiHidden/>
    <w:unhideWhenUsed/>
    <w:rsid w:val="00972631"/>
    <w:rPr>
      <w:color w:val="605E5C"/>
      <w:shd w:val="clear" w:color="auto" w:fill="E1DFDD"/>
    </w:rPr>
  </w:style>
  <w:style w:type="table" w:customStyle="1" w:styleId="TableGrid1">
    <w:name w:val="Table Grid1"/>
    <w:basedOn w:val="TableNormal"/>
    <w:next w:val="TableGrid"/>
    <w:uiPriority w:val="39"/>
    <w:qFormat/>
    <w:rsid w:val="00B1316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resuscitation.2021.01.034" TargetMode="External"/><Relationship Id="rId26" Type="http://schemas.openxmlformats.org/officeDocument/2006/relationships/hyperlink" Target="https://doi.org/10.14474/ptrs.2024.13.1.18" TargetMode="External"/><Relationship Id="rId39" Type="http://schemas.openxmlformats.org/officeDocument/2006/relationships/footer" Target="footer4.xml"/><Relationship Id="rId21" Type="http://schemas.openxmlformats.org/officeDocument/2006/relationships/hyperlink" Target="https://doi.org/10.1097/SIH.0000000000000411" TargetMode="External"/><Relationship Id="rId34" Type="http://schemas.openxmlformats.org/officeDocument/2006/relationships/hyperlink" Target="https://doi.org/10.3390/healthcare9030243"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j.nedt.2021.104868" TargetMode="External"/><Relationship Id="rId20" Type="http://schemas.openxmlformats.org/officeDocument/2006/relationships/hyperlink" Target="https://doi.org/10.1016/j.ecns.2021.08.011" TargetMode="External"/><Relationship Id="rId29" Type="http://schemas.openxmlformats.org/officeDocument/2006/relationships/hyperlink" Target="https://doi.org/10.1186/s41077-025-0024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scirp.org/journal/paperinformation?paperid=130914" TargetMode="External"/><Relationship Id="rId32" Type="http://schemas.openxmlformats.org/officeDocument/2006/relationships/hyperlink" Target="https://doi.org/10.52711/0974-360X.2023.00877"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1186/s12912-025-01234-5" TargetMode="External"/><Relationship Id="rId23" Type="http://schemas.openxmlformats.org/officeDocument/2006/relationships/hyperlink" Target="https://doi.org/10.1186/s41077-024-00306-2" TargetMode="External"/><Relationship Id="rId28" Type="http://schemas.openxmlformats.org/officeDocument/2006/relationships/hyperlink" Target="https://doi.org/10.1016/j.nedt.2020.104661" TargetMode="External"/><Relationship Id="rId36" Type="http://schemas.openxmlformats.org/officeDocument/2006/relationships/hyperlink" Target="https://www.researchgate.net/publication/377567700" TargetMode="External"/><Relationship Id="rId10" Type="http://schemas.openxmlformats.org/officeDocument/2006/relationships/header" Target="header2.xml"/><Relationship Id="rId19" Type="http://schemas.openxmlformats.org/officeDocument/2006/relationships/hyperlink" Target="https://doi.org/10.1016/j.resplu.2021.100863" TargetMode="External"/><Relationship Id="rId31" Type="http://schemas.openxmlformats.org/officeDocument/2006/relationships/hyperlink" Target="https://doi.org/10.1016/j.nedt.2021.10486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nedt.2021.104868" TargetMode="External"/><Relationship Id="rId27" Type="http://schemas.openxmlformats.org/officeDocument/2006/relationships/hyperlink" Target="https://doi.org/10.2147/JMDH.S10367978" TargetMode="External"/><Relationship Id="rId30" Type="http://schemas.openxmlformats.org/officeDocument/2006/relationships/hyperlink" Target="https://doi.org/10.1016/j.resuscitation.2017.01.021" TargetMode="External"/><Relationship Id="rId35" Type="http://schemas.openxmlformats.org/officeDocument/2006/relationships/hyperlink" Target="https://doi.org/10.1016/j.nedt.2020.104345"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j.iccn.2020.102999" TargetMode="External"/><Relationship Id="rId25" Type="http://schemas.openxmlformats.org/officeDocument/2006/relationships/hyperlink" Target="https://doi.org/10.1016/j.ecns.2021.08.001" TargetMode="External"/><Relationship Id="rId33" Type="http://schemas.openxmlformats.org/officeDocument/2006/relationships/hyperlink" Target="https://doi.org/10.1002/nop2.1180"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6"/>
    <customShpInfo spid="_x0000_s2055"/>
    <customShpInfo spid="_x0000_s2054"/>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5538A-609C-4ECB-9F8C-1EB1F5DC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1078</TotalTime>
  <Pages>19</Pages>
  <Words>8845</Words>
  <Characters>50418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2026-04-22T10:45:00Z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