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DE947" w14:textId="77777777" w:rsidR="005D00BD" w:rsidRDefault="005D00BD">
      <w:pPr>
        <w:pStyle w:val="Author"/>
        <w:spacing w:line="240" w:lineRule="auto"/>
        <w:rPr>
          <w:rFonts w:ascii="Arial" w:hAnsi="Arial" w:cs="Arial"/>
          <w:bCs/>
          <w:iCs/>
          <w:kern w:val="28"/>
          <w:sz w:val="36"/>
        </w:rPr>
      </w:pPr>
      <w:r w:rsidRPr="005D00BD">
        <w:rPr>
          <w:rFonts w:ascii="Arial" w:hAnsi="Arial" w:cs="Arial"/>
          <w:bCs/>
          <w:iCs/>
          <w:kern w:val="28"/>
          <w:sz w:val="36"/>
        </w:rPr>
        <w:t>Original Research Article</w:t>
      </w:r>
    </w:p>
    <w:p w14:paraId="3EE08EFF" w14:textId="77777777" w:rsidR="005D00BD" w:rsidRDefault="005D00BD">
      <w:pPr>
        <w:pStyle w:val="Author"/>
        <w:spacing w:line="240" w:lineRule="auto"/>
        <w:rPr>
          <w:rFonts w:ascii="Arial" w:hAnsi="Arial" w:cs="Arial"/>
          <w:bCs/>
          <w:iCs/>
          <w:kern w:val="28"/>
          <w:sz w:val="36"/>
        </w:rPr>
      </w:pPr>
    </w:p>
    <w:p w14:paraId="4587D7D3" w14:textId="3209D942" w:rsidR="00FD5E14" w:rsidRDefault="00AC120D">
      <w:pPr>
        <w:pStyle w:val="Author"/>
        <w:spacing w:line="240" w:lineRule="auto"/>
        <w:rPr>
          <w:rFonts w:ascii="Arial" w:hAnsi="Arial" w:cs="Arial"/>
          <w:bCs/>
          <w:iCs/>
          <w:kern w:val="28"/>
          <w:sz w:val="36"/>
        </w:rPr>
      </w:pPr>
      <w:r>
        <w:rPr>
          <w:rFonts w:ascii="Arial" w:hAnsi="Arial" w:cs="Arial"/>
          <w:bCs/>
          <w:iCs/>
          <w:kern w:val="28"/>
          <w:sz w:val="36"/>
        </w:rPr>
        <w:t xml:space="preserve">Knowledge and Attitude of Third-Year and Fourth-Year Nursing Students Toward Caring for Patients with Alzheimer’s Disease </w:t>
      </w:r>
    </w:p>
    <w:p w14:paraId="076F9F8F" w14:textId="77777777" w:rsidR="00FD5E14" w:rsidRDefault="00FD5E14">
      <w:pPr>
        <w:pStyle w:val="Author"/>
        <w:spacing w:line="240" w:lineRule="auto"/>
        <w:jc w:val="both"/>
        <w:rPr>
          <w:rFonts w:ascii="Arial" w:hAnsi="Arial" w:cs="Arial"/>
          <w:sz w:val="36"/>
        </w:rPr>
      </w:pPr>
    </w:p>
    <w:p w14:paraId="611AC370" w14:textId="77777777" w:rsidR="00060AA5" w:rsidRDefault="00060AA5" w:rsidP="005D00BD">
      <w:pPr>
        <w:pStyle w:val="Affiliation"/>
        <w:spacing w:after="0" w:line="240" w:lineRule="auto"/>
        <w:rPr>
          <w:rFonts w:ascii="Arial" w:hAnsi="Arial" w:cs="Arial"/>
        </w:rPr>
      </w:pPr>
    </w:p>
    <w:p w14:paraId="76F37952" w14:textId="77777777" w:rsidR="005D00BD" w:rsidRDefault="005D00BD" w:rsidP="005D00BD">
      <w:pPr>
        <w:pStyle w:val="Affiliation"/>
        <w:spacing w:after="0" w:line="240" w:lineRule="auto"/>
        <w:rPr>
          <w:rFonts w:ascii="Arial" w:hAnsi="Arial" w:cs="Arial"/>
        </w:rPr>
      </w:pPr>
    </w:p>
    <w:p w14:paraId="7BE17564" w14:textId="77777777" w:rsidR="00FD5E14" w:rsidRDefault="00AC120D">
      <w:pPr>
        <w:pStyle w:val="Copyright"/>
        <w:spacing w:after="0" w:line="240" w:lineRule="auto"/>
        <w:jc w:val="both"/>
        <w:rPr>
          <w:rFonts w:ascii="Arial" w:hAnsi="Arial" w:cs="Arial"/>
        </w:rPr>
        <w:sectPr w:rsidR="00FD5E14" w:rsidSect="0047344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85BDDD9" wp14:editId="475A8B6C">
                <wp:extent cx="5303520" cy="0"/>
                <wp:effectExtent l="0" t="9525" r="5080" b="1587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6C39BB0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136167CE" w14:textId="77777777" w:rsidR="00FD5E14" w:rsidRDefault="00AC120D">
      <w:pPr>
        <w:pStyle w:val="AbstHead"/>
        <w:spacing w:after="0"/>
        <w:jc w:val="both"/>
        <w:rPr>
          <w:rFonts w:ascii="Arial" w:hAnsi="Arial" w:cs="Arial"/>
        </w:rPr>
      </w:pPr>
      <w:r>
        <w:rPr>
          <w:rFonts w:ascii="Arial" w:hAnsi="Arial" w:cs="Arial"/>
        </w:rPr>
        <w:t>ABSTRACT</w:t>
      </w:r>
    </w:p>
    <w:p w14:paraId="1AD801A9" w14:textId="77777777" w:rsidR="00FD5E14" w:rsidRDefault="00FD5E1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D5E14" w14:paraId="3501A9E1" w14:textId="77777777">
        <w:tc>
          <w:tcPr>
            <w:tcW w:w="9576" w:type="dxa"/>
            <w:shd w:val="clear" w:color="auto" w:fill="F2F2F2"/>
          </w:tcPr>
          <w:p w14:paraId="6BC4703B" w14:textId="77777777" w:rsidR="00FD5E14" w:rsidRDefault="00AC120D">
            <w:pPr>
              <w:rPr>
                <w:rFonts w:ascii="Arial" w:eastAsia="Arial" w:hAnsi="Arial" w:cs="Arial"/>
                <w:color w:val="000000" w:themeColor="text1"/>
                <w:sz w:val="22"/>
                <w:szCs w:val="22"/>
              </w:rPr>
            </w:pPr>
            <w:r>
              <w:rPr>
                <w:rFonts w:ascii="Arial" w:eastAsia="Calibri" w:hAnsi="Arial" w:cs="Arial"/>
                <w:b/>
                <w:color w:val="000000" w:themeColor="text1"/>
                <w:sz w:val="22"/>
                <w:szCs w:val="22"/>
              </w:rPr>
              <w:t xml:space="preserve">Aims: </w:t>
            </w:r>
            <w:r>
              <w:rPr>
                <w:rFonts w:ascii="Arial" w:eastAsia="Arial" w:hAnsi="Arial" w:cs="Arial"/>
                <w:color w:val="000000" w:themeColor="text1"/>
                <w:sz w:val="22"/>
                <w:szCs w:val="22"/>
              </w:rPr>
              <w:t>To determine the knowledge and attitude of third-year and fourth-year nursing students toward caring for patients with Alzheimer’s Disease.</w:t>
            </w:r>
          </w:p>
          <w:p w14:paraId="6A127E58" w14:textId="77777777" w:rsidR="00FD5E14" w:rsidRDefault="00AC120D">
            <w:pPr>
              <w:pStyle w:val="Body"/>
              <w:spacing w:after="0"/>
              <w:jc w:val="left"/>
              <w:rPr>
                <w:rFonts w:ascii="Arial" w:eastAsia="Arial" w:hAnsi="Arial" w:cs="Arial"/>
                <w:color w:val="000000" w:themeColor="text1"/>
                <w:sz w:val="22"/>
                <w:szCs w:val="22"/>
              </w:rPr>
            </w:pPr>
            <w:r>
              <w:rPr>
                <w:rFonts w:ascii="Arial" w:eastAsia="Calibri" w:hAnsi="Arial" w:cs="Arial"/>
                <w:b/>
                <w:color w:val="000000" w:themeColor="text1"/>
                <w:sz w:val="22"/>
                <w:szCs w:val="22"/>
              </w:rPr>
              <w:t>Study design:</w:t>
            </w:r>
            <w:r>
              <w:rPr>
                <w:rFonts w:ascii="Arial" w:eastAsia="Calibri" w:hAnsi="Arial" w:cs="Arial"/>
                <w:color w:val="000000" w:themeColor="text1"/>
                <w:sz w:val="22"/>
                <w:szCs w:val="22"/>
              </w:rPr>
              <w:t xml:space="preserve">  </w:t>
            </w:r>
            <w:r>
              <w:rPr>
                <w:rFonts w:ascii="Arial" w:eastAsia="Arial" w:hAnsi="Arial" w:cs="Arial"/>
                <w:color w:val="000000" w:themeColor="text1"/>
                <w:sz w:val="22"/>
                <w:szCs w:val="22"/>
              </w:rPr>
              <w:t xml:space="preserve"> A quantitative descriptive-correlational design</w:t>
            </w:r>
          </w:p>
          <w:p w14:paraId="6285D9FF" w14:textId="77777777" w:rsidR="00FD5E14" w:rsidRDefault="00AC120D">
            <w:pPr>
              <w:rPr>
                <w:rFonts w:ascii="Arial" w:eastAsia="Calibri" w:hAnsi="Arial" w:cs="Arial"/>
                <w:color w:val="000000" w:themeColor="text1"/>
                <w:sz w:val="22"/>
                <w:szCs w:val="22"/>
              </w:rPr>
            </w:pPr>
            <w:r>
              <w:rPr>
                <w:rFonts w:ascii="Arial" w:eastAsia="Calibri" w:hAnsi="Arial" w:cs="Arial"/>
                <w:b/>
                <w:color w:val="000000" w:themeColor="text1"/>
                <w:sz w:val="22"/>
                <w:szCs w:val="22"/>
              </w:rPr>
              <w:t xml:space="preserve">Place </w:t>
            </w:r>
            <w:r>
              <w:rPr>
                <w:rFonts w:ascii="Arial" w:eastAsia="Calibri" w:hAnsi="Arial" w:cs="Arial"/>
                <w:b/>
                <w:color w:val="000000" w:themeColor="text1"/>
                <w:sz w:val="22"/>
                <w:szCs w:val="22"/>
              </w:rPr>
              <w:t>and Duration of Study:</w:t>
            </w:r>
            <w:r>
              <w:rPr>
                <w:rFonts w:ascii="Arial" w:eastAsia="Calibri" w:hAnsi="Arial" w:cs="Arial"/>
                <w:color w:val="000000" w:themeColor="text1"/>
                <w:sz w:val="22"/>
                <w:szCs w:val="22"/>
              </w:rPr>
              <w:t xml:space="preserve"> </w:t>
            </w:r>
            <w:r>
              <w:rPr>
                <w:rFonts w:ascii="Arial" w:eastAsia="Arial" w:hAnsi="Arial" w:cs="Arial"/>
                <w:color w:val="000000" w:themeColor="text1"/>
                <w:sz w:val="22"/>
                <w:szCs w:val="22"/>
              </w:rPr>
              <w:t>Iloilo Doctors’ College, Iloilo City, Philippines, during the second semester of Academic Year 2025–2026, completed within three months.</w:t>
            </w:r>
          </w:p>
          <w:p w14:paraId="4408F848" w14:textId="77777777" w:rsidR="00FD5E14" w:rsidRDefault="00AC120D">
            <w:pPr>
              <w:rPr>
                <w:rFonts w:ascii="Arial" w:eastAsia="Arial" w:hAnsi="Arial" w:cs="Arial"/>
                <w:color w:val="000000" w:themeColor="text1"/>
                <w:sz w:val="22"/>
                <w:szCs w:val="22"/>
              </w:rPr>
            </w:pPr>
            <w:r>
              <w:rPr>
                <w:rFonts w:ascii="Arial" w:eastAsia="Calibri" w:hAnsi="Arial" w:cs="Arial"/>
                <w:b/>
                <w:bCs/>
                <w:color w:val="000000" w:themeColor="text1"/>
                <w:sz w:val="22"/>
                <w:szCs w:val="22"/>
              </w:rPr>
              <w:t>Methodology:</w:t>
            </w:r>
            <w:r>
              <w:rPr>
                <w:rFonts w:ascii="Arial" w:eastAsia="Calibri" w:hAnsi="Arial" w:cs="Arial"/>
                <w:color w:val="000000" w:themeColor="text1"/>
                <w:sz w:val="22"/>
                <w:szCs w:val="22"/>
              </w:rPr>
              <w:t xml:space="preserve"> </w:t>
            </w:r>
            <w:r>
              <w:rPr>
                <w:rFonts w:ascii="Arial" w:eastAsia="Arial" w:hAnsi="Arial" w:cs="Arial"/>
                <w:color w:val="000000" w:themeColor="text1"/>
                <w:sz w:val="22"/>
                <w:szCs w:val="22"/>
              </w:rPr>
              <w:t xml:space="preserve">The study included 275 third-year and fourth-year nursing students selected from a </w:t>
            </w:r>
            <w:r>
              <w:rPr>
                <w:rFonts w:ascii="Arial" w:eastAsia="Arial" w:hAnsi="Arial" w:cs="Arial"/>
                <w:color w:val="000000" w:themeColor="text1"/>
                <w:sz w:val="22"/>
                <w:szCs w:val="22"/>
              </w:rPr>
              <w:t>total population of 960 using stratified random sampling. Data were collected using self-administered questionnaires, specifically the Alzheimer’s Disease Knowledge Scale (ADKS) and the Dementia Attitude Scale (DAS). Ethical clearance was secured, and info</w:t>
            </w:r>
            <w:r>
              <w:rPr>
                <w:rFonts w:ascii="Arial" w:eastAsia="Arial" w:hAnsi="Arial" w:cs="Arial"/>
                <w:color w:val="000000" w:themeColor="text1"/>
                <w:sz w:val="22"/>
                <w:szCs w:val="22"/>
              </w:rPr>
              <w:t>rmed consent was obtained prior to data collection. Data were analyzed using descriptive statistics (frequency, percentage, and mean) and inferential statistics, including the Kolmogorov–Smirnov test for normality and Spearman’s Rho to determine the streng</w:t>
            </w:r>
            <w:r>
              <w:rPr>
                <w:rFonts w:ascii="Arial" w:eastAsia="Arial" w:hAnsi="Arial" w:cs="Arial"/>
                <w:color w:val="000000" w:themeColor="text1"/>
                <w:sz w:val="22"/>
                <w:szCs w:val="22"/>
              </w:rPr>
              <w:t>th and direction of the relationship between knowledge and attitude.</w:t>
            </w:r>
          </w:p>
          <w:p w14:paraId="2729CA88" w14:textId="77777777" w:rsidR="00FD5E14" w:rsidRDefault="00AC120D">
            <w:pPr>
              <w:rPr>
                <w:rFonts w:ascii="Arial" w:eastAsia="Arial" w:hAnsi="Arial" w:cs="Arial"/>
                <w:color w:val="000000" w:themeColor="text1"/>
                <w:sz w:val="22"/>
                <w:szCs w:val="22"/>
              </w:rPr>
            </w:pPr>
            <w:r>
              <w:rPr>
                <w:rFonts w:ascii="Arial" w:eastAsia="Calibri" w:hAnsi="Arial" w:cs="Arial"/>
                <w:b/>
                <w:bCs/>
                <w:color w:val="000000" w:themeColor="text1"/>
                <w:sz w:val="22"/>
                <w:szCs w:val="22"/>
              </w:rPr>
              <w:t>Results:</w:t>
            </w:r>
            <w:r>
              <w:rPr>
                <w:rFonts w:ascii="Arial" w:eastAsia="Calibri" w:hAnsi="Arial" w:cs="Arial"/>
                <w:color w:val="000000" w:themeColor="text1"/>
                <w:sz w:val="22"/>
                <w:szCs w:val="22"/>
              </w:rPr>
              <w:t xml:space="preserve"> </w:t>
            </w:r>
            <w:r>
              <w:rPr>
                <w:rFonts w:ascii="Arial" w:eastAsia="Arial" w:hAnsi="Arial" w:cs="Arial"/>
                <w:color w:val="000000" w:themeColor="text1"/>
                <w:sz w:val="22"/>
                <w:szCs w:val="22"/>
              </w:rPr>
              <w:t>Out of 275 respondents, 45.8% were third-year and 54.2% were fourth-year nursing students. The overall mean knowledge score was 18 out of 30, indicating a moderate level of knowl</w:t>
            </w:r>
            <w:r>
              <w:rPr>
                <w:rFonts w:ascii="Arial" w:eastAsia="Arial" w:hAnsi="Arial" w:cs="Arial"/>
                <w:color w:val="000000" w:themeColor="text1"/>
                <w:sz w:val="22"/>
                <w:szCs w:val="22"/>
              </w:rPr>
              <w:t>edge, with 48% moderate, 32% low, and 20% high knowledge levels. The overall attitude mean score was 4.77 out of 7, reflecting a generally neutral attitude toward Alzheimer’s care. Statistical analysis revealed no significant relationship between overall k</w:t>
            </w:r>
            <w:r>
              <w:rPr>
                <w:rFonts w:ascii="Arial" w:eastAsia="Arial" w:hAnsi="Arial" w:cs="Arial"/>
                <w:color w:val="000000" w:themeColor="text1"/>
                <w:sz w:val="22"/>
                <w:szCs w:val="22"/>
              </w:rPr>
              <w:t xml:space="preserve">nowledge and attitude (p = 0.864 &gt; 0.05). However, some domains showed weak positive correlations, with correlation coefficients ranging from </w:t>
            </w:r>
            <w:proofErr w:type="spellStart"/>
            <w:r>
              <w:rPr>
                <w:rFonts w:ascii="Arial" w:eastAsia="Arial" w:hAnsi="Arial" w:cs="Arial"/>
                <w:color w:val="000000" w:themeColor="text1"/>
                <w:sz w:val="22"/>
                <w:szCs w:val="22"/>
              </w:rPr>
              <w:t>r</w:t>
            </w:r>
            <w:r>
              <w:rPr>
                <w:rFonts w:ascii="Arial" w:eastAsia="Arial" w:hAnsi="Arial" w:cs="Arial"/>
                <w:color w:val="000000" w:themeColor="text1"/>
                <w:sz w:val="22"/>
                <w:szCs w:val="22"/>
                <w:vertAlign w:val="subscript"/>
              </w:rPr>
              <w:t>s</w:t>
            </w:r>
            <w:proofErr w:type="spellEnd"/>
            <w:r>
              <w:rPr>
                <w:rFonts w:ascii="Arial" w:eastAsia="Arial" w:hAnsi="Arial" w:cs="Arial"/>
                <w:color w:val="000000" w:themeColor="text1"/>
                <w:sz w:val="22"/>
                <w:szCs w:val="22"/>
                <w:vertAlign w:val="subscript"/>
              </w:rPr>
              <w:t xml:space="preserve"> </w:t>
            </w:r>
            <w:r>
              <w:rPr>
                <w:rFonts w:ascii="Arial" w:eastAsia="Arial" w:hAnsi="Arial" w:cs="Arial"/>
                <w:color w:val="000000" w:themeColor="text1"/>
                <w:sz w:val="22"/>
                <w:szCs w:val="22"/>
              </w:rPr>
              <w:t>= 0.131 to 0.208 (p &lt; 0.05).</w:t>
            </w:r>
          </w:p>
          <w:p w14:paraId="094B9E39" w14:textId="77777777" w:rsidR="00FD5E14" w:rsidRDefault="00AC120D">
            <w:pPr>
              <w:rPr>
                <w:rFonts w:ascii="Arial" w:eastAsia="Calibri" w:hAnsi="Arial" w:cs="Arial"/>
                <w:szCs w:val="22"/>
              </w:rPr>
            </w:pPr>
            <w:r>
              <w:rPr>
                <w:rFonts w:ascii="Arial" w:eastAsia="Calibri" w:hAnsi="Arial" w:cs="Arial"/>
                <w:b/>
                <w:bCs/>
                <w:color w:val="000000" w:themeColor="text1"/>
                <w:sz w:val="22"/>
                <w:szCs w:val="22"/>
              </w:rPr>
              <w:t>Conclusion:</w:t>
            </w:r>
            <w:r>
              <w:rPr>
                <w:rFonts w:ascii="Arial" w:eastAsia="Calibri" w:hAnsi="Arial" w:cs="Arial"/>
                <w:color w:val="000000" w:themeColor="text1"/>
                <w:sz w:val="22"/>
                <w:szCs w:val="22"/>
              </w:rPr>
              <w:t xml:space="preserve"> </w:t>
            </w:r>
            <w:r>
              <w:rPr>
                <w:rFonts w:ascii="Arial" w:eastAsia="Arial" w:hAnsi="Arial" w:cs="Arial"/>
                <w:color w:val="000000" w:themeColor="text1"/>
                <w:sz w:val="22"/>
                <w:szCs w:val="22"/>
              </w:rPr>
              <w:t>The study concludes that strengthening Alzheimer’s Disease–focused edu</w:t>
            </w:r>
            <w:r>
              <w:rPr>
                <w:rFonts w:ascii="Arial" w:eastAsia="Arial" w:hAnsi="Arial" w:cs="Arial"/>
                <w:color w:val="000000" w:themeColor="text1"/>
                <w:sz w:val="22"/>
                <w:szCs w:val="22"/>
              </w:rPr>
              <w:t>cation and clinical exposure may enhance both the knowledge and attitude of nursing students. These findings emphasize the need for curriculum improvement and focused training programs to better prepare future nurses to deliver quality and compassionate Al</w:t>
            </w:r>
            <w:r>
              <w:rPr>
                <w:rFonts w:ascii="Arial" w:eastAsia="Arial" w:hAnsi="Arial" w:cs="Arial"/>
                <w:color w:val="000000" w:themeColor="text1"/>
                <w:sz w:val="22"/>
                <w:szCs w:val="22"/>
              </w:rPr>
              <w:t>zheimer’s care.</w:t>
            </w:r>
          </w:p>
        </w:tc>
      </w:tr>
    </w:tbl>
    <w:p w14:paraId="1BDEE6EB" w14:textId="77777777" w:rsidR="00FD5E14" w:rsidRDefault="00FD5E14">
      <w:pPr>
        <w:pStyle w:val="Body"/>
        <w:spacing w:after="0"/>
        <w:rPr>
          <w:rFonts w:ascii="Arial" w:hAnsi="Arial" w:cs="Arial"/>
          <w:i/>
        </w:rPr>
      </w:pPr>
    </w:p>
    <w:p w14:paraId="514D9877" w14:textId="77777777" w:rsidR="00FD5E14" w:rsidRDefault="00AC120D">
      <w:pPr>
        <w:pStyle w:val="Body"/>
        <w:spacing w:after="0"/>
        <w:jc w:val="left"/>
        <w:rPr>
          <w:rFonts w:ascii="Arial" w:hAnsi="Arial" w:cs="Arial"/>
          <w:i/>
        </w:rPr>
      </w:pPr>
      <w:r>
        <w:rPr>
          <w:rFonts w:ascii="Arial" w:hAnsi="Arial" w:cs="Arial"/>
          <w:i/>
        </w:rPr>
        <w:t xml:space="preserve">Keywords: Alzheimer’s Disease, nursing students, knowledge, attitude, dementia </w:t>
      </w:r>
    </w:p>
    <w:p w14:paraId="28DEF7EE" w14:textId="77777777" w:rsidR="00FD5E14" w:rsidRDefault="00FD5E14">
      <w:pPr>
        <w:pStyle w:val="Body"/>
        <w:spacing w:after="0"/>
        <w:rPr>
          <w:rFonts w:ascii="Arial" w:hAnsi="Arial" w:cs="Arial"/>
          <w:i/>
        </w:rPr>
      </w:pPr>
    </w:p>
    <w:p w14:paraId="0CDA321E" w14:textId="77777777" w:rsidR="00FD5E14" w:rsidRDefault="00AC120D">
      <w:pPr>
        <w:pStyle w:val="AbstHead"/>
        <w:spacing w:after="0"/>
        <w:jc w:val="both"/>
        <w:rPr>
          <w:rFonts w:ascii="Arial" w:hAnsi="Arial" w:cs="Arial"/>
        </w:rPr>
      </w:pPr>
      <w:r>
        <w:rPr>
          <w:rFonts w:ascii="Arial" w:hAnsi="Arial" w:cs="Arial"/>
        </w:rPr>
        <w:t xml:space="preserve">1. INTRODUCTION </w:t>
      </w:r>
    </w:p>
    <w:p w14:paraId="29C15568" w14:textId="77777777" w:rsidR="00FD5E14" w:rsidRDefault="00FD5E14">
      <w:pPr>
        <w:pStyle w:val="AbstHead"/>
        <w:spacing w:after="0"/>
        <w:jc w:val="both"/>
        <w:rPr>
          <w:rFonts w:ascii="Arial" w:hAnsi="Arial" w:cs="Arial"/>
        </w:rPr>
      </w:pPr>
    </w:p>
    <w:p w14:paraId="78F64C92" w14:textId="77777777" w:rsidR="00FD5E14" w:rsidRDefault="00AC120D">
      <w:pPr>
        <w:jc w:val="both"/>
        <w:rPr>
          <w:rFonts w:ascii="Arial" w:eastAsia="Arial" w:hAnsi="Arial" w:cs="Arial"/>
        </w:rPr>
      </w:pPr>
      <w:r>
        <w:rPr>
          <w:rFonts w:ascii="Arial" w:eastAsia="Arial" w:hAnsi="Arial" w:cs="Arial"/>
        </w:rPr>
        <w:t xml:space="preserve">Alzheimer’s Disease (AD) is a progressive neurodegenerative disorder that gradually impairs memory, behavior, and thinking (Cleveland Clinic, 2025). Along with this, the aging of the </w:t>
      </w:r>
      <w:r>
        <w:rPr>
          <w:rFonts w:ascii="Arial" w:eastAsia="Arial" w:hAnsi="Arial" w:cs="Arial"/>
        </w:rPr>
        <w:lastRenderedPageBreak/>
        <w:t>world population has contributed to a rapid rise in the number of dementi</w:t>
      </w:r>
      <w:r>
        <w:rPr>
          <w:rFonts w:ascii="Arial" w:eastAsia="Arial" w:hAnsi="Arial" w:cs="Arial"/>
        </w:rPr>
        <w:t xml:space="preserve">a cases, thus putting healthcare systems and caregivers under more stress. </w:t>
      </w:r>
    </w:p>
    <w:p w14:paraId="1BE47C6B" w14:textId="77777777" w:rsidR="00FD5E14" w:rsidRDefault="00FD5E14">
      <w:pPr>
        <w:jc w:val="both"/>
        <w:rPr>
          <w:rFonts w:ascii="Arial" w:eastAsia="Arial" w:hAnsi="Arial" w:cs="Arial"/>
        </w:rPr>
      </w:pPr>
    </w:p>
    <w:p w14:paraId="2785E69F" w14:textId="77777777" w:rsidR="00FD5E14" w:rsidRDefault="00AC120D">
      <w:pPr>
        <w:jc w:val="both"/>
        <w:rPr>
          <w:rFonts w:ascii="Arial" w:eastAsia="Arial" w:hAnsi="Arial" w:cs="Arial"/>
        </w:rPr>
      </w:pPr>
      <w:r>
        <w:rPr>
          <w:rFonts w:ascii="Arial" w:eastAsia="Arial" w:hAnsi="Arial" w:cs="Arial"/>
        </w:rPr>
        <w:t>Comparisons have shown that knowledge levels of geriatric healthcare students, nursing students, and practicing nurses are all low and similar, which points to the urgent need for</w:t>
      </w:r>
      <w:r>
        <w:rPr>
          <w:rFonts w:ascii="Arial" w:eastAsia="Arial" w:hAnsi="Arial" w:cs="Arial"/>
        </w:rPr>
        <w:t xml:space="preserve"> educational reform (Ozpulat et al., 2023). Caring for patients with AD requires patience, as managing their condition can often be challenging. Therefore, sufficient knowledge and positive attitudes among nurses, especially nursing students, are crucial i</w:t>
      </w:r>
      <w:r>
        <w:rPr>
          <w:rFonts w:ascii="Arial" w:eastAsia="Arial" w:hAnsi="Arial" w:cs="Arial"/>
        </w:rPr>
        <w:t>n delivering effective, compassionate, and person-centered care (</w:t>
      </w:r>
      <w:proofErr w:type="spellStart"/>
      <w:r>
        <w:rPr>
          <w:rFonts w:ascii="Arial" w:eastAsia="Arial" w:hAnsi="Arial" w:cs="Arial"/>
        </w:rPr>
        <w:t>Aljezawi</w:t>
      </w:r>
      <w:proofErr w:type="spellEnd"/>
      <w:r>
        <w:rPr>
          <w:rFonts w:ascii="Arial" w:eastAsia="Arial" w:hAnsi="Arial" w:cs="Arial"/>
        </w:rPr>
        <w:t xml:space="preserve"> et al., 2022).</w:t>
      </w:r>
    </w:p>
    <w:p w14:paraId="56ED1BC1" w14:textId="77777777" w:rsidR="00FD5E14" w:rsidRDefault="00FD5E14">
      <w:pPr>
        <w:jc w:val="both"/>
        <w:rPr>
          <w:rFonts w:ascii="Arial" w:eastAsia="Arial" w:hAnsi="Arial" w:cs="Arial"/>
        </w:rPr>
      </w:pPr>
    </w:p>
    <w:p w14:paraId="614EAB94" w14:textId="77777777" w:rsidR="00FD5E14" w:rsidRDefault="00AC120D">
      <w:pPr>
        <w:jc w:val="both"/>
        <w:rPr>
          <w:rFonts w:ascii="Arial" w:eastAsia="Arial" w:hAnsi="Arial" w:cs="Arial"/>
        </w:rPr>
      </w:pPr>
      <w:r>
        <w:rPr>
          <w:rFonts w:ascii="Arial" w:eastAsia="Arial" w:hAnsi="Arial" w:cs="Arial"/>
        </w:rPr>
        <w:t>A survey in Jordan among 275 nursing students in undergraduate nursing courses indicated less than satisfactory knowledge but generally good attitudes toward patients</w:t>
      </w:r>
      <w:r>
        <w:rPr>
          <w:rFonts w:ascii="Arial" w:eastAsia="Arial" w:hAnsi="Arial" w:cs="Arial"/>
        </w:rPr>
        <w:t xml:space="preserve"> suffering from AD. The attitudes were similar across all academic levels; nevertheless, an overwhelming 90.5% of students showed a keen interest in formal instruction on the subject. The authors noted that providing training to improve knowledge of dement</w:t>
      </w:r>
      <w:r>
        <w:rPr>
          <w:rFonts w:ascii="Arial" w:eastAsia="Arial" w:hAnsi="Arial" w:cs="Arial"/>
        </w:rPr>
        <w:t>ia would not only positively influence attitudes but also be conducive to the learning process (</w:t>
      </w:r>
      <w:proofErr w:type="spellStart"/>
      <w:r>
        <w:rPr>
          <w:rFonts w:ascii="Arial" w:eastAsia="Arial" w:hAnsi="Arial" w:cs="Arial"/>
        </w:rPr>
        <w:t>Aljezawi</w:t>
      </w:r>
      <w:proofErr w:type="spellEnd"/>
      <w:r>
        <w:rPr>
          <w:rFonts w:ascii="Arial" w:eastAsia="Arial" w:hAnsi="Arial" w:cs="Arial"/>
        </w:rPr>
        <w:t xml:space="preserve"> et al., 2022).</w:t>
      </w:r>
    </w:p>
    <w:p w14:paraId="22193F42" w14:textId="77777777" w:rsidR="00FD5E14" w:rsidRDefault="00FD5E14">
      <w:pPr>
        <w:jc w:val="both"/>
        <w:rPr>
          <w:rFonts w:ascii="Arial" w:eastAsia="Arial" w:hAnsi="Arial" w:cs="Arial"/>
        </w:rPr>
      </w:pPr>
    </w:p>
    <w:p w14:paraId="3D9C8F6F" w14:textId="77777777" w:rsidR="00FD5E14" w:rsidRDefault="00AC120D">
      <w:pPr>
        <w:jc w:val="both"/>
        <w:rPr>
          <w:rFonts w:ascii="Arial" w:eastAsia="Arial" w:hAnsi="Arial" w:cs="Arial"/>
        </w:rPr>
      </w:pPr>
      <w:r>
        <w:rPr>
          <w:rFonts w:ascii="Arial" w:eastAsia="Arial" w:hAnsi="Arial" w:cs="Arial"/>
        </w:rPr>
        <w:t>In the Philippines, support for people with dementia mostly comes from relatives; at the same time, many of whom lack proper training o</w:t>
      </w:r>
      <w:r>
        <w:rPr>
          <w:rFonts w:ascii="Arial" w:eastAsia="Arial" w:hAnsi="Arial" w:cs="Arial"/>
        </w:rPr>
        <w:t>r support. Filipino caregivers of dementia patients who are admitted for other health reasons demonstrate inconsistencies in knowledge and a mix of feelings, including empathy and doubt, similar to findings in other contexts. These findings highlight the n</w:t>
      </w:r>
      <w:r>
        <w:rPr>
          <w:rFonts w:ascii="Arial" w:eastAsia="Arial" w:hAnsi="Arial" w:cs="Arial"/>
        </w:rPr>
        <w:t>eed for improved caregiver education and support within hospital settings to ensure quality dementia care (Tan &amp; Orteza, 2024).</w:t>
      </w:r>
    </w:p>
    <w:p w14:paraId="3A37619A" w14:textId="77777777" w:rsidR="00FD5E14" w:rsidRDefault="00FD5E14">
      <w:pPr>
        <w:jc w:val="both"/>
        <w:rPr>
          <w:rFonts w:ascii="Arial" w:eastAsia="Arial" w:hAnsi="Arial" w:cs="Arial"/>
        </w:rPr>
      </w:pPr>
    </w:p>
    <w:p w14:paraId="79A82756" w14:textId="77777777" w:rsidR="00FD5E14" w:rsidRDefault="00AC120D">
      <w:pPr>
        <w:jc w:val="both"/>
        <w:rPr>
          <w:rFonts w:ascii="Arial" w:eastAsia="Arial" w:hAnsi="Arial" w:cs="Arial"/>
        </w:rPr>
      </w:pPr>
      <w:r>
        <w:rPr>
          <w:rFonts w:ascii="Arial" w:eastAsia="Arial" w:hAnsi="Arial" w:cs="Arial"/>
        </w:rPr>
        <w:t>While international studies have explored the understanding of AD, there is still limited research specifically in the Philippi</w:t>
      </w:r>
      <w:r>
        <w:rPr>
          <w:rFonts w:ascii="Arial" w:eastAsia="Arial" w:hAnsi="Arial" w:cs="Arial"/>
        </w:rPr>
        <w:t>nes, particularly in regional nursing schools such as those in the Visayas and Mindanao. The understanding and cultural context of Filipino nursing students affect how AD is understood and approached (Tan &amp; Orteza, 2024). With this, nursing students’ under</w:t>
      </w:r>
      <w:r>
        <w:rPr>
          <w:rFonts w:ascii="Arial" w:eastAsia="Arial" w:hAnsi="Arial" w:cs="Arial"/>
        </w:rPr>
        <w:t>standing of AD remains under-researched and warrants further study.</w:t>
      </w:r>
    </w:p>
    <w:p w14:paraId="42F9F8A4" w14:textId="77777777" w:rsidR="00FD5E14" w:rsidRDefault="00FD5E14">
      <w:pPr>
        <w:jc w:val="both"/>
        <w:rPr>
          <w:rFonts w:ascii="Arial" w:eastAsia="Arial" w:hAnsi="Arial" w:cs="Arial"/>
        </w:rPr>
      </w:pPr>
    </w:p>
    <w:p w14:paraId="0AC482B9" w14:textId="77777777" w:rsidR="00FD5E14" w:rsidRDefault="00AC120D">
      <w:pPr>
        <w:jc w:val="both"/>
        <w:rPr>
          <w:rFonts w:ascii="Arial" w:eastAsia="Arial" w:hAnsi="Arial" w:cs="Arial"/>
        </w:rPr>
      </w:pPr>
      <w:r>
        <w:rPr>
          <w:rFonts w:ascii="Arial" w:eastAsia="Arial" w:hAnsi="Arial" w:cs="Arial"/>
        </w:rPr>
        <w:t xml:space="preserve">Given these concerns, it is necessary to examine the existing level of knowledge and attitudes of nursing students to determine areas that require improvement. By identifying these gaps, </w:t>
      </w:r>
      <w:r>
        <w:rPr>
          <w:rFonts w:ascii="Arial" w:eastAsia="Arial" w:hAnsi="Arial" w:cs="Arial"/>
        </w:rPr>
        <w:t>this study provides evidence that can guide curriculum enhancement, strengthen clinical training, and develop targeted programs that better prepare future nurses to deliver safe and compassionate care to patients with AD. Thus, this study aims to examine t</w:t>
      </w:r>
      <w:r>
        <w:rPr>
          <w:rFonts w:ascii="Arial" w:eastAsia="Arial" w:hAnsi="Arial" w:cs="Arial"/>
        </w:rPr>
        <w:t xml:space="preserve">he knowledge and attitude of third-year and fourth-year nursing students toward caring for patients with AD. </w:t>
      </w:r>
    </w:p>
    <w:p w14:paraId="2FD7B033" w14:textId="77777777" w:rsidR="00FD5E14" w:rsidRDefault="00FD5E14">
      <w:pPr>
        <w:pStyle w:val="Body"/>
        <w:spacing w:after="0"/>
        <w:rPr>
          <w:rFonts w:ascii="Arial" w:hAnsi="Arial" w:cs="Arial"/>
        </w:rPr>
      </w:pPr>
    </w:p>
    <w:p w14:paraId="008F68D3" w14:textId="77777777" w:rsidR="00FD5E14" w:rsidRDefault="00FD5E14">
      <w:pPr>
        <w:pStyle w:val="Body"/>
        <w:spacing w:after="0"/>
        <w:rPr>
          <w:rFonts w:ascii="Arial" w:hAnsi="Arial" w:cs="Arial"/>
        </w:rPr>
      </w:pPr>
    </w:p>
    <w:p w14:paraId="18B52765" w14:textId="32189DF1" w:rsidR="00FD5E14" w:rsidRDefault="00AC120D">
      <w:pPr>
        <w:pStyle w:val="AbstHead"/>
        <w:numPr>
          <w:ilvl w:val="0"/>
          <w:numId w:val="2"/>
        </w:numPr>
        <w:spacing w:after="0"/>
        <w:jc w:val="both"/>
        <w:rPr>
          <w:rFonts w:ascii="Arial" w:hAnsi="Arial" w:cs="Arial"/>
        </w:rPr>
      </w:pPr>
      <w:r>
        <w:rPr>
          <w:rFonts w:ascii="Arial" w:hAnsi="Arial" w:cs="Arial"/>
        </w:rPr>
        <w:t xml:space="preserve">material and methods </w:t>
      </w:r>
    </w:p>
    <w:p w14:paraId="78B4FEC4" w14:textId="77777777" w:rsidR="00FD5E14" w:rsidRDefault="00FD5E14">
      <w:pPr>
        <w:pStyle w:val="AbstHead"/>
        <w:spacing w:after="0"/>
        <w:jc w:val="both"/>
        <w:rPr>
          <w:rFonts w:ascii="Arial" w:hAnsi="Arial" w:cs="Arial"/>
        </w:rPr>
      </w:pPr>
    </w:p>
    <w:p w14:paraId="529EAFEF" w14:textId="77777777" w:rsidR="00FD5E14" w:rsidRDefault="00AC120D">
      <w:pPr>
        <w:pStyle w:val="Body"/>
        <w:spacing w:after="0"/>
        <w:rPr>
          <w:rFonts w:ascii="Arial" w:eastAsia="Arial" w:hAnsi="Arial" w:cs="Arial"/>
        </w:rPr>
      </w:pPr>
      <w:r>
        <w:rPr>
          <w:rFonts w:ascii="Arial" w:eastAsia="Arial" w:hAnsi="Arial" w:cs="Arial"/>
          <w:color w:val="131413"/>
        </w:rPr>
        <w:t>The study utilized a quantitative descriptive-correlational research design to evaluate the nursing students’ knowledge a</w:t>
      </w:r>
      <w:r>
        <w:rPr>
          <w:rFonts w:ascii="Arial" w:eastAsia="Arial" w:hAnsi="Arial" w:cs="Arial"/>
          <w:color w:val="131413"/>
        </w:rPr>
        <w:t>nd attitudes regarding AD. A descriptive design was used to examines a broader range of research methods to examine one or more variables (</w:t>
      </w:r>
      <w:proofErr w:type="spellStart"/>
      <w:r>
        <w:rPr>
          <w:rFonts w:ascii="Arial" w:eastAsia="Arial" w:hAnsi="Arial" w:cs="Arial"/>
          <w:color w:val="131413"/>
        </w:rPr>
        <w:t>McCombes</w:t>
      </w:r>
      <w:proofErr w:type="spellEnd"/>
      <w:r>
        <w:rPr>
          <w:rFonts w:ascii="Arial" w:eastAsia="Arial" w:hAnsi="Arial" w:cs="Arial"/>
          <w:color w:val="131413"/>
        </w:rPr>
        <w:t>, 2023). Moreover, a correlational design was also employed to identify the relationships between variables w</w:t>
      </w:r>
      <w:r>
        <w:rPr>
          <w:rFonts w:ascii="Arial" w:eastAsia="Arial" w:hAnsi="Arial" w:cs="Arial"/>
          <w:color w:val="131413"/>
        </w:rPr>
        <w:t xml:space="preserve">ithout any influence or alteration by the researcher (Bhandari, 2023). </w:t>
      </w:r>
      <w:r>
        <w:rPr>
          <w:rFonts w:ascii="Arial" w:eastAsia="Arial" w:hAnsi="Arial" w:cs="Arial"/>
        </w:rPr>
        <w:t>As a result, it methodically examined the relationship between these measured variables, particularly knowledge and attitude, without the intervention of control or manipulation. Import</w:t>
      </w:r>
      <w:r>
        <w:rPr>
          <w:rFonts w:ascii="Arial" w:eastAsia="Arial" w:hAnsi="Arial" w:cs="Arial"/>
        </w:rPr>
        <w:t>antly, the correlation addressed the final research objective by not only identifying the presence of an association but also describing the type (positive or negative) and magnitude (strength) of that relationship, which was essential for providing an emp</w:t>
      </w:r>
      <w:r>
        <w:rPr>
          <w:rFonts w:ascii="Arial" w:eastAsia="Arial" w:hAnsi="Arial" w:cs="Arial"/>
        </w:rPr>
        <w:t>irical basis for suggesting targeted educational interventions.</w:t>
      </w:r>
    </w:p>
    <w:p w14:paraId="2CD03652" w14:textId="77777777" w:rsidR="00FD5E14" w:rsidRDefault="00FD5E14">
      <w:pPr>
        <w:pStyle w:val="Body"/>
        <w:spacing w:after="0"/>
        <w:rPr>
          <w:rFonts w:ascii="Arial" w:eastAsia="Arial" w:hAnsi="Arial" w:cs="Arial"/>
        </w:rPr>
      </w:pPr>
    </w:p>
    <w:p w14:paraId="4AC0C11A" w14:textId="77777777" w:rsidR="00FD5E14" w:rsidRDefault="00AC120D">
      <w:pPr>
        <w:jc w:val="both"/>
        <w:rPr>
          <w:rFonts w:ascii="Arial" w:eastAsia="Arial" w:hAnsi="Arial" w:cs="Arial"/>
          <w:b/>
          <w:bCs/>
        </w:rPr>
      </w:pPr>
      <w:r>
        <w:rPr>
          <w:rFonts w:ascii="Arial" w:eastAsia="Arial" w:hAnsi="Arial" w:cs="Arial"/>
          <w:b/>
          <w:bCs/>
        </w:rPr>
        <w:t>Research Locale and Participants</w:t>
      </w:r>
    </w:p>
    <w:p w14:paraId="5FBCF010" w14:textId="77777777" w:rsidR="00FD5E14" w:rsidRDefault="00AC120D">
      <w:pPr>
        <w:jc w:val="both"/>
        <w:rPr>
          <w:rFonts w:ascii="Arial" w:eastAsia="Arial" w:hAnsi="Arial" w:cs="Arial"/>
        </w:rPr>
      </w:pPr>
      <w:r>
        <w:rPr>
          <w:rFonts w:ascii="Arial" w:eastAsia="Arial" w:hAnsi="Arial" w:cs="Arial"/>
        </w:rPr>
        <w:t>The study was conducted in a private higher education institution situated in Iloilo City. This university served as an ideal setting because it was where the</w:t>
      </w:r>
      <w:r>
        <w:rPr>
          <w:rFonts w:ascii="Arial" w:eastAsia="Arial" w:hAnsi="Arial" w:cs="Arial"/>
        </w:rPr>
        <w:t xml:space="preserve"> target participants were currently studying and could be easily accessed. The participants of the study were third-year and fourth-year nursing students enrolled in this institution who had already been assigned to geriatric areas during their Related Lea</w:t>
      </w:r>
      <w:r>
        <w:rPr>
          <w:rFonts w:ascii="Arial" w:eastAsia="Arial" w:hAnsi="Arial" w:cs="Arial"/>
        </w:rPr>
        <w:t xml:space="preserve">rning Experience (RLE) duties. The total population of third-year and fourth-year nursing students was nine hundred sixty (960). Using the </w:t>
      </w:r>
      <w:proofErr w:type="spellStart"/>
      <w:r>
        <w:rPr>
          <w:rFonts w:ascii="Arial" w:eastAsia="Arial" w:hAnsi="Arial" w:cs="Arial"/>
        </w:rPr>
        <w:t>Raosoft</w:t>
      </w:r>
      <w:proofErr w:type="spellEnd"/>
      <w:r>
        <w:rPr>
          <w:rFonts w:ascii="Arial" w:eastAsia="Arial" w:hAnsi="Arial" w:cs="Arial"/>
        </w:rPr>
        <w:t xml:space="preserve"> sample size calculator with a 95% confidence level and a 5% margin of error, a sample size of two hundred sev</w:t>
      </w:r>
      <w:r>
        <w:rPr>
          <w:rFonts w:ascii="Arial" w:eastAsia="Arial" w:hAnsi="Arial" w:cs="Arial"/>
        </w:rPr>
        <w:t>enty-five (275) respondents was determined. To ensure the reliability of respondent selection and to avoid bias, the researchers used stratified random sampling. The study included one hundred twenty-six (126) third-year and one hundred forty-nine (149) fo</w:t>
      </w:r>
      <w:r>
        <w:rPr>
          <w:rFonts w:ascii="Arial" w:eastAsia="Arial" w:hAnsi="Arial" w:cs="Arial"/>
        </w:rPr>
        <w:t>urth-year student nurses. The participants were selected using the following criteria: (1</w:t>
      </w:r>
      <w:proofErr w:type="gramStart"/>
      <w:r>
        <w:rPr>
          <w:rFonts w:ascii="Arial" w:eastAsia="Arial" w:hAnsi="Arial" w:cs="Arial"/>
        </w:rPr>
        <w:t>)  currently</w:t>
      </w:r>
      <w:proofErr w:type="gramEnd"/>
      <w:r>
        <w:rPr>
          <w:rFonts w:ascii="Arial" w:eastAsia="Arial" w:hAnsi="Arial" w:cs="Arial"/>
        </w:rPr>
        <w:t xml:space="preserve"> enrolled as third-year or fourth-year nursing students for the academic year 2025–2026, and (2) third-year or fourth-year nursing students who had provide</w:t>
      </w:r>
      <w:r>
        <w:rPr>
          <w:rFonts w:ascii="Arial" w:eastAsia="Arial" w:hAnsi="Arial" w:cs="Arial"/>
        </w:rPr>
        <w:t>d consent to be involved in the study.</w:t>
      </w:r>
    </w:p>
    <w:p w14:paraId="6E528C0C" w14:textId="77777777" w:rsidR="00FD5E14" w:rsidRDefault="00FD5E14">
      <w:pPr>
        <w:jc w:val="both"/>
        <w:rPr>
          <w:rFonts w:ascii="Arial" w:eastAsia="Arial" w:hAnsi="Arial" w:cs="Arial"/>
        </w:rPr>
      </w:pPr>
    </w:p>
    <w:p w14:paraId="6FD39A53" w14:textId="77777777" w:rsidR="00FD5E14" w:rsidRDefault="00AC120D">
      <w:pPr>
        <w:jc w:val="both"/>
        <w:rPr>
          <w:rFonts w:ascii="Arial" w:eastAsia="Arial" w:hAnsi="Arial" w:cs="Arial"/>
          <w:b/>
          <w:bCs/>
        </w:rPr>
      </w:pPr>
      <w:r>
        <w:rPr>
          <w:rFonts w:ascii="Arial" w:eastAsia="Arial" w:hAnsi="Arial" w:cs="Arial"/>
          <w:b/>
          <w:bCs/>
        </w:rPr>
        <w:t>Instruments</w:t>
      </w:r>
    </w:p>
    <w:p w14:paraId="23D446A2" w14:textId="77777777" w:rsidR="00FD5E14" w:rsidRDefault="00AC120D">
      <w:pPr>
        <w:jc w:val="both"/>
        <w:rPr>
          <w:rFonts w:ascii="Arial" w:eastAsia="Arial" w:hAnsi="Arial" w:cs="Arial"/>
        </w:rPr>
      </w:pPr>
      <w:r>
        <w:rPr>
          <w:rFonts w:ascii="Arial" w:eastAsia="Arial" w:hAnsi="Arial" w:cs="Arial"/>
        </w:rPr>
        <w:t>The data were collected using adopted questionnaires. The instrument was divided into three (3) parts: (1) Demographic profile of the respondents, (2) Alzheimer’s Disease Knowledge Scale (ADKS) (Carpenter</w:t>
      </w:r>
      <w:r>
        <w:rPr>
          <w:rFonts w:ascii="Arial" w:eastAsia="Arial" w:hAnsi="Arial" w:cs="Arial"/>
        </w:rPr>
        <w:t xml:space="preserve"> et al., 2009), which is composed of thirty (30) true-or-false questions, and (3) Dementia Attitude Scale (DAS) (O’Connor and McFadden, 2010), the scale consisted of twenty (20) items measured using a seven-point Likert scale ranging from Strongly Disagree</w:t>
      </w:r>
      <w:r>
        <w:rPr>
          <w:rFonts w:ascii="Arial" w:eastAsia="Arial" w:hAnsi="Arial" w:cs="Arial"/>
        </w:rPr>
        <w:t xml:space="preserve"> (1) to Strongly Agree (7).</w:t>
      </w:r>
    </w:p>
    <w:p w14:paraId="21A67EA8" w14:textId="77777777" w:rsidR="00FD5E14" w:rsidRDefault="00AC120D">
      <w:pPr>
        <w:jc w:val="both"/>
        <w:rPr>
          <w:rFonts w:ascii="Arial" w:eastAsia="Arial" w:hAnsi="Arial" w:cs="Arial"/>
        </w:rPr>
      </w:pPr>
      <w:r>
        <w:rPr>
          <w:rFonts w:ascii="Arial" w:eastAsia="Arial Unicode MS" w:hAnsi="Arial" w:cs="Arial"/>
        </w:rPr>
        <w:t>To ensure the credibility and applicability of the results, validation of the instrument was conducted. Three faculty members with a master’s degree in nursing were requested to validate the instrument. The validation process fo</w:t>
      </w:r>
      <w:r>
        <w:rPr>
          <w:rFonts w:ascii="Arial" w:eastAsia="Arial Unicode MS" w:hAnsi="Arial" w:cs="Arial"/>
        </w:rPr>
        <w:t>llowed the 5-point Likert scale proposed by Good and Scates (1972). Pilot testing was conducted with a maximum of thirty (30) nursing students who were not part of the primary respondents after the questionnaires had been validated to ensure the questionna</w:t>
      </w:r>
      <w:r>
        <w:rPr>
          <w:rFonts w:ascii="Arial" w:eastAsia="Arial Unicode MS" w:hAnsi="Arial" w:cs="Arial"/>
        </w:rPr>
        <w:t>ires’ reliability. This was evaluated using the Cronbach’s alpha, where a score of ≥ .70 signified acceptable reliability (George and Mallery, 2019).</w:t>
      </w:r>
    </w:p>
    <w:p w14:paraId="0B55C9A7" w14:textId="77777777" w:rsidR="00FD5E14" w:rsidRDefault="00FD5E14">
      <w:pPr>
        <w:jc w:val="both"/>
        <w:rPr>
          <w:rFonts w:ascii="Arial" w:eastAsia="Arial" w:hAnsi="Arial" w:cs="Arial"/>
        </w:rPr>
      </w:pPr>
    </w:p>
    <w:p w14:paraId="7525BE3E" w14:textId="77777777" w:rsidR="00FD5E14" w:rsidRDefault="00AC120D">
      <w:pPr>
        <w:jc w:val="both"/>
        <w:rPr>
          <w:rFonts w:ascii="Arial" w:eastAsia="Arial" w:hAnsi="Arial" w:cs="Arial"/>
          <w:b/>
          <w:bCs/>
        </w:rPr>
      </w:pPr>
      <w:r>
        <w:rPr>
          <w:rFonts w:ascii="Arial" w:eastAsia="Arial" w:hAnsi="Arial" w:cs="Arial"/>
          <w:b/>
          <w:bCs/>
        </w:rPr>
        <w:t>Data Collection</w:t>
      </w:r>
    </w:p>
    <w:p w14:paraId="440041AA" w14:textId="77777777" w:rsidR="00FD5E14" w:rsidRDefault="00AC120D">
      <w:pPr>
        <w:jc w:val="both"/>
        <w:rPr>
          <w:rFonts w:ascii="Arial" w:eastAsia="Arial" w:hAnsi="Arial" w:cs="Arial"/>
        </w:rPr>
      </w:pPr>
      <w:r>
        <w:rPr>
          <w:rFonts w:ascii="Arial" w:eastAsia="Arial" w:hAnsi="Arial" w:cs="Arial"/>
        </w:rPr>
        <w:t>Quantitative data were gathered through Google Forms. Prior to data collection, permissio</w:t>
      </w:r>
      <w:r>
        <w:rPr>
          <w:rFonts w:ascii="Arial" w:eastAsia="Arial" w:hAnsi="Arial" w:cs="Arial"/>
        </w:rPr>
        <w:t>n was obtained from the appropriate authorities. A Google form was distributed, containing an overview of the study, the informed consent, and the survey questionnaire. Data collection took place during the participants’ vacant periods; some of the partici</w:t>
      </w:r>
      <w:r>
        <w:rPr>
          <w:rFonts w:ascii="Arial" w:eastAsia="Arial" w:hAnsi="Arial" w:cs="Arial"/>
        </w:rPr>
        <w:t>pants answered the survey at home to avoid disruption of classes. Each participant was given approximately 10-15 minutes to complete the survey.</w:t>
      </w:r>
    </w:p>
    <w:p w14:paraId="58E3FB63" w14:textId="77777777" w:rsidR="00FD5E14" w:rsidRDefault="00FD5E14">
      <w:pPr>
        <w:jc w:val="both"/>
        <w:rPr>
          <w:rFonts w:ascii="Arial" w:eastAsia="Arial" w:hAnsi="Arial" w:cs="Arial"/>
        </w:rPr>
      </w:pPr>
    </w:p>
    <w:p w14:paraId="3D2FDCA2" w14:textId="77777777" w:rsidR="00FD5E14" w:rsidRDefault="00AC120D">
      <w:pPr>
        <w:jc w:val="both"/>
        <w:rPr>
          <w:rFonts w:ascii="Arial" w:eastAsia="Arial" w:hAnsi="Arial" w:cs="Arial"/>
          <w:b/>
          <w:bCs/>
        </w:rPr>
      </w:pPr>
      <w:r>
        <w:rPr>
          <w:rFonts w:ascii="Arial" w:eastAsia="Arial" w:hAnsi="Arial" w:cs="Arial"/>
          <w:b/>
          <w:bCs/>
        </w:rPr>
        <w:t>Data Analysis</w:t>
      </w:r>
    </w:p>
    <w:p w14:paraId="702FFA41" w14:textId="77777777" w:rsidR="00FD5E14" w:rsidRDefault="00AC120D">
      <w:pPr>
        <w:jc w:val="both"/>
        <w:rPr>
          <w:rFonts w:ascii="Arial" w:hAnsi="Arial" w:cs="Arial"/>
        </w:rPr>
      </w:pPr>
      <w:r>
        <w:rPr>
          <w:rFonts w:ascii="Arial" w:eastAsia="Arial" w:hAnsi="Arial" w:cs="Arial"/>
        </w:rPr>
        <w:t xml:space="preserve">Survey responses were analyzed using descriptive statistics and Spearman’s rho correlation to evaluate the significance of the relationship between nursing </w:t>
      </w:r>
      <w:proofErr w:type="gramStart"/>
      <w:r>
        <w:rPr>
          <w:rFonts w:ascii="Arial" w:eastAsia="Arial" w:hAnsi="Arial" w:cs="Arial"/>
        </w:rPr>
        <w:t>students</w:t>
      </w:r>
      <w:proofErr w:type="gramEnd"/>
      <w:r>
        <w:rPr>
          <w:rFonts w:ascii="Arial" w:eastAsia="Arial" w:hAnsi="Arial" w:cs="Arial"/>
        </w:rPr>
        <w:t xml:space="preserve"> knowledge and attitudes in providing care for individuals with AD.</w:t>
      </w:r>
    </w:p>
    <w:p w14:paraId="7BA093C9" w14:textId="77777777" w:rsidR="00FD5E14" w:rsidRDefault="00FD5E14">
      <w:pPr>
        <w:pStyle w:val="Body"/>
        <w:spacing w:after="0"/>
        <w:rPr>
          <w:rFonts w:ascii="Arial" w:hAnsi="Arial" w:cs="Arial"/>
        </w:rPr>
      </w:pPr>
    </w:p>
    <w:p w14:paraId="5A526FBE" w14:textId="77777777" w:rsidR="00FD5E14" w:rsidRDefault="00AC120D">
      <w:pPr>
        <w:pStyle w:val="Head1"/>
        <w:spacing w:after="0"/>
        <w:jc w:val="both"/>
        <w:rPr>
          <w:rFonts w:ascii="Arial" w:hAnsi="Arial" w:cs="Arial"/>
        </w:rPr>
      </w:pPr>
      <w:r>
        <w:rPr>
          <w:rFonts w:ascii="Arial" w:hAnsi="Arial" w:cs="Arial"/>
        </w:rPr>
        <w:t>3. results and discussi</w:t>
      </w:r>
      <w:r>
        <w:rPr>
          <w:rFonts w:ascii="Arial" w:hAnsi="Arial" w:cs="Arial"/>
        </w:rPr>
        <w:t>on</w:t>
      </w:r>
    </w:p>
    <w:p w14:paraId="2795B141" w14:textId="77777777" w:rsidR="00FD5E14" w:rsidRDefault="00FD5E14">
      <w:pPr>
        <w:pStyle w:val="Head1"/>
        <w:spacing w:after="0"/>
        <w:jc w:val="both"/>
        <w:rPr>
          <w:rFonts w:ascii="Arial" w:hAnsi="Arial" w:cs="Arial"/>
          <w:sz w:val="20"/>
        </w:rPr>
      </w:pPr>
    </w:p>
    <w:p w14:paraId="34BDCD4D" w14:textId="77777777" w:rsidR="00FD5E14" w:rsidRDefault="00AC120D">
      <w:pPr>
        <w:widowControl w:val="0"/>
        <w:spacing w:line="242" w:lineRule="auto"/>
        <w:ind w:firstLine="720"/>
        <w:jc w:val="center"/>
        <w:rPr>
          <w:rFonts w:ascii="Arial" w:eastAsia="Arial" w:hAnsi="Arial" w:cs="Arial"/>
          <w:b/>
          <w:bCs/>
          <w:color w:val="131413"/>
        </w:rPr>
      </w:pPr>
      <w:r>
        <w:rPr>
          <w:rFonts w:ascii="Arial" w:eastAsia="Arial" w:hAnsi="Arial" w:cs="Arial"/>
          <w:b/>
          <w:bCs/>
          <w:color w:val="131413"/>
        </w:rPr>
        <w:t>Descriptive Analysis</w:t>
      </w:r>
    </w:p>
    <w:p w14:paraId="7079CFC6" w14:textId="77777777" w:rsidR="00FD5E14" w:rsidRDefault="00FD5E14">
      <w:pPr>
        <w:widowControl w:val="0"/>
        <w:spacing w:line="242" w:lineRule="auto"/>
        <w:ind w:firstLine="720"/>
        <w:jc w:val="both"/>
        <w:rPr>
          <w:rFonts w:ascii="Arial" w:eastAsia="Arial" w:hAnsi="Arial" w:cs="Arial"/>
          <w:b/>
          <w:bCs/>
          <w:color w:val="131413"/>
        </w:rPr>
      </w:pPr>
    </w:p>
    <w:p w14:paraId="0C24BFBE" w14:textId="77777777" w:rsidR="00FD5E14" w:rsidRDefault="00AC120D">
      <w:pPr>
        <w:widowControl w:val="0"/>
        <w:spacing w:line="242" w:lineRule="auto"/>
        <w:jc w:val="both"/>
        <w:rPr>
          <w:rFonts w:ascii="Arial" w:eastAsia="Arial" w:hAnsi="Arial" w:cs="Arial"/>
          <w:color w:val="131413"/>
        </w:rPr>
      </w:pPr>
      <w:r>
        <w:rPr>
          <w:rFonts w:ascii="Arial" w:eastAsia="Arial" w:hAnsi="Arial" w:cs="Arial"/>
          <w:b/>
          <w:bCs/>
          <w:color w:val="131413"/>
        </w:rPr>
        <w:t>Profile of the Respondents</w:t>
      </w:r>
    </w:p>
    <w:p w14:paraId="78DC8335" w14:textId="77777777" w:rsidR="00FD5E14" w:rsidRDefault="00AC120D">
      <w:pPr>
        <w:widowControl w:val="0"/>
        <w:jc w:val="both"/>
        <w:rPr>
          <w:rFonts w:ascii="Arial" w:eastAsia="Arial" w:hAnsi="Arial" w:cs="Arial"/>
        </w:rPr>
      </w:pPr>
      <w:r>
        <w:rPr>
          <w:rFonts w:ascii="Arial" w:eastAsia="Arial" w:hAnsi="Arial" w:cs="Arial"/>
        </w:rPr>
        <w:t xml:space="preserve">The demographic distribution of the respondents according to year level is presented in Table 1. Out of the total number of respondents, more than four out of ten (45.8%) were third-year nursing </w:t>
      </w:r>
      <w:r>
        <w:rPr>
          <w:rFonts w:ascii="Arial" w:eastAsia="Arial" w:hAnsi="Arial" w:cs="Arial"/>
        </w:rPr>
        <w:t xml:space="preserve">students, while a slight majority (54.2%) were fourth-year nursing </w:t>
      </w:r>
      <w:r>
        <w:rPr>
          <w:rFonts w:ascii="Arial" w:eastAsia="Arial" w:hAnsi="Arial" w:cs="Arial"/>
        </w:rPr>
        <w:lastRenderedPageBreak/>
        <w:t>students. This indicates that most of the participants in the study were in their final year of the Bachelor of Science in Nursing program.</w:t>
      </w:r>
    </w:p>
    <w:p w14:paraId="3EA28862" w14:textId="77777777" w:rsidR="00FD5E14" w:rsidRDefault="00FD5E14">
      <w:pPr>
        <w:keepNext/>
        <w:jc w:val="both"/>
        <w:rPr>
          <w:rFonts w:ascii="Arial" w:eastAsia="Arial" w:hAnsi="Arial" w:cs="Arial"/>
          <w:smallCaps/>
        </w:rPr>
      </w:pPr>
    </w:p>
    <w:p w14:paraId="7C56E274" w14:textId="77777777" w:rsidR="00FD5E14" w:rsidRDefault="00AC120D">
      <w:pPr>
        <w:tabs>
          <w:tab w:val="left" w:pos="1080"/>
        </w:tabs>
        <w:jc w:val="both"/>
        <w:rPr>
          <w:rFonts w:ascii="Arial" w:eastAsia="Arial" w:hAnsi="Arial" w:cs="Arial"/>
          <w:b/>
          <w:bCs/>
        </w:rPr>
      </w:pPr>
      <w:r>
        <w:rPr>
          <w:rFonts w:ascii="Arial" w:eastAsia="Arial" w:hAnsi="Arial" w:cs="Arial"/>
          <w:b/>
          <w:bCs/>
        </w:rPr>
        <w:t>Table 1. Demographic Profile of Respondents</w:t>
      </w:r>
    </w:p>
    <w:tbl>
      <w:tblPr>
        <w:tblStyle w:val="Style135"/>
        <w:tblW w:w="8630"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876"/>
        <w:gridCol w:w="2877"/>
        <w:gridCol w:w="2877"/>
      </w:tblGrid>
      <w:tr w:rsidR="00FD5E14" w14:paraId="4BF874EF" w14:textId="77777777">
        <w:tc>
          <w:tcPr>
            <w:tcW w:w="2876" w:type="dxa"/>
            <w:tcBorders>
              <w:top w:val="single" w:sz="4" w:space="0" w:color="000000"/>
              <w:left w:val="nil"/>
              <w:bottom w:val="single" w:sz="4" w:space="0" w:color="000000"/>
              <w:right w:val="nil"/>
            </w:tcBorders>
            <w:tcMar>
              <w:top w:w="0" w:type="dxa"/>
              <w:left w:w="108" w:type="dxa"/>
              <w:bottom w:w="0" w:type="dxa"/>
              <w:right w:w="108" w:type="dxa"/>
            </w:tcMar>
          </w:tcPr>
          <w:p w14:paraId="2C3A6797" w14:textId="77777777" w:rsidR="00FD5E14" w:rsidRDefault="00AC120D">
            <w:pPr>
              <w:tabs>
                <w:tab w:val="left" w:pos="851"/>
              </w:tabs>
              <w:jc w:val="center"/>
              <w:rPr>
                <w:rFonts w:ascii="Garamond" w:hAnsi="Garamond" w:cs="Garamond"/>
                <w:b/>
                <w:bCs/>
              </w:rPr>
            </w:pPr>
            <w:r>
              <w:rPr>
                <w:rFonts w:ascii="Garamond" w:hAnsi="Garamond" w:cs="Garamond"/>
                <w:b/>
                <w:bCs/>
              </w:rPr>
              <w:t>Year</w:t>
            </w:r>
            <w:r>
              <w:rPr>
                <w:rFonts w:ascii="Garamond" w:hAnsi="Garamond" w:cs="Garamond"/>
                <w:b/>
                <w:bCs/>
              </w:rPr>
              <w:t xml:space="preserve"> Level</w:t>
            </w:r>
          </w:p>
        </w:tc>
        <w:tc>
          <w:tcPr>
            <w:tcW w:w="2877" w:type="dxa"/>
            <w:tcBorders>
              <w:top w:val="single" w:sz="4" w:space="0" w:color="000000"/>
              <w:left w:val="nil"/>
              <w:bottom w:val="single" w:sz="4" w:space="0" w:color="000000"/>
              <w:right w:val="nil"/>
            </w:tcBorders>
            <w:tcMar>
              <w:top w:w="0" w:type="dxa"/>
              <w:left w:w="108" w:type="dxa"/>
              <w:bottom w:w="0" w:type="dxa"/>
              <w:right w:w="108" w:type="dxa"/>
            </w:tcMar>
          </w:tcPr>
          <w:p w14:paraId="57A4D19D" w14:textId="77777777" w:rsidR="00FD5E14" w:rsidRDefault="00AC120D">
            <w:pPr>
              <w:tabs>
                <w:tab w:val="left" w:pos="851"/>
              </w:tabs>
              <w:jc w:val="center"/>
              <w:rPr>
                <w:rFonts w:ascii="Garamond" w:hAnsi="Garamond" w:cs="Garamond"/>
                <w:b/>
                <w:bCs/>
              </w:rPr>
            </w:pPr>
            <w:r>
              <w:rPr>
                <w:rFonts w:ascii="Garamond" w:hAnsi="Garamond" w:cs="Garamond"/>
                <w:b/>
                <w:bCs/>
              </w:rPr>
              <w:t>Frequency (</w:t>
            </w:r>
            <w:r>
              <w:rPr>
                <w:rFonts w:ascii="Garamond" w:hAnsi="Garamond" w:cs="Garamond"/>
                <w:b/>
                <w:bCs/>
                <w:i/>
                <w:iCs/>
                <w:color w:val="000000"/>
              </w:rPr>
              <w:t>f)</w:t>
            </w:r>
          </w:p>
        </w:tc>
        <w:tc>
          <w:tcPr>
            <w:tcW w:w="2877" w:type="dxa"/>
            <w:tcBorders>
              <w:top w:val="single" w:sz="4" w:space="0" w:color="000000"/>
              <w:left w:val="nil"/>
              <w:bottom w:val="single" w:sz="4" w:space="0" w:color="000000"/>
              <w:right w:val="nil"/>
            </w:tcBorders>
            <w:tcMar>
              <w:top w:w="0" w:type="dxa"/>
              <w:left w:w="108" w:type="dxa"/>
              <w:bottom w:w="0" w:type="dxa"/>
              <w:right w:w="108" w:type="dxa"/>
            </w:tcMar>
          </w:tcPr>
          <w:p w14:paraId="690A51FE" w14:textId="77777777" w:rsidR="00FD5E14" w:rsidRDefault="00AC120D">
            <w:pPr>
              <w:tabs>
                <w:tab w:val="left" w:pos="851"/>
              </w:tabs>
              <w:jc w:val="center"/>
              <w:rPr>
                <w:rFonts w:ascii="Garamond" w:hAnsi="Garamond" w:cs="Garamond"/>
                <w:b/>
                <w:bCs/>
              </w:rPr>
            </w:pPr>
            <w:r>
              <w:rPr>
                <w:rFonts w:ascii="Garamond" w:hAnsi="Garamond" w:cs="Garamond"/>
                <w:b/>
                <w:bCs/>
              </w:rPr>
              <w:t>Percentage (</w:t>
            </w:r>
            <w:r>
              <w:rPr>
                <w:rFonts w:ascii="Garamond" w:hAnsi="Garamond" w:cs="Garamond"/>
                <w:b/>
                <w:bCs/>
                <w:i/>
                <w:iCs/>
              </w:rPr>
              <w:t>%</w:t>
            </w:r>
            <w:r>
              <w:rPr>
                <w:rFonts w:ascii="Garamond" w:hAnsi="Garamond" w:cs="Garamond"/>
                <w:b/>
                <w:bCs/>
              </w:rPr>
              <w:t>)</w:t>
            </w:r>
          </w:p>
        </w:tc>
      </w:tr>
      <w:tr w:rsidR="00FD5E14" w14:paraId="094EED3D" w14:textId="77777777">
        <w:tc>
          <w:tcPr>
            <w:tcW w:w="2876" w:type="dxa"/>
            <w:tcBorders>
              <w:top w:val="single" w:sz="4" w:space="0" w:color="000000"/>
              <w:left w:val="nil"/>
              <w:bottom w:val="nil"/>
              <w:right w:val="nil"/>
            </w:tcBorders>
            <w:tcMar>
              <w:top w:w="0" w:type="dxa"/>
              <w:left w:w="108" w:type="dxa"/>
              <w:bottom w:w="0" w:type="dxa"/>
              <w:right w:w="108" w:type="dxa"/>
            </w:tcMar>
          </w:tcPr>
          <w:p w14:paraId="15AAD1BD" w14:textId="77777777" w:rsidR="00FD5E14" w:rsidRDefault="00AC120D">
            <w:pPr>
              <w:tabs>
                <w:tab w:val="left" w:pos="851"/>
              </w:tabs>
              <w:jc w:val="center"/>
              <w:rPr>
                <w:rFonts w:ascii="Garamond" w:hAnsi="Garamond" w:cs="Garamond"/>
              </w:rPr>
            </w:pPr>
            <w:r>
              <w:rPr>
                <w:rFonts w:ascii="Garamond" w:hAnsi="Garamond" w:cs="Garamond"/>
              </w:rPr>
              <w:t>Level 3</w:t>
            </w:r>
          </w:p>
        </w:tc>
        <w:tc>
          <w:tcPr>
            <w:tcW w:w="2877" w:type="dxa"/>
            <w:tcBorders>
              <w:top w:val="single" w:sz="4" w:space="0" w:color="000000"/>
              <w:left w:val="nil"/>
              <w:bottom w:val="nil"/>
              <w:right w:val="nil"/>
            </w:tcBorders>
            <w:tcMar>
              <w:top w:w="0" w:type="dxa"/>
              <w:left w:w="108" w:type="dxa"/>
              <w:bottom w:w="0" w:type="dxa"/>
              <w:right w:w="108" w:type="dxa"/>
            </w:tcMar>
          </w:tcPr>
          <w:p w14:paraId="553CFC20" w14:textId="77777777" w:rsidR="00FD5E14" w:rsidRDefault="00AC120D">
            <w:pPr>
              <w:tabs>
                <w:tab w:val="left" w:pos="851"/>
              </w:tabs>
              <w:jc w:val="center"/>
              <w:rPr>
                <w:rFonts w:ascii="Garamond" w:hAnsi="Garamond" w:cs="Garamond"/>
              </w:rPr>
            </w:pPr>
            <w:r>
              <w:rPr>
                <w:rFonts w:ascii="Garamond" w:hAnsi="Garamond" w:cs="Garamond"/>
              </w:rPr>
              <w:t>126</w:t>
            </w:r>
          </w:p>
        </w:tc>
        <w:tc>
          <w:tcPr>
            <w:tcW w:w="2877" w:type="dxa"/>
            <w:tcBorders>
              <w:top w:val="single" w:sz="4" w:space="0" w:color="000000"/>
              <w:left w:val="nil"/>
              <w:bottom w:val="nil"/>
              <w:right w:val="nil"/>
            </w:tcBorders>
            <w:tcMar>
              <w:top w:w="0" w:type="dxa"/>
              <w:left w:w="108" w:type="dxa"/>
              <w:bottom w:w="0" w:type="dxa"/>
              <w:right w:w="108" w:type="dxa"/>
            </w:tcMar>
          </w:tcPr>
          <w:p w14:paraId="1FA147DF" w14:textId="77777777" w:rsidR="00FD5E14" w:rsidRDefault="00AC120D">
            <w:pPr>
              <w:tabs>
                <w:tab w:val="left" w:pos="851"/>
              </w:tabs>
              <w:jc w:val="center"/>
              <w:rPr>
                <w:rFonts w:ascii="Garamond" w:hAnsi="Garamond" w:cs="Garamond"/>
              </w:rPr>
            </w:pPr>
            <w:r>
              <w:rPr>
                <w:rFonts w:ascii="Garamond" w:hAnsi="Garamond" w:cs="Garamond"/>
              </w:rPr>
              <w:t>45.8%</w:t>
            </w:r>
          </w:p>
        </w:tc>
      </w:tr>
      <w:tr w:rsidR="00FD5E14" w14:paraId="6B3C4932" w14:textId="77777777">
        <w:tc>
          <w:tcPr>
            <w:tcW w:w="2876" w:type="dxa"/>
            <w:tcBorders>
              <w:top w:val="nil"/>
              <w:left w:val="nil"/>
              <w:bottom w:val="nil"/>
              <w:right w:val="nil"/>
            </w:tcBorders>
            <w:tcMar>
              <w:top w:w="0" w:type="dxa"/>
              <w:left w:w="108" w:type="dxa"/>
              <w:bottom w:w="0" w:type="dxa"/>
              <w:right w:w="108" w:type="dxa"/>
            </w:tcMar>
          </w:tcPr>
          <w:p w14:paraId="33EFEB9E" w14:textId="77777777" w:rsidR="00FD5E14" w:rsidRDefault="00AC120D">
            <w:pPr>
              <w:tabs>
                <w:tab w:val="left" w:pos="851"/>
              </w:tabs>
              <w:jc w:val="center"/>
              <w:rPr>
                <w:rFonts w:ascii="Garamond" w:hAnsi="Garamond" w:cs="Garamond"/>
              </w:rPr>
            </w:pPr>
            <w:r>
              <w:rPr>
                <w:rFonts w:ascii="Garamond" w:hAnsi="Garamond" w:cs="Garamond"/>
              </w:rPr>
              <w:t>Level 4</w:t>
            </w:r>
          </w:p>
        </w:tc>
        <w:tc>
          <w:tcPr>
            <w:tcW w:w="2877" w:type="dxa"/>
            <w:tcBorders>
              <w:top w:val="nil"/>
              <w:left w:val="nil"/>
              <w:bottom w:val="nil"/>
              <w:right w:val="nil"/>
            </w:tcBorders>
            <w:tcMar>
              <w:top w:w="0" w:type="dxa"/>
              <w:left w:w="108" w:type="dxa"/>
              <w:bottom w:w="0" w:type="dxa"/>
              <w:right w:w="108" w:type="dxa"/>
            </w:tcMar>
          </w:tcPr>
          <w:p w14:paraId="162ED78E" w14:textId="77777777" w:rsidR="00FD5E14" w:rsidRDefault="00AC120D">
            <w:pPr>
              <w:tabs>
                <w:tab w:val="left" w:pos="851"/>
              </w:tabs>
              <w:jc w:val="center"/>
              <w:rPr>
                <w:rFonts w:ascii="Garamond" w:hAnsi="Garamond" w:cs="Garamond"/>
              </w:rPr>
            </w:pPr>
            <w:r>
              <w:rPr>
                <w:rFonts w:ascii="Garamond" w:hAnsi="Garamond" w:cs="Garamond"/>
              </w:rPr>
              <w:t>149</w:t>
            </w:r>
          </w:p>
        </w:tc>
        <w:tc>
          <w:tcPr>
            <w:tcW w:w="2877" w:type="dxa"/>
            <w:tcBorders>
              <w:top w:val="nil"/>
              <w:left w:val="nil"/>
              <w:bottom w:val="nil"/>
              <w:right w:val="nil"/>
            </w:tcBorders>
            <w:tcMar>
              <w:top w:w="0" w:type="dxa"/>
              <w:left w:w="108" w:type="dxa"/>
              <w:bottom w:w="0" w:type="dxa"/>
              <w:right w:w="108" w:type="dxa"/>
            </w:tcMar>
          </w:tcPr>
          <w:p w14:paraId="1E101D2F" w14:textId="77777777" w:rsidR="00FD5E14" w:rsidRDefault="00AC120D">
            <w:pPr>
              <w:tabs>
                <w:tab w:val="left" w:pos="851"/>
              </w:tabs>
              <w:jc w:val="center"/>
              <w:rPr>
                <w:rFonts w:ascii="Garamond" w:hAnsi="Garamond" w:cs="Garamond"/>
              </w:rPr>
            </w:pPr>
            <w:r>
              <w:rPr>
                <w:rFonts w:ascii="Garamond" w:hAnsi="Garamond" w:cs="Garamond"/>
              </w:rPr>
              <w:t>54.2%</w:t>
            </w:r>
          </w:p>
        </w:tc>
      </w:tr>
      <w:tr w:rsidR="00FD5E14" w14:paraId="6F470CEE" w14:textId="77777777">
        <w:tc>
          <w:tcPr>
            <w:tcW w:w="2876" w:type="dxa"/>
            <w:tcBorders>
              <w:top w:val="nil"/>
              <w:left w:val="nil"/>
              <w:bottom w:val="single" w:sz="4" w:space="0" w:color="auto"/>
              <w:right w:val="nil"/>
            </w:tcBorders>
            <w:tcMar>
              <w:top w:w="0" w:type="dxa"/>
              <w:left w:w="108" w:type="dxa"/>
              <w:bottom w:w="0" w:type="dxa"/>
              <w:right w:w="108" w:type="dxa"/>
            </w:tcMar>
          </w:tcPr>
          <w:p w14:paraId="02D0FB0E" w14:textId="77777777" w:rsidR="00FD5E14" w:rsidRDefault="00AC120D">
            <w:pPr>
              <w:tabs>
                <w:tab w:val="left" w:pos="851"/>
              </w:tabs>
              <w:rPr>
                <w:rFonts w:ascii="Garamond" w:hAnsi="Garamond" w:cs="Garamond"/>
                <w:b/>
                <w:bCs/>
              </w:rPr>
            </w:pPr>
            <w:r>
              <w:rPr>
                <w:rFonts w:ascii="Garamond" w:hAnsi="Garamond" w:cs="Garamond"/>
                <w:b/>
                <w:bCs/>
              </w:rPr>
              <w:t>Total</w:t>
            </w:r>
          </w:p>
        </w:tc>
        <w:tc>
          <w:tcPr>
            <w:tcW w:w="2877" w:type="dxa"/>
            <w:tcBorders>
              <w:top w:val="nil"/>
              <w:left w:val="nil"/>
              <w:bottom w:val="single" w:sz="4" w:space="0" w:color="auto"/>
              <w:right w:val="nil"/>
            </w:tcBorders>
            <w:tcMar>
              <w:top w:w="0" w:type="dxa"/>
              <w:left w:w="108" w:type="dxa"/>
              <w:bottom w:w="0" w:type="dxa"/>
              <w:right w:w="108" w:type="dxa"/>
            </w:tcMar>
          </w:tcPr>
          <w:p w14:paraId="263BED2D" w14:textId="77777777" w:rsidR="00FD5E14" w:rsidRDefault="00AC120D">
            <w:pPr>
              <w:tabs>
                <w:tab w:val="left" w:pos="851"/>
              </w:tabs>
              <w:jc w:val="center"/>
              <w:rPr>
                <w:rFonts w:ascii="Garamond" w:hAnsi="Garamond" w:cs="Garamond"/>
              </w:rPr>
            </w:pPr>
            <w:r>
              <w:rPr>
                <w:rFonts w:ascii="Garamond" w:hAnsi="Garamond" w:cs="Garamond"/>
              </w:rPr>
              <w:t>275</w:t>
            </w:r>
          </w:p>
        </w:tc>
        <w:tc>
          <w:tcPr>
            <w:tcW w:w="2877" w:type="dxa"/>
            <w:tcBorders>
              <w:top w:val="nil"/>
              <w:left w:val="nil"/>
              <w:bottom w:val="single" w:sz="4" w:space="0" w:color="auto"/>
              <w:right w:val="nil"/>
            </w:tcBorders>
            <w:tcMar>
              <w:top w:w="0" w:type="dxa"/>
              <w:left w:w="108" w:type="dxa"/>
              <w:bottom w:w="0" w:type="dxa"/>
              <w:right w:w="108" w:type="dxa"/>
            </w:tcMar>
          </w:tcPr>
          <w:p w14:paraId="6406ADD1" w14:textId="77777777" w:rsidR="00FD5E14" w:rsidRDefault="00AC120D">
            <w:pPr>
              <w:tabs>
                <w:tab w:val="left" w:pos="851"/>
              </w:tabs>
              <w:jc w:val="center"/>
              <w:rPr>
                <w:rFonts w:ascii="Garamond" w:hAnsi="Garamond" w:cs="Garamond"/>
              </w:rPr>
            </w:pPr>
            <w:r>
              <w:rPr>
                <w:rFonts w:ascii="Garamond" w:hAnsi="Garamond" w:cs="Garamond"/>
              </w:rPr>
              <w:t>100</w:t>
            </w:r>
          </w:p>
        </w:tc>
      </w:tr>
    </w:tbl>
    <w:p w14:paraId="13C7F6C8" w14:textId="77777777" w:rsidR="00FD5E14" w:rsidRDefault="00FD5E14">
      <w:pPr>
        <w:tabs>
          <w:tab w:val="left" w:pos="1080"/>
        </w:tabs>
        <w:jc w:val="both"/>
        <w:rPr>
          <w:rFonts w:ascii="Arial" w:eastAsia="Arial" w:hAnsi="Arial" w:cs="Arial"/>
          <w:b/>
          <w:bCs/>
          <w:color w:val="000000"/>
        </w:rPr>
      </w:pPr>
    </w:p>
    <w:p w14:paraId="795314EB" w14:textId="77777777" w:rsidR="00FD5E14" w:rsidRDefault="00FD5E14">
      <w:pPr>
        <w:tabs>
          <w:tab w:val="left" w:pos="1080"/>
        </w:tabs>
        <w:jc w:val="both"/>
        <w:rPr>
          <w:rFonts w:ascii="Arial" w:eastAsia="Arial" w:hAnsi="Arial" w:cs="Arial"/>
          <w:b/>
          <w:bCs/>
          <w:color w:val="000000"/>
        </w:rPr>
      </w:pPr>
    </w:p>
    <w:p w14:paraId="03567968" w14:textId="77777777" w:rsidR="00FD5E14" w:rsidRDefault="00AC120D">
      <w:pPr>
        <w:jc w:val="both"/>
        <w:rPr>
          <w:rFonts w:ascii="Arial" w:eastAsia="Arial" w:hAnsi="Arial" w:cs="Arial"/>
          <w:b/>
          <w:bCs/>
        </w:rPr>
      </w:pPr>
      <w:r>
        <w:rPr>
          <w:rFonts w:ascii="Arial" w:eastAsia="Arial" w:hAnsi="Arial" w:cs="Arial"/>
          <w:b/>
          <w:bCs/>
        </w:rPr>
        <w:t>Level of Knowledge</w:t>
      </w:r>
    </w:p>
    <w:p w14:paraId="277C2BFA" w14:textId="77777777" w:rsidR="00FD5E14" w:rsidRDefault="00AC120D">
      <w:pPr>
        <w:jc w:val="both"/>
        <w:rPr>
          <w:rFonts w:ascii="Arial" w:eastAsia="Arial" w:hAnsi="Arial" w:cs="Arial"/>
        </w:rPr>
      </w:pPr>
      <w:r>
        <w:rPr>
          <w:rFonts w:ascii="Arial" w:eastAsia="Arial" w:hAnsi="Arial" w:cs="Arial"/>
        </w:rPr>
        <w:t xml:space="preserve">The level of knowledge regarding the care of patients with AD was assessed based on the respondents’ answers to each questionnaire item. Each </w:t>
      </w:r>
      <w:r>
        <w:rPr>
          <w:rFonts w:ascii="Arial" w:eastAsia="Arial" w:hAnsi="Arial" w:cs="Arial"/>
        </w:rPr>
        <w:t xml:space="preserve">indicator was assigned a numerical value representing the respondents’ level of knowledge, with higher scores indicating greater knowledge. Overall, the findings revealed that the respondents demonstrated a moderate level of knowledge, as reflected by the </w:t>
      </w:r>
      <w:r>
        <w:rPr>
          <w:rFonts w:ascii="Arial" w:eastAsia="Arial" w:hAnsi="Arial" w:cs="Arial"/>
        </w:rPr>
        <w:t>overall mean score of 18 out of 30.</w:t>
      </w:r>
    </w:p>
    <w:p w14:paraId="61AFDB34" w14:textId="77777777" w:rsidR="00FD5E14" w:rsidRDefault="00FD5E14">
      <w:pPr>
        <w:jc w:val="both"/>
        <w:rPr>
          <w:rFonts w:ascii="Arial" w:eastAsia="Arial" w:hAnsi="Arial" w:cs="Arial"/>
        </w:rPr>
      </w:pPr>
    </w:p>
    <w:p w14:paraId="32793B60" w14:textId="77777777" w:rsidR="00FD5E14" w:rsidRDefault="00AC120D">
      <w:pPr>
        <w:jc w:val="both"/>
        <w:rPr>
          <w:rFonts w:ascii="Arial" w:eastAsia="Arial" w:hAnsi="Arial" w:cs="Arial"/>
        </w:rPr>
      </w:pPr>
      <w:r>
        <w:rPr>
          <w:rFonts w:ascii="Arial" w:eastAsia="Arial" w:hAnsi="Arial" w:cs="Arial"/>
        </w:rPr>
        <w:t>Knowledge was further analyzed across several subdomains:</w:t>
      </w:r>
    </w:p>
    <w:p w14:paraId="6FE79169" w14:textId="77777777" w:rsidR="00FD5E14" w:rsidRDefault="00FD5E14">
      <w:pPr>
        <w:jc w:val="both"/>
        <w:rPr>
          <w:rFonts w:ascii="Arial" w:eastAsia="Arial" w:hAnsi="Arial" w:cs="Arial"/>
        </w:rPr>
      </w:pPr>
    </w:p>
    <w:p w14:paraId="21C26A8C" w14:textId="77777777" w:rsidR="00FD5E14" w:rsidRDefault="00AC120D">
      <w:pPr>
        <w:jc w:val="both"/>
        <w:rPr>
          <w:rFonts w:ascii="Arial" w:eastAsia="Arial" w:hAnsi="Arial" w:cs="Arial"/>
        </w:rPr>
      </w:pPr>
      <w:r>
        <w:rPr>
          <w:rFonts w:ascii="Arial" w:eastAsia="Arial" w:hAnsi="Arial" w:cs="Arial"/>
        </w:rPr>
        <w:t>Under the Symptoms domain, the overall mean score was 2.75 out of 4, indicating a relatively high level of knowledge. The highest indicator showed that 88% of t</w:t>
      </w:r>
      <w:r>
        <w:rPr>
          <w:rFonts w:ascii="Arial" w:eastAsia="Arial" w:hAnsi="Arial" w:cs="Arial"/>
        </w:rPr>
        <w:t>he respondents correctly identified difficulty managing finances or paying bills as a common early symptom of AD. In contrast, the lowest score (48.4%) indicated that fewer respondents correctly recognized that tremors or hand shaking are not symptoms of A</w:t>
      </w:r>
      <w:r>
        <w:rPr>
          <w:rFonts w:ascii="Arial" w:eastAsia="Arial" w:hAnsi="Arial" w:cs="Arial"/>
        </w:rPr>
        <w:t>D.</w:t>
      </w:r>
    </w:p>
    <w:p w14:paraId="3A7E4B03" w14:textId="77777777" w:rsidR="00FD5E14" w:rsidRDefault="00FD5E14">
      <w:pPr>
        <w:jc w:val="both"/>
        <w:rPr>
          <w:rFonts w:ascii="Arial" w:eastAsia="Arial" w:hAnsi="Arial" w:cs="Arial"/>
        </w:rPr>
      </w:pPr>
    </w:p>
    <w:p w14:paraId="1A1076E0" w14:textId="77777777" w:rsidR="00FD5E14" w:rsidRDefault="00AC120D">
      <w:pPr>
        <w:jc w:val="both"/>
        <w:rPr>
          <w:rFonts w:ascii="Arial" w:eastAsia="Arial" w:hAnsi="Arial" w:cs="Arial"/>
        </w:rPr>
      </w:pPr>
      <w:r>
        <w:rPr>
          <w:rFonts w:ascii="Arial" w:eastAsia="Arial" w:hAnsi="Arial" w:cs="Arial"/>
        </w:rPr>
        <w:t>Under the Risk Factors domain, the overall mean score was 3.92 out of 6, reflecting a moderate level of knowledge. The highest indicator (76.7%) showed that respondents correctly identified high blood pressure as a risk factor for developing AD. Howeve</w:t>
      </w:r>
      <w:r>
        <w:rPr>
          <w:rFonts w:ascii="Arial" w:eastAsia="Arial" w:hAnsi="Arial" w:cs="Arial"/>
        </w:rPr>
        <w:t>r, only 35.6% correctly recognized that the statement claiming exercise has been scientifically proven to prevent AD is inaccurate.</w:t>
      </w:r>
    </w:p>
    <w:p w14:paraId="04AD3F7A" w14:textId="77777777" w:rsidR="00FD5E14" w:rsidRDefault="00FD5E14">
      <w:pPr>
        <w:jc w:val="both"/>
        <w:rPr>
          <w:rFonts w:ascii="Arial" w:eastAsia="Arial" w:hAnsi="Arial" w:cs="Arial"/>
        </w:rPr>
      </w:pPr>
    </w:p>
    <w:p w14:paraId="0568E578" w14:textId="77777777" w:rsidR="00FD5E14" w:rsidRDefault="00AC120D">
      <w:pPr>
        <w:jc w:val="both"/>
        <w:rPr>
          <w:rFonts w:ascii="Arial" w:eastAsia="Arial" w:hAnsi="Arial" w:cs="Arial"/>
        </w:rPr>
      </w:pPr>
      <w:r>
        <w:rPr>
          <w:rFonts w:ascii="Arial" w:eastAsia="Arial" w:hAnsi="Arial" w:cs="Arial"/>
        </w:rPr>
        <w:t>In the Assessment and Diagnosis domain, the overall mean score was 3.20 out of 4, indicating an adequate level of knowledge</w:t>
      </w:r>
      <w:r>
        <w:rPr>
          <w:rFonts w:ascii="Arial" w:eastAsia="Arial" w:hAnsi="Arial" w:cs="Arial"/>
        </w:rPr>
        <w:t>. A high percentage of respondents (94.2%) correctly identified AD as a type of dementia. Conversely, only 42.9% correctly recognized that the sudden onset of memory loss and confusion is unlikely to be caused by AD.</w:t>
      </w:r>
    </w:p>
    <w:p w14:paraId="2437DE46" w14:textId="77777777" w:rsidR="00FD5E14" w:rsidRDefault="00AC120D">
      <w:pPr>
        <w:jc w:val="both"/>
        <w:rPr>
          <w:rFonts w:ascii="Arial" w:eastAsia="Arial" w:hAnsi="Arial" w:cs="Arial"/>
        </w:rPr>
      </w:pPr>
      <w:r>
        <w:rPr>
          <w:rFonts w:ascii="Arial" w:eastAsia="Arial" w:hAnsi="Arial" w:cs="Arial"/>
        </w:rPr>
        <w:tab/>
      </w:r>
    </w:p>
    <w:p w14:paraId="0E56E751" w14:textId="77777777" w:rsidR="00FD5E14" w:rsidRDefault="00AC120D">
      <w:pPr>
        <w:jc w:val="both"/>
        <w:rPr>
          <w:rFonts w:ascii="Arial" w:eastAsia="Arial" w:hAnsi="Arial" w:cs="Arial"/>
        </w:rPr>
      </w:pPr>
      <w:r>
        <w:rPr>
          <w:rFonts w:ascii="Arial" w:eastAsia="Arial" w:hAnsi="Arial" w:cs="Arial"/>
        </w:rPr>
        <w:t>Under the Course of the Disease domai</w:t>
      </w:r>
      <w:r>
        <w:rPr>
          <w:rFonts w:ascii="Arial" w:eastAsia="Arial" w:hAnsi="Arial" w:cs="Arial"/>
        </w:rPr>
        <w:t>n, the overall mean score was 3.23 out of 4, indicating a strong level of knowledge. The majority of respondents (93.8%) correctly answered that the risk of falling increases as AD progresses. However, 62.5% correctly identified that the statement claiming</w:t>
      </w:r>
      <w:r>
        <w:rPr>
          <w:rFonts w:ascii="Arial" w:eastAsia="Arial" w:hAnsi="Arial" w:cs="Arial"/>
        </w:rPr>
        <w:t xml:space="preserve"> people with AD recover in rare cases is a misconception.</w:t>
      </w:r>
    </w:p>
    <w:p w14:paraId="36F4D7A2" w14:textId="77777777" w:rsidR="00FD5E14" w:rsidRDefault="00FD5E14">
      <w:pPr>
        <w:jc w:val="both"/>
        <w:rPr>
          <w:rFonts w:ascii="Arial" w:eastAsia="Arial" w:hAnsi="Arial" w:cs="Arial"/>
        </w:rPr>
      </w:pPr>
    </w:p>
    <w:p w14:paraId="6A012715" w14:textId="77777777" w:rsidR="00FD5E14" w:rsidRDefault="00AC120D">
      <w:pPr>
        <w:jc w:val="both"/>
        <w:rPr>
          <w:rFonts w:ascii="Arial" w:eastAsia="Arial" w:hAnsi="Arial" w:cs="Arial"/>
        </w:rPr>
      </w:pPr>
      <w:r>
        <w:rPr>
          <w:rFonts w:ascii="Arial" w:eastAsia="Arial" w:hAnsi="Arial" w:cs="Arial"/>
        </w:rPr>
        <w:t>For the Life Impact domain, the overall mean score was 2.01 out of 3, indicating an adequate level of knowledge. A high proportion of respondents (96%) correctly identified depression as common amo</w:t>
      </w:r>
      <w:r>
        <w:rPr>
          <w:rFonts w:ascii="Arial" w:eastAsia="Arial" w:hAnsi="Arial" w:cs="Arial"/>
        </w:rPr>
        <w:t>ng individuals with AD. However, a lower percentage (75%) correctly recognized that the statement claiming most people with AD live in nursing homes is untrue.</w:t>
      </w:r>
    </w:p>
    <w:p w14:paraId="49454A89" w14:textId="77777777" w:rsidR="00FD5E14" w:rsidRDefault="00FD5E14">
      <w:pPr>
        <w:jc w:val="both"/>
        <w:rPr>
          <w:rFonts w:ascii="Arial" w:eastAsia="Arial" w:hAnsi="Arial" w:cs="Arial"/>
        </w:rPr>
      </w:pPr>
    </w:p>
    <w:p w14:paraId="024957EB" w14:textId="77777777" w:rsidR="00FD5E14" w:rsidRDefault="00AC120D">
      <w:pPr>
        <w:jc w:val="both"/>
        <w:rPr>
          <w:rFonts w:ascii="Arial" w:eastAsia="Arial" w:hAnsi="Arial" w:cs="Arial"/>
        </w:rPr>
      </w:pPr>
      <w:r>
        <w:rPr>
          <w:rFonts w:ascii="Arial" w:eastAsia="Arial" w:hAnsi="Arial" w:cs="Arial"/>
        </w:rPr>
        <w:t>Under the Caregiving domain, the overall mean score was 2.57 out of 5, indicating the lowest le</w:t>
      </w:r>
      <w:r>
        <w:rPr>
          <w:rFonts w:ascii="Arial" w:eastAsia="Arial" w:hAnsi="Arial" w:cs="Arial"/>
        </w:rPr>
        <w:t>vel of knowledge among the domains and suggesting that further knowledge enhancement is needed in this area. The highest indicator (85.5%) reflected the correct identification of ensuring adequate daytime physical activity as an effective strategy for mana</w:t>
      </w:r>
      <w:r>
        <w:rPr>
          <w:rFonts w:ascii="Arial" w:eastAsia="Arial" w:hAnsi="Arial" w:cs="Arial"/>
        </w:rPr>
        <w:t xml:space="preserve">ging nighttime agitation. In contrast, the lowest indicator (25.5%) showed that only a </w:t>
      </w:r>
      <w:r>
        <w:rPr>
          <w:rFonts w:ascii="Arial" w:eastAsia="Arial" w:hAnsi="Arial" w:cs="Arial"/>
        </w:rPr>
        <w:lastRenderedPageBreak/>
        <w:t>small proportion of respondents correctly recognized the misconception that caregivers should immediately take over when individuals with AD begin to have difficulty car</w:t>
      </w:r>
      <w:r>
        <w:rPr>
          <w:rFonts w:ascii="Arial" w:eastAsia="Arial" w:hAnsi="Arial" w:cs="Arial"/>
        </w:rPr>
        <w:t>ing for themselves.</w:t>
      </w:r>
    </w:p>
    <w:p w14:paraId="52BE864C" w14:textId="77777777" w:rsidR="00FD5E14" w:rsidRDefault="00FD5E14">
      <w:pPr>
        <w:jc w:val="both"/>
        <w:rPr>
          <w:rFonts w:ascii="Arial" w:eastAsia="Arial" w:hAnsi="Arial" w:cs="Arial"/>
        </w:rPr>
      </w:pPr>
    </w:p>
    <w:p w14:paraId="7232E6BA" w14:textId="77777777" w:rsidR="00FD5E14" w:rsidRDefault="00AC120D">
      <w:pPr>
        <w:jc w:val="both"/>
        <w:rPr>
          <w:rFonts w:ascii="Arial" w:eastAsia="Arial" w:hAnsi="Arial" w:cs="Arial"/>
        </w:rPr>
      </w:pPr>
      <w:r>
        <w:rPr>
          <w:rFonts w:ascii="Arial" w:eastAsia="Arial" w:hAnsi="Arial" w:cs="Arial"/>
        </w:rPr>
        <w:t>In the Treatment and Management domain, the overall mean score was 3.23 out of 4, indicating a strong level of knowledge. The item stating that poor nutrition can worsen AD symptoms received the highest correct response rate (96%). Mea</w:t>
      </w:r>
      <w:r>
        <w:rPr>
          <w:rFonts w:ascii="Arial" w:eastAsia="Arial" w:hAnsi="Arial" w:cs="Arial"/>
        </w:rPr>
        <w:t>nwhile, the statement that using reminder notes serves as a crutch that may contribute to decline was correctly identified as untrue by fewer respondents, yielding a score of 46.9%.</w:t>
      </w:r>
    </w:p>
    <w:p w14:paraId="25CA6B9A" w14:textId="77777777" w:rsidR="00FD5E14" w:rsidRDefault="00FD5E14">
      <w:pPr>
        <w:jc w:val="both"/>
        <w:rPr>
          <w:rFonts w:ascii="Arial" w:eastAsia="Arial" w:hAnsi="Arial" w:cs="Arial"/>
        </w:rPr>
      </w:pPr>
    </w:p>
    <w:p w14:paraId="618EBA80" w14:textId="77777777" w:rsidR="00FD5E14" w:rsidRDefault="00AC120D">
      <w:pPr>
        <w:jc w:val="both"/>
        <w:rPr>
          <w:rFonts w:ascii="Arial" w:eastAsia="Arial" w:hAnsi="Arial" w:cs="Arial"/>
        </w:rPr>
      </w:pPr>
      <w:r>
        <w:rPr>
          <w:rFonts w:ascii="Arial" w:eastAsia="Arial" w:hAnsi="Arial" w:cs="Arial"/>
        </w:rPr>
        <w:t>These findings support the results of a study conducted among Egyptian me</w:t>
      </w:r>
      <w:r>
        <w:rPr>
          <w:rFonts w:ascii="Arial" w:eastAsia="Arial" w:hAnsi="Arial" w:cs="Arial"/>
        </w:rPr>
        <w:t>dical students, in which the highest percentage of correct responses was observed in the treatment and management domain, while the lowest percentage was found in the caregiving domain (Samir et al., 2025). Table 2a presents the detailed data.</w:t>
      </w:r>
    </w:p>
    <w:p w14:paraId="3B95AC3F" w14:textId="77777777" w:rsidR="00FD5E14" w:rsidRDefault="00FD5E14">
      <w:pPr>
        <w:jc w:val="both"/>
        <w:rPr>
          <w:rFonts w:ascii="Arial" w:eastAsia="Arial" w:hAnsi="Arial" w:cs="Arial"/>
        </w:rPr>
      </w:pPr>
    </w:p>
    <w:p w14:paraId="77FDCE5E" w14:textId="77777777" w:rsidR="00FD5E14" w:rsidRDefault="00AC120D">
      <w:pPr>
        <w:widowControl w:val="0"/>
        <w:jc w:val="both"/>
        <w:rPr>
          <w:rFonts w:ascii="Arial" w:eastAsia="Arial" w:hAnsi="Arial" w:cs="Arial"/>
          <w:b/>
          <w:bCs/>
        </w:rPr>
      </w:pPr>
      <w:r>
        <w:rPr>
          <w:rFonts w:ascii="Arial" w:eastAsia="Arial" w:hAnsi="Arial" w:cs="Arial"/>
          <w:b/>
          <w:bCs/>
        </w:rPr>
        <w:t>Table 2a. D</w:t>
      </w:r>
      <w:r>
        <w:rPr>
          <w:rFonts w:ascii="Arial" w:eastAsia="Arial" w:hAnsi="Arial" w:cs="Arial"/>
          <w:b/>
          <w:bCs/>
        </w:rPr>
        <w:t xml:space="preserve">istribution of </w:t>
      </w:r>
      <w:proofErr w:type="spellStart"/>
      <w:r>
        <w:rPr>
          <w:rFonts w:ascii="Arial" w:eastAsia="Arial" w:hAnsi="Arial" w:cs="Arial"/>
          <w:b/>
          <w:bCs/>
        </w:rPr>
        <w:t>respondes</w:t>
      </w:r>
      <w:proofErr w:type="spellEnd"/>
      <w:r>
        <w:rPr>
          <w:rFonts w:ascii="Arial" w:eastAsia="Arial" w:hAnsi="Arial" w:cs="Arial"/>
          <w:b/>
          <w:bCs/>
        </w:rPr>
        <w:t xml:space="preserve"> on Alzheimer’s Disease Knowledge Scale (n=275)</w:t>
      </w:r>
    </w:p>
    <w:tbl>
      <w:tblPr>
        <w:tblStyle w:val="Style136"/>
        <w:tblW w:w="10843" w:type="dxa"/>
        <w:jc w:val="center"/>
        <w:tblInd w:w="0" w:type="dxa"/>
        <w:tblLayout w:type="fixed"/>
        <w:tblLook w:val="04A0" w:firstRow="1" w:lastRow="0" w:firstColumn="1" w:lastColumn="0" w:noHBand="0" w:noVBand="1"/>
      </w:tblPr>
      <w:tblGrid>
        <w:gridCol w:w="8293"/>
        <w:gridCol w:w="1453"/>
        <w:gridCol w:w="1097"/>
      </w:tblGrid>
      <w:tr w:rsidR="00FD5E14" w14:paraId="76682FA7" w14:textId="77777777">
        <w:trPr>
          <w:trHeight w:val="227"/>
          <w:jc w:val="center"/>
        </w:trPr>
        <w:tc>
          <w:tcPr>
            <w:tcW w:w="8293" w:type="dxa"/>
            <w:tcBorders>
              <w:top w:val="single" w:sz="8" w:space="0" w:color="000000"/>
              <w:left w:val="nil"/>
              <w:bottom w:val="single" w:sz="8" w:space="0" w:color="000000"/>
              <w:right w:val="nil"/>
            </w:tcBorders>
            <w:tcMar>
              <w:top w:w="0" w:type="dxa"/>
              <w:left w:w="0" w:type="dxa"/>
              <w:bottom w:w="0" w:type="dxa"/>
              <w:right w:w="0" w:type="dxa"/>
            </w:tcMar>
          </w:tcPr>
          <w:p w14:paraId="5EE2D20D" w14:textId="77777777" w:rsidR="00FD5E14" w:rsidRDefault="00FD5E14">
            <w:pPr>
              <w:widowControl w:val="0"/>
              <w:ind w:left="555" w:hanging="555"/>
              <w:rPr>
                <w:rFonts w:ascii="Garamond" w:hAnsi="Garamond" w:cs="Garamond"/>
              </w:rPr>
            </w:pPr>
          </w:p>
        </w:tc>
        <w:tc>
          <w:tcPr>
            <w:tcW w:w="1453" w:type="dxa"/>
            <w:tcBorders>
              <w:top w:val="single" w:sz="8" w:space="0" w:color="000000"/>
              <w:left w:val="nil"/>
              <w:bottom w:val="single" w:sz="8" w:space="0" w:color="000000"/>
              <w:right w:val="nil"/>
            </w:tcBorders>
            <w:tcMar>
              <w:top w:w="0" w:type="dxa"/>
              <w:left w:w="0" w:type="dxa"/>
              <w:bottom w:w="0" w:type="dxa"/>
              <w:right w:w="0" w:type="dxa"/>
            </w:tcMar>
          </w:tcPr>
          <w:p w14:paraId="3EA117C3" w14:textId="77777777" w:rsidR="00FD5E14" w:rsidRDefault="00AC120D">
            <w:pPr>
              <w:widowControl w:val="0"/>
              <w:jc w:val="center"/>
              <w:rPr>
                <w:rFonts w:ascii="Garamond" w:hAnsi="Garamond" w:cs="Garamond"/>
              </w:rPr>
            </w:pPr>
            <w:r>
              <w:rPr>
                <w:rFonts w:ascii="Garamond" w:hAnsi="Garamond" w:cs="Garamond"/>
              </w:rPr>
              <w:t>Correct Response</w:t>
            </w:r>
          </w:p>
          <w:p w14:paraId="451961EA" w14:textId="77777777" w:rsidR="00FD5E14" w:rsidRDefault="00AC120D">
            <w:pPr>
              <w:widowControl w:val="0"/>
              <w:jc w:val="center"/>
              <w:rPr>
                <w:rFonts w:ascii="Garamond" w:hAnsi="Garamond" w:cs="Garamond"/>
              </w:rPr>
            </w:pPr>
            <w:r>
              <w:rPr>
                <w:rFonts w:ascii="Garamond" w:hAnsi="Garamond" w:cs="Garamond"/>
              </w:rPr>
              <w:t>f (%)</w:t>
            </w:r>
          </w:p>
        </w:tc>
        <w:tc>
          <w:tcPr>
            <w:tcW w:w="1097" w:type="dxa"/>
            <w:tcBorders>
              <w:top w:val="single" w:sz="8" w:space="0" w:color="000000"/>
              <w:left w:val="nil"/>
              <w:bottom w:val="single" w:sz="8" w:space="0" w:color="000000"/>
              <w:right w:val="nil"/>
            </w:tcBorders>
            <w:tcMar>
              <w:top w:w="0" w:type="dxa"/>
              <w:left w:w="0" w:type="dxa"/>
              <w:bottom w:w="0" w:type="dxa"/>
              <w:right w:w="0" w:type="dxa"/>
            </w:tcMar>
          </w:tcPr>
          <w:p w14:paraId="79CE322F" w14:textId="77777777" w:rsidR="00FD5E14" w:rsidRDefault="00AC120D">
            <w:pPr>
              <w:widowControl w:val="0"/>
              <w:jc w:val="center"/>
              <w:rPr>
                <w:rFonts w:ascii="Garamond" w:hAnsi="Garamond" w:cs="Garamond"/>
              </w:rPr>
            </w:pPr>
            <w:r>
              <w:rPr>
                <w:rFonts w:ascii="Garamond" w:hAnsi="Garamond" w:cs="Garamond"/>
              </w:rPr>
              <w:t>Correct Answer</w:t>
            </w:r>
          </w:p>
        </w:tc>
      </w:tr>
      <w:tr w:rsidR="00FD5E14" w14:paraId="2A5EAFE1" w14:textId="77777777">
        <w:trPr>
          <w:trHeight w:val="115"/>
          <w:jc w:val="center"/>
        </w:trPr>
        <w:tc>
          <w:tcPr>
            <w:tcW w:w="8293" w:type="dxa"/>
            <w:tcBorders>
              <w:top w:val="nil"/>
              <w:left w:val="nil"/>
              <w:bottom w:val="nil"/>
              <w:right w:val="nil"/>
            </w:tcBorders>
            <w:tcMar>
              <w:top w:w="0" w:type="dxa"/>
              <w:left w:w="0" w:type="dxa"/>
              <w:bottom w:w="0" w:type="dxa"/>
              <w:right w:w="0" w:type="dxa"/>
            </w:tcMar>
          </w:tcPr>
          <w:p w14:paraId="15F9202B" w14:textId="77777777" w:rsidR="00FD5E14" w:rsidRDefault="00AC120D">
            <w:pPr>
              <w:widowControl w:val="0"/>
              <w:ind w:left="555" w:hanging="555"/>
              <w:rPr>
                <w:rFonts w:ascii="Garamond" w:hAnsi="Garamond" w:cs="Garamond"/>
                <w:b/>
                <w:bCs/>
              </w:rPr>
            </w:pPr>
            <w:r>
              <w:rPr>
                <w:rFonts w:ascii="Garamond" w:hAnsi="Garamond" w:cs="Garamond"/>
                <w:b/>
                <w:bCs/>
              </w:rPr>
              <w:t>Symptom</w:t>
            </w:r>
          </w:p>
        </w:tc>
        <w:tc>
          <w:tcPr>
            <w:tcW w:w="1453" w:type="dxa"/>
            <w:tcBorders>
              <w:top w:val="nil"/>
              <w:left w:val="nil"/>
              <w:bottom w:val="nil"/>
              <w:right w:val="nil"/>
            </w:tcBorders>
            <w:tcMar>
              <w:top w:w="0" w:type="dxa"/>
              <w:left w:w="0" w:type="dxa"/>
              <w:bottom w:w="0" w:type="dxa"/>
              <w:right w:w="0" w:type="dxa"/>
            </w:tcMar>
          </w:tcPr>
          <w:p w14:paraId="1153C6E6"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c>
          <w:tcPr>
            <w:tcW w:w="1097" w:type="dxa"/>
            <w:tcBorders>
              <w:top w:val="nil"/>
              <w:left w:val="nil"/>
              <w:bottom w:val="nil"/>
              <w:right w:val="nil"/>
            </w:tcBorders>
            <w:tcMar>
              <w:top w:w="0" w:type="dxa"/>
              <w:left w:w="0" w:type="dxa"/>
              <w:bottom w:w="0" w:type="dxa"/>
              <w:right w:w="0" w:type="dxa"/>
            </w:tcMar>
          </w:tcPr>
          <w:p w14:paraId="56021EA6"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r>
      <w:tr w:rsidR="00FD5E14" w14:paraId="49149B65"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0D8E21F5" w14:textId="77777777" w:rsidR="00FD5E14" w:rsidRDefault="00AC120D">
            <w:pPr>
              <w:widowControl w:val="0"/>
              <w:ind w:left="555" w:hanging="285"/>
              <w:rPr>
                <w:rFonts w:ascii="Garamond" w:hAnsi="Garamond" w:cs="Garamond"/>
              </w:rPr>
            </w:pPr>
            <w:r>
              <w:rPr>
                <w:rFonts w:ascii="Garamond" w:hAnsi="Garamond" w:cs="Garamond"/>
              </w:rPr>
              <w:t>Trouble handling money or paying bills is a common early symptom of AD.</w:t>
            </w:r>
          </w:p>
        </w:tc>
        <w:tc>
          <w:tcPr>
            <w:tcW w:w="1453" w:type="dxa"/>
            <w:tcBorders>
              <w:top w:val="nil"/>
              <w:left w:val="nil"/>
              <w:bottom w:val="nil"/>
              <w:right w:val="nil"/>
            </w:tcBorders>
            <w:tcMar>
              <w:top w:w="0" w:type="dxa"/>
              <w:left w:w="0" w:type="dxa"/>
              <w:bottom w:w="0" w:type="dxa"/>
              <w:right w:w="0" w:type="dxa"/>
            </w:tcMar>
          </w:tcPr>
          <w:p w14:paraId="20B977F7"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063C0EE8" w14:textId="77777777" w:rsidR="00FD5E14" w:rsidRDefault="00AC120D">
            <w:pPr>
              <w:widowControl w:val="0"/>
              <w:ind w:left="555" w:hanging="555"/>
              <w:jc w:val="center"/>
              <w:rPr>
                <w:rFonts w:ascii="Garamond" w:hAnsi="Garamond" w:cs="Garamond"/>
              </w:rPr>
            </w:pPr>
            <w:r>
              <w:rPr>
                <w:rFonts w:ascii="Garamond" w:hAnsi="Garamond" w:cs="Garamond"/>
              </w:rPr>
              <w:t>242 (88%)</w:t>
            </w:r>
          </w:p>
        </w:tc>
      </w:tr>
      <w:tr w:rsidR="00FD5E14" w14:paraId="0EBE353E"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369A459D" w14:textId="77777777" w:rsidR="00FD5E14" w:rsidRDefault="00AC120D">
            <w:pPr>
              <w:widowControl w:val="0"/>
              <w:ind w:left="555" w:hanging="285"/>
              <w:rPr>
                <w:rFonts w:ascii="Garamond" w:hAnsi="Garamond" w:cs="Garamond"/>
              </w:rPr>
            </w:pPr>
            <w:r>
              <w:rPr>
                <w:rFonts w:ascii="Garamond" w:hAnsi="Garamond" w:cs="Garamond"/>
              </w:rPr>
              <w:t xml:space="preserve">One symptom that can occur with AD believes </w:t>
            </w:r>
            <w:r>
              <w:rPr>
                <w:rFonts w:ascii="Garamond" w:hAnsi="Garamond" w:cs="Garamond"/>
              </w:rPr>
              <w:t>that other people are stealing one's things.</w:t>
            </w:r>
          </w:p>
        </w:tc>
        <w:tc>
          <w:tcPr>
            <w:tcW w:w="1453" w:type="dxa"/>
            <w:tcBorders>
              <w:top w:val="nil"/>
              <w:left w:val="nil"/>
              <w:bottom w:val="nil"/>
              <w:right w:val="nil"/>
            </w:tcBorders>
            <w:tcMar>
              <w:top w:w="0" w:type="dxa"/>
              <w:left w:w="0" w:type="dxa"/>
              <w:bottom w:w="0" w:type="dxa"/>
              <w:right w:w="0" w:type="dxa"/>
            </w:tcMar>
          </w:tcPr>
          <w:p w14:paraId="576D5C4B"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197A954C" w14:textId="77777777" w:rsidR="00FD5E14" w:rsidRDefault="00AC120D">
            <w:pPr>
              <w:widowControl w:val="0"/>
              <w:ind w:left="555" w:hanging="555"/>
              <w:jc w:val="center"/>
              <w:rPr>
                <w:rFonts w:ascii="Garamond" w:hAnsi="Garamond" w:cs="Garamond"/>
              </w:rPr>
            </w:pPr>
            <w:r>
              <w:rPr>
                <w:rFonts w:ascii="Garamond" w:hAnsi="Garamond" w:cs="Garamond"/>
              </w:rPr>
              <w:t>211(76.7%)</w:t>
            </w:r>
          </w:p>
        </w:tc>
      </w:tr>
      <w:tr w:rsidR="00FD5E14" w14:paraId="5410FAA3"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320D3A94" w14:textId="77777777" w:rsidR="00FD5E14" w:rsidRDefault="00AC120D">
            <w:pPr>
              <w:widowControl w:val="0"/>
              <w:ind w:left="555" w:hanging="285"/>
              <w:rPr>
                <w:rFonts w:ascii="Garamond" w:hAnsi="Garamond" w:cs="Garamond"/>
              </w:rPr>
            </w:pPr>
            <w:r>
              <w:rPr>
                <w:rFonts w:ascii="Garamond" w:hAnsi="Garamond" w:cs="Garamond"/>
              </w:rPr>
              <w:t>Most people with AD remember recent events better than things that happened in the past.</w:t>
            </w:r>
          </w:p>
        </w:tc>
        <w:tc>
          <w:tcPr>
            <w:tcW w:w="1453" w:type="dxa"/>
            <w:tcBorders>
              <w:top w:val="nil"/>
              <w:left w:val="nil"/>
              <w:bottom w:val="nil"/>
              <w:right w:val="nil"/>
            </w:tcBorders>
            <w:tcMar>
              <w:top w:w="0" w:type="dxa"/>
              <w:left w:w="0" w:type="dxa"/>
              <w:bottom w:w="0" w:type="dxa"/>
              <w:right w:w="0" w:type="dxa"/>
            </w:tcMar>
          </w:tcPr>
          <w:p w14:paraId="408D1C4D"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00839C54" w14:textId="77777777" w:rsidR="00FD5E14" w:rsidRDefault="00AC120D">
            <w:pPr>
              <w:widowControl w:val="0"/>
              <w:ind w:left="555" w:hanging="555"/>
              <w:jc w:val="center"/>
              <w:rPr>
                <w:rFonts w:ascii="Garamond" w:hAnsi="Garamond" w:cs="Garamond"/>
              </w:rPr>
            </w:pPr>
            <w:r>
              <w:rPr>
                <w:rFonts w:ascii="Garamond" w:hAnsi="Garamond" w:cs="Garamond"/>
              </w:rPr>
              <w:t>174(63.3%)</w:t>
            </w:r>
          </w:p>
        </w:tc>
      </w:tr>
      <w:tr w:rsidR="00FD5E14" w14:paraId="26EFC737" w14:textId="77777777">
        <w:trPr>
          <w:trHeight w:val="209"/>
          <w:jc w:val="center"/>
        </w:trPr>
        <w:tc>
          <w:tcPr>
            <w:tcW w:w="8293" w:type="dxa"/>
            <w:tcBorders>
              <w:top w:val="nil"/>
              <w:left w:val="nil"/>
              <w:bottom w:val="nil"/>
              <w:right w:val="nil"/>
            </w:tcBorders>
            <w:tcMar>
              <w:top w:w="0" w:type="dxa"/>
              <w:left w:w="0" w:type="dxa"/>
              <w:bottom w:w="0" w:type="dxa"/>
              <w:right w:w="0" w:type="dxa"/>
            </w:tcMar>
          </w:tcPr>
          <w:p w14:paraId="2A6C1AEE" w14:textId="77777777" w:rsidR="00FD5E14" w:rsidRDefault="00AC120D">
            <w:pPr>
              <w:widowControl w:val="0"/>
              <w:ind w:left="555" w:hanging="285"/>
              <w:rPr>
                <w:rFonts w:ascii="Garamond" w:hAnsi="Garamond" w:cs="Garamond"/>
              </w:rPr>
            </w:pPr>
            <w:r>
              <w:rPr>
                <w:rFonts w:ascii="Garamond" w:hAnsi="Garamond" w:cs="Garamond"/>
              </w:rPr>
              <w:t xml:space="preserve">Tremor or shaking of the hands or arms is a common symptom in people with Alzheimer’s </w:t>
            </w:r>
            <w:r>
              <w:rPr>
                <w:rFonts w:ascii="Garamond" w:hAnsi="Garamond" w:cs="Garamond"/>
              </w:rPr>
              <w:t>Disease (AD).</w:t>
            </w:r>
          </w:p>
        </w:tc>
        <w:tc>
          <w:tcPr>
            <w:tcW w:w="1453" w:type="dxa"/>
            <w:tcBorders>
              <w:top w:val="nil"/>
              <w:left w:val="nil"/>
              <w:bottom w:val="nil"/>
              <w:right w:val="nil"/>
            </w:tcBorders>
            <w:tcMar>
              <w:top w:w="0" w:type="dxa"/>
              <w:left w:w="0" w:type="dxa"/>
              <w:bottom w:w="0" w:type="dxa"/>
              <w:right w:w="0" w:type="dxa"/>
            </w:tcMar>
          </w:tcPr>
          <w:p w14:paraId="1051E7FE"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313DB259" w14:textId="77777777" w:rsidR="00FD5E14" w:rsidRDefault="00AC120D">
            <w:pPr>
              <w:widowControl w:val="0"/>
              <w:ind w:left="555" w:hanging="555"/>
              <w:jc w:val="center"/>
              <w:rPr>
                <w:rFonts w:ascii="Garamond" w:hAnsi="Garamond" w:cs="Garamond"/>
              </w:rPr>
            </w:pPr>
            <w:r>
              <w:rPr>
                <w:rFonts w:ascii="Garamond" w:hAnsi="Garamond" w:cs="Garamond"/>
              </w:rPr>
              <w:t>133(48.4%)</w:t>
            </w:r>
          </w:p>
        </w:tc>
      </w:tr>
      <w:tr w:rsidR="00FD5E14" w14:paraId="59784843" w14:textId="77777777">
        <w:trPr>
          <w:trHeight w:val="209"/>
          <w:jc w:val="center"/>
        </w:trPr>
        <w:tc>
          <w:tcPr>
            <w:tcW w:w="8293" w:type="dxa"/>
            <w:tcBorders>
              <w:top w:val="nil"/>
              <w:left w:val="nil"/>
              <w:bottom w:val="single" w:sz="8" w:space="0" w:color="000000"/>
              <w:right w:val="nil"/>
            </w:tcBorders>
            <w:tcMar>
              <w:top w:w="0" w:type="dxa"/>
              <w:left w:w="0" w:type="dxa"/>
              <w:bottom w:w="0" w:type="dxa"/>
              <w:right w:w="0" w:type="dxa"/>
            </w:tcMar>
          </w:tcPr>
          <w:p w14:paraId="57BA5C60" w14:textId="77777777" w:rsidR="00FD5E14" w:rsidRDefault="00AC120D">
            <w:pPr>
              <w:widowControl w:val="0"/>
              <w:ind w:left="555" w:hanging="285"/>
              <w:jc w:val="center"/>
              <w:rPr>
                <w:rFonts w:ascii="Garamond" w:hAnsi="Garamond" w:cs="Garamond"/>
              </w:rPr>
            </w:pPr>
            <w:r>
              <w:rPr>
                <w:rFonts w:ascii="Garamond" w:hAnsi="Garamond" w:cs="Garamond"/>
              </w:rPr>
              <w:t xml:space="preserve">Overall </w:t>
            </w:r>
            <w:r>
              <w:rPr>
                <w:rFonts w:ascii="Garamond" w:hAnsi="Garamond" w:cs="Garamond"/>
                <w:b/>
                <w:bCs/>
              </w:rPr>
              <w:t xml:space="preserve">Symptom </w:t>
            </w:r>
            <w:r>
              <w:rPr>
                <w:rFonts w:ascii="Garamond" w:hAnsi="Garamond" w:cs="Garamond"/>
              </w:rPr>
              <w:t xml:space="preserve">mean </w:t>
            </w:r>
          </w:p>
        </w:tc>
        <w:tc>
          <w:tcPr>
            <w:tcW w:w="1453" w:type="dxa"/>
            <w:tcBorders>
              <w:top w:val="nil"/>
              <w:left w:val="nil"/>
              <w:bottom w:val="single" w:sz="8" w:space="0" w:color="000000"/>
              <w:right w:val="nil"/>
            </w:tcBorders>
            <w:tcMar>
              <w:top w:w="0" w:type="dxa"/>
              <w:left w:w="0" w:type="dxa"/>
              <w:bottom w:w="0" w:type="dxa"/>
              <w:right w:w="0" w:type="dxa"/>
            </w:tcMar>
          </w:tcPr>
          <w:p w14:paraId="2376AF16" w14:textId="77777777" w:rsidR="00FD5E14" w:rsidRDefault="00FD5E14">
            <w:pPr>
              <w:widowControl w:val="0"/>
              <w:ind w:left="555" w:hanging="555"/>
              <w:jc w:val="center"/>
              <w:rPr>
                <w:rFonts w:ascii="Garamond" w:hAnsi="Garamond" w:cs="Garamond"/>
              </w:rPr>
            </w:pPr>
          </w:p>
        </w:tc>
        <w:tc>
          <w:tcPr>
            <w:tcW w:w="1097" w:type="dxa"/>
            <w:tcBorders>
              <w:top w:val="nil"/>
              <w:left w:val="nil"/>
              <w:bottom w:val="single" w:sz="8" w:space="0" w:color="000000"/>
              <w:right w:val="nil"/>
            </w:tcBorders>
            <w:tcMar>
              <w:top w:w="0" w:type="dxa"/>
              <w:left w:w="0" w:type="dxa"/>
              <w:bottom w:w="0" w:type="dxa"/>
              <w:right w:w="0" w:type="dxa"/>
            </w:tcMar>
          </w:tcPr>
          <w:p w14:paraId="1B279B2A" w14:textId="77777777" w:rsidR="00FD5E14" w:rsidRDefault="00AC120D">
            <w:pPr>
              <w:widowControl w:val="0"/>
              <w:ind w:left="555" w:hanging="555"/>
              <w:jc w:val="center"/>
              <w:rPr>
                <w:rFonts w:ascii="Garamond" w:hAnsi="Garamond" w:cs="Garamond"/>
              </w:rPr>
            </w:pPr>
            <w:r>
              <w:rPr>
                <w:rFonts w:ascii="Garamond" w:hAnsi="Garamond" w:cs="Garamond"/>
              </w:rPr>
              <w:t>2.76</w:t>
            </w:r>
          </w:p>
        </w:tc>
      </w:tr>
      <w:tr w:rsidR="00FD5E14" w14:paraId="6474FF3E" w14:textId="77777777">
        <w:trPr>
          <w:trHeight w:val="115"/>
          <w:jc w:val="center"/>
        </w:trPr>
        <w:tc>
          <w:tcPr>
            <w:tcW w:w="8293" w:type="dxa"/>
            <w:tcBorders>
              <w:top w:val="single" w:sz="8" w:space="0" w:color="000000"/>
              <w:left w:val="nil"/>
              <w:bottom w:val="nil"/>
              <w:right w:val="nil"/>
            </w:tcBorders>
            <w:tcMar>
              <w:top w:w="0" w:type="dxa"/>
              <w:left w:w="0" w:type="dxa"/>
              <w:bottom w:w="0" w:type="dxa"/>
              <w:right w:w="0" w:type="dxa"/>
            </w:tcMar>
          </w:tcPr>
          <w:p w14:paraId="76792068" w14:textId="77777777" w:rsidR="00FD5E14" w:rsidRDefault="00AC120D">
            <w:pPr>
              <w:widowControl w:val="0"/>
              <w:ind w:left="555" w:hanging="555"/>
              <w:rPr>
                <w:rFonts w:ascii="Garamond" w:hAnsi="Garamond" w:cs="Garamond"/>
                <w:b/>
                <w:bCs/>
              </w:rPr>
            </w:pPr>
            <w:r>
              <w:rPr>
                <w:rFonts w:ascii="Garamond" w:hAnsi="Garamond" w:cs="Garamond"/>
                <w:b/>
                <w:bCs/>
              </w:rPr>
              <w:t>Risk Factors</w:t>
            </w:r>
          </w:p>
        </w:tc>
        <w:tc>
          <w:tcPr>
            <w:tcW w:w="1453" w:type="dxa"/>
            <w:tcBorders>
              <w:top w:val="single" w:sz="8" w:space="0" w:color="000000"/>
              <w:left w:val="nil"/>
              <w:bottom w:val="nil"/>
              <w:right w:val="nil"/>
            </w:tcBorders>
            <w:tcMar>
              <w:top w:w="0" w:type="dxa"/>
              <w:left w:w="0" w:type="dxa"/>
              <w:bottom w:w="0" w:type="dxa"/>
              <w:right w:w="0" w:type="dxa"/>
            </w:tcMar>
          </w:tcPr>
          <w:p w14:paraId="1FDD2F78"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c>
          <w:tcPr>
            <w:tcW w:w="1097" w:type="dxa"/>
            <w:tcBorders>
              <w:top w:val="single" w:sz="8" w:space="0" w:color="000000"/>
              <w:left w:val="nil"/>
              <w:bottom w:val="nil"/>
              <w:right w:val="nil"/>
            </w:tcBorders>
            <w:tcMar>
              <w:top w:w="0" w:type="dxa"/>
              <w:left w:w="0" w:type="dxa"/>
              <w:bottom w:w="0" w:type="dxa"/>
              <w:right w:w="0" w:type="dxa"/>
            </w:tcMar>
          </w:tcPr>
          <w:p w14:paraId="0372C179" w14:textId="77777777" w:rsidR="00FD5E14" w:rsidRDefault="00AC120D">
            <w:pPr>
              <w:widowControl w:val="0"/>
              <w:ind w:left="555" w:hanging="555"/>
              <w:jc w:val="center"/>
              <w:rPr>
                <w:rFonts w:ascii="Garamond" w:hAnsi="Garamond" w:cs="Garamond"/>
              </w:rPr>
            </w:pPr>
            <w:r>
              <w:rPr>
                <w:rFonts w:ascii="Garamond" w:hAnsi="Garamond" w:cs="Garamond"/>
              </w:rPr>
              <w:t xml:space="preserve"> </w:t>
            </w:r>
          </w:p>
        </w:tc>
      </w:tr>
      <w:tr w:rsidR="00FD5E14" w14:paraId="0C28C06C"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7770E7E1" w14:textId="77777777" w:rsidR="00FD5E14" w:rsidRDefault="00AC120D">
            <w:pPr>
              <w:widowControl w:val="0"/>
              <w:ind w:left="810" w:hanging="555"/>
              <w:rPr>
                <w:rFonts w:ascii="Garamond" w:hAnsi="Garamond" w:cs="Garamond"/>
              </w:rPr>
            </w:pPr>
            <w:r>
              <w:rPr>
                <w:rFonts w:ascii="Garamond" w:hAnsi="Garamond" w:cs="Garamond"/>
              </w:rPr>
              <w:t>Having high blood pressure may increase a person's risk or developing AD.</w:t>
            </w:r>
          </w:p>
        </w:tc>
        <w:tc>
          <w:tcPr>
            <w:tcW w:w="1453" w:type="dxa"/>
            <w:tcBorders>
              <w:top w:val="nil"/>
              <w:left w:val="nil"/>
              <w:bottom w:val="nil"/>
              <w:right w:val="nil"/>
            </w:tcBorders>
            <w:tcMar>
              <w:top w:w="0" w:type="dxa"/>
              <w:left w:w="0" w:type="dxa"/>
              <w:bottom w:w="0" w:type="dxa"/>
              <w:right w:w="0" w:type="dxa"/>
            </w:tcMar>
          </w:tcPr>
          <w:p w14:paraId="417C9454"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63534270" w14:textId="77777777" w:rsidR="00FD5E14" w:rsidRDefault="00AC120D">
            <w:pPr>
              <w:widowControl w:val="0"/>
              <w:ind w:left="555" w:hanging="555"/>
              <w:jc w:val="center"/>
              <w:rPr>
                <w:rFonts w:ascii="Garamond" w:hAnsi="Garamond" w:cs="Garamond"/>
              </w:rPr>
            </w:pPr>
            <w:r>
              <w:rPr>
                <w:rFonts w:ascii="Garamond" w:hAnsi="Garamond" w:cs="Garamond"/>
              </w:rPr>
              <w:t>211(76.7%)</w:t>
            </w:r>
          </w:p>
        </w:tc>
      </w:tr>
      <w:tr w:rsidR="00FD5E14" w14:paraId="47C963A9"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126A9AC5" w14:textId="77777777" w:rsidR="00FD5E14" w:rsidRDefault="00AC120D">
            <w:pPr>
              <w:widowControl w:val="0"/>
              <w:ind w:left="810" w:hanging="555"/>
              <w:rPr>
                <w:rFonts w:ascii="Garamond" w:hAnsi="Garamond" w:cs="Garamond"/>
              </w:rPr>
            </w:pPr>
            <w:r>
              <w:rPr>
                <w:rFonts w:ascii="Garamond" w:hAnsi="Garamond" w:cs="Garamond"/>
              </w:rPr>
              <w:t>Having high cholesterol may increase a person’s risk of developing AD.</w:t>
            </w:r>
          </w:p>
        </w:tc>
        <w:tc>
          <w:tcPr>
            <w:tcW w:w="1453" w:type="dxa"/>
            <w:tcBorders>
              <w:top w:val="nil"/>
              <w:left w:val="nil"/>
              <w:bottom w:val="nil"/>
              <w:right w:val="nil"/>
            </w:tcBorders>
            <w:tcMar>
              <w:top w:w="0" w:type="dxa"/>
              <w:left w:w="0" w:type="dxa"/>
              <w:bottom w:w="0" w:type="dxa"/>
              <w:right w:w="0" w:type="dxa"/>
            </w:tcMar>
          </w:tcPr>
          <w:p w14:paraId="1EC03F80"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5050D35C" w14:textId="77777777" w:rsidR="00FD5E14" w:rsidRDefault="00AC120D">
            <w:pPr>
              <w:widowControl w:val="0"/>
              <w:ind w:left="555" w:hanging="555"/>
              <w:jc w:val="center"/>
              <w:rPr>
                <w:rFonts w:ascii="Garamond" w:hAnsi="Garamond" w:cs="Garamond"/>
              </w:rPr>
            </w:pPr>
            <w:r>
              <w:rPr>
                <w:rFonts w:ascii="Garamond" w:hAnsi="Garamond" w:cs="Garamond"/>
              </w:rPr>
              <w:t>208(75.6%)</w:t>
            </w:r>
          </w:p>
        </w:tc>
      </w:tr>
      <w:tr w:rsidR="00FD5E14" w14:paraId="3168167D"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1401322C" w14:textId="77777777" w:rsidR="00FD5E14" w:rsidRDefault="00AC120D">
            <w:pPr>
              <w:widowControl w:val="0"/>
              <w:ind w:left="810" w:hanging="555"/>
              <w:rPr>
                <w:rFonts w:ascii="Garamond" w:hAnsi="Garamond" w:cs="Garamond"/>
              </w:rPr>
            </w:pPr>
            <w:r>
              <w:rPr>
                <w:rFonts w:ascii="Garamond" w:hAnsi="Garamond" w:cs="Garamond"/>
              </w:rPr>
              <w:t>Genes can only partially account for the development of AD.</w:t>
            </w:r>
          </w:p>
        </w:tc>
        <w:tc>
          <w:tcPr>
            <w:tcW w:w="1453" w:type="dxa"/>
            <w:tcBorders>
              <w:top w:val="nil"/>
              <w:left w:val="nil"/>
              <w:bottom w:val="nil"/>
              <w:right w:val="nil"/>
            </w:tcBorders>
            <w:tcMar>
              <w:top w:w="0" w:type="dxa"/>
              <w:left w:w="0" w:type="dxa"/>
              <w:bottom w:w="0" w:type="dxa"/>
              <w:right w:w="0" w:type="dxa"/>
            </w:tcMar>
          </w:tcPr>
          <w:p w14:paraId="0CEE8B6B"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36673BA6" w14:textId="77777777" w:rsidR="00FD5E14" w:rsidRDefault="00AC120D">
            <w:pPr>
              <w:widowControl w:val="0"/>
              <w:ind w:left="555" w:hanging="555"/>
              <w:jc w:val="center"/>
              <w:rPr>
                <w:rFonts w:ascii="Garamond" w:hAnsi="Garamond" w:cs="Garamond"/>
              </w:rPr>
            </w:pPr>
            <w:r>
              <w:rPr>
                <w:rFonts w:ascii="Garamond" w:hAnsi="Garamond" w:cs="Garamond"/>
              </w:rPr>
              <w:t>206(74.9%)</w:t>
            </w:r>
          </w:p>
        </w:tc>
      </w:tr>
      <w:tr w:rsidR="00FD5E14" w14:paraId="1B9A5987"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01338252" w14:textId="77777777" w:rsidR="00FD5E14" w:rsidRDefault="00AC120D">
            <w:pPr>
              <w:widowControl w:val="0"/>
              <w:ind w:left="810" w:hanging="555"/>
              <w:rPr>
                <w:rFonts w:ascii="Garamond" w:hAnsi="Garamond" w:cs="Garamond"/>
              </w:rPr>
            </w:pPr>
            <w:r>
              <w:rPr>
                <w:rFonts w:ascii="Garamond" w:hAnsi="Garamond" w:cs="Garamond"/>
              </w:rPr>
              <w:t>People in their 30s can have AD.</w:t>
            </w:r>
          </w:p>
        </w:tc>
        <w:tc>
          <w:tcPr>
            <w:tcW w:w="1453" w:type="dxa"/>
            <w:tcBorders>
              <w:top w:val="nil"/>
              <w:left w:val="nil"/>
              <w:bottom w:val="nil"/>
              <w:right w:val="nil"/>
            </w:tcBorders>
            <w:tcMar>
              <w:top w:w="0" w:type="dxa"/>
              <w:left w:w="0" w:type="dxa"/>
              <w:bottom w:w="0" w:type="dxa"/>
              <w:right w:w="0" w:type="dxa"/>
            </w:tcMar>
          </w:tcPr>
          <w:p w14:paraId="301B2D27"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1D9FEED6" w14:textId="77777777" w:rsidR="00FD5E14" w:rsidRDefault="00AC120D">
            <w:pPr>
              <w:widowControl w:val="0"/>
              <w:ind w:left="555" w:hanging="555"/>
              <w:jc w:val="center"/>
              <w:rPr>
                <w:rFonts w:ascii="Garamond" w:hAnsi="Garamond" w:cs="Garamond"/>
              </w:rPr>
            </w:pPr>
            <w:r>
              <w:rPr>
                <w:rFonts w:ascii="Garamond" w:hAnsi="Garamond" w:cs="Garamond"/>
              </w:rPr>
              <w:t>192(69.8%)</w:t>
            </w:r>
          </w:p>
        </w:tc>
      </w:tr>
      <w:tr w:rsidR="00FD5E14" w14:paraId="73367C36"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0B6960B5" w14:textId="77777777" w:rsidR="00FD5E14" w:rsidRDefault="00AC120D">
            <w:pPr>
              <w:widowControl w:val="0"/>
              <w:ind w:left="810" w:hanging="555"/>
              <w:rPr>
                <w:rFonts w:ascii="Garamond" w:hAnsi="Garamond" w:cs="Garamond"/>
              </w:rPr>
            </w:pPr>
            <w:r>
              <w:rPr>
                <w:rFonts w:ascii="Garamond" w:hAnsi="Garamond" w:cs="Garamond"/>
              </w:rPr>
              <w:t>Prescription drugs that prevent AD are available.</w:t>
            </w:r>
          </w:p>
        </w:tc>
        <w:tc>
          <w:tcPr>
            <w:tcW w:w="1453" w:type="dxa"/>
            <w:tcBorders>
              <w:top w:val="nil"/>
              <w:left w:val="nil"/>
              <w:bottom w:val="nil"/>
              <w:right w:val="nil"/>
            </w:tcBorders>
            <w:tcMar>
              <w:top w:w="0" w:type="dxa"/>
              <w:left w:w="0" w:type="dxa"/>
              <w:bottom w:w="0" w:type="dxa"/>
              <w:right w:w="0" w:type="dxa"/>
            </w:tcMar>
          </w:tcPr>
          <w:p w14:paraId="64AFB49D"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43B0DDB7" w14:textId="77777777" w:rsidR="00FD5E14" w:rsidRDefault="00AC120D">
            <w:pPr>
              <w:widowControl w:val="0"/>
              <w:ind w:left="555" w:hanging="555"/>
              <w:jc w:val="center"/>
              <w:rPr>
                <w:rFonts w:ascii="Garamond" w:hAnsi="Garamond" w:cs="Garamond"/>
              </w:rPr>
            </w:pPr>
            <w:r>
              <w:rPr>
                <w:rFonts w:ascii="Garamond" w:hAnsi="Garamond" w:cs="Garamond"/>
              </w:rPr>
              <w:t>162(58.9)</w:t>
            </w:r>
          </w:p>
        </w:tc>
      </w:tr>
      <w:tr w:rsidR="00FD5E14" w14:paraId="3AD93171"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0C480F71" w14:textId="77777777" w:rsidR="00FD5E14" w:rsidRDefault="00AC120D">
            <w:pPr>
              <w:widowControl w:val="0"/>
              <w:ind w:left="810" w:hanging="555"/>
              <w:rPr>
                <w:rFonts w:ascii="Garamond" w:hAnsi="Garamond" w:cs="Garamond"/>
              </w:rPr>
            </w:pPr>
            <w:r>
              <w:rPr>
                <w:rFonts w:ascii="Garamond" w:hAnsi="Garamond" w:cs="Garamond"/>
              </w:rPr>
              <w:t xml:space="preserve">It has been scientifically proven that mental exercise can prevent </w:t>
            </w:r>
            <w:r>
              <w:rPr>
                <w:rFonts w:ascii="Garamond" w:hAnsi="Garamond" w:cs="Garamond"/>
              </w:rPr>
              <w:t>a person from getting AD.</w:t>
            </w:r>
          </w:p>
        </w:tc>
        <w:tc>
          <w:tcPr>
            <w:tcW w:w="1453" w:type="dxa"/>
            <w:tcBorders>
              <w:top w:val="nil"/>
              <w:left w:val="nil"/>
              <w:bottom w:val="nil"/>
              <w:right w:val="nil"/>
            </w:tcBorders>
            <w:tcMar>
              <w:top w:w="0" w:type="dxa"/>
              <w:left w:w="0" w:type="dxa"/>
              <w:bottom w:w="0" w:type="dxa"/>
              <w:right w:w="0" w:type="dxa"/>
            </w:tcMar>
          </w:tcPr>
          <w:p w14:paraId="43852436"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65CB145D" w14:textId="77777777" w:rsidR="00FD5E14" w:rsidRDefault="00AC120D">
            <w:pPr>
              <w:widowControl w:val="0"/>
              <w:ind w:left="555" w:hanging="555"/>
              <w:jc w:val="center"/>
              <w:rPr>
                <w:rFonts w:ascii="Garamond" w:hAnsi="Garamond" w:cs="Garamond"/>
              </w:rPr>
            </w:pPr>
            <w:r>
              <w:rPr>
                <w:rFonts w:ascii="Garamond" w:hAnsi="Garamond" w:cs="Garamond"/>
              </w:rPr>
              <w:t>98 (35.6%)</w:t>
            </w:r>
          </w:p>
        </w:tc>
      </w:tr>
      <w:tr w:rsidR="00FD5E14" w14:paraId="6455F0DA" w14:textId="77777777">
        <w:trPr>
          <w:trHeight w:val="115"/>
          <w:jc w:val="center"/>
        </w:trPr>
        <w:tc>
          <w:tcPr>
            <w:tcW w:w="8293" w:type="dxa"/>
            <w:tcBorders>
              <w:top w:val="nil"/>
              <w:left w:val="nil"/>
              <w:bottom w:val="single" w:sz="8" w:space="0" w:color="000000"/>
              <w:right w:val="nil"/>
            </w:tcBorders>
            <w:tcMar>
              <w:top w:w="0" w:type="dxa"/>
              <w:left w:w="0" w:type="dxa"/>
              <w:bottom w:w="0" w:type="dxa"/>
              <w:right w:w="0" w:type="dxa"/>
            </w:tcMar>
          </w:tcPr>
          <w:p w14:paraId="394A86FB" w14:textId="77777777" w:rsidR="00FD5E14" w:rsidRDefault="00AC120D">
            <w:pPr>
              <w:widowControl w:val="0"/>
              <w:ind w:left="555" w:hanging="555"/>
              <w:jc w:val="center"/>
              <w:rPr>
                <w:rFonts w:ascii="Garamond" w:hAnsi="Garamond" w:cs="Garamond"/>
                <w:b/>
                <w:bCs/>
              </w:rPr>
            </w:pPr>
            <w:r>
              <w:rPr>
                <w:rFonts w:ascii="Garamond" w:hAnsi="Garamond" w:cs="Garamond"/>
              </w:rPr>
              <w:t xml:space="preserve">Overall </w:t>
            </w:r>
            <w:r>
              <w:rPr>
                <w:rFonts w:ascii="Garamond" w:hAnsi="Garamond" w:cs="Garamond"/>
                <w:b/>
                <w:bCs/>
              </w:rPr>
              <w:t xml:space="preserve">Risk Factors </w:t>
            </w:r>
            <w:r>
              <w:rPr>
                <w:rFonts w:ascii="Garamond" w:hAnsi="Garamond" w:cs="Garamond"/>
              </w:rPr>
              <w:t>mean</w:t>
            </w:r>
          </w:p>
        </w:tc>
        <w:tc>
          <w:tcPr>
            <w:tcW w:w="1453" w:type="dxa"/>
            <w:tcBorders>
              <w:top w:val="nil"/>
              <w:left w:val="nil"/>
              <w:bottom w:val="single" w:sz="8" w:space="0" w:color="000000"/>
              <w:right w:val="nil"/>
            </w:tcBorders>
            <w:tcMar>
              <w:top w:w="0" w:type="dxa"/>
              <w:left w:w="0" w:type="dxa"/>
              <w:bottom w:w="0" w:type="dxa"/>
              <w:right w:w="0" w:type="dxa"/>
            </w:tcMar>
          </w:tcPr>
          <w:p w14:paraId="7B29173C" w14:textId="77777777" w:rsidR="00FD5E14" w:rsidRDefault="00FD5E14">
            <w:pPr>
              <w:widowControl w:val="0"/>
              <w:ind w:left="555" w:hanging="555"/>
              <w:jc w:val="center"/>
              <w:rPr>
                <w:rFonts w:ascii="Garamond" w:hAnsi="Garamond" w:cs="Garamond"/>
                <w:b/>
                <w:bCs/>
              </w:rPr>
            </w:pPr>
          </w:p>
        </w:tc>
        <w:tc>
          <w:tcPr>
            <w:tcW w:w="1097" w:type="dxa"/>
            <w:tcBorders>
              <w:top w:val="nil"/>
              <w:left w:val="nil"/>
              <w:bottom w:val="single" w:sz="8" w:space="0" w:color="000000"/>
              <w:right w:val="nil"/>
            </w:tcBorders>
            <w:tcMar>
              <w:top w:w="0" w:type="dxa"/>
              <w:left w:w="0" w:type="dxa"/>
              <w:bottom w:w="0" w:type="dxa"/>
              <w:right w:w="0" w:type="dxa"/>
            </w:tcMar>
          </w:tcPr>
          <w:p w14:paraId="726D40A5" w14:textId="77777777" w:rsidR="00FD5E14" w:rsidRDefault="00AC120D">
            <w:pPr>
              <w:widowControl w:val="0"/>
              <w:ind w:left="555" w:hanging="555"/>
              <w:jc w:val="center"/>
              <w:rPr>
                <w:rFonts w:ascii="Garamond" w:hAnsi="Garamond" w:cs="Garamond"/>
              </w:rPr>
            </w:pPr>
            <w:r>
              <w:rPr>
                <w:rFonts w:ascii="Garamond" w:hAnsi="Garamond" w:cs="Garamond"/>
              </w:rPr>
              <w:t>3.92</w:t>
            </w:r>
          </w:p>
        </w:tc>
      </w:tr>
      <w:tr w:rsidR="00FD5E14" w14:paraId="3EAE685A" w14:textId="77777777">
        <w:trPr>
          <w:trHeight w:val="115"/>
          <w:jc w:val="center"/>
        </w:trPr>
        <w:tc>
          <w:tcPr>
            <w:tcW w:w="8293" w:type="dxa"/>
            <w:tcBorders>
              <w:top w:val="single" w:sz="8" w:space="0" w:color="000000"/>
              <w:left w:val="nil"/>
              <w:bottom w:val="nil"/>
              <w:right w:val="nil"/>
            </w:tcBorders>
            <w:tcMar>
              <w:top w:w="0" w:type="dxa"/>
              <w:left w:w="0" w:type="dxa"/>
              <w:bottom w:w="0" w:type="dxa"/>
              <w:right w:w="0" w:type="dxa"/>
            </w:tcMar>
          </w:tcPr>
          <w:p w14:paraId="5005BF39" w14:textId="77777777" w:rsidR="00FD5E14" w:rsidRDefault="00AC120D">
            <w:pPr>
              <w:widowControl w:val="0"/>
              <w:ind w:left="555" w:hanging="555"/>
              <w:rPr>
                <w:rFonts w:ascii="Garamond" w:hAnsi="Garamond" w:cs="Garamond"/>
                <w:b/>
                <w:bCs/>
              </w:rPr>
            </w:pPr>
            <w:r>
              <w:rPr>
                <w:rFonts w:ascii="Garamond" w:hAnsi="Garamond" w:cs="Garamond"/>
                <w:b/>
                <w:bCs/>
              </w:rPr>
              <w:t>Assessment and Diagnosis</w:t>
            </w:r>
          </w:p>
        </w:tc>
        <w:tc>
          <w:tcPr>
            <w:tcW w:w="1453" w:type="dxa"/>
            <w:tcBorders>
              <w:top w:val="single" w:sz="8" w:space="0" w:color="000000"/>
              <w:left w:val="nil"/>
              <w:bottom w:val="nil"/>
              <w:right w:val="nil"/>
            </w:tcBorders>
            <w:tcMar>
              <w:top w:w="0" w:type="dxa"/>
              <w:left w:w="0" w:type="dxa"/>
              <w:bottom w:w="0" w:type="dxa"/>
              <w:right w:w="0" w:type="dxa"/>
            </w:tcMar>
          </w:tcPr>
          <w:p w14:paraId="0785DA5B"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c>
          <w:tcPr>
            <w:tcW w:w="1097" w:type="dxa"/>
            <w:tcBorders>
              <w:top w:val="single" w:sz="8" w:space="0" w:color="000000"/>
              <w:left w:val="nil"/>
              <w:bottom w:val="nil"/>
              <w:right w:val="nil"/>
            </w:tcBorders>
            <w:tcMar>
              <w:top w:w="0" w:type="dxa"/>
              <w:left w:w="0" w:type="dxa"/>
              <w:bottom w:w="0" w:type="dxa"/>
              <w:right w:w="0" w:type="dxa"/>
            </w:tcMar>
          </w:tcPr>
          <w:p w14:paraId="35169712" w14:textId="77777777" w:rsidR="00FD5E14" w:rsidRDefault="00AC120D">
            <w:pPr>
              <w:widowControl w:val="0"/>
              <w:ind w:left="555" w:hanging="555"/>
              <w:jc w:val="center"/>
              <w:rPr>
                <w:rFonts w:ascii="Garamond" w:hAnsi="Garamond" w:cs="Garamond"/>
              </w:rPr>
            </w:pPr>
            <w:r>
              <w:rPr>
                <w:rFonts w:ascii="Garamond" w:hAnsi="Garamond" w:cs="Garamond"/>
              </w:rPr>
              <w:t xml:space="preserve"> </w:t>
            </w:r>
          </w:p>
        </w:tc>
      </w:tr>
      <w:tr w:rsidR="00FD5E14" w14:paraId="0319ABC4"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43E6243B" w14:textId="77777777" w:rsidR="00FD5E14" w:rsidRDefault="00AC120D">
            <w:pPr>
              <w:widowControl w:val="0"/>
              <w:ind w:left="810" w:hanging="555"/>
              <w:rPr>
                <w:rFonts w:ascii="Garamond" w:hAnsi="Garamond" w:cs="Garamond"/>
              </w:rPr>
            </w:pPr>
            <w:r>
              <w:rPr>
                <w:rFonts w:ascii="Garamond" w:hAnsi="Garamond" w:cs="Garamond"/>
              </w:rPr>
              <w:t>AD is one type of dementia.</w:t>
            </w:r>
          </w:p>
        </w:tc>
        <w:tc>
          <w:tcPr>
            <w:tcW w:w="1453" w:type="dxa"/>
            <w:tcBorders>
              <w:top w:val="nil"/>
              <w:left w:val="nil"/>
              <w:bottom w:val="nil"/>
              <w:right w:val="nil"/>
            </w:tcBorders>
            <w:tcMar>
              <w:top w:w="0" w:type="dxa"/>
              <w:left w:w="0" w:type="dxa"/>
              <w:bottom w:w="0" w:type="dxa"/>
              <w:right w:w="0" w:type="dxa"/>
            </w:tcMar>
          </w:tcPr>
          <w:p w14:paraId="6F08B59C"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3C2C1B22" w14:textId="77777777" w:rsidR="00FD5E14" w:rsidRDefault="00AC120D">
            <w:pPr>
              <w:widowControl w:val="0"/>
              <w:ind w:left="555" w:hanging="555"/>
              <w:jc w:val="center"/>
              <w:rPr>
                <w:rFonts w:ascii="Garamond" w:hAnsi="Garamond" w:cs="Garamond"/>
              </w:rPr>
            </w:pPr>
            <w:r>
              <w:rPr>
                <w:rFonts w:ascii="Garamond" w:hAnsi="Garamond" w:cs="Garamond"/>
              </w:rPr>
              <w:t>259(94.2%)</w:t>
            </w:r>
          </w:p>
        </w:tc>
      </w:tr>
      <w:tr w:rsidR="00FD5E14" w14:paraId="77773F7D" w14:textId="77777777">
        <w:trPr>
          <w:trHeight w:val="264"/>
          <w:jc w:val="center"/>
        </w:trPr>
        <w:tc>
          <w:tcPr>
            <w:tcW w:w="8293" w:type="dxa"/>
            <w:tcBorders>
              <w:top w:val="nil"/>
              <w:left w:val="nil"/>
              <w:bottom w:val="nil"/>
              <w:right w:val="nil"/>
            </w:tcBorders>
            <w:tcMar>
              <w:top w:w="0" w:type="dxa"/>
              <w:left w:w="0" w:type="dxa"/>
              <w:bottom w:w="0" w:type="dxa"/>
              <w:right w:w="0" w:type="dxa"/>
            </w:tcMar>
          </w:tcPr>
          <w:p w14:paraId="0ADF2B77" w14:textId="77777777" w:rsidR="00FD5E14" w:rsidRDefault="00AC120D">
            <w:pPr>
              <w:widowControl w:val="0"/>
              <w:ind w:left="810" w:hanging="555"/>
              <w:rPr>
                <w:rFonts w:ascii="Garamond" w:hAnsi="Garamond" w:cs="Garamond"/>
              </w:rPr>
            </w:pPr>
            <w:r>
              <w:rPr>
                <w:rFonts w:ascii="Garamond" w:hAnsi="Garamond" w:cs="Garamond"/>
              </w:rPr>
              <w:t xml:space="preserve">When a person with AD becomes agitated, medical elimination might reveal other health problems that caused </w:t>
            </w:r>
            <w:r>
              <w:rPr>
                <w:rFonts w:ascii="Garamond" w:hAnsi="Garamond" w:cs="Garamond"/>
              </w:rPr>
              <w:t>the agitation.</w:t>
            </w:r>
          </w:p>
        </w:tc>
        <w:tc>
          <w:tcPr>
            <w:tcW w:w="1453" w:type="dxa"/>
            <w:tcBorders>
              <w:top w:val="nil"/>
              <w:left w:val="nil"/>
              <w:bottom w:val="nil"/>
              <w:right w:val="nil"/>
            </w:tcBorders>
            <w:tcMar>
              <w:top w:w="0" w:type="dxa"/>
              <w:left w:w="0" w:type="dxa"/>
              <w:bottom w:w="0" w:type="dxa"/>
              <w:right w:w="0" w:type="dxa"/>
            </w:tcMar>
          </w:tcPr>
          <w:p w14:paraId="2E931C9F"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5CBDC68F" w14:textId="77777777" w:rsidR="00FD5E14" w:rsidRDefault="00AC120D">
            <w:pPr>
              <w:widowControl w:val="0"/>
              <w:ind w:left="555" w:hanging="555"/>
              <w:jc w:val="center"/>
              <w:rPr>
                <w:rFonts w:ascii="Garamond" w:hAnsi="Garamond" w:cs="Garamond"/>
              </w:rPr>
            </w:pPr>
            <w:r>
              <w:rPr>
                <w:rFonts w:ascii="Garamond" w:hAnsi="Garamond" w:cs="Garamond"/>
              </w:rPr>
              <w:t>257(93.5%)</w:t>
            </w:r>
          </w:p>
        </w:tc>
      </w:tr>
      <w:tr w:rsidR="00FD5E14" w14:paraId="261B6CC8"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34CB9758" w14:textId="77777777" w:rsidR="00FD5E14" w:rsidRDefault="00AC120D">
            <w:pPr>
              <w:widowControl w:val="0"/>
              <w:ind w:left="810" w:hanging="555"/>
              <w:rPr>
                <w:rFonts w:ascii="Garamond" w:hAnsi="Garamond" w:cs="Garamond"/>
              </w:rPr>
            </w:pPr>
            <w:r>
              <w:rPr>
                <w:rFonts w:ascii="Garamond" w:hAnsi="Garamond" w:cs="Garamond"/>
              </w:rPr>
              <w:t>Symptoms of severe depression can be mistaken for symptoms of AD.</w:t>
            </w:r>
          </w:p>
        </w:tc>
        <w:tc>
          <w:tcPr>
            <w:tcW w:w="1453" w:type="dxa"/>
            <w:tcBorders>
              <w:top w:val="nil"/>
              <w:left w:val="nil"/>
              <w:bottom w:val="nil"/>
              <w:right w:val="nil"/>
            </w:tcBorders>
            <w:tcMar>
              <w:top w:w="0" w:type="dxa"/>
              <w:left w:w="0" w:type="dxa"/>
              <w:bottom w:w="0" w:type="dxa"/>
              <w:right w:w="0" w:type="dxa"/>
            </w:tcMar>
          </w:tcPr>
          <w:p w14:paraId="0179EB68"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3D489F7E" w14:textId="77777777" w:rsidR="00FD5E14" w:rsidRDefault="00AC120D">
            <w:pPr>
              <w:widowControl w:val="0"/>
              <w:ind w:left="555" w:hanging="555"/>
              <w:jc w:val="center"/>
              <w:rPr>
                <w:rFonts w:ascii="Garamond" w:hAnsi="Garamond" w:cs="Garamond"/>
              </w:rPr>
            </w:pPr>
            <w:r>
              <w:rPr>
                <w:rFonts w:ascii="Garamond" w:hAnsi="Garamond" w:cs="Garamond"/>
              </w:rPr>
              <w:t>245(89.1%)</w:t>
            </w:r>
          </w:p>
        </w:tc>
      </w:tr>
      <w:tr w:rsidR="00FD5E14" w14:paraId="75EB8D13"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052908F4" w14:textId="77777777" w:rsidR="00FD5E14" w:rsidRDefault="00AC120D">
            <w:pPr>
              <w:widowControl w:val="0"/>
              <w:ind w:left="810" w:hanging="555"/>
              <w:rPr>
                <w:rFonts w:ascii="Garamond" w:hAnsi="Garamond" w:cs="Garamond"/>
              </w:rPr>
            </w:pPr>
            <w:r>
              <w:rPr>
                <w:rFonts w:ascii="Garamond" w:hAnsi="Garamond" w:cs="Garamond"/>
              </w:rPr>
              <w:t xml:space="preserve"> If trouble with memory and confused thinking appears suddenly, it is likely due to AD.</w:t>
            </w:r>
          </w:p>
        </w:tc>
        <w:tc>
          <w:tcPr>
            <w:tcW w:w="1453" w:type="dxa"/>
            <w:tcBorders>
              <w:top w:val="nil"/>
              <w:left w:val="nil"/>
              <w:bottom w:val="nil"/>
              <w:right w:val="nil"/>
            </w:tcBorders>
            <w:tcMar>
              <w:top w:w="0" w:type="dxa"/>
              <w:left w:w="0" w:type="dxa"/>
              <w:bottom w:w="0" w:type="dxa"/>
              <w:right w:w="0" w:type="dxa"/>
            </w:tcMar>
          </w:tcPr>
          <w:p w14:paraId="12493962"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1E2B15AF" w14:textId="77777777" w:rsidR="00FD5E14" w:rsidRDefault="00AC120D">
            <w:pPr>
              <w:widowControl w:val="0"/>
              <w:ind w:left="555" w:hanging="555"/>
              <w:jc w:val="center"/>
              <w:rPr>
                <w:rFonts w:ascii="Garamond" w:hAnsi="Garamond" w:cs="Garamond"/>
              </w:rPr>
            </w:pPr>
            <w:r>
              <w:rPr>
                <w:rFonts w:ascii="Garamond" w:hAnsi="Garamond" w:cs="Garamond"/>
              </w:rPr>
              <w:t>118(42.9%)</w:t>
            </w:r>
          </w:p>
        </w:tc>
      </w:tr>
      <w:tr w:rsidR="00FD5E14" w14:paraId="4405FC68" w14:textId="77777777">
        <w:trPr>
          <w:trHeight w:val="115"/>
          <w:jc w:val="center"/>
        </w:trPr>
        <w:tc>
          <w:tcPr>
            <w:tcW w:w="8293" w:type="dxa"/>
            <w:tcBorders>
              <w:top w:val="nil"/>
              <w:left w:val="nil"/>
              <w:bottom w:val="single" w:sz="8" w:space="0" w:color="000000"/>
              <w:right w:val="nil"/>
            </w:tcBorders>
            <w:tcMar>
              <w:top w:w="0" w:type="dxa"/>
              <w:left w:w="0" w:type="dxa"/>
              <w:bottom w:w="0" w:type="dxa"/>
              <w:right w:w="0" w:type="dxa"/>
            </w:tcMar>
          </w:tcPr>
          <w:p w14:paraId="688FFC13" w14:textId="77777777" w:rsidR="00FD5E14" w:rsidRDefault="00AC120D">
            <w:pPr>
              <w:widowControl w:val="0"/>
              <w:ind w:left="555" w:hanging="555"/>
              <w:jc w:val="center"/>
              <w:rPr>
                <w:rFonts w:ascii="Garamond" w:hAnsi="Garamond" w:cs="Garamond"/>
                <w:b/>
                <w:bCs/>
              </w:rPr>
            </w:pPr>
            <w:r>
              <w:rPr>
                <w:rFonts w:ascii="Garamond" w:hAnsi="Garamond" w:cs="Garamond"/>
              </w:rPr>
              <w:t xml:space="preserve">Overall </w:t>
            </w:r>
            <w:r>
              <w:rPr>
                <w:rFonts w:ascii="Garamond" w:hAnsi="Garamond" w:cs="Garamond"/>
                <w:b/>
                <w:bCs/>
              </w:rPr>
              <w:t xml:space="preserve">Assessment and Diagnosis </w:t>
            </w:r>
            <w:r>
              <w:rPr>
                <w:rFonts w:ascii="Garamond" w:hAnsi="Garamond" w:cs="Garamond"/>
              </w:rPr>
              <w:t xml:space="preserve">mean </w:t>
            </w:r>
          </w:p>
        </w:tc>
        <w:tc>
          <w:tcPr>
            <w:tcW w:w="1453" w:type="dxa"/>
            <w:tcBorders>
              <w:top w:val="nil"/>
              <w:left w:val="nil"/>
              <w:bottom w:val="single" w:sz="8" w:space="0" w:color="000000"/>
              <w:right w:val="nil"/>
            </w:tcBorders>
            <w:tcMar>
              <w:top w:w="0" w:type="dxa"/>
              <w:left w:w="0" w:type="dxa"/>
              <w:bottom w:w="0" w:type="dxa"/>
              <w:right w:w="0" w:type="dxa"/>
            </w:tcMar>
          </w:tcPr>
          <w:p w14:paraId="76C64D93" w14:textId="77777777" w:rsidR="00FD5E14" w:rsidRDefault="00FD5E14">
            <w:pPr>
              <w:widowControl w:val="0"/>
              <w:ind w:left="555" w:hanging="555"/>
              <w:jc w:val="center"/>
              <w:rPr>
                <w:rFonts w:ascii="Garamond" w:hAnsi="Garamond" w:cs="Garamond"/>
                <w:b/>
                <w:bCs/>
              </w:rPr>
            </w:pPr>
          </w:p>
        </w:tc>
        <w:tc>
          <w:tcPr>
            <w:tcW w:w="1097" w:type="dxa"/>
            <w:tcBorders>
              <w:top w:val="nil"/>
              <w:left w:val="nil"/>
              <w:bottom w:val="single" w:sz="8" w:space="0" w:color="000000"/>
              <w:right w:val="nil"/>
            </w:tcBorders>
            <w:tcMar>
              <w:top w:w="0" w:type="dxa"/>
              <w:left w:w="0" w:type="dxa"/>
              <w:bottom w:w="0" w:type="dxa"/>
              <w:right w:w="0" w:type="dxa"/>
            </w:tcMar>
          </w:tcPr>
          <w:p w14:paraId="309AF717" w14:textId="77777777" w:rsidR="00FD5E14" w:rsidRDefault="00AC120D">
            <w:pPr>
              <w:widowControl w:val="0"/>
              <w:ind w:left="555" w:hanging="555"/>
              <w:jc w:val="center"/>
              <w:rPr>
                <w:rFonts w:ascii="Garamond" w:hAnsi="Garamond" w:cs="Garamond"/>
              </w:rPr>
            </w:pPr>
            <w:r>
              <w:rPr>
                <w:rFonts w:ascii="Garamond" w:hAnsi="Garamond" w:cs="Garamond"/>
              </w:rPr>
              <w:t>3.20</w:t>
            </w:r>
          </w:p>
        </w:tc>
      </w:tr>
      <w:tr w:rsidR="00FD5E14" w14:paraId="0AEC2763" w14:textId="77777777">
        <w:trPr>
          <w:trHeight w:val="115"/>
          <w:jc w:val="center"/>
        </w:trPr>
        <w:tc>
          <w:tcPr>
            <w:tcW w:w="8293" w:type="dxa"/>
            <w:tcBorders>
              <w:top w:val="single" w:sz="8" w:space="0" w:color="000000"/>
              <w:left w:val="nil"/>
              <w:bottom w:val="nil"/>
              <w:right w:val="nil"/>
            </w:tcBorders>
            <w:tcMar>
              <w:top w:w="0" w:type="dxa"/>
              <w:left w:w="0" w:type="dxa"/>
              <w:bottom w:w="0" w:type="dxa"/>
              <w:right w:w="0" w:type="dxa"/>
            </w:tcMar>
          </w:tcPr>
          <w:p w14:paraId="34B0ED76" w14:textId="77777777" w:rsidR="00FD5E14" w:rsidRDefault="00AC120D">
            <w:pPr>
              <w:widowControl w:val="0"/>
              <w:ind w:left="555" w:hanging="555"/>
              <w:rPr>
                <w:rFonts w:ascii="Garamond" w:hAnsi="Garamond" w:cs="Garamond"/>
                <w:b/>
                <w:bCs/>
              </w:rPr>
            </w:pPr>
            <w:r>
              <w:rPr>
                <w:rFonts w:ascii="Garamond" w:hAnsi="Garamond" w:cs="Garamond"/>
                <w:b/>
                <w:bCs/>
              </w:rPr>
              <w:t>Course of the Disease</w:t>
            </w:r>
          </w:p>
        </w:tc>
        <w:tc>
          <w:tcPr>
            <w:tcW w:w="1453" w:type="dxa"/>
            <w:tcBorders>
              <w:top w:val="single" w:sz="8" w:space="0" w:color="000000"/>
              <w:left w:val="nil"/>
              <w:bottom w:val="nil"/>
              <w:right w:val="nil"/>
            </w:tcBorders>
            <w:tcMar>
              <w:top w:w="0" w:type="dxa"/>
              <w:left w:w="0" w:type="dxa"/>
              <w:bottom w:w="0" w:type="dxa"/>
              <w:right w:w="0" w:type="dxa"/>
            </w:tcMar>
          </w:tcPr>
          <w:p w14:paraId="02928CE1"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c>
          <w:tcPr>
            <w:tcW w:w="1097" w:type="dxa"/>
            <w:tcBorders>
              <w:top w:val="single" w:sz="8" w:space="0" w:color="000000"/>
              <w:left w:val="nil"/>
              <w:bottom w:val="nil"/>
              <w:right w:val="nil"/>
            </w:tcBorders>
            <w:tcMar>
              <w:top w:w="0" w:type="dxa"/>
              <w:left w:w="0" w:type="dxa"/>
              <w:bottom w:w="0" w:type="dxa"/>
              <w:right w:w="0" w:type="dxa"/>
            </w:tcMar>
          </w:tcPr>
          <w:p w14:paraId="4B335261" w14:textId="77777777" w:rsidR="00FD5E14" w:rsidRDefault="00AC120D">
            <w:pPr>
              <w:widowControl w:val="0"/>
              <w:ind w:left="555" w:hanging="555"/>
              <w:jc w:val="center"/>
              <w:rPr>
                <w:rFonts w:ascii="Garamond" w:hAnsi="Garamond" w:cs="Garamond"/>
              </w:rPr>
            </w:pPr>
            <w:r>
              <w:rPr>
                <w:rFonts w:ascii="Garamond" w:hAnsi="Garamond" w:cs="Garamond"/>
              </w:rPr>
              <w:t xml:space="preserve"> </w:t>
            </w:r>
          </w:p>
        </w:tc>
      </w:tr>
      <w:tr w:rsidR="00FD5E14" w14:paraId="1A8C663C"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20AFCAC5" w14:textId="77777777" w:rsidR="00FD5E14" w:rsidRDefault="00AC120D">
            <w:pPr>
              <w:widowControl w:val="0"/>
              <w:ind w:left="810" w:hanging="555"/>
              <w:rPr>
                <w:rFonts w:ascii="Garamond" w:hAnsi="Garamond" w:cs="Garamond"/>
              </w:rPr>
            </w:pPr>
            <w:r>
              <w:rPr>
                <w:rFonts w:ascii="Garamond" w:hAnsi="Garamond" w:cs="Garamond"/>
              </w:rPr>
              <w:t xml:space="preserve"> A person with AD becomes increasingly likely to fall down as the disease gets worse.</w:t>
            </w:r>
          </w:p>
        </w:tc>
        <w:tc>
          <w:tcPr>
            <w:tcW w:w="1453" w:type="dxa"/>
            <w:tcBorders>
              <w:top w:val="nil"/>
              <w:left w:val="nil"/>
              <w:bottom w:val="nil"/>
              <w:right w:val="nil"/>
            </w:tcBorders>
            <w:tcMar>
              <w:top w:w="0" w:type="dxa"/>
              <w:left w:w="0" w:type="dxa"/>
              <w:bottom w:w="0" w:type="dxa"/>
              <w:right w:w="0" w:type="dxa"/>
            </w:tcMar>
          </w:tcPr>
          <w:p w14:paraId="1302BE30"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6B46EA03" w14:textId="77777777" w:rsidR="00FD5E14" w:rsidRDefault="00AC120D">
            <w:pPr>
              <w:widowControl w:val="0"/>
              <w:ind w:left="555" w:hanging="555"/>
              <w:jc w:val="center"/>
              <w:rPr>
                <w:rFonts w:ascii="Garamond" w:hAnsi="Garamond" w:cs="Garamond"/>
              </w:rPr>
            </w:pPr>
            <w:r>
              <w:rPr>
                <w:rFonts w:ascii="Garamond" w:hAnsi="Garamond" w:cs="Garamond"/>
              </w:rPr>
              <w:t>258(93.8%)</w:t>
            </w:r>
          </w:p>
        </w:tc>
      </w:tr>
      <w:tr w:rsidR="00FD5E14" w14:paraId="7960C52A"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173ACA11" w14:textId="77777777" w:rsidR="00FD5E14" w:rsidRDefault="00AC120D">
            <w:pPr>
              <w:widowControl w:val="0"/>
              <w:ind w:left="810" w:hanging="555"/>
              <w:rPr>
                <w:rFonts w:ascii="Garamond" w:hAnsi="Garamond" w:cs="Garamond"/>
              </w:rPr>
            </w:pPr>
            <w:r>
              <w:rPr>
                <w:rFonts w:ascii="Garamond" w:hAnsi="Garamond" w:cs="Garamond"/>
              </w:rPr>
              <w:t>Eventually, a person with AD will need 24-hour supervision.</w:t>
            </w:r>
          </w:p>
        </w:tc>
        <w:tc>
          <w:tcPr>
            <w:tcW w:w="1453" w:type="dxa"/>
            <w:tcBorders>
              <w:top w:val="nil"/>
              <w:left w:val="nil"/>
              <w:bottom w:val="nil"/>
              <w:right w:val="nil"/>
            </w:tcBorders>
            <w:tcMar>
              <w:top w:w="0" w:type="dxa"/>
              <w:left w:w="0" w:type="dxa"/>
              <w:bottom w:w="0" w:type="dxa"/>
              <w:right w:w="0" w:type="dxa"/>
            </w:tcMar>
          </w:tcPr>
          <w:p w14:paraId="45669F7B"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0D00F918" w14:textId="77777777" w:rsidR="00FD5E14" w:rsidRDefault="00AC120D">
            <w:pPr>
              <w:widowControl w:val="0"/>
              <w:ind w:left="555" w:hanging="555"/>
              <w:jc w:val="center"/>
              <w:rPr>
                <w:rFonts w:ascii="Garamond" w:hAnsi="Garamond" w:cs="Garamond"/>
              </w:rPr>
            </w:pPr>
            <w:r>
              <w:rPr>
                <w:rFonts w:ascii="Garamond" w:hAnsi="Garamond" w:cs="Garamond"/>
              </w:rPr>
              <w:t>258(93.8%)</w:t>
            </w:r>
          </w:p>
        </w:tc>
      </w:tr>
      <w:tr w:rsidR="00FD5E14" w14:paraId="62E026F7"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1078C5FC" w14:textId="77777777" w:rsidR="00FD5E14" w:rsidRDefault="00AC120D">
            <w:pPr>
              <w:widowControl w:val="0"/>
              <w:ind w:left="810" w:hanging="555"/>
              <w:rPr>
                <w:rFonts w:ascii="Garamond" w:hAnsi="Garamond" w:cs="Garamond"/>
              </w:rPr>
            </w:pPr>
            <w:r>
              <w:rPr>
                <w:rFonts w:ascii="Garamond" w:hAnsi="Garamond" w:cs="Garamond"/>
              </w:rPr>
              <w:t xml:space="preserve"> After symptoms of AD appear, the average life expectancy is 6 to 12 years.</w:t>
            </w:r>
          </w:p>
        </w:tc>
        <w:tc>
          <w:tcPr>
            <w:tcW w:w="1453" w:type="dxa"/>
            <w:tcBorders>
              <w:top w:val="nil"/>
              <w:left w:val="nil"/>
              <w:bottom w:val="nil"/>
              <w:right w:val="nil"/>
            </w:tcBorders>
            <w:tcMar>
              <w:top w:w="0" w:type="dxa"/>
              <w:left w:w="0" w:type="dxa"/>
              <w:bottom w:w="0" w:type="dxa"/>
              <w:right w:w="0" w:type="dxa"/>
            </w:tcMar>
          </w:tcPr>
          <w:p w14:paraId="0450136A"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0F058C33" w14:textId="77777777" w:rsidR="00FD5E14" w:rsidRDefault="00AC120D">
            <w:pPr>
              <w:widowControl w:val="0"/>
              <w:ind w:left="555" w:hanging="555"/>
              <w:jc w:val="center"/>
              <w:rPr>
                <w:rFonts w:ascii="Garamond" w:hAnsi="Garamond" w:cs="Garamond"/>
              </w:rPr>
            </w:pPr>
            <w:r>
              <w:rPr>
                <w:rFonts w:ascii="Garamond" w:hAnsi="Garamond" w:cs="Garamond"/>
              </w:rPr>
              <w:t>201(73.1%)</w:t>
            </w:r>
          </w:p>
        </w:tc>
      </w:tr>
      <w:tr w:rsidR="00FD5E14" w14:paraId="2598C850"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4C43B28A" w14:textId="77777777" w:rsidR="00FD5E14" w:rsidRDefault="00AC120D">
            <w:pPr>
              <w:widowControl w:val="0"/>
              <w:ind w:left="810" w:hanging="555"/>
              <w:rPr>
                <w:rFonts w:ascii="Garamond" w:hAnsi="Garamond" w:cs="Garamond"/>
              </w:rPr>
            </w:pPr>
            <w:r>
              <w:rPr>
                <w:rFonts w:ascii="Garamond" w:hAnsi="Garamond" w:cs="Garamond"/>
              </w:rPr>
              <w:t>In rare cases, people have recovered from AD.</w:t>
            </w:r>
          </w:p>
        </w:tc>
        <w:tc>
          <w:tcPr>
            <w:tcW w:w="1453" w:type="dxa"/>
            <w:tcBorders>
              <w:top w:val="nil"/>
              <w:left w:val="nil"/>
              <w:bottom w:val="nil"/>
              <w:right w:val="nil"/>
            </w:tcBorders>
            <w:tcMar>
              <w:top w:w="0" w:type="dxa"/>
              <w:left w:w="0" w:type="dxa"/>
              <w:bottom w:w="0" w:type="dxa"/>
              <w:right w:w="0" w:type="dxa"/>
            </w:tcMar>
          </w:tcPr>
          <w:p w14:paraId="5C2525AF"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18238457" w14:textId="77777777" w:rsidR="00FD5E14" w:rsidRDefault="00AC120D">
            <w:pPr>
              <w:widowControl w:val="0"/>
              <w:ind w:left="555" w:hanging="555"/>
              <w:jc w:val="center"/>
              <w:rPr>
                <w:rFonts w:ascii="Garamond" w:hAnsi="Garamond" w:cs="Garamond"/>
              </w:rPr>
            </w:pPr>
            <w:r>
              <w:rPr>
                <w:rFonts w:ascii="Garamond" w:hAnsi="Garamond" w:cs="Garamond"/>
              </w:rPr>
              <w:t>172(62.5%)</w:t>
            </w:r>
          </w:p>
        </w:tc>
      </w:tr>
      <w:tr w:rsidR="00FD5E14" w14:paraId="6D240019" w14:textId="77777777">
        <w:trPr>
          <w:trHeight w:val="115"/>
          <w:jc w:val="center"/>
        </w:trPr>
        <w:tc>
          <w:tcPr>
            <w:tcW w:w="8293" w:type="dxa"/>
            <w:tcBorders>
              <w:top w:val="nil"/>
              <w:left w:val="nil"/>
              <w:bottom w:val="single" w:sz="8" w:space="0" w:color="000000"/>
              <w:right w:val="nil"/>
            </w:tcBorders>
            <w:tcMar>
              <w:top w:w="0" w:type="dxa"/>
              <w:left w:w="0" w:type="dxa"/>
              <w:bottom w:w="0" w:type="dxa"/>
              <w:right w:w="0" w:type="dxa"/>
            </w:tcMar>
          </w:tcPr>
          <w:p w14:paraId="71495C35" w14:textId="77777777" w:rsidR="00FD5E14" w:rsidRDefault="00AC120D">
            <w:pPr>
              <w:widowControl w:val="0"/>
              <w:ind w:left="555" w:hanging="555"/>
              <w:jc w:val="center"/>
              <w:rPr>
                <w:rFonts w:ascii="Garamond" w:hAnsi="Garamond" w:cs="Garamond"/>
                <w:b/>
                <w:bCs/>
              </w:rPr>
            </w:pPr>
            <w:r>
              <w:rPr>
                <w:rFonts w:ascii="Garamond" w:hAnsi="Garamond" w:cs="Garamond"/>
              </w:rPr>
              <w:t xml:space="preserve">Overall </w:t>
            </w:r>
            <w:r>
              <w:rPr>
                <w:rFonts w:ascii="Garamond" w:hAnsi="Garamond" w:cs="Garamond"/>
                <w:b/>
                <w:bCs/>
              </w:rPr>
              <w:t>Course of the Disease</w:t>
            </w:r>
            <w:r>
              <w:rPr>
                <w:rFonts w:ascii="Garamond" w:hAnsi="Garamond" w:cs="Garamond"/>
              </w:rPr>
              <w:t xml:space="preserve"> mean </w:t>
            </w:r>
          </w:p>
        </w:tc>
        <w:tc>
          <w:tcPr>
            <w:tcW w:w="1453" w:type="dxa"/>
            <w:tcBorders>
              <w:top w:val="nil"/>
              <w:left w:val="nil"/>
              <w:bottom w:val="single" w:sz="8" w:space="0" w:color="000000"/>
              <w:right w:val="nil"/>
            </w:tcBorders>
            <w:tcMar>
              <w:top w:w="0" w:type="dxa"/>
              <w:left w:w="0" w:type="dxa"/>
              <w:bottom w:w="0" w:type="dxa"/>
              <w:right w:w="0" w:type="dxa"/>
            </w:tcMar>
          </w:tcPr>
          <w:p w14:paraId="26635178" w14:textId="77777777" w:rsidR="00FD5E14" w:rsidRDefault="00FD5E14">
            <w:pPr>
              <w:widowControl w:val="0"/>
              <w:ind w:left="555" w:hanging="555"/>
              <w:jc w:val="center"/>
              <w:rPr>
                <w:rFonts w:ascii="Garamond" w:hAnsi="Garamond" w:cs="Garamond"/>
                <w:b/>
                <w:bCs/>
              </w:rPr>
            </w:pPr>
          </w:p>
        </w:tc>
        <w:tc>
          <w:tcPr>
            <w:tcW w:w="1097" w:type="dxa"/>
            <w:tcBorders>
              <w:top w:val="nil"/>
              <w:left w:val="nil"/>
              <w:bottom w:val="single" w:sz="8" w:space="0" w:color="000000"/>
              <w:right w:val="nil"/>
            </w:tcBorders>
            <w:tcMar>
              <w:top w:w="0" w:type="dxa"/>
              <w:left w:w="0" w:type="dxa"/>
              <w:bottom w:w="0" w:type="dxa"/>
              <w:right w:w="0" w:type="dxa"/>
            </w:tcMar>
          </w:tcPr>
          <w:p w14:paraId="4B3937F1" w14:textId="77777777" w:rsidR="00FD5E14" w:rsidRDefault="00AC120D">
            <w:pPr>
              <w:widowControl w:val="0"/>
              <w:ind w:left="555" w:hanging="555"/>
              <w:jc w:val="center"/>
              <w:rPr>
                <w:rFonts w:ascii="Garamond" w:hAnsi="Garamond" w:cs="Garamond"/>
              </w:rPr>
            </w:pPr>
            <w:r>
              <w:rPr>
                <w:rFonts w:ascii="Garamond" w:hAnsi="Garamond" w:cs="Garamond"/>
              </w:rPr>
              <w:t>3.23</w:t>
            </w:r>
          </w:p>
        </w:tc>
      </w:tr>
      <w:tr w:rsidR="00FD5E14" w14:paraId="3AF3CCC2" w14:textId="77777777">
        <w:trPr>
          <w:trHeight w:val="115"/>
          <w:jc w:val="center"/>
        </w:trPr>
        <w:tc>
          <w:tcPr>
            <w:tcW w:w="8293" w:type="dxa"/>
            <w:tcBorders>
              <w:top w:val="single" w:sz="8" w:space="0" w:color="000000"/>
              <w:left w:val="nil"/>
              <w:bottom w:val="nil"/>
              <w:right w:val="nil"/>
            </w:tcBorders>
            <w:tcMar>
              <w:top w:w="0" w:type="dxa"/>
              <w:left w:w="0" w:type="dxa"/>
              <w:bottom w:w="0" w:type="dxa"/>
              <w:right w:w="0" w:type="dxa"/>
            </w:tcMar>
          </w:tcPr>
          <w:p w14:paraId="1924C056" w14:textId="77777777" w:rsidR="00FD5E14" w:rsidRDefault="00AC120D">
            <w:pPr>
              <w:widowControl w:val="0"/>
              <w:ind w:left="555" w:hanging="555"/>
              <w:rPr>
                <w:rFonts w:ascii="Garamond" w:hAnsi="Garamond" w:cs="Garamond"/>
                <w:b/>
                <w:bCs/>
              </w:rPr>
            </w:pPr>
            <w:r>
              <w:rPr>
                <w:rFonts w:ascii="Garamond" w:hAnsi="Garamond" w:cs="Garamond"/>
                <w:b/>
                <w:bCs/>
              </w:rPr>
              <w:t>Life Impact</w:t>
            </w:r>
          </w:p>
        </w:tc>
        <w:tc>
          <w:tcPr>
            <w:tcW w:w="1453" w:type="dxa"/>
            <w:tcBorders>
              <w:top w:val="single" w:sz="8" w:space="0" w:color="000000"/>
              <w:left w:val="nil"/>
              <w:bottom w:val="nil"/>
              <w:right w:val="nil"/>
            </w:tcBorders>
            <w:tcMar>
              <w:top w:w="0" w:type="dxa"/>
              <w:left w:w="0" w:type="dxa"/>
              <w:bottom w:w="0" w:type="dxa"/>
              <w:right w:w="0" w:type="dxa"/>
            </w:tcMar>
          </w:tcPr>
          <w:p w14:paraId="31F36375"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c>
          <w:tcPr>
            <w:tcW w:w="1097" w:type="dxa"/>
            <w:tcBorders>
              <w:top w:val="single" w:sz="8" w:space="0" w:color="000000"/>
              <w:left w:val="nil"/>
              <w:bottom w:val="nil"/>
              <w:right w:val="nil"/>
            </w:tcBorders>
            <w:tcMar>
              <w:top w:w="0" w:type="dxa"/>
              <w:left w:w="0" w:type="dxa"/>
              <w:bottom w:w="0" w:type="dxa"/>
              <w:right w:w="0" w:type="dxa"/>
            </w:tcMar>
          </w:tcPr>
          <w:p w14:paraId="613B4C87" w14:textId="77777777" w:rsidR="00FD5E14" w:rsidRDefault="00AC120D">
            <w:pPr>
              <w:widowControl w:val="0"/>
              <w:ind w:left="555" w:hanging="555"/>
              <w:jc w:val="center"/>
              <w:rPr>
                <w:rFonts w:ascii="Garamond" w:hAnsi="Garamond" w:cs="Garamond"/>
              </w:rPr>
            </w:pPr>
            <w:r>
              <w:rPr>
                <w:rFonts w:ascii="Garamond" w:hAnsi="Garamond" w:cs="Garamond"/>
              </w:rPr>
              <w:t xml:space="preserve"> </w:t>
            </w:r>
          </w:p>
        </w:tc>
      </w:tr>
      <w:tr w:rsidR="00FD5E14" w14:paraId="2C6B9A79"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3602EFAA" w14:textId="77777777" w:rsidR="00FD5E14" w:rsidRDefault="00AC120D">
            <w:pPr>
              <w:widowControl w:val="0"/>
              <w:ind w:left="810" w:hanging="555"/>
              <w:rPr>
                <w:rFonts w:ascii="Garamond" w:hAnsi="Garamond" w:cs="Garamond"/>
              </w:rPr>
            </w:pPr>
            <w:r>
              <w:rPr>
                <w:rFonts w:ascii="Garamond" w:hAnsi="Garamond" w:cs="Garamond"/>
              </w:rPr>
              <w:t xml:space="preserve"> People with AD are prone to depression.</w:t>
            </w:r>
          </w:p>
        </w:tc>
        <w:tc>
          <w:tcPr>
            <w:tcW w:w="1453" w:type="dxa"/>
            <w:tcBorders>
              <w:top w:val="nil"/>
              <w:left w:val="nil"/>
              <w:bottom w:val="nil"/>
              <w:right w:val="nil"/>
            </w:tcBorders>
            <w:tcMar>
              <w:top w:w="0" w:type="dxa"/>
              <w:left w:w="0" w:type="dxa"/>
              <w:bottom w:w="0" w:type="dxa"/>
              <w:right w:w="0" w:type="dxa"/>
            </w:tcMar>
          </w:tcPr>
          <w:p w14:paraId="29B127A6"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0C4ACB72" w14:textId="77777777" w:rsidR="00FD5E14" w:rsidRDefault="00AC120D">
            <w:pPr>
              <w:widowControl w:val="0"/>
              <w:ind w:left="555" w:hanging="555"/>
              <w:jc w:val="center"/>
              <w:rPr>
                <w:rFonts w:ascii="Garamond" w:hAnsi="Garamond" w:cs="Garamond"/>
              </w:rPr>
            </w:pPr>
            <w:r>
              <w:rPr>
                <w:rFonts w:ascii="Garamond" w:hAnsi="Garamond" w:cs="Garamond"/>
              </w:rPr>
              <w:t>264 (96%)</w:t>
            </w:r>
          </w:p>
        </w:tc>
      </w:tr>
      <w:tr w:rsidR="00FD5E14" w14:paraId="621B9F59"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3711E76E" w14:textId="77777777" w:rsidR="00FD5E14" w:rsidRDefault="00AC120D">
            <w:pPr>
              <w:widowControl w:val="0"/>
              <w:ind w:left="810" w:hanging="555"/>
              <w:rPr>
                <w:rFonts w:ascii="Garamond" w:hAnsi="Garamond" w:cs="Garamond"/>
              </w:rPr>
            </w:pPr>
            <w:r>
              <w:rPr>
                <w:rFonts w:ascii="Garamond" w:hAnsi="Garamond" w:cs="Garamond"/>
              </w:rPr>
              <w:t xml:space="preserve"> It is safe for people with AD to drive, as long as they have a companion in the car at all times.</w:t>
            </w:r>
          </w:p>
        </w:tc>
        <w:tc>
          <w:tcPr>
            <w:tcW w:w="1453" w:type="dxa"/>
            <w:tcBorders>
              <w:top w:val="nil"/>
              <w:left w:val="nil"/>
              <w:bottom w:val="nil"/>
              <w:right w:val="nil"/>
            </w:tcBorders>
            <w:tcMar>
              <w:top w:w="0" w:type="dxa"/>
              <w:left w:w="0" w:type="dxa"/>
              <w:bottom w:w="0" w:type="dxa"/>
              <w:right w:w="0" w:type="dxa"/>
            </w:tcMar>
          </w:tcPr>
          <w:p w14:paraId="44E827C6"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194AB558" w14:textId="77777777" w:rsidR="00FD5E14" w:rsidRDefault="00AC120D">
            <w:pPr>
              <w:widowControl w:val="0"/>
              <w:ind w:left="555" w:hanging="555"/>
              <w:jc w:val="center"/>
              <w:rPr>
                <w:rFonts w:ascii="Garamond" w:hAnsi="Garamond" w:cs="Garamond"/>
              </w:rPr>
            </w:pPr>
            <w:r>
              <w:rPr>
                <w:rFonts w:ascii="Garamond" w:hAnsi="Garamond" w:cs="Garamond"/>
              </w:rPr>
              <w:t>214(77.8%)</w:t>
            </w:r>
          </w:p>
        </w:tc>
      </w:tr>
      <w:tr w:rsidR="00FD5E14" w14:paraId="0C9638AE"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58BD03E1" w14:textId="77777777" w:rsidR="00FD5E14" w:rsidRDefault="00AC120D">
            <w:pPr>
              <w:widowControl w:val="0"/>
              <w:ind w:left="810" w:hanging="555"/>
              <w:rPr>
                <w:rFonts w:ascii="Garamond" w:hAnsi="Garamond" w:cs="Garamond"/>
              </w:rPr>
            </w:pPr>
            <w:r>
              <w:rPr>
                <w:rFonts w:ascii="Garamond" w:hAnsi="Garamond" w:cs="Garamond"/>
              </w:rPr>
              <w:t>Most people with AD live in nursing homes.</w:t>
            </w:r>
          </w:p>
        </w:tc>
        <w:tc>
          <w:tcPr>
            <w:tcW w:w="1453" w:type="dxa"/>
            <w:tcBorders>
              <w:top w:val="nil"/>
              <w:left w:val="nil"/>
              <w:bottom w:val="nil"/>
              <w:right w:val="nil"/>
            </w:tcBorders>
            <w:tcMar>
              <w:top w:w="0" w:type="dxa"/>
              <w:left w:w="0" w:type="dxa"/>
              <w:bottom w:w="0" w:type="dxa"/>
              <w:right w:w="0" w:type="dxa"/>
            </w:tcMar>
          </w:tcPr>
          <w:p w14:paraId="664AB3D1"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5AE1340A" w14:textId="77777777" w:rsidR="00FD5E14" w:rsidRDefault="00AC120D">
            <w:pPr>
              <w:widowControl w:val="0"/>
              <w:ind w:left="555" w:hanging="555"/>
              <w:jc w:val="center"/>
              <w:rPr>
                <w:rFonts w:ascii="Garamond" w:hAnsi="Garamond" w:cs="Garamond"/>
              </w:rPr>
            </w:pPr>
            <w:r>
              <w:rPr>
                <w:rFonts w:ascii="Garamond" w:hAnsi="Garamond" w:cs="Garamond"/>
              </w:rPr>
              <w:t>75 (27.3%)</w:t>
            </w:r>
          </w:p>
        </w:tc>
      </w:tr>
      <w:tr w:rsidR="00FD5E14" w14:paraId="752535BC" w14:textId="77777777">
        <w:trPr>
          <w:trHeight w:val="115"/>
          <w:jc w:val="center"/>
        </w:trPr>
        <w:tc>
          <w:tcPr>
            <w:tcW w:w="8293" w:type="dxa"/>
            <w:tcBorders>
              <w:top w:val="nil"/>
              <w:left w:val="nil"/>
              <w:bottom w:val="single" w:sz="8" w:space="0" w:color="000000"/>
              <w:right w:val="nil"/>
            </w:tcBorders>
            <w:tcMar>
              <w:top w:w="0" w:type="dxa"/>
              <w:left w:w="0" w:type="dxa"/>
              <w:bottom w:w="0" w:type="dxa"/>
              <w:right w:w="0" w:type="dxa"/>
            </w:tcMar>
          </w:tcPr>
          <w:p w14:paraId="7A0924E7" w14:textId="77777777" w:rsidR="00FD5E14" w:rsidRDefault="00AC120D">
            <w:pPr>
              <w:widowControl w:val="0"/>
              <w:ind w:left="555" w:hanging="555"/>
              <w:jc w:val="center"/>
              <w:rPr>
                <w:rFonts w:ascii="Garamond" w:hAnsi="Garamond" w:cs="Garamond"/>
                <w:b/>
                <w:bCs/>
              </w:rPr>
            </w:pPr>
            <w:r>
              <w:rPr>
                <w:rFonts w:ascii="Garamond" w:hAnsi="Garamond" w:cs="Garamond"/>
              </w:rPr>
              <w:t xml:space="preserve">Overall </w:t>
            </w:r>
            <w:r>
              <w:rPr>
                <w:rFonts w:ascii="Garamond" w:hAnsi="Garamond" w:cs="Garamond"/>
                <w:b/>
                <w:bCs/>
              </w:rPr>
              <w:t>Life Impact</w:t>
            </w:r>
            <w:r>
              <w:rPr>
                <w:rFonts w:ascii="Garamond" w:hAnsi="Garamond" w:cs="Garamond"/>
              </w:rPr>
              <w:t xml:space="preserve"> mean </w:t>
            </w:r>
          </w:p>
        </w:tc>
        <w:tc>
          <w:tcPr>
            <w:tcW w:w="1453" w:type="dxa"/>
            <w:tcBorders>
              <w:top w:val="nil"/>
              <w:left w:val="nil"/>
              <w:bottom w:val="single" w:sz="8" w:space="0" w:color="000000"/>
              <w:right w:val="nil"/>
            </w:tcBorders>
            <w:tcMar>
              <w:top w:w="0" w:type="dxa"/>
              <w:left w:w="0" w:type="dxa"/>
              <w:bottom w:w="0" w:type="dxa"/>
              <w:right w:w="0" w:type="dxa"/>
            </w:tcMar>
          </w:tcPr>
          <w:p w14:paraId="4BD9ACE0" w14:textId="77777777" w:rsidR="00FD5E14" w:rsidRDefault="00FD5E14">
            <w:pPr>
              <w:widowControl w:val="0"/>
              <w:ind w:left="555" w:hanging="555"/>
              <w:jc w:val="center"/>
              <w:rPr>
                <w:rFonts w:ascii="Garamond" w:hAnsi="Garamond" w:cs="Garamond"/>
                <w:b/>
                <w:bCs/>
              </w:rPr>
            </w:pPr>
          </w:p>
        </w:tc>
        <w:tc>
          <w:tcPr>
            <w:tcW w:w="1097" w:type="dxa"/>
            <w:tcBorders>
              <w:top w:val="nil"/>
              <w:left w:val="nil"/>
              <w:bottom w:val="single" w:sz="8" w:space="0" w:color="000000"/>
              <w:right w:val="nil"/>
            </w:tcBorders>
            <w:tcMar>
              <w:top w:w="0" w:type="dxa"/>
              <w:left w:w="0" w:type="dxa"/>
              <w:bottom w:w="0" w:type="dxa"/>
              <w:right w:w="0" w:type="dxa"/>
            </w:tcMar>
          </w:tcPr>
          <w:p w14:paraId="78C9EA0F" w14:textId="77777777" w:rsidR="00FD5E14" w:rsidRDefault="00AC120D">
            <w:pPr>
              <w:widowControl w:val="0"/>
              <w:ind w:left="555" w:hanging="555"/>
              <w:jc w:val="center"/>
              <w:rPr>
                <w:rFonts w:ascii="Garamond" w:hAnsi="Garamond" w:cs="Garamond"/>
              </w:rPr>
            </w:pPr>
            <w:r>
              <w:rPr>
                <w:rFonts w:ascii="Garamond" w:hAnsi="Garamond" w:cs="Garamond"/>
              </w:rPr>
              <w:t>2.01</w:t>
            </w:r>
          </w:p>
        </w:tc>
      </w:tr>
      <w:tr w:rsidR="00FD5E14" w14:paraId="41E9BF42" w14:textId="77777777">
        <w:trPr>
          <w:trHeight w:val="115"/>
          <w:jc w:val="center"/>
        </w:trPr>
        <w:tc>
          <w:tcPr>
            <w:tcW w:w="8293" w:type="dxa"/>
            <w:tcBorders>
              <w:top w:val="single" w:sz="8" w:space="0" w:color="000000"/>
              <w:left w:val="nil"/>
              <w:bottom w:val="nil"/>
              <w:right w:val="nil"/>
            </w:tcBorders>
            <w:tcMar>
              <w:top w:w="0" w:type="dxa"/>
              <w:left w:w="0" w:type="dxa"/>
              <w:bottom w:w="0" w:type="dxa"/>
              <w:right w:w="0" w:type="dxa"/>
            </w:tcMar>
          </w:tcPr>
          <w:p w14:paraId="2F8B69E7" w14:textId="77777777" w:rsidR="00FD5E14" w:rsidRDefault="00AC120D">
            <w:pPr>
              <w:widowControl w:val="0"/>
              <w:ind w:left="555" w:hanging="555"/>
              <w:rPr>
                <w:rFonts w:ascii="Garamond" w:hAnsi="Garamond" w:cs="Garamond"/>
                <w:b/>
                <w:bCs/>
              </w:rPr>
            </w:pPr>
            <w:r>
              <w:rPr>
                <w:rFonts w:ascii="Garamond" w:hAnsi="Garamond" w:cs="Garamond"/>
                <w:b/>
                <w:bCs/>
              </w:rPr>
              <w:t>Caregiving</w:t>
            </w:r>
          </w:p>
        </w:tc>
        <w:tc>
          <w:tcPr>
            <w:tcW w:w="1453" w:type="dxa"/>
            <w:tcBorders>
              <w:top w:val="single" w:sz="8" w:space="0" w:color="000000"/>
              <w:left w:val="nil"/>
              <w:bottom w:val="nil"/>
              <w:right w:val="nil"/>
            </w:tcBorders>
            <w:tcMar>
              <w:top w:w="0" w:type="dxa"/>
              <w:left w:w="0" w:type="dxa"/>
              <w:bottom w:w="0" w:type="dxa"/>
              <w:right w:w="0" w:type="dxa"/>
            </w:tcMar>
          </w:tcPr>
          <w:p w14:paraId="126A9F75"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c>
          <w:tcPr>
            <w:tcW w:w="1097" w:type="dxa"/>
            <w:tcBorders>
              <w:top w:val="single" w:sz="8" w:space="0" w:color="000000"/>
              <w:left w:val="nil"/>
              <w:bottom w:val="nil"/>
              <w:right w:val="nil"/>
            </w:tcBorders>
            <w:tcMar>
              <w:top w:w="0" w:type="dxa"/>
              <w:left w:w="0" w:type="dxa"/>
              <w:bottom w:w="0" w:type="dxa"/>
              <w:right w:w="0" w:type="dxa"/>
            </w:tcMar>
          </w:tcPr>
          <w:p w14:paraId="1F740B7F" w14:textId="77777777" w:rsidR="00FD5E14" w:rsidRDefault="00AC120D">
            <w:pPr>
              <w:widowControl w:val="0"/>
              <w:ind w:left="555" w:hanging="555"/>
              <w:jc w:val="center"/>
              <w:rPr>
                <w:rFonts w:ascii="Garamond" w:hAnsi="Garamond" w:cs="Garamond"/>
              </w:rPr>
            </w:pPr>
            <w:r>
              <w:rPr>
                <w:rFonts w:ascii="Garamond" w:hAnsi="Garamond" w:cs="Garamond"/>
              </w:rPr>
              <w:t xml:space="preserve"> </w:t>
            </w:r>
          </w:p>
        </w:tc>
      </w:tr>
      <w:tr w:rsidR="00FD5E14" w14:paraId="6F4EFCC0" w14:textId="77777777">
        <w:trPr>
          <w:trHeight w:val="264"/>
          <w:jc w:val="center"/>
        </w:trPr>
        <w:tc>
          <w:tcPr>
            <w:tcW w:w="8293" w:type="dxa"/>
            <w:tcBorders>
              <w:top w:val="nil"/>
              <w:left w:val="nil"/>
              <w:bottom w:val="nil"/>
              <w:right w:val="nil"/>
            </w:tcBorders>
            <w:tcMar>
              <w:top w:w="0" w:type="dxa"/>
              <w:left w:w="0" w:type="dxa"/>
              <w:bottom w:w="0" w:type="dxa"/>
              <w:right w:w="0" w:type="dxa"/>
            </w:tcMar>
          </w:tcPr>
          <w:p w14:paraId="3F5B22B0" w14:textId="77777777" w:rsidR="00FD5E14" w:rsidRDefault="00AC120D">
            <w:pPr>
              <w:widowControl w:val="0"/>
              <w:ind w:left="810" w:hanging="555"/>
              <w:rPr>
                <w:rFonts w:ascii="Garamond" w:hAnsi="Garamond" w:cs="Garamond"/>
              </w:rPr>
            </w:pPr>
            <w:r>
              <w:rPr>
                <w:rFonts w:ascii="Garamond" w:hAnsi="Garamond" w:cs="Garamond"/>
              </w:rPr>
              <w:t xml:space="preserve"> If a person with AD becomes alert and agitated at night, a good strategy is to try to make sure that the person gets plenty of physical activity during the day.</w:t>
            </w:r>
          </w:p>
        </w:tc>
        <w:tc>
          <w:tcPr>
            <w:tcW w:w="1453" w:type="dxa"/>
            <w:tcBorders>
              <w:top w:val="nil"/>
              <w:left w:val="nil"/>
              <w:bottom w:val="nil"/>
              <w:right w:val="nil"/>
            </w:tcBorders>
            <w:tcMar>
              <w:top w:w="0" w:type="dxa"/>
              <w:left w:w="0" w:type="dxa"/>
              <w:bottom w:w="0" w:type="dxa"/>
              <w:right w:w="0" w:type="dxa"/>
            </w:tcMar>
          </w:tcPr>
          <w:p w14:paraId="264EA05E"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316AF53D" w14:textId="77777777" w:rsidR="00FD5E14" w:rsidRDefault="00AC120D">
            <w:pPr>
              <w:widowControl w:val="0"/>
              <w:ind w:left="555" w:hanging="555"/>
              <w:jc w:val="center"/>
              <w:rPr>
                <w:rFonts w:ascii="Garamond" w:hAnsi="Garamond" w:cs="Garamond"/>
              </w:rPr>
            </w:pPr>
            <w:r>
              <w:rPr>
                <w:rFonts w:ascii="Garamond" w:hAnsi="Garamond" w:cs="Garamond"/>
              </w:rPr>
              <w:t>235(85.5%)</w:t>
            </w:r>
          </w:p>
        </w:tc>
      </w:tr>
      <w:tr w:rsidR="00FD5E14" w14:paraId="619240A0"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4443388D" w14:textId="77777777" w:rsidR="00FD5E14" w:rsidRDefault="00AC120D">
            <w:pPr>
              <w:widowControl w:val="0"/>
              <w:ind w:left="810" w:hanging="555"/>
              <w:rPr>
                <w:rFonts w:ascii="Garamond" w:hAnsi="Garamond" w:cs="Garamond"/>
              </w:rPr>
            </w:pPr>
            <w:r>
              <w:rPr>
                <w:rFonts w:ascii="Garamond" w:hAnsi="Garamond" w:cs="Garamond"/>
              </w:rPr>
              <w:lastRenderedPageBreak/>
              <w:t>People with AD do best with simple instructions given one step at a time.</w:t>
            </w:r>
          </w:p>
        </w:tc>
        <w:tc>
          <w:tcPr>
            <w:tcW w:w="1453" w:type="dxa"/>
            <w:tcBorders>
              <w:top w:val="nil"/>
              <w:left w:val="nil"/>
              <w:bottom w:val="nil"/>
              <w:right w:val="nil"/>
            </w:tcBorders>
            <w:tcMar>
              <w:top w:w="0" w:type="dxa"/>
              <w:left w:w="0" w:type="dxa"/>
              <w:bottom w:w="0" w:type="dxa"/>
              <w:right w:w="0" w:type="dxa"/>
            </w:tcMar>
          </w:tcPr>
          <w:p w14:paraId="61DD5B27"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03FED085" w14:textId="77777777" w:rsidR="00FD5E14" w:rsidRDefault="00AC120D">
            <w:pPr>
              <w:widowControl w:val="0"/>
              <w:ind w:left="555" w:hanging="555"/>
              <w:jc w:val="center"/>
              <w:rPr>
                <w:rFonts w:ascii="Garamond" w:hAnsi="Garamond" w:cs="Garamond"/>
              </w:rPr>
            </w:pPr>
            <w:r>
              <w:rPr>
                <w:rFonts w:ascii="Garamond" w:hAnsi="Garamond" w:cs="Garamond"/>
              </w:rPr>
              <w:t>221(80.4%)</w:t>
            </w:r>
          </w:p>
        </w:tc>
      </w:tr>
      <w:tr w:rsidR="00FD5E14" w14:paraId="61FE357D" w14:textId="77777777">
        <w:trPr>
          <w:trHeight w:val="264"/>
          <w:jc w:val="center"/>
        </w:trPr>
        <w:tc>
          <w:tcPr>
            <w:tcW w:w="8293" w:type="dxa"/>
            <w:tcBorders>
              <w:top w:val="nil"/>
              <w:left w:val="nil"/>
              <w:bottom w:val="nil"/>
              <w:right w:val="nil"/>
            </w:tcBorders>
            <w:tcMar>
              <w:top w:w="0" w:type="dxa"/>
              <w:left w:w="0" w:type="dxa"/>
              <w:bottom w:w="0" w:type="dxa"/>
              <w:right w:w="0" w:type="dxa"/>
            </w:tcMar>
          </w:tcPr>
          <w:p w14:paraId="42C630D0" w14:textId="77777777" w:rsidR="00FD5E14" w:rsidRDefault="00AC120D">
            <w:pPr>
              <w:widowControl w:val="0"/>
              <w:ind w:left="810" w:hanging="555"/>
              <w:rPr>
                <w:rFonts w:ascii="Garamond" w:hAnsi="Garamond" w:cs="Garamond"/>
              </w:rPr>
            </w:pPr>
            <w:r>
              <w:rPr>
                <w:rFonts w:ascii="Garamond" w:hAnsi="Garamond" w:cs="Garamond"/>
              </w:rPr>
              <w:t xml:space="preserve"> When people with AD repeat the same question or story several times, it is helpful to remind them that they are repeating themselves</w:t>
            </w:r>
          </w:p>
        </w:tc>
        <w:tc>
          <w:tcPr>
            <w:tcW w:w="1453" w:type="dxa"/>
            <w:tcBorders>
              <w:top w:val="nil"/>
              <w:left w:val="nil"/>
              <w:bottom w:val="nil"/>
              <w:right w:val="nil"/>
            </w:tcBorders>
            <w:tcMar>
              <w:top w:w="0" w:type="dxa"/>
              <w:left w:w="0" w:type="dxa"/>
              <w:bottom w:w="0" w:type="dxa"/>
              <w:right w:w="0" w:type="dxa"/>
            </w:tcMar>
          </w:tcPr>
          <w:p w14:paraId="484B6A9D"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1045D4B7" w14:textId="77777777" w:rsidR="00FD5E14" w:rsidRDefault="00AC120D">
            <w:pPr>
              <w:widowControl w:val="0"/>
              <w:ind w:left="555" w:hanging="555"/>
              <w:jc w:val="center"/>
              <w:rPr>
                <w:rFonts w:ascii="Garamond" w:hAnsi="Garamond" w:cs="Garamond"/>
              </w:rPr>
            </w:pPr>
            <w:r>
              <w:rPr>
                <w:rFonts w:ascii="Garamond" w:hAnsi="Garamond" w:cs="Garamond"/>
              </w:rPr>
              <w:t>99 (36%)</w:t>
            </w:r>
          </w:p>
        </w:tc>
      </w:tr>
      <w:tr w:rsidR="00FD5E14" w14:paraId="616EF8EE" w14:textId="77777777">
        <w:trPr>
          <w:trHeight w:val="209"/>
          <w:jc w:val="center"/>
        </w:trPr>
        <w:tc>
          <w:tcPr>
            <w:tcW w:w="8293" w:type="dxa"/>
            <w:tcBorders>
              <w:top w:val="nil"/>
              <w:left w:val="nil"/>
              <w:bottom w:val="nil"/>
              <w:right w:val="nil"/>
            </w:tcBorders>
            <w:tcMar>
              <w:top w:w="0" w:type="dxa"/>
              <w:left w:w="0" w:type="dxa"/>
              <w:bottom w:w="0" w:type="dxa"/>
              <w:right w:w="0" w:type="dxa"/>
            </w:tcMar>
          </w:tcPr>
          <w:p w14:paraId="7056E169" w14:textId="77777777" w:rsidR="00FD5E14" w:rsidRDefault="00AC120D">
            <w:pPr>
              <w:widowControl w:val="0"/>
              <w:ind w:left="810" w:hanging="555"/>
              <w:rPr>
                <w:rFonts w:ascii="Garamond" w:hAnsi="Garamond" w:cs="Garamond"/>
              </w:rPr>
            </w:pPr>
            <w:r>
              <w:rPr>
                <w:rFonts w:ascii="Garamond" w:hAnsi="Garamond" w:cs="Garamond"/>
              </w:rPr>
              <w:t xml:space="preserve"> Once people have AD, they are no longer capable of making informed decisions about their own care.</w:t>
            </w:r>
          </w:p>
        </w:tc>
        <w:tc>
          <w:tcPr>
            <w:tcW w:w="1453" w:type="dxa"/>
            <w:tcBorders>
              <w:top w:val="nil"/>
              <w:left w:val="nil"/>
              <w:bottom w:val="nil"/>
              <w:right w:val="nil"/>
            </w:tcBorders>
            <w:tcMar>
              <w:top w:w="0" w:type="dxa"/>
              <w:left w:w="0" w:type="dxa"/>
              <w:bottom w:w="0" w:type="dxa"/>
              <w:right w:w="0" w:type="dxa"/>
            </w:tcMar>
          </w:tcPr>
          <w:p w14:paraId="501273A7"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6EEBA6E8" w14:textId="77777777" w:rsidR="00FD5E14" w:rsidRDefault="00AC120D">
            <w:pPr>
              <w:widowControl w:val="0"/>
              <w:ind w:left="555" w:hanging="555"/>
              <w:jc w:val="center"/>
              <w:rPr>
                <w:rFonts w:ascii="Garamond" w:hAnsi="Garamond" w:cs="Garamond"/>
              </w:rPr>
            </w:pPr>
            <w:r>
              <w:rPr>
                <w:rFonts w:ascii="Garamond" w:hAnsi="Garamond" w:cs="Garamond"/>
              </w:rPr>
              <w:t>82 (29.8%)</w:t>
            </w:r>
          </w:p>
        </w:tc>
      </w:tr>
      <w:tr w:rsidR="00FD5E14" w14:paraId="3C51C941" w14:textId="77777777">
        <w:trPr>
          <w:trHeight w:val="209"/>
          <w:jc w:val="center"/>
        </w:trPr>
        <w:tc>
          <w:tcPr>
            <w:tcW w:w="8293" w:type="dxa"/>
            <w:tcBorders>
              <w:top w:val="nil"/>
              <w:left w:val="nil"/>
              <w:bottom w:val="nil"/>
              <w:right w:val="nil"/>
            </w:tcBorders>
            <w:tcMar>
              <w:top w:w="0" w:type="dxa"/>
              <w:left w:w="0" w:type="dxa"/>
              <w:bottom w:w="0" w:type="dxa"/>
              <w:right w:w="0" w:type="dxa"/>
            </w:tcMar>
          </w:tcPr>
          <w:p w14:paraId="7950BCF7" w14:textId="77777777" w:rsidR="00FD5E14" w:rsidRDefault="00AC120D">
            <w:pPr>
              <w:widowControl w:val="0"/>
              <w:ind w:left="810" w:hanging="555"/>
              <w:rPr>
                <w:rFonts w:ascii="Garamond" w:hAnsi="Garamond" w:cs="Garamond"/>
              </w:rPr>
            </w:pPr>
            <w:r>
              <w:rPr>
                <w:rFonts w:ascii="Garamond" w:hAnsi="Garamond" w:cs="Garamond"/>
              </w:rPr>
              <w:t>When people with AD begin to have difficulty taking care of them, caregivers should take over right away.</w:t>
            </w:r>
          </w:p>
        </w:tc>
        <w:tc>
          <w:tcPr>
            <w:tcW w:w="1453" w:type="dxa"/>
            <w:tcBorders>
              <w:top w:val="nil"/>
              <w:left w:val="nil"/>
              <w:bottom w:val="nil"/>
              <w:right w:val="nil"/>
            </w:tcBorders>
            <w:tcMar>
              <w:top w:w="0" w:type="dxa"/>
              <w:left w:w="0" w:type="dxa"/>
              <w:bottom w:w="0" w:type="dxa"/>
              <w:right w:w="0" w:type="dxa"/>
            </w:tcMar>
          </w:tcPr>
          <w:p w14:paraId="296E4F43"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07E376D0" w14:textId="77777777" w:rsidR="00FD5E14" w:rsidRDefault="00AC120D">
            <w:pPr>
              <w:widowControl w:val="0"/>
              <w:ind w:left="555" w:hanging="555"/>
              <w:jc w:val="center"/>
              <w:rPr>
                <w:rFonts w:ascii="Garamond" w:hAnsi="Garamond" w:cs="Garamond"/>
              </w:rPr>
            </w:pPr>
            <w:r>
              <w:rPr>
                <w:rFonts w:ascii="Garamond" w:hAnsi="Garamond" w:cs="Garamond"/>
              </w:rPr>
              <w:t>70 (25.5%)</w:t>
            </w:r>
          </w:p>
        </w:tc>
      </w:tr>
      <w:tr w:rsidR="00FD5E14" w14:paraId="10C7CB16" w14:textId="77777777">
        <w:trPr>
          <w:trHeight w:val="115"/>
          <w:jc w:val="center"/>
        </w:trPr>
        <w:tc>
          <w:tcPr>
            <w:tcW w:w="8293" w:type="dxa"/>
            <w:tcBorders>
              <w:top w:val="nil"/>
              <w:left w:val="nil"/>
              <w:bottom w:val="single" w:sz="8" w:space="0" w:color="000000"/>
              <w:right w:val="nil"/>
            </w:tcBorders>
            <w:tcMar>
              <w:top w:w="0" w:type="dxa"/>
              <w:left w:w="0" w:type="dxa"/>
              <w:bottom w:w="0" w:type="dxa"/>
              <w:right w:w="0" w:type="dxa"/>
            </w:tcMar>
          </w:tcPr>
          <w:p w14:paraId="28A2853A" w14:textId="77777777" w:rsidR="00FD5E14" w:rsidRDefault="00AC120D">
            <w:pPr>
              <w:widowControl w:val="0"/>
              <w:ind w:left="555" w:hanging="555"/>
              <w:jc w:val="center"/>
              <w:rPr>
                <w:rFonts w:ascii="Garamond" w:hAnsi="Garamond" w:cs="Garamond"/>
                <w:b/>
                <w:bCs/>
              </w:rPr>
            </w:pPr>
            <w:r>
              <w:rPr>
                <w:rFonts w:ascii="Garamond" w:hAnsi="Garamond" w:cs="Garamond"/>
              </w:rPr>
              <w:t xml:space="preserve">Overall </w:t>
            </w:r>
            <w:r>
              <w:rPr>
                <w:rFonts w:ascii="Garamond" w:hAnsi="Garamond" w:cs="Garamond"/>
                <w:b/>
                <w:bCs/>
              </w:rPr>
              <w:t xml:space="preserve">Caregiving </w:t>
            </w:r>
            <w:r>
              <w:rPr>
                <w:rFonts w:ascii="Garamond" w:hAnsi="Garamond" w:cs="Garamond"/>
              </w:rPr>
              <w:t xml:space="preserve">mean </w:t>
            </w:r>
          </w:p>
        </w:tc>
        <w:tc>
          <w:tcPr>
            <w:tcW w:w="1453" w:type="dxa"/>
            <w:tcBorders>
              <w:top w:val="nil"/>
              <w:left w:val="nil"/>
              <w:bottom w:val="single" w:sz="8" w:space="0" w:color="000000"/>
              <w:right w:val="nil"/>
            </w:tcBorders>
            <w:tcMar>
              <w:top w:w="0" w:type="dxa"/>
              <w:left w:w="0" w:type="dxa"/>
              <w:bottom w:w="0" w:type="dxa"/>
              <w:right w:w="0" w:type="dxa"/>
            </w:tcMar>
          </w:tcPr>
          <w:p w14:paraId="7DDDC7E6" w14:textId="77777777" w:rsidR="00FD5E14" w:rsidRDefault="00FD5E14">
            <w:pPr>
              <w:widowControl w:val="0"/>
              <w:ind w:left="555" w:hanging="555"/>
              <w:jc w:val="center"/>
              <w:rPr>
                <w:rFonts w:ascii="Garamond" w:hAnsi="Garamond" w:cs="Garamond"/>
                <w:b/>
                <w:bCs/>
              </w:rPr>
            </w:pPr>
          </w:p>
        </w:tc>
        <w:tc>
          <w:tcPr>
            <w:tcW w:w="1097" w:type="dxa"/>
            <w:tcBorders>
              <w:top w:val="nil"/>
              <w:left w:val="nil"/>
              <w:bottom w:val="single" w:sz="8" w:space="0" w:color="000000"/>
              <w:right w:val="nil"/>
            </w:tcBorders>
            <w:tcMar>
              <w:top w:w="0" w:type="dxa"/>
              <w:left w:w="0" w:type="dxa"/>
              <w:bottom w:w="0" w:type="dxa"/>
              <w:right w:w="0" w:type="dxa"/>
            </w:tcMar>
          </w:tcPr>
          <w:p w14:paraId="404ACDD9" w14:textId="77777777" w:rsidR="00FD5E14" w:rsidRDefault="00AC120D">
            <w:pPr>
              <w:widowControl w:val="0"/>
              <w:ind w:left="555" w:hanging="555"/>
              <w:jc w:val="center"/>
              <w:rPr>
                <w:rFonts w:ascii="Garamond" w:hAnsi="Garamond" w:cs="Garamond"/>
              </w:rPr>
            </w:pPr>
            <w:r>
              <w:rPr>
                <w:rFonts w:ascii="Garamond" w:hAnsi="Garamond" w:cs="Garamond"/>
              </w:rPr>
              <w:t>2.57</w:t>
            </w:r>
          </w:p>
        </w:tc>
      </w:tr>
      <w:tr w:rsidR="00FD5E14" w14:paraId="4D344021" w14:textId="77777777">
        <w:trPr>
          <w:trHeight w:val="115"/>
          <w:jc w:val="center"/>
        </w:trPr>
        <w:tc>
          <w:tcPr>
            <w:tcW w:w="8293" w:type="dxa"/>
            <w:tcBorders>
              <w:top w:val="single" w:sz="8" w:space="0" w:color="000000"/>
              <w:left w:val="nil"/>
              <w:bottom w:val="nil"/>
              <w:right w:val="nil"/>
            </w:tcBorders>
            <w:tcMar>
              <w:top w:w="0" w:type="dxa"/>
              <w:left w:w="0" w:type="dxa"/>
              <w:bottom w:w="0" w:type="dxa"/>
              <w:right w:w="0" w:type="dxa"/>
            </w:tcMar>
          </w:tcPr>
          <w:p w14:paraId="5BC6C8E2" w14:textId="77777777" w:rsidR="00FD5E14" w:rsidRDefault="00AC120D">
            <w:pPr>
              <w:widowControl w:val="0"/>
              <w:ind w:left="555" w:hanging="555"/>
              <w:rPr>
                <w:rFonts w:ascii="Garamond" w:hAnsi="Garamond" w:cs="Garamond"/>
                <w:b/>
                <w:bCs/>
              </w:rPr>
            </w:pPr>
            <w:r>
              <w:rPr>
                <w:rFonts w:ascii="Garamond" w:hAnsi="Garamond" w:cs="Garamond"/>
                <w:b/>
                <w:bCs/>
              </w:rPr>
              <w:t>Treatment and Management</w:t>
            </w:r>
          </w:p>
        </w:tc>
        <w:tc>
          <w:tcPr>
            <w:tcW w:w="1453" w:type="dxa"/>
            <w:tcBorders>
              <w:top w:val="single" w:sz="8" w:space="0" w:color="000000"/>
              <w:left w:val="nil"/>
              <w:bottom w:val="nil"/>
              <w:right w:val="nil"/>
            </w:tcBorders>
            <w:tcMar>
              <w:top w:w="0" w:type="dxa"/>
              <w:left w:w="0" w:type="dxa"/>
              <w:bottom w:w="0" w:type="dxa"/>
              <w:right w:w="0" w:type="dxa"/>
            </w:tcMar>
          </w:tcPr>
          <w:p w14:paraId="74156149" w14:textId="77777777" w:rsidR="00FD5E14" w:rsidRDefault="00AC120D">
            <w:pPr>
              <w:widowControl w:val="0"/>
              <w:ind w:left="555" w:hanging="555"/>
              <w:jc w:val="center"/>
              <w:rPr>
                <w:rFonts w:ascii="Garamond" w:hAnsi="Garamond" w:cs="Garamond"/>
                <w:b/>
                <w:bCs/>
              </w:rPr>
            </w:pPr>
            <w:r>
              <w:rPr>
                <w:rFonts w:ascii="Garamond" w:hAnsi="Garamond" w:cs="Garamond"/>
                <w:b/>
                <w:bCs/>
              </w:rPr>
              <w:t xml:space="preserve"> </w:t>
            </w:r>
          </w:p>
        </w:tc>
        <w:tc>
          <w:tcPr>
            <w:tcW w:w="1097" w:type="dxa"/>
            <w:tcBorders>
              <w:top w:val="single" w:sz="8" w:space="0" w:color="000000"/>
              <w:left w:val="nil"/>
              <w:bottom w:val="nil"/>
              <w:right w:val="nil"/>
            </w:tcBorders>
            <w:tcMar>
              <w:top w:w="0" w:type="dxa"/>
              <w:left w:w="0" w:type="dxa"/>
              <w:bottom w:w="0" w:type="dxa"/>
              <w:right w:w="0" w:type="dxa"/>
            </w:tcMar>
          </w:tcPr>
          <w:p w14:paraId="73422FE4" w14:textId="77777777" w:rsidR="00FD5E14" w:rsidRDefault="00AC120D">
            <w:pPr>
              <w:widowControl w:val="0"/>
              <w:ind w:left="555" w:hanging="555"/>
              <w:jc w:val="center"/>
              <w:rPr>
                <w:rFonts w:ascii="Garamond" w:hAnsi="Garamond" w:cs="Garamond"/>
              </w:rPr>
            </w:pPr>
            <w:r>
              <w:rPr>
                <w:rFonts w:ascii="Garamond" w:hAnsi="Garamond" w:cs="Garamond"/>
              </w:rPr>
              <w:t xml:space="preserve"> </w:t>
            </w:r>
          </w:p>
        </w:tc>
      </w:tr>
      <w:tr w:rsidR="00FD5E14" w14:paraId="6ED409C3"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688D0708" w14:textId="77777777" w:rsidR="00FD5E14" w:rsidRDefault="00AC120D">
            <w:pPr>
              <w:widowControl w:val="0"/>
              <w:ind w:left="810" w:hanging="555"/>
              <w:rPr>
                <w:rFonts w:ascii="Garamond" w:hAnsi="Garamond" w:cs="Garamond"/>
              </w:rPr>
            </w:pPr>
            <w:r>
              <w:rPr>
                <w:rFonts w:ascii="Garamond" w:hAnsi="Garamond" w:cs="Garamond"/>
              </w:rPr>
              <w:t>Poor nutrition can make the symptoms of AD worse.</w:t>
            </w:r>
          </w:p>
        </w:tc>
        <w:tc>
          <w:tcPr>
            <w:tcW w:w="1453" w:type="dxa"/>
            <w:tcBorders>
              <w:top w:val="nil"/>
              <w:left w:val="nil"/>
              <w:bottom w:val="nil"/>
              <w:right w:val="nil"/>
            </w:tcBorders>
            <w:tcMar>
              <w:top w:w="0" w:type="dxa"/>
              <w:left w:w="0" w:type="dxa"/>
              <w:bottom w:w="0" w:type="dxa"/>
              <w:right w:w="0" w:type="dxa"/>
            </w:tcMar>
          </w:tcPr>
          <w:p w14:paraId="05539DF8"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73DFE152" w14:textId="77777777" w:rsidR="00FD5E14" w:rsidRDefault="00AC120D">
            <w:pPr>
              <w:widowControl w:val="0"/>
              <w:ind w:left="555" w:hanging="555"/>
              <w:jc w:val="center"/>
              <w:rPr>
                <w:rFonts w:ascii="Garamond" w:hAnsi="Garamond" w:cs="Garamond"/>
              </w:rPr>
            </w:pPr>
            <w:r>
              <w:rPr>
                <w:rFonts w:ascii="Garamond" w:hAnsi="Garamond" w:cs="Garamond"/>
              </w:rPr>
              <w:t>264 (96%)</w:t>
            </w:r>
          </w:p>
        </w:tc>
      </w:tr>
      <w:tr w:rsidR="00FD5E14" w14:paraId="7C83C09B"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57876B29" w14:textId="77777777" w:rsidR="00FD5E14" w:rsidRDefault="00AC120D">
            <w:pPr>
              <w:widowControl w:val="0"/>
              <w:ind w:left="810" w:hanging="555"/>
              <w:rPr>
                <w:rFonts w:ascii="Garamond" w:hAnsi="Garamond" w:cs="Garamond"/>
              </w:rPr>
            </w:pPr>
            <w:r>
              <w:rPr>
                <w:rFonts w:ascii="Garamond" w:hAnsi="Garamond" w:cs="Garamond"/>
              </w:rPr>
              <w:t>People whose AD is not yet severe can benefit from psychotherapy for depression and anxiety.</w:t>
            </w:r>
          </w:p>
        </w:tc>
        <w:tc>
          <w:tcPr>
            <w:tcW w:w="1453" w:type="dxa"/>
            <w:tcBorders>
              <w:top w:val="nil"/>
              <w:left w:val="nil"/>
              <w:bottom w:val="nil"/>
              <w:right w:val="nil"/>
            </w:tcBorders>
            <w:tcMar>
              <w:top w:w="0" w:type="dxa"/>
              <w:left w:w="0" w:type="dxa"/>
              <w:bottom w:w="0" w:type="dxa"/>
              <w:right w:w="0" w:type="dxa"/>
            </w:tcMar>
          </w:tcPr>
          <w:p w14:paraId="0126DE56"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4B2C45EF" w14:textId="77777777" w:rsidR="00FD5E14" w:rsidRDefault="00AC120D">
            <w:pPr>
              <w:widowControl w:val="0"/>
              <w:ind w:left="555" w:hanging="555"/>
              <w:jc w:val="center"/>
              <w:rPr>
                <w:rFonts w:ascii="Garamond" w:hAnsi="Garamond" w:cs="Garamond"/>
              </w:rPr>
            </w:pPr>
            <w:r>
              <w:rPr>
                <w:rFonts w:ascii="Garamond" w:hAnsi="Garamond" w:cs="Garamond"/>
              </w:rPr>
              <w:t>257(93.5%)</w:t>
            </w:r>
          </w:p>
        </w:tc>
      </w:tr>
      <w:tr w:rsidR="00FD5E14" w14:paraId="1EFBC9C2" w14:textId="77777777">
        <w:trPr>
          <w:trHeight w:val="105"/>
          <w:jc w:val="center"/>
        </w:trPr>
        <w:tc>
          <w:tcPr>
            <w:tcW w:w="8293" w:type="dxa"/>
            <w:tcBorders>
              <w:top w:val="nil"/>
              <w:left w:val="nil"/>
              <w:bottom w:val="nil"/>
              <w:right w:val="nil"/>
            </w:tcBorders>
            <w:tcMar>
              <w:top w:w="0" w:type="dxa"/>
              <w:left w:w="0" w:type="dxa"/>
              <w:bottom w:w="0" w:type="dxa"/>
              <w:right w:w="0" w:type="dxa"/>
            </w:tcMar>
          </w:tcPr>
          <w:p w14:paraId="6580FD5B" w14:textId="77777777" w:rsidR="00FD5E14" w:rsidRDefault="00AC120D">
            <w:pPr>
              <w:widowControl w:val="0"/>
              <w:ind w:left="810" w:hanging="555"/>
              <w:rPr>
                <w:rFonts w:ascii="Garamond" w:hAnsi="Garamond" w:cs="Garamond"/>
              </w:rPr>
            </w:pPr>
            <w:r>
              <w:rPr>
                <w:rFonts w:ascii="Garamond" w:hAnsi="Garamond" w:cs="Garamond"/>
              </w:rPr>
              <w:t>AD cannot be cured.</w:t>
            </w:r>
          </w:p>
        </w:tc>
        <w:tc>
          <w:tcPr>
            <w:tcW w:w="1453" w:type="dxa"/>
            <w:tcBorders>
              <w:top w:val="nil"/>
              <w:left w:val="nil"/>
              <w:bottom w:val="nil"/>
              <w:right w:val="nil"/>
            </w:tcBorders>
            <w:tcMar>
              <w:top w:w="0" w:type="dxa"/>
              <w:left w:w="0" w:type="dxa"/>
              <w:bottom w:w="0" w:type="dxa"/>
              <w:right w:w="0" w:type="dxa"/>
            </w:tcMar>
          </w:tcPr>
          <w:p w14:paraId="2084806D" w14:textId="77777777" w:rsidR="00FD5E14" w:rsidRDefault="00AC120D">
            <w:pPr>
              <w:widowControl w:val="0"/>
              <w:ind w:left="555" w:hanging="555"/>
              <w:jc w:val="center"/>
              <w:rPr>
                <w:rFonts w:ascii="Garamond" w:hAnsi="Garamond" w:cs="Garamond"/>
              </w:rPr>
            </w:pPr>
            <w:r>
              <w:rPr>
                <w:rFonts w:ascii="Garamond" w:hAnsi="Garamond" w:cs="Garamond"/>
              </w:rPr>
              <w:t>YES</w:t>
            </w:r>
          </w:p>
        </w:tc>
        <w:tc>
          <w:tcPr>
            <w:tcW w:w="1097" w:type="dxa"/>
            <w:tcBorders>
              <w:top w:val="nil"/>
              <w:left w:val="nil"/>
              <w:bottom w:val="nil"/>
              <w:right w:val="nil"/>
            </w:tcBorders>
            <w:tcMar>
              <w:top w:w="0" w:type="dxa"/>
              <w:left w:w="0" w:type="dxa"/>
              <w:bottom w:w="0" w:type="dxa"/>
              <w:right w:w="0" w:type="dxa"/>
            </w:tcMar>
          </w:tcPr>
          <w:p w14:paraId="163F8C73" w14:textId="77777777" w:rsidR="00FD5E14" w:rsidRDefault="00AC120D">
            <w:pPr>
              <w:widowControl w:val="0"/>
              <w:ind w:left="555" w:hanging="555"/>
              <w:jc w:val="center"/>
              <w:rPr>
                <w:rFonts w:ascii="Garamond" w:hAnsi="Garamond" w:cs="Garamond"/>
              </w:rPr>
            </w:pPr>
            <w:r>
              <w:rPr>
                <w:rFonts w:ascii="Garamond" w:hAnsi="Garamond" w:cs="Garamond"/>
              </w:rPr>
              <w:t>237(86.2%)</w:t>
            </w:r>
          </w:p>
        </w:tc>
      </w:tr>
      <w:tr w:rsidR="00FD5E14" w14:paraId="56BB9262" w14:textId="77777777">
        <w:trPr>
          <w:trHeight w:val="176"/>
          <w:jc w:val="center"/>
        </w:trPr>
        <w:tc>
          <w:tcPr>
            <w:tcW w:w="8293" w:type="dxa"/>
            <w:tcBorders>
              <w:top w:val="nil"/>
              <w:left w:val="nil"/>
              <w:bottom w:val="nil"/>
              <w:right w:val="nil"/>
            </w:tcBorders>
            <w:tcMar>
              <w:top w:w="0" w:type="dxa"/>
              <w:left w:w="0" w:type="dxa"/>
              <w:bottom w:w="0" w:type="dxa"/>
              <w:right w:w="0" w:type="dxa"/>
            </w:tcMar>
          </w:tcPr>
          <w:p w14:paraId="3C77D0DF" w14:textId="77777777" w:rsidR="00FD5E14" w:rsidRDefault="00AC120D">
            <w:pPr>
              <w:widowControl w:val="0"/>
              <w:ind w:left="810" w:hanging="555"/>
              <w:rPr>
                <w:rFonts w:ascii="Garamond" w:hAnsi="Garamond" w:cs="Garamond"/>
              </w:rPr>
            </w:pPr>
            <w:r>
              <w:rPr>
                <w:rFonts w:ascii="Garamond" w:hAnsi="Garamond" w:cs="Garamond"/>
              </w:rPr>
              <w:t>When a person has AD, using reminder notes is a crutch that can contribute to decline.</w:t>
            </w:r>
          </w:p>
        </w:tc>
        <w:tc>
          <w:tcPr>
            <w:tcW w:w="1453" w:type="dxa"/>
            <w:tcBorders>
              <w:top w:val="nil"/>
              <w:left w:val="nil"/>
              <w:bottom w:val="nil"/>
              <w:right w:val="nil"/>
            </w:tcBorders>
            <w:tcMar>
              <w:top w:w="0" w:type="dxa"/>
              <w:left w:w="0" w:type="dxa"/>
              <w:bottom w:w="0" w:type="dxa"/>
              <w:right w:w="0" w:type="dxa"/>
            </w:tcMar>
          </w:tcPr>
          <w:p w14:paraId="5B94DA18" w14:textId="77777777" w:rsidR="00FD5E14" w:rsidRDefault="00AC120D">
            <w:pPr>
              <w:widowControl w:val="0"/>
              <w:ind w:left="555" w:hanging="555"/>
              <w:jc w:val="center"/>
              <w:rPr>
                <w:rFonts w:ascii="Garamond" w:hAnsi="Garamond" w:cs="Garamond"/>
              </w:rPr>
            </w:pPr>
            <w:r>
              <w:rPr>
                <w:rFonts w:ascii="Garamond" w:hAnsi="Garamond" w:cs="Garamond"/>
              </w:rPr>
              <w:t>NO</w:t>
            </w:r>
          </w:p>
        </w:tc>
        <w:tc>
          <w:tcPr>
            <w:tcW w:w="1097" w:type="dxa"/>
            <w:tcBorders>
              <w:top w:val="nil"/>
              <w:left w:val="nil"/>
              <w:bottom w:val="nil"/>
              <w:right w:val="nil"/>
            </w:tcBorders>
            <w:tcMar>
              <w:top w:w="0" w:type="dxa"/>
              <w:left w:w="0" w:type="dxa"/>
              <w:bottom w:w="0" w:type="dxa"/>
              <w:right w:w="0" w:type="dxa"/>
            </w:tcMar>
          </w:tcPr>
          <w:p w14:paraId="787FB7D0" w14:textId="77777777" w:rsidR="00FD5E14" w:rsidRDefault="00AC120D">
            <w:pPr>
              <w:widowControl w:val="0"/>
              <w:ind w:left="555" w:hanging="555"/>
              <w:jc w:val="center"/>
              <w:rPr>
                <w:rFonts w:ascii="Garamond" w:hAnsi="Garamond" w:cs="Garamond"/>
              </w:rPr>
            </w:pPr>
            <w:r>
              <w:rPr>
                <w:rFonts w:ascii="Garamond" w:hAnsi="Garamond" w:cs="Garamond"/>
              </w:rPr>
              <w:t>129(46.9%)</w:t>
            </w:r>
          </w:p>
        </w:tc>
      </w:tr>
      <w:tr w:rsidR="00FD5E14" w14:paraId="028D8C4B" w14:textId="77777777">
        <w:trPr>
          <w:trHeight w:val="176"/>
          <w:jc w:val="center"/>
        </w:trPr>
        <w:tc>
          <w:tcPr>
            <w:tcW w:w="8293" w:type="dxa"/>
            <w:tcBorders>
              <w:top w:val="nil"/>
              <w:left w:val="nil"/>
              <w:bottom w:val="single" w:sz="8" w:space="0" w:color="000000"/>
              <w:right w:val="nil"/>
            </w:tcBorders>
            <w:tcMar>
              <w:top w:w="0" w:type="dxa"/>
              <w:left w:w="0" w:type="dxa"/>
              <w:bottom w:w="0" w:type="dxa"/>
              <w:right w:w="0" w:type="dxa"/>
            </w:tcMar>
          </w:tcPr>
          <w:p w14:paraId="74EBA220" w14:textId="77777777" w:rsidR="00FD5E14" w:rsidRDefault="00AC120D">
            <w:pPr>
              <w:widowControl w:val="0"/>
              <w:ind w:left="810" w:hanging="555"/>
              <w:jc w:val="center"/>
              <w:rPr>
                <w:rFonts w:ascii="Garamond" w:hAnsi="Garamond" w:cs="Garamond"/>
              </w:rPr>
            </w:pPr>
            <w:r>
              <w:rPr>
                <w:rFonts w:ascii="Garamond" w:hAnsi="Garamond" w:cs="Garamond"/>
              </w:rPr>
              <w:t xml:space="preserve">Overall </w:t>
            </w:r>
            <w:r>
              <w:rPr>
                <w:rFonts w:ascii="Garamond" w:hAnsi="Garamond" w:cs="Garamond"/>
                <w:b/>
                <w:bCs/>
              </w:rPr>
              <w:t xml:space="preserve">Treatment and Management </w:t>
            </w:r>
            <w:r>
              <w:rPr>
                <w:rFonts w:ascii="Garamond" w:hAnsi="Garamond" w:cs="Garamond"/>
              </w:rPr>
              <w:t xml:space="preserve">mean </w:t>
            </w:r>
          </w:p>
        </w:tc>
        <w:tc>
          <w:tcPr>
            <w:tcW w:w="1453" w:type="dxa"/>
            <w:tcBorders>
              <w:top w:val="nil"/>
              <w:left w:val="nil"/>
              <w:bottom w:val="single" w:sz="8" w:space="0" w:color="000000"/>
              <w:right w:val="nil"/>
            </w:tcBorders>
            <w:tcMar>
              <w:top w:w="0" w:type="dxa"/>
              <w:left w:w="0" w:type="dxa"/>
              <w:bottom w:w="0" w:type="dxa"/>
              <w:right w:w="0" w:type="dxa"/>
            </w:tcMar>
          </w:tcPr>
          <w:p w14:paraId="0EB78E61" w14:textId="77777777" w:rsidR="00FD5E14" w:rsidRDefault="00FD5E14">
            <w:pPr>
              <w:widowControl w:val="0"/>
              <w:ind w:left="555" w:hanging="555"/>
              <w:jc w:val="center"/>
              <w:rPr>
                <w:rFonts w:ascii="Garamond" w:hAnsi="Garamond" w:cs="Garamond"/>
              </w:rPr>
            </w:pPr>
          </w:p>
        </w:tc>
        <w:tc>
          <w:tcPr>
            <w:tcW w:w="1097" w:type="dxa"/>
            <w:tcBorders>
              <w:top w:val="nil"/>
              <w:left w:val="nil"/>
              <w:bottom w:val="single" w:sz="8" w:space="0" w:color="000000"/>
              <w:right w:val="nil"/>
            </w:tcBorders>
            <w:tcMar>
              <w:top w:w="0" w:type="dxa"/>
              <w:left w:w="0" w:type="dxa"/>
              <w:bottom w:w="0" w:type="dxa"/>
              <w:right w:w="0" w:type="dxa"/>
            </w:tcMar>
          </w:tcPr>
          <w:p w14:paraId="32DDD051" w14:textId="77777777" w:rsidR="00FD5E14" w:rsidRDefault="00AC120D">
            <w:pPr>
              <w:widowControl w:val="0"/>
              <w:ind w:left="555" w:hanging="555"/>
              <w:jc w:val="center"/>
              <w:rPr>
                <w:rFonts w:ascii="Garamond" w:hAnsi="Garamond" w:cs="Garamond"/>
              </w:rPr>
            </w:pPr>
            <w:r>
              <w:rPr>
                <w:rFonts w:ascii="Garamond" w:hAnsi="Garamond" w:cs="Garamond"/>
              </w:rPr>
              <w:t>3.23</w:t>
            </w:r>
          </w:p>
        </w:tc>
      </w:tr>
      <w:tr w:rsidR="00FD5E14" w14:paraId="01822BDB" w14:textId="77777777">
        <w:trPr>
          <w:trHeight w:val="176"/>
          <w:jc w:val="center"/>
        </w:trPr>
        <w:tc>
          <w:tcPr>
            <w:tcW w:w="8293" w:type="dxa"/>
            <w:tcBorders>
              <w:top w:val="single" w:sz="8" w:space="0" w:color="000000"/>
              <w:left w:val="nil"/>
              <w:bottom w:val="single" w:sz="8" w:space="0" w:color="000000"/>
              <w:right w:val="nil"/>
            </w:tcBorders>
            <w:tcMar>
              <w:top w:w="0" w:type="dxa"/>
              <w:left w:w="0" w:type="dxa"/>
              <w:bottom w:w="0" w:type="dxa"/>
              <w:right w:w="0" w:type="dxa"/>
            </w:tcMar>
          </w:tcPr>
          <w:p w14:paraId="0B4BDD0F" w14:textId="77777777" w:rsidR="00FD5E14" w:rsidRDefault="00AC120D">
            <w:pPr>
              <w:widowControl w:val="0"/>
              <w:ind w:left="810" w:hanging="555"/>
              <w:rPr>
                <w:rFonts w:ascii="Garamond" w:hAnsi="Garamond" w:cs="Garamond"/>
              </w:rPr>
            </w:pPr>
            <w:r>
              <w:rPr>
                <w:rFonts w:ascii="Garamond" w:hAnsi="Garamond" w:cs="Garamond"/>
              </w:rPr>
              <w:t>Overall Knowledge</w:t>
            </w:r>
          </w:p>
        </w:tc>
        <w:tc>
          <w:tcPr>
            <w:tcW w:w="1453" w:type="dxa"/>
            <w:tcBorders>
              <w:top w:val="single" w:sz="8" w:space="0" w:color="000000"/>
              <w:left w:val="nil"/>
              <w:bottom w:val="single" w:sz="8" w:space="0" w:color="000000"/>
              <w:right w:val="nil"/>
            </w:tcBorders>
            <w:tcMar>
              <w:top w:w="0" w:type="dxa"/>
              <w:left w:w="0" w:type="dxa"/>
              <w:bottom w:w="0" w:type="dxa"/>
              <w:right w:w="0" w:type="dxa"/>
            </w:tcMar>
          </w:tcPr>
          <w:p w14:paraId="786C4AAF" w14:textId="77777777" w:rsidR="00FD5E14" w:rsidRDefault="00FD5E14">
            <w:pPr>
              <w:widowControl w:val="0"/>
              <w:ind w:left="555" w:hanging="555"/>
              <w:jc w:val="center"/>
              <w:rPr>
                <w:rFonts w:ascii="Garamond" w:hAnsi="Garamond" w:cs="Garamond"/>
              </w:rPr>
            </w:pPr>
          </w:p>
        </w:tc>
        <w:tc>
          <w:tcPr>
            <w:tcW w:w="1097" w:type="dxa"/>
            <w:tcBorders>
              <w:top w:val="single" w:sz="8" w:space="0" w:color="000000"/>
              <w:left w:val="nil"/>
              <w:bottom w:val="single" w:sz="8" w:space="0" w:color="000000"/>
              <w:right w:val="nil"/>
            </w:tcBorders>
            <w:tcMar>
              <w:top w:w="0" w:type="dxa"/>
              <w:left w:w="0" w:type="dxa"/>
              <w:bottom w:w="0" w:type="dxa"/>
              <w:right w:w="0" w:type="dxa"/>
            </w:tcMar>
          </w:tcPr>
          <w:p w14:paraId="6D7A2249" w14:textId="77777777" w:rsidR="00FD5E14" w:rsidRDefault="00AC120D">
            <w:pPr>
              <w:widowControl w:val="0"/>
              <w:ind w:left="555" w:hanging="555"/>
              <w:jc w:val="center"/>
              <w:rPr>
                <w:rFonts w:ascii="Garamond" w:hAnsi="Garamond" w:cs="Garamond"/>
              </w:rPr>
            </w:pPr>
            <w:r>
              <w:rPr>
                <w:rFonts w:ascii="Garamond" w:hAnsi="Garamond" w:cs="Garamond"/>
              </w:rPr>
              <w:t>2.98</w:t>
            </w:r>
          </w:p>
        </w:tc>
      </w:tr>
    </w:tbl>
    <w:p w14:paraId="79D9223C" w14:textId="77777777" w:rsidR="00FD5E14" w:rsidRDefault="00FD5E14">
      <w:pPr>
        <w:jc w:val="both"/>
        <w:rPr>
          <w:rFonts w:ascii="Arial" w:eastAsia="Arial" w:hAnsi="Arial" w:cs="Arial"/>
        </w:rPr>
      </w:pPr>
    </w:p>
    <w:p w14:paraId="1A03420D" w14:textId="77777777" w:rsidR="00FD5E14" w:rsidRDefault="00AC120D">
      <w:pPr>
        <w:jc w:val="both"/>
        <w:rPr>
          <w:rFonts w:ascii="Arial" w:eastAsia="Arial" w:hAnsi="Arial" w:cs="Arial"/>
        </w:rPr>
      </w:pPr>
      <w:r>
        <w:rPr>
          <w:rFonts w:ascii="Arial" w:eastAsia="Arial" w:hAnsi="Arial" w:cs="Arial"/>
        </w:rPr>
        <w:t xml:space="preserve">The ADKS was further utilized to assess the respondents’ level of knowledge regarding AD. Using the categorization cut-off proposed by Benjamin Bloom (1956), as cited in the study of </w:t>
      </w:r>
      <w:proofErr w:type="spellStart"/>
      <w:r>
        <w:rPr>
          <w:rFonts w:ascii="Arial" w:eastAsia="Arial" w:hAnsi="Arial" w:cs="Arial"/>
        </w:rPr>
        <w:t>Alzaharni</w:t>
      </w:r>
      <w:proofErr w:type="spellEnd"/>
      <w:r>
        <w:rPr>
          <w:rFonts w:ascii="Arial" w:eastAsia="Arial" w:hAnsi="Arial" w:cs="Arial"/>
        </w:rPr>
        <w:t xml:space="preserve"> (2021), the findings revealed that 48% of the respondents demon</w:t>
      </w:r>
      <w:r>
        <w:rPr>
          <w:rFonts w:ascii="Arial" w:eastAsia="Arial" w:hAnsi="Arial" w:cs="Arial"/>
        </w:rPr>
        <w:t>strated a moderate level of knowledge regarding the condition. Meanwhile, a considerable proportion of the respondents showed a low level of knowledge, indicating gaps in understanding about AD. Only 20% of the respondents demonstrated a high level of know</w:t>
      </w:r>
      <w:r>
        <w:rPr>
          <w:rFonts w:ascii="Arial" w:eastAsia="Arial" w:hAnsi="Arial" w:cs="Arial"/>
        </w:rPr>
        <w:t>ledge. Table 2b shows the data.</w:t>
      </w:r>
    </w:p>
    <w:p w14:paraId="0A099B1B" w14:textId="77777777" w:rsidR="00FD5E14" w:rsidRDefault="00FD5E14">
      <w:pPr>
        <w:jc w:val="both"/>
        <w:rPr>
          <w:rFonts w:ascii="Arial" w:eastAsia="Arial" w:hAnsi="Arial" w:cs="Arial"/>
        </w:rPr>
      </w:pPr>
    </w:p>
    <w:p w14:paraId="2D901EFF" w14:textId="77777777" w:rsidR="00FD5E14" w:rsidRDefault="00AC120D">
      <w:pPr>
        <w:jc w:val="both"/>
        <w:rPr>
          <w:rFonts w:ascii="Arial" w:eastAsia="Arial" w:hAnsi="Arial" w:cs="Arial"/>
          <w:b/>
          <w:bCs/>
        </w:rPr>
      </w:pPr>
      <w:r>
        <w:rPr>
          <w:rFonts w:ascii="Arial" w:eastAsia="Arial" w:hAnsi="Arial" w:cs="Arial"/>
          <w:b/>
          <w:bCs/>
        </w:rPr>
        <w:t>Table 2b. Distribution of the Respondents According to their Knowledge (n=275)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7"/>
        <w:gridCol w:w="1645"/>
        <w:gridCol w:w="1652"/>
      </w:tblGrid>
      <w:tr w:rsidR="00FD5E14" w14:paraId="546AF295" w14:textId="77777777">
        <w:tc>
          <w:tcPr>
            <w:tcW w:w="5127" w:type="dxa"/>
            <w:tcBorders>
              <w:top w:val="single" w:sz="4" w:space="0" w:color="auto"/>
              <w:left w:val="nil"/>
              <w:bottom w:val="nil"/>
              <w:right w:val="nil"/>
            </w:tcBorders>
          </w:tcPr>
          <w:p w14:paraId="0D01DB5B" w14:textId="77777777" w:rsidR="00FD5E14" w:rsidRDefault="00AC120D">
            <w:pPr>
              <w:jc w:val="center"/>
              <w:rPr>
                <w:rFonts w:ascii="Arial" w:eastAsia="Arial" w:hAnsi="Arial" w:cs="Arial"/>
                <w:b/>
                <w:bCs/>
                <w:sz w:val="20"/>
                <w:szCs w:val="20"/>
              </w:rPr>
            </w:pPr>
            <w:r>
              <w:rPr>
                <w:rFonts w:ascii="Arial" w:eastAsia="Arial" w:hAnsi="Arial" w:cs="Arial"/>
                <w:sz w:val="20"/>
                <w:szCs w:val="20"/>
              </w:rPr>
              <w:t>Level of Knowledge</w:t>
            </w:r>
          </w:p>
        </w:tc>
        <w:tc>
          <w:tcPr>
            <w:tcW w:w="1645" w:type="dxa"/>
            <w:tcBorders>
              <w:top w:val="single" w:sz="4" w:space="0" w:color="auto"/>
              <w:left w:val="nil"/>
              <w:bottom w:val="nil"/>
              <w:right w:val="nil"/>
            </w:tcBorders>
          </w:tcPr>
          <w:p w14:paraId="1B48E6D0" w14:textId="77777777" w:rsidR="00FD5E14" w:rsidRDefault="00AC120D">
            <w:pPr>
              <w:jc w:val="center"/>
              <w:rPr>
                <w:rFonts w:ascii="Arial" w:eastAsia="Arial" w:hAnsi="Arial" w:cs="Arial"/>
                <w:i/>
                <w:iCs/>
                <w:sz w:val="20"/>
                <w:szCs w:val="20"/>
              </w:rPr>
            </w:pPr>
            <w:r>
              <w:rPr>
                <w:rFonts w:ascii="Arial" w:eastAsia="Arial" w:hAnsi="Arial" w:cs="Arial"/>
                <w:i/>
                <w:iCs/>
                <w:sz w:val="20"/>
                <w:szCs w:val="20"/>
              </w:rPr>
              <w:t>f</w:t>
            </w:r>
          </w:p>
        </w:tc>
        <w:tc>
          <w:tcPr>
            <w:tcW w:w="1652" w:type="dxa"/>
            <w:tcBorders>
              <w:top w:val="single" w:sz="4" w:space="0" w:color="auto"/>
              <w:left w:val="nil"/>
              <w:bottom w:val="nil"/>
              <w:right w:val="nil"/>
            </w:tcBorders>
          </w:tcPr>
          <w:p w14:paraId="56CB683E" w14:textId="77777777" w:rsidR="00FD5E14" w:rsidRDefault="00AC120D">
            <w:pPr>
              <w:jc w:val="center"/>
              <w:rPr>
                <w:rFonts w:ascii="Arial" w:eastAsia="Arial" w:hAnsi="Arial" w:cs="Arial"/>
                <w:i/>
                <w:iCs/>
                <w:sz w:val="20"/>
                <w:szCs w:val="20"/>
              </w:rPr>
            </w:pPr>
            <w:r>
              <w:rPr>
                <w:rFonts w:ascii="Arial" w:eastAsia="Arial" w:hAnsi="Arial" w:cs="Arial"/>
                <w:i/>
                <w:iCs/>
                <w:sz w:val="20"/>
                <w:szCs w:val="20"/>
              </w:rPr>
              <w:t>%</w:t>
            </w:r>
          </w:p>
        </w:tc>
      </w:tr>
      <w:tr w:rsidR="00FD5E14" w14:paraId="28FE8554" w14:textId="77777777">
        <w:tc>
          <w:tcPr>
            <w:tcW w:w="5127" w:type="dxa"/>
            <w:tcBorders>
              <w:top w:val="nil"/>
              <w:left w:val="nil"/>
              <w:bottom w:val="nil"/>
              <w:right w:val="nil"/>
            </w:tcBorders>
          </w:tcPr>
          <w:p w14:paraId="25E912BA" w14:textId="77777777" w:rsidR="00FD5E14" w:rsidRDefault="00AC120D">
            <w:pPr>
              <w:rPr>
                <w:rFonts w:ascii="Arial" w:eastAsia="Arial" w:hAnsi="Arial" w:cs="Arial"/>
                <w:sz w:val="20"/>
                <w:szCs w:val="20"/>
              </w:rPr>
            </w:pPr>
            <w:r>
              <w:rPr>
                <w:rFonts w:ascii="Arial" w:eastAsia="Arial" w:hAnsi="Arial" w:cs="Arial"/>
                <w:sz w:val="20"/>
                <w:szCs w:val="20"/>
              </w:rPr>
              <w:t>High</w:t>
            </w:r>
          </w:p>
        </w:tc>
        <w:tc>
          <w:tcPr>
            <w:tcW w:w="1645" w:type="dxa"/>
            <w:tcBorders>
              <w:top w:val="nil"/>
              <w:left w:val="nil"/>
              <w:bottom w:val="nil"/>
              <w:right w:val="nil"/>
            </w:tcBorders>
          </w:tcPr>
          <w:p w14:paraId="79801FD1" w14:textId="77777777" w:rsidR="00FD5E14" w:rsidRDefault="00AC120D">
            <w:pPr>
              <w:jc w:val="center"/>
              <w:rPr>
                <w:rFonts w:ascii="Arial" w:eastAsia="Arial" w:hAnsi="Arial" w:cs="Arial"/>
                <w:sz w:val="20"/>
                <w:szCs w:val="20"/>
              </w:rPr>
            </w:pPr>
            <w:r>
              <w:rPr>
                <w:rFonts w:ascii="Arial" w:eastAsia="Arial" w:hAnsi="Arial" w:cs="Arial"/>
                <w:sz w:val="20"/>
                <w:szCs w:val="20"/>
              </w:rPr>
              <w:t>55</w:t>
            </w:r>
          </w:p>
        </w:tc>
        <w:tc>
          <w:tcPr>
            <w:tcW w:w="1652" w:type="dxa"/>
            <w:tcBorders>
              <w:top w:val="nil"/>
              <w:left w:val="nil"/>
              <w:bottom w:val="nil"/>
              <w:right w:val="nil"/>
            </w:tcBorders>
          </w:tcPr>
          <w:p w14:paraId="4351823F" w14:textId="77777777" w:rsidR="00FD5E14" w:rsidRDefault="00AC120D">
            <w:pPr>
              <w:jc w:val="center"/>
              <w:rPr>
                <w:rFonts w:ascii="Arial" w:eastAsia="Arial" w:hAnsi="Arial" w:cs="Arial"/>
                <w:sz w:val="20"/>
                <w:szCs w:val="20"/>
              </w:rPr>
            </w:pPr>
            <w:r>
              <w:rPr>
                <w:rFonts w:ascii="Arial" w:eastAsia="Arial" w:hAnsi="Arial" w:cs="Arial"/>
                <w:sz w:val="20"/>
                <w:szCs w:val="20"/>
              </w:rPr>
              <w:t>20.0</w:t>
            </w:r>
          </w:p>
        </w:tc>
      </w:tr>
      <w:tr w:rsidR="00FD5E14" w14:paraId="18CC3B81" w14:textId="77777777">
        <w:tc>
          <w:tcPr>
            <w:tcW w:w="5127" w:type="dxa"/>
            <w:tcBorders>
              <w:top w:val="nil"/>
              <w:left w:val="nil"/>
              <w:bottom w:val="nil"/>
              <w:right w:val="nil"/>
            </w:tcBorders>
          </w:tcPr>
          <w:p w14:paraId="474DA435" w14:textId="77777777" w:rsidR="00FD5E14" w:rsidRDefault="00AC120D">
            <w:pPr>
              <w:rPr>
                <w:rFonts w:ascii="Arial" w:eastAsia="Arial" w:hAnsi="Arial" w:cs="Arial"/>
                <w:sz w:val="20"/>
                <w:szCs w:val="20"/>
              </w:rPr>
            </w:pPr>
            <w:r>
              <w:rPr>
                <w:rFonts w:ascii="Arial" w:eastAsia="Arial" w:hAnsi="Arial" w:cs="Arial"/>
                <w:sz w:val="20"/>
                <w:szCs w:val="20"/>
              </w:rPr>
              <w:t>Moderate</w:t>
            </w:r>
          </w:p>
        </w:tc>
        <w:tc>
          <w:tcPr>
            <w:tcW w:w="1645" w:type="dxa"/>
            <w:tcBorders>
              <w:top w:val="nil"/>
              <w:left w:val="nil"/>
              <w:bottom w:val="nil"/>
              <w:right w:val="nil"/>
            </w:tcBorders>
          </w:tcPr>
          <w:p w14:paraId="08A1640B" w14:textId="77777777" w:rsidR="00FD5E14" w:rsidRDefault="00AC120D">
            <w:pPr>
              <w:jc w:val="center"/>
              <w:rPr>
                <w:rFonts w:ascii="Arial" w:eastAsia="Arial" w:hAnsi="Arial" w:cs="Arial"/>
                <w:sz w:val="20"/>
                <w:szCs w:val="20"/>
              </w:rPr>
            </w:pPr>
            <w:r>
              <w:rPr>
                <w:rFonts w:ascii="Arial" w:eastAsia="Arial" w:hAnsi="Arial" w:cs="Arial"/>
                <w:sz w:val="20"/>
                <w:szCs w:val="20"/>
              </w:rPr>
              <w:t>132</w:t>
            </w:r>
          </w:p>
        </w:tc>
        <w:tc>
          <w:tcPr>
            <w:tcW w:w="1652" w:type="dxa"/>
            <w:tcBorders>
              <w:top w:val="nil"/>
              <w:left w:val="nil"/>
              <w:bottom w:val="nil"/>
              <w:right w:val="nil"/>
            </w:tcBorders>
          </w:tcPr>
          <w:p w14:paraId="3287A4DB" w14:textId="77777777" w:rsidR="00FD5E14" w:rsidRDefault="00AC120D">
            <w:pPr>
              <w:jc w:val="center"/>
              <w:rPr>
                <w:rFonts w:ascii="Arial" w:eastAsia="Arial" w:hAnsi="Arial" w:cs="Arial"/>
                <w:sz w:val="20"/>
                <w:szCs w:val="20"/>
              </w:rPr>
            </w:pPr>
            <w:r>
              <w:rPr>
                <w:rFonts w:ascii="Arial" w:eastAsia="Arial" w:hAnsi="Arial" w:cs="Arial"/>
                <w:sz w:val="20"/>
                <w:szCs w:val="20"/>
              </w:rPr>
              <w:t>48.0</w:t>
            </w:r>
          </w:p>
        </w:tc>
      </w:tr>
      <w:tr w:rsidR="00FD5E14" w14:paraId="63AD3BBA" w14:textId="77777777">
        <w:tc>
          <w:tcPr>
            <w:tcW w:w="5127" w:type="dxa"/>
            <w:tcBorders>
              <w:top w:val="nil"/>
              <w:left w:val="nil"/>
              <w:bottom w:val="nil"/>
              <w:right w:val="nil"/>
            </w:tcBorders>
          </w:tcPr>
          <w:p w14:paraId="6E138473" w14:textId="77777777" w:rsidR="00FD5E14" w:rsidRDefault="00AC120D">
            <w:pPr>
              <w:rPr>
                <w:rFonts w:ascii="Arial" w:eastAsia="Arial" w:hAnsi="Arial" w:cs="Arial"/>
                <w:sz w:val="20"/>
                <w:szCs w:val="20"/>
              </w:rPr>
            </w:pPr>
            <w:r>
              <w:rPr>
                <w:rFonts w:ascii="Arial" w:eastAsia="Arial" w:hAnsi="Arial" w:cs="Arial"/>
                <w:sz w:val="20"/>
                <w:szCs w:val="20"/>
              </w:rPr>
              <w:t>Low</w:t>
            </w:r>
          </w:p>
        </w:tc>
        <w:tc>
          <w:tcPr>
            <w:tcW w:w="1645" w:type="dxa"/>
            <w:tcBorders>
              <w:top w:val="nil"/>
              <w:left w:val="nil"/>
              <w:bottom w:val="nil"/>
              <w:right w:val="nil"/>
            </w:tcBorders>
          </w:tcPr>
          <w:p w14:paraId="7DCD1FA4" w14:textId="77777777" w:rsidR="00FD5E14" w:rsidRDefault="00AC120D">
            <w:pPr>
              <w:jc w:val="center"/>
              <w:rPr>
                <w:rFonts w:ascii="Arial" w:eastAsia="Arial" w:hAnsi="Arial" w:cs="Arial"/>
                <w:sz w:val="20"/>
                <w:szCs w:val="20"/>
              </w:rPr>
            </w:pPr>
            <w:r>
              <w:rPr>
                <w:rFonts w:ascii="Arial" w:eastAsia="Arial" w:hAnsi="Arial" w:cs="Arial"/>
                <w:sz w:val="20"/>
                <w:szCs w:val="20"/>
              </w:rPr>
              <w:t>88</w:t>
            </w:r>
          </w:p>
        </w:tc>
        <w:tc>
          <w:tcPr>
            <w:tcW w:w="1652" w:type="dxa"/>
            <w:tcBorders>
              <w:top w:val="nil"/>
              <w:left w:val="nil"/>
              <w:bottom w:val="nil"/>
              <w:right w:val="nil"/>
            </w:tcBorders>
          </w:tcPr>
          <w:p w14:paraId="4143DE20" w14:textId="77777777" w:rsidR="00FD5E14" w:rsidRDefault="00AC120D">
            <w:pPr>
              <w:jc w:val="center"/>
              <w:rPr>
                <w:rFonts w:ascii="Arial" w:eastAsia="Arial" w:hAnsi="Arial" w:cs="Arial"/>
                <w:sz w:val="20"/>
                <w:szCs w:val="20"/>
              </w:rPr>
            </w:pPr>
            <w:r>
              <w:rPr>
                <w:rFonts w:ascii="Arial" w:eastAsia="Arial" w:hAnsi="Arial" w:cs="Arial"/>
                <w:sz w:val="20"/>
                <w:szCs w:val="20"/>
              </w:rPr>
              <w:t>32.0</w:t>
            </w:r>
          </w:p>
        </w:tc>
      </w:tr>
      <w:tr w:rsidR="00FD5E14" w14:paraId="1C9B205D" w14:textId="77777777">
        <w:tc>
          <w:tcPr>
            <w:tcW w:w="5127" w:type="dxa"/>
            <w:tcBorders>
              <w:top w:val="nil"/>
              <w:left w:val="nil"/>
              <w:bottom w:val="single" w:sz="4" w:space="0" w:color="auto"/>
              <w:right w:val="nil"/>
            </w:tcBorders>
          </w:tcPr>
          <w:p w14:paraId="07D94111" w14:textId="77777777" w:rsidR="00FD5E14" w:rsidRDefault="00AC120D">
            <w:pPr>
              <w:rPr>
                <w:rFonts w:ascii="Arial" w:eastAsia="Arial" w:hAnsi="Arial" w:cs="Arial"/>
                <w:sz w:val="20"/>
                <w:szCs w:val="20"/>
              </w:rPr>
            </w:pPr>
            <w:r>
              <w:rPr>
                <w:rFonts w:ascii="Arial" w:eastAsia="Arial" w:hAnsi="Arial" w:cs="Arial"/>
                <w:sz w:val="20"/>
                <w:szCs w:val="20"/>
              </w:rPr>
              <w:t>Total</w:t>
            </w:r>
          </w:p>
        </w:tc>
        <w:tc>
          <w:tcPr>
            <w:tcW w:w="1645" w:type="dxa"/>
            <w:tcBorders>
              <w:top w:val="nil"/>
              <w:left w:val="nil"/>
              <w:bottom w:val="single" w:sz="4" w:space="0" w:color="auto"/>
              <w:right w:val="nil"/>
            </w:tcBorders>
          </w:tcPr>
          <w:p w14:paraId="34A1CB45" w14:textId="77777777" w:rsidR="00FD5E14" w:rsidRDefault="00AC120D">
            <w:pPr>
              <w:jc w:val="center"/>
              <w:rPr>
                <w:rFonts w:ascii="Arial" w:eastAsia="Arial" w:hAnsi="Arial" w:cs="Arial"/>
                <w:sz w:val="20"/>
                <w:szCs w:val="20"/>
              </w:rPr>
            </w:pPr>
            <w:r>
              <w:rPr>
                <w:rFonts w:ascii="Arial" w:eastAsia="Arial" w:hAnsi="Arial" w:cs="Arial"/>
                <w:sz w:val="20"/>
                <w:szCs w:val="20"/>
              </w:rPr>
              <w:t>275</w:t>
            </w:r>
          </w:p>
        </w:tc>
        <w:tc>
          <w:tcPr>
            <w:tcW w:w="1652" w:type="dxa"/>
            <w:tcBorders>
              <w:top w:val="nil"/>
              <w:left w:val="nil"/>
              <w:bottom w:val="single" w:sz="4" w:space="0" w:color="auto"/>
              <w:right w:val="nil"/>
            </w:tcBorders>
          </w:tcPr>
          <w:p w14:paraId="3DFFE258" w14:textId="77777777" w:rsidR="00FD5E14" w:rsidRDefault="00AC120D">
            <w:pPr>
              <w:jc w:val="center"/>
              <w:rPr>
                <w:rFonts w:ascii="Arial" w:eastAsia="Arial" w:hAnsi="Arial" w:cs="Arial"/>
                <w:sz w:val="20"/>
                <w:szCs w:val="20"/>
              </w:rPr>
            </w:pPr>
            <w:r>
              <w:rPr>
                <w:rFonts w:ascii="Arial" w:eastAsia="Arial" w:hAnsi="Arial" w:cs="Arial"/>
                <w:sz w:val="20"/>
                <w:szCs w:val="20"/>
              </w:rPr>
              <w:t>100.0</w:t>
            </w:r>
          </w:p>
        </w:tc>
      </w:tr>
    </w:tbl>
    <w:p w14:paraId="063553D3" w14:textId="77777777" w:rsidR="00FD5E14" w:rsidRDefault="00FD5E14">
      <w:pPr>
        <w:jc w:val="both"/>
        <w:rPr>
          <w:rFonts w:ascii="Arial" w:eastAsia="Arial" w:hAnsi="Arial" w:cs="Arial"/>
        </w:rPr>
      </w:pPr>
    </w:p>
    <w:p w14:paraId="46DD766E" w14:textId="77777777" w:rsidR="00FD5E14" w:rsidRDefault="00FD5E14">
      <w:pPr>
        <w:jc w:val="both"/>
        <w:rPr>
          <w:rFonts w:ascii="Arial" w:eastAsia="Arial" w:hAnsi="Arial" w:cs="Arial"/>
        </w:rPr>
      </w:pPr>
    </w:p>
    <w:p w14:paraId="39153D51" w14:textId="77777777" w:rsidR="00FD5E14" w:rsidRDefault="00AC120D">
      <w:pPr>
        <w:jc w:val="both"/>
        <w:rPr>
          <w:rFonts w:ascii="Arial" w:eastAsia="Arial" w:hAnsi="Arial" w:cs="Arial"/>
          <w:b/>
          <w:bCs/>
        </w:rPr>
      </w:pPr>
      <w:r>
        <w:rPr>
          <w:rFonts w:ascii="Arial" w:eastAsia="Arial" w:hAnsi="Arial" w:cs="Arial"/>
          <w:b/>
          <w:bCs/>
        </w:rPr>
        <w:t>Attitude Toward Alzheimer’s Disease</w:t>
      </w:r>
    </w:p>
    <w:p w14:paraId="7EDE20B7" w14:textId="77777777" w:rsidR="00FD5E14" w:rsidRDefault="00AC120D">
      <w:pPr>
        <w:jc w:val="both"/>
        <w:rPr>
          <w:rFonts w:ascii="Arial" w:eastAsia="Arial" w:hAnsi="Arial" w:cs="Arial"/>
        </w:rPr>
      </w:pPr>
      <w:r>
        <w:rPr>
          <w:rFonts w:ascii="Arial" w:eastAsia="Arial" w:hAnsi="Arial" w:cs="Arial"/>
        </w:rPr>
        <w:t xml:space="preserve">The respondents’ </w:t>
      </w:r>
      <w:r>
        <w:rPr>
          <w:rFonts w:ascii="Arial" w:eastAsia="Arial" w:hAnsi="Arial" w:cs="Arial"/>
        </w:rPr>
        <w:t>attitudes toward AD were measured using the DAS questionnaire. The instrument follows a numerical interpretation in which a higher mean score indicates a more positive attitude toward individuals with AD. The overall mean score of 4.7 out of 7 suggests tha</w:t>
      </w:r>
      <w:r>
        <w:rPr>
          <w:rFonts w:ascii="Arial" w:eastAsia="Arial" w:hAnsi="Arial" w:cs="Arial"/>
        </w:rPr>
        <w:t>t the respondents generally demonstrated a neutral attitude toward AD.</w:t>
      </w:r>
    </w:p>
    <w:p w14:paraId="2A9A19F2" w14:textId="77777777" w:rsidR="00FD5E14" w:rsidRDefault="00FD5E14">
      <w:pPr>
        <w:jc w:val="both"/>
        <w:rPr>
          <w:rFonts w:ascii="Arial" w:eastAsia="Arial" w:hAnsi="Arial" w:cs="Arial"/>
        </w:rPr>
      </w:pPr>
    </w:p>
    <w:p w14:paraId="74E2305A" w14:textId="77777777" w:rsidR="00FD5E14" w:rsidRDefault="00AC120D">
      <w:pPr>
        <w:jc w:val="both"/>
        <w:rPr>
          <w:rFonts w:ascii="Arial" w:eastAsia="Arial" w:hAnsi="Arial" w:cs="Arial"/>
        </w:rPr>
      </w:pPr>
      <w:r>
        <w:rPr>
          <w:rFonts w:ascii="Arial" w:eastAsia="Arial" w:hAnsi="Arial" w:cs="Arial"/>
        </w:rPr>
        <w:t>Under the Comfort domain, the overall mean score of 4.7 indicates a neutral level of comfort when interacting with individuals with Alzheimer’s Disease and Related Dementias (ADRD). Th</w:t>
      </w:r>
      <w:r>
        <w:rPr>
          <w:rFonts w:ascii="Arial" w:eastAsia="Arial" w:hAnsi="Arial" w:cs="Arial"/>
        </w:rPr>
        <w:t xml:space="preserve">e highest indicator (M = 5.25) shows that respondents somewhat disagreed with the statement that they are afraid of people with ADRD. Another high indicator (M = 5.24) reveals that respondents somewhat disagreed with the statement that they cannot imagine </w:t>
      </w:r>
      <w:r>
        <w:rPr>
          <w:rFonts w:ascii="Arial" w:eastAsia="Arial" w:hAnsi="Arial" w:cs="Arial"/>
        </w:rPr>
        <w:t>caring for someone with ADRD. Similarly, another indicator (M = 5.23) indicates that respondents somewhat disagreed with the statement that they are not familiar with ADRD. Meanwhile, the lowest indicator (M = 4.00) shows that respondents were neutral rega</w:t>
      </w:r>
      <w:r>
        <w:rPr>
          <w:rFonts w:ascii="Arial" w:eastAsia="Arial" w:hAnsi="Arial" w:cs="Arial"/>
        </w:rPr>
        <w:t>rding the statement that they feel relaxed around people with ADRD.</w:t>
      </w:r>
    </w:p>
    <w:p w14:paraId="2465EBED" w14:textId="77777777" w:rsidR="00FD5E14" w:rsidRDefault="00FD5E14">
      <w:pPr>
        <w:jc w:val="both"/>
        <w:rPr>
          <w:rFonts w:ascii="Arial" w:eastAsia="Arial" w:hAnsi="Arial" w:cs="Arial"/>
        </w:rPr>
      </w:pPr>
    </w:p>
    <w:p w14:paraId="7518A70E" w14:textId="77777777" w:rsidR="00FD5E14" w:rsidRDefault="00AC120D">
      <w:pPr>
        <w:jc w:val="both"/>
        <w:rPr>
          <w:rFonts w:ascii="Arial" w:eastAsia="Arial" w:hAnsi="Arial" w:cs="Arial"/>
        </w:rPr>
      </w:pPr>
      <w:r>
        <w:rPr>
          <w:rFonts w:ascii="Arial" w:eastAsia="Arial" w:hAnsi="Arial" w:cs="Arial"/>
        </w:rPr>
        <w:t>Under the Attitude Toward Disease Process domain, the overall mean score of 5.7 indicates that respondents somewhat agreed with the statements related to the disease process of AD. The hi</w:t>
      </w:r>
      <w:r>
        <w:rPr>
          <w:rFonts w:ascii="Arial" w:eastAsia="Arial" w:hAnsi="Arial" w:cs="Arial"/>
        </w:rPr>
        <w:t>ghest indicator (M = 6.18) shows that respondents agreed that it is important to know the past history of individuals with ADRD. Another high indicator (M = 5.97) indicates that respondents somewhat agreed that people with ADRD have different needs. The ne</w:t>
      </w:r>
      <w:r>
        <w:rPr>
          <w:rFonts w:ascii="Arial" w:eastAsia="Arial" w:hAnsi="Arial" w:cs="Arial"/>
        </w:rPr>
        <w:t xml:space="preserve">xt highest indicator (M = 5.90) shows that respondents somewhat agreed that much can be </w:t>
      </w:r>
      <w:r>
        <w:rPr>
          <w:rFonts w:ascii="Arial" w:eastAsia="Arial" w:hAnsi="Arial" w:cs="Arial"/>
        </w:rPr>
        <w:lastRenderedPageBreak/>
        <w:t>done to improve the lives of individuals with ADRD. The lowest indicator (M = 5.12) indicates that respondents somewhat agreed that people with ADRD can still be creati</w:t>
      </w:r>
      <w:r>
        <w:rPr>
          <w:rFonts w:ascii="Arial" w:eastAsia="Arial" w:hAnsi="Arial" w:cs="Arial"/>
        </w:rPr>
        <w:t>ve.</w:t>
      </w:r>
    </w:p>
    <w:p w14:paraId="4DCDBA9F" w14:textId="77777777" w:rsidR="00FD5E14" w:rsidRDefault="00FD5E14">
      <w:pPr>
        <w:jc w:val="both"/>
        <w:rPr>
          <w:rFonts w:ascii="Arial" w:eastAsia="Arial" w:hAnsi="Arial" w:cs="Arial"/>
        </w:rPr>
      </w:pPr>
    </w:p>
    <w:p w14:paraId="687D4D63" w14:textId="77777777" w:rsidR="00FD5E14" w:rsidRDefault="00AC120D">
      <w:pPr>
        <w:jc w:val="both"/>
        <w:rPr>
          <w:rFonts w:ascii="Arial" w:eastAsia="Arial" w:hAnsi="Arial" w:cs="Arial"/>
        </w:rPr>
      </w:pPr>
      <w:r>
        <w:rPr>
          <w:rFonts w:ascii="Arial" w:eastAsia="Arial" w:hAnsi="Arial" w:cs="Arial"/>
        </w:rPr>
        <w:t>These findings suggest that while respondents demonstrate a generally neutral level of comfort, they hold relatively positive attitudes regarding the understanding and management of the disease process. Table 3 presents the detailed results.</w:t>
      </w:r>
    </w:p>
    <w:p w14:paraId="2A0EB0D3" w14:textId="77777777" w:rsidR="00FD5E14" w:rsidRDefault="00FD5E14">
      <w:pPr>
        <w:jc w:val="both"/>
        <w:rPr>
          <w:rFonts w:ascii="Arial" w:eastAsia="Arial" w:hAnsi="Arial" w:cs="Arial"/>
        </w:rPr>
      </w:pPr>
    </w:p>
    <w:p w14:paraId="10A24AAC" w14:textId="77777777" w:rsidR="00FD5E14" w:rsidRDefault="00AC120D">
      <w:pPr>
        <w:widowControl w:val="0"/>
        <w:jc w:val="both"/>
        <w:rPr>
          <w:rFonts w:ascii="Arial" w:eastAsia="Arial" w:hAnsi="Arial" w:cs="Arial"/>
        </w:rPr>
      </w:pPr>
      <w:r>
        <w:rPr>
          <w:rFonts w:ascii="Arial" w:eastAsia="Arial" w:hAnsi="Arial" w:cs="Arial"/>
          <w:b/>
          <w:bCs/>
        </w:rPr>
        <w:t>Table 3.</w:t>
      </w:r>
      <w:r>
        <w:rPr>
          <w:rFonts w:ascii="Arial" w:eastAsia="Arial" w:hAnsi="Arial" w:cs="Arial"/>
          <w:b/>
          <w:bCs/>
        </w:rPr>
        <w:t xml:space="preserve"> Attitude Toward Alzheimer’s Disease (n = 275)</w:t>
      </w:r>
    </w:p>
    <w:tbl>
      <w:tblPr>
        <w:tblStyle w:val="Style139"/>
        <w:tblW w:w="10559" w:type="dxa"/>
        <w:jc w:val="center"/>
        <w:tblInd w:w="0" w:type="dxa"/>
        <w:tblLayout w:type="fixed"/>
        <w:tblLook w:val="04A0" w:firstRow="1" w:lastRow="0" w:firstColumn="1" w:lastColumn="0" w:noHBand="0" w:noVBand="1"/>
      </w:tblPr>
      <w:tblGrid>
        <w:gridCol w:w="9459"/>
        <w:gridCol w:w="1100"/>
      </w:tblGrid>
      <w:tr w:rsidR="00FD5E14" w14:paraId="7231055B" w14:textId="77777777">
        <w:trPr>
          <w:trHeight w:val="233"/>
          <w:jc w:val="center"/>
        </w:trPr>
        <w:tc>
          <w:tcPr>
            <w:tcW w:w="9459" w:type="dxa"/>
            <w:tcBorders>
              <w:top w:val="single" w:sz="8" w:space="0" w:color="000000"/>
              <w:left w:val="nil"/>
              <w:bottom w:val="single" w:sz="8" w:space="0" w:color="000000"/>
              <w:right w:val="nil"/>
            </w:tcBorders>
            <w:tcMar>
              <w:top w:w="0" w:type="dxa"/>
              <w:left w:w="0" w:type="dxa"/>
              <w:bottom w:w="0" w:type="dxa"/>
              <w:right w:w="0" w:type="dxa"/>
            </w:tcMar>
          </w:tcPr>
          <w:p w14:paraId="3D176EEB" w14:textId="77777777" w:rsidR="00FD5E14" w:rsidRDefault="00FD5E14">
            <w:pPr>
              <w:widowControl w:val="0"/>
              <w:ind w:left="140" w:right="140"/>
              <w:rPr>
                <w:rFonts w:ascii="Garamond" w:hAnsi="Garamond" w:cs="Garamond"/>
                <w:b/>
                <w:bCs/>
              </w:rPr>
            </w:pPr>
          </w:p>
        </w:tc>
        <w:tc>
          <w:tcPr>
            <w:tcW w:w="1100" w:type="dxa"/>
            <w:tcBorders>
              <w:top w:val="single" w:sz="8" w:space="0" w:color="000000"/>
              <w:left w:val="nil"/>
              <w:bottom w:val="single" w:sz="8" w:space="0" w:color="000000"/>
              <w:right w:val="nil"/>
            </w:tcBorders>
            <w:tcMar>
              <w:top w:w="0" w:type="dxa"/>
              <w:left w:w="0" w:type="dxa"/>
              <w:bottom w:w="0" w:type="dxa"/>
              <w:right w:w="0" w:type="dxa"/>
            </w:tcMar>
          </w:tcPr>
          <w:p w14:paraId="4706FD52" w14:textId="77777777" w:rsidR="00FD5E14" w:rsidRDefault="00AC120D">
            <w:pPr>
              <w:widowControl w:val="0"/>
              <w:ind w:left="140" w:right="140"/>
              <w:jc w:val="center"/>
              <w:rPr>
                <w:rFonts w:ascii="Garamond" w:hAnsi="Garamond" w:cs="Garamond"/>
                <w:b/>
                <w:bCs/>
              </w:rPr>
            </w:pPr>
            <w:r>
              <w:rPr>
                <w:rFonts w:ascii="Garamond" w:hAnsi="Garamond" w:cs="Garamond"/>
                <w:b/>
                <w:bCs/>
              </w:rPr>
              <w:t>Mean</w:t>
            </w:r>
          </w:p>
        </w:tc>
      </w:tr>
      <w:tr w:rsidR="00FD5E14" w14:paraId="17CBBEF3" w14:textId="77777777">
        <w:trPr>
          <w:trHeight w:val="337"/>
          <w:jc w:val="center"/>
        </w:trPr>
        <w:tc>
          <w:tcPr>
            <w:tcW w:w="9459" w:type="dxa"/>
            <w:tcBorders>
              <w:top w:val="nil"/>
              <w:left w:val="nil"/>
              <w:bottom w:val="nil"/>
              <w:right w:val="nil"/>
            </w:tcBorders>
            <w:tcMar>
              <w:top w:w="0" w:type="dxa"/>
              <w:left w:w="0" w:type="dxa"/>
              <w:bottom w:w="0" w:type="dxa"/>
              <w:right w:w="0" w:type="dxa"/>
            </w:tcMar>
            <w:vAlign w:val="bottom"/>
          </w:tcPr>
          <w:p w14:paraId="5DA77AB4" w14:textId="77777777" w:rsidR="00FD5E14" w:rsidRDefault="00AC120D">
            <w:pPr>
              <w:widowControl w:val="0"/>
              <w:ind w:left="140" w:right="140"/>
              <w:jc w:val="both"/>
              <w:rPr>
                <w:rFonts w:ascii="Garamond" w:hAnsi="Garamond" w:cs="Garamond"/>
                <w:b/>
                <w:bCs/>
              </w:rPr>
            </w:pPr>
            <w:r>
              <w:rPr>
                <w:rFonts w:ascii="Garamond" w:hAnsi="Garamond" w:cs="Garamond"/>
                <w:b/>
                <w:bCs/>
              </w:rPr>
              <w:t>Comfort</w:t>
            </w:r>
          </w:p>
        </w:tc>
        <w:tc>
          <w:tcPr>
            <w:tcW w:w="1100" w:type="dxa"/>
            <w:tcBorders>
              <w:top w:val="nil"/>
              <w:left w:val="nil"/>
              <w:bottom w:val="nil"/>
              <w:right w:val="nil"/>
            </w:tcBorders>
            <w:tcMar>
              <w:top w:w="0" w:type="dxa"/>
              <w:left w:w="0" w:type="dxa"/>
              <w:bottom w:w="0" w:type="dxa"/>
              <w:right w:w="0" w:type="dxa"/>
            </w:tcMar>
          </w:tcPr>
          <w:p w14:paraId="7D1B34F6" w14:textId="77777777" w:rsidR="00FD5E14" w:rsidRDefault="00AC120D">
            <w:pPr>
              <w:widowControl w:val="0"/>
              <w:ind w:left="140" w:right="140"/>
              <w:jc w:val="center"/>
              <w:rPr>
                <w:rFonts w:ascii="Garamond" w:hAnsi="Garamond" w:cs="Garamond"/>
                <w:b/>
                <w:bCs/>
              </w:rPr>
            </w:pPr>
            <w:r>
              <w:rPr>
                <w:rFonts w:ascii="Garamond" w:hAnsi="Garamond" w:cs="Garamond"/>
                <w:b/>
                <w:bCs/>
              </w:rPr>
              <w:t xml:space="preserve"> </w:t>
            </w:r>
          </w:p>
        </w:tc>
      </w:tr>
      <w:tr w:rsidR="00FD5E14" w14:paraId="6C491C81"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7E69343C" w14:textId="77777777" w:rsidR="00FD5E14" w:rsidRDefault="00AC120D">
            <w:pPr>
              <w:widowControl w:val="0"/>
              <w:ind w:left="980" w:right="140" w:hanging="420"/>
              <w:jc w:val="both"/>
              <w:rPr>
                <w:rFonts w:ascii="Garamond" w:hAnsi="Garamond" w:cs="Garamond"/>
              </w:rPr>
            </w:pPr>
            <w:r>
              <w:rPr>
                <w:rFonts w:ascii="Garamond" w:hAnsi="Garamond" w:cs="Garamond"/>
              </w:rPr>
              <w:t xml:space="preserve">I am afraid of people with </w:t>
            </w:r>
            <w:proofErr w:type="gramStart"/>
            <w:r>
              <w:rPr>
                <w:rFonts w:ascii="Garamond" w:hAnsi="Garamond" w:cs="Garamond"/>
              </w:rPr>
              <w:t>ADRD.*</w:t>
            </w:r>
            <w:proofErr w:type="gramEnd"/>
          </w:p>
        </w:tc>
        <w:tc>
          <w:tcPr>
            <w:tcW w:w="1100" w:type="dxa"/>
            <w:tcBorders>
              <w:top w:val="nil"/>
              <w:left w:val="nil"/>
              <w:bottom w:val="nil"/>
              <w:right w:val="nil"/>
            </w:tcBorders>
            <w:shd w:val="clear" w:color="auto" w:fill="FFFFFF"/>
            <w:tcMar>
              <w:top w:w="0" w:type="dxa"/>
              <w:left w:w="0" w:type="dxa"/>
              <w:bottom w:w="0" w:type="dxa"/>
              <w:right w:w="0" w:type="dxa"/>
            </w:tcMar>
          </w:tcPr>
          <w:p w14:paraId="2505D856" w14:textId="77777777" w:rsidR="00FD5E14" w:rsidRDefault="00AC120D">
            <w:pPr>
              <w:widowControl w:val="0"/>
              <w:ind w:left="200" w:right="200"/>
              <w:jc w:val="center"/>
              <w:rPr>
                <w:rFonts w:ascii="Garamond" w:hAnsi="Garamond" w:cs="Garamond"/>
              </w:rPr>
            </w:pPr>
            <w:r>
              <w:rPr>
                <w:rFonts w:ascii="Garamond" w:hAnsi="Garamond" w:cs="Garamond"/>
              </w:rPr>
              <w:t>5.25</w:t>
            </w:r>
          </w:p>
        </w:tc>
      </w:tr>
      <w:tr w:rsidR="00FD5E14" w14:paraId="27A1AA3F"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4BD762B8" w14:textId="77777777" w:rsidR="00FD5E14" w:rsidRDefault="00AC120D">
            <w:pPr>
              <w:widowControl w:val="0"/>
              <w:ind w:left="980" w:right="140" w:hanging="420"/>
              <w:jc w:val="both"/>
              <w:rPr>
                <w:rFonts w:ascii="Garamond" w:hAnsi="Garamond" w:cs="Garamond"/>
              </w:rPr>
            </w:pPr>
            <w:r>
              <w:rPr>
                <w:rFonts w:ascii="Garamond" w:hAnsi="Garamond" w:cs="Garamond"/>
              </w:rPr>
              <w:t xml:space="preserve">I cannot imagine caring for someone with </w:t>
            </w:r>
            <w:proofErr w:type="gramStart"/>
            <w:r>
              <w:rPr>
                <w:rFonts w:ascii="Garamond" w:hAnsi="Garamond" w:cs="Garamond"/>
              </w:rPr>
              <w:t>ADRD.*</w:t>
            </w:r>
            <w:proofErr w:type="gramEnd"/>
          </w:p>
        </w:tc>
        <w:tc>
          <w:tcPr>
            <w:tcW w:w="1100" w:type="dxa"/>
            <w:tcBorders>
              <w:top w:val="nil"/>
              <w:left w:val="nil"/>
              <w:bottom w:val="nil"/>
              <w:right w:val="nil"/>
            </w:tcBorders>
            <w:shd w:val="clear" w:color="auto" w:fill="FFFFFF"/>
            <w:tcMar>
              <w:top w:w="0" w:type="dxa"/>
              <w:left w:w="0" w:type="dxa"/>
              <w:bottom w:w="0" w:type="dxa"/>
              <w:right w:w="0" w:type="dxa"/>
            </w:tcMar>
          </w:tcPr>
          <w:p w14:paraId="20F30F60" w14:textId="77777777" w:rsidR="00FD5E14" w:rsidRDefault="00AC120D">
            <w:pPr>
              <w:widowControl w:val="0"/>
              <w:ind w:left="200" w:right="200"/>
              <w:jc w:val="center"/>
              <w:rPr>
                <w:rFonts w:ascii="Garamond" w:hAnsi="Garamond" w:cs="Garamond"/>
              </w:rPr>
            </w:pPr>
            <w:r>
              <w:rPr>
                <w:rFonts w:ascii="Garamond" w:hAnsi="Garamond" w:cs="Garamond"/>
              </w:rPr>
              <w:t>5.24</w:t>
            </w:r>
          </w:p>
        </w:tc>
      </w:tr>
      <w:tr w:rsidR="00FD5E14" w14:paraId="64AEC35F"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000CFA99" w14:textId="77777777" w:rsidR="00FD5E14" w:rsidRDefault="00AC120D">
            <w:pPr>
              <w:widowControl w:val="0"/>
              <w:ind w:left="980" w:right="140" w:hanging="420"/>
              <w:jc w:val="both"/>
              <w:rPr>
                <w:rFonts w:ascii="Garamond" w:hAnsi="Garamond" w:cs="Garamond"/>
              </w:rPr>
            </w:pPr>
            <w:r>
              <w:rPr>
                <w:rFonts w:ascii="Garamond" w:hAnsi="Garamond" w:cs="Garamond"/>
              </w:rPr>
              <w:t xml:space="preserve">I am not very familiar with </w:t>
            </w:r>
            <w:proofErr w:type="gramStart"/>
            <w:r>
              <w:rPr>
                <w:rFonts w:ascii="Garamond" w:hAnsi="Garamond" w:cs="Garamond"/>
              </w:rPr>
              <w:t>ADRD.*</w:t>
            </w:r>
            <w:proofErr w:type="gramEnd"/>
          </w:p>
        </w:tc>
        <w:tc>
          <w:tcPr>
            <w:tcW w:w="1100" w:type="dxa"/>
            <w:tcBorders>
              <w:top w:val="nil"/>
              <w:left w:val="nil"/>
              <w:bottom w:val="nil"/>
              <w:right w:val="nil"/>
            </w:tcBorders>
            <w:shd w:val="clear" w:color="auto" w:fill="FFFFFF"/>
            <w:tcMar>
              <w:top w:w="0" w:type="dxa"/>
              <w:left w:w="0" w:type="dxa"/>
              <w:bottom w:w="0" w:type="dxa"/>
              <w:right w:w="0" w:type="dxa"/>
            </w:tcMar>
          </w:tcPr>
          <w:p w14:paraId="0CF66C8B" w14:textId="77777777" w:rsidR="00FD5E14" w:rsidRDefault="00AC120D">
            <w:pPr>
              <w:widowControl w:val="0"/>
              <w:ind w:left="200" w:right="200"/>
              <w:jc w:val="center"/>
              <w:rPr>
                <w:rFonts w:ascii="Garamond" w:hAnsi="Garamond" w:cs="Garamond"/>
              </w:rPr>
            </w:pPr>
            <w:r>
              <w:rPr>
                <w:rFonts w:ascii="Garamond" w:hAnsi="Garamond" w:cs="Garamond"/>
              </w:rPr>
              <w:t>5.23</w:t>
            </w:r>
          </w:p>
        </w:tc>
      </w:tr>
      <w:tr w:rsidR="00FD5E14" w14:paraId="702A4072"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1F8A07D2" w14:textId="77777777" w:rsidR="00FD5E14" w:rsidRDefault="00AC120D">
            <w:pPr>
              <w:widowControl w:val="0"/>
              <w:ind w:left="980" w:right="140" w:hanging="420"/>
              <w:jc w:val="both"/>
              <w:rPr>
                <w:rFonts w:ascii="Garamond" w:hAnsi="Garamond" w:cs="Garamond"/>
              </w:rPr>
            </w:pPr>
            <w:r>
              <w:rPr>
                <w:rFonts w:ascii="Garamond" w:hAnsi="Garamond" w:cs="Garamond"/>
              </w:rPr>
              <w:t xml:space="preserve">I feel uncomfortable being around people with </w:t>
            </w:r>
            <w:proofErr w:type="gramStart"/>
            <w:r>
              <w:rPr>
                <w:rFonts w:ascii="Garamond" w:hAnsi="Garamond" w:cs="Garamond"/>
              </w:rPr>
              <w:t>ADRD.*</w:t>
            </w:r>
            <w:proofErr w:type="gramEnd"/>
          </w:p>
        </w:tc>
        <w:tc>
          <w:tcPr>
            <w:tcW w:w="1100" w:type="dxa"/>
            <w:tcBorders>
              <w:top w:val="nil"/>
              <w:left w:val="nil"/>
              <w:bottom w:val="nil"/>
              <w:right w:val="nil"/>
            </w:tcBorders>
            <w:shd w:val="clear" w:color="auto" w:fill="FFFFFF"/>
            <w:tcMar>
              <w:top w:w="0" w:type="dxa"/>
              <w:left w:w="0" w:type="dxa"/>
              <w:bottom w:w="0" w:type="dxa"/>
              <w:right w:w="0" w:type="dxa"/>
            </w:tcMar>
          </w:tcPr>
          <w:p w14:paraId="0D5AD1AB" w14:textId="77777777" w:rsidR="00FD5E14" w:rsidRDefault="00AC120D">
            <w:pPr>
              <w:widowControl w:val="0"/>
              <w:ind w:left="200" w:right="200"/>
              <w:jc w:val="center"/>
              <w:rPr>
                <w:rFonts w:ascii="Garamond" w:hAnsi="Garamond" w:cs="Garamond"/>
              </w:rPr>
            </w:pPr>
            <w:r>
              <w:rPr>
                <w:rFonts w:ascii="Garamond" w:hAnsi="Garamond" w:cs="Garamond"/>
              </w:rPr>
              <w:t>5.06</w:t>
            </w:r>
          </w:p>
        </w:tc>
      </w:tr>
      <w:tr w:rsidR="00FD5E14" w14:paraId="6CFA662E" w14:textId="77777777">
        <w:trPr>
          <w:trHeight w:val="342"/>
          <w:jc w:val="center"/>
        </w:trPr>
        <w:tc>
          <w:tcPr>
            <w:tcW w:w="9459" w:type="dxa"/>
            <w:tcBorders>
              <w:top w:val="nil"/>
              <w:left w:val="nil"/>
              <w:bottom w:val="nil"/>
              <w:right w:val="nil"/>
            </w:tcBorders>
            <w:tcMar>
              <w:top w:w="0" w:type="dxa"/>
              <w:left w:w="0" w:type="dxa"/>
              <w:bottom w:w="0" w:type="dxa"/>
              <w:right w:w="0" w:type="dxa"/>
            </w:tcMar>
          </w:tcPr>
          <w:p w14:paraId="1FF73F84" w14:textId="77777777" w:rsidR="00FD5E14" w:rsidRDefault="00AC120D">
            <w:pPr>
              <w:widowControl w:val="0"/>
              <w:ind w:left="980" w:right="140" w:hanging="420"/>
              <w:jc w:val="both"/>
              <w:rPr>
                <w:rFonts w:ascii="Garamond" w:hAnsi="Garamond" w:cs="Garamond"/>
              </w:rPr>
            </w:pPr>
            <w:r>
              <w:rPr>
                <w:rFonts w:ascii="Garamond" w:hAnsi="Garamond" w:cs="Garamond"/>
              </w:rPr>
              <w:t>It is rewarding to work with people who have Alzheimer's Disease and Related Dementia's (ADRD).</w:t>
            </w:r>
          </w:p>
        </w:tc>
        <w:tc>
          <w:tcPr>
            <w:tcW w:w="1100" w:type="dxa"/>
            <w:tcBorders>
              <w:top w:val="nil"/>
              <w:left w:val="nil"/>
              <w:bottom w:val="nil"/>
              <w:right w:val="nil"/>
            </w:tcBorders>
            <w:shd w:val="clear" w:color="auto" w:fill="FFFFFF"/>
            <w:tcMar>
              <w:top w:w="0" w:type="dxa"/>
              <w:left w:w="0" w:type="dxa"/>
              <w:bottom w:w="0" w:type="dxa"/>
              <w:right w:w="0" w:type="dxa"/>
            </w:tcMar>
          </w:tcPr>
          <w:p w14:paraId="6B4C6638" w14:textId="77777777" w:rsidR="00FD5E14" w:rsidRDefault="00AC120D">
            <w:pPr>
              <w:widowControl w:val="0"/>
              <w:ind w:left="200" w:right="200"/>
              <w:jc w:val="center"/>
              <w:rPr>
                <w:rFonts w:ascii="Garamond" w:hAnsi="Garamond" w:cs="Garamond"/>
              </w:rPr>
            </w:pPr>
            <w:r>
              <w:rPr>
                <w:rFonts w:ascii="Garamond" w:hAnsi="Garamond" w:cs="Garamond"/>
              </w:rPr>
              <w:t>5.05</w:t>
            </w:r>
          </w:p>
        </w:tc>
      </w:tr>
      <w:tr w:rsidR="00FD5E14" w14:paraId="5652DA87"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5D2EEC05" w14:textId="77777777" w:rsidR="00FD5E14" w:rsidRDefault="00AC120D">
            <w:pPr>
              <w:widowControl w:val="0"/>
              <w:ind w:left="560" w:right="140"/>
              <w:jc w:val="both"/>
              <w:rPr>
                <w:rFonts w:ascii="Garamond" w:hAnsi="Garamond" w:cs="Garamond"/>
              </w:rPr>
            </w:pPr>
            <w:r>
              <w:rPr>
                <w:rFonts w:ascii="Garamond" w:hAnsi="Garamond" w:cs="Garamond"/>
              </w:rPr>
              <w:t>I am comfortable touching people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6C2158A6" w14:textId="77777777" w:rsidR="00FD5E14" w:rsidRDefault="00AC120D">
            <w:pPr>
              <w:widowControl w:val="0"/>
              <w:ind w:left="200" w:right="200"/>
              <w:jc w:val="center"/>
              <w:rPr>
                <w:rFonts w:ascii="Garamond" w:hAnsi="Garamond" w:cs="Garamond"/>
              </w:rPr>
            </w:pPr>
            <w:r>
              <w:rPr>
                <w:rFonts w:ascii="Garamond" w:hAnsi="Garamond" w:cs="Garamond"/>
              </w:rPr>
              <w:t>4.53</w:t>
            </w:r>
          </w:p>
        </w:tc>
      </w:tr>
      <w:tr w:rsidR="00FD5E14" w14:paraId="7FB04F64"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4396618E" w14:textId="77777777" w:rsidR="00FD5E14" w:rsidRDefault="00AC120D">
            <w:pPr>
              <w:widowControl w:val="0"/>
              <w:ind w:left="980" w:right="140" w:hanging="420"/>
              <w:jc w:val="both"/>
              <w:rPr>
                <w:rFonts w:ascii="Garamond" w:hAnsi="Garamond" w:cs="Garamond"/>
              </w:rPr>
            </w:pPr>
            <w:r>
              <w:rPr>
                <w:rFonts w:ascii="Garamond" w:hAnsi="Garamond" w:cs="Garamond"/>
              </w:rPr>
              <w:t xml:space="preserve">I would avoid an agitated person with </w:t>
            </w:r>
            <w:proofErr w:type="gramStart"/>
            <w:r>
              <w:rPr>
                <w:rFonts w:ascii="Garamond" w:hAnsi="Garamond" w:cs="Garamond"/>
              </w:rPr>
              <w:t>ADRD.*</w:t>
            </w:r>
            <w:proofErr w:type="gramEnd"/>
          </w:p>
        </w:tc>
        <w:tc>
          <w:tcPr>
            <w:tcW w:w="1100" w:type="dxa"/>
            <w:tcBorders>
              <w:top w:val="nil"/>
              <w:left w:val="nil"/>
              <w:bottom w:val="nil"/>
              <w:right w:val="nil"/>
            </w:tcBorders>
            <w:shd w:val="clear" w:color="auto" w:fill="FFFFFF"/>
            <w:tcMar>
              <w:top w:w="0" w:type="dxa"/>
              <w:left w:w="0" w:type="dxa"/>
              <w:bottom w:w="0" w:type="dxa"/>
              <w:right w:w="0" w:type="dxa"/>
            </w:tcMar>
          </w:tcPr>
          <w:p w14:paraId="7B296FBB" w14:textId="77777777" w:rsidR="00FD5E14" w:rsidRDefault="00AC120D">
            <w:pPr>
              <w:widowControl w:val="0"/>
              <w:ind w:left="200" w:right="200"/>
              <w:jc w:val="center"/>
              <w:rPr>
                <w:rFonts w:ascii="Garamond" w:hAnsi="Garamond" w:cs="Garamond"/>
              </w:rPr>
            </w:pPr>
            <w:r>
              <w:rPr>
                <w:rFonts w:ascii="Garamond" w:hAnsi="Garamond" w:cs="Garamond"/>
              </w:rPr>
              <w:t>4.52</w:t>
            </w:r>
          </w:p>
        </w:tc>
      </w:tr>
      <w:tr w:rsidR="00FD5E14" w14:paraId="77A3E0AF"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29E2B647" w14:textId="77777777" w:rsidR="00FD5E14" w:rsidRDefault="00AC120D">
            <w:pPr>
              <w:widowControl w:val="0"/>
              <w:ind w:left="980" w:right="140" w:hanging="420"/>
              <w:jc w:val="both"/>
              <w:rPr>
                <w:rFonts w:ascii="Garamond" w:hAnsi="Garamond" w:cs="Garamond"/>
              </w:rPr>
            </w:pPr>
            <w:r>
              <w:rPr>
                <w:rFonts w:ascii="Garamond" w:hAnsi="Garamond" w:cs="Garamond"/>
              </w:rPr>
              <w:t xml:space="preserve">I feel frustrated because I do not know how to help people with </w:t>
            </w:r>
            <w:proofErr w:type="gramStart"/>
            <w:r>
              <w:rPr>
                <w:rFonts w:ascii="Garamond" w:hAnsi="Garamond" w:cs="Garamond"/>
              </w:rPr>
              <w:t>ADRD.*</w:t>
            </w:r>
            <w:proofErr w:type="gramEnd"/>
          </w:p>
        </w:tc>
        <w:tc>
          <w:tcPr>
            <w:tcW w:w="1100" w:type="dxa"/>
            <w:tcBorders>
              <w:top w:val="nil"/>
              <w:left w:val="nil"/>
              <w:bottom w:val="nil"/>
              <w:right w:val="nil"/>
            </w:tcBorders>
            <w:shd w:val="clear" w:color="auto" w:fill="FFFFFF"/>
            <w:tcMar>
              <w:top w:w="0" w:type="dxa"/>
              <w:left w:w="0" w:type="dxa"/>
              <w:bottom w:w="0" w:type="dxa"/>
              <w:right w:w="0" w:type="dxa"/>
            </w:tcMar>
          </w:tcPr>
          <w:p w14:paraId="79777A83" w14:textId="77777777" w:rsidR="00FD5E14" w:rsidRDefault="00AC120D">
            <w:pPr>
              <w:widowControl w:val="0"/>
              <w:ind w:left="200" w:right="200"/>
              <w:jc w:val="center"/>
              <w:rPr>
                <w:rFonts w:ascii="Garamond" w:hAnsi="Garamond" w:cs="Garamond"/>
              </w:rPr>
            </w:pPr>
            <w:r>
              <w:rPr>
                <w:rFonts w:ascii="Garamond" w:hAnsi="Garamond" w:cs="Garamond"/>
              </w:rPr>
              <w:t>4.52</w:t>
            </w:r>
          </w:p>
        </w:tc>
      </w:tr>
      <w:tr w:rsidR="00FD5E14" w14:paraId="6E2792BA"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64EF8565" w14:textId="77777777" w:rsidR="00FD5E14" w:rsidRDefault="00AC120D">
            <w:pPr>
              <w:widowControl w:val="0"/>
              <w:ind w:left="980" w:right="140" w:hanging="420"/>
              <w:jc w:val="both"/>
              <w:rPr>
                <w:rFonts w:ascii="Garamond" w:hAnsi="Garamond" w:cs="Garamond"/>
              </w:rPr>
            </w:pPr>
            <w:r>
              <w:rPr>
                <w:rFonts w:ascii="Garamond" w:hAnsi="Garamond" w:cs="Garamond"/>
              </w:rPr>
              <w:t>I feel confident around people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53DD5C37" w14:textId="77777777" w:rsidR="00FD5E14" w:rsidRDefault="00AC120D">
            <w:pPr>
              <w:widowControl w:val="0"/>
              <w:ind w:left="200" w:right="200"/>
              <w:jc w:val="center"/>
              <w:rPr>
                <w:rFonts w:ascii="Garamond" w:hAnsi="Garamond" w:cs="Garamond"/>
              </w:rPr>
            </w:pPr>
            <w:r>
              <w:rPr>
                <w:rFonts w:ascii="Garamond" w:hAnsi="Garamond" w:cs="Garamond"/>
              </w:rPr>
              <w:t>4.27</w:t>
            </w:r>
          </w:p>
        </w:tc>
      </w:tr>
      <w:tr w:rsidR="00FD5E14" w14:paraId="6A5A16FF"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7F34E739" w14:textId="77777777" w:rsidR="00FD5E14" w:rsidRDefault="00AC120D">
            <w:pPr>
              <w:widowControl w:val="0"/>
              <w:ind w:left="980" w:right="140" w:hanging="420"/>
              <w:jc w:val="both"/>
              <w:rPr>
                <w:rFonts w:ascii="Garamond" w:hAnsi="Garamond" w:cs="Garamond"/>
              </w:rPr>
            </w:pPr>
            <w:r>
              <w:rPr>
                <w:rFonts w:ascii="Garamond" w:hAnsi="Garamond" w:cs="Garamond"/>
              </w:rPr>
              <w:t>I feel relaxed around people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2B976713" w14:textId="77777777" w:rsidR="00FD5E14" w:rsidRDefault="00AC120D">
            <w:pPr>
              <w:widowControl w:val="0"/>
              <w:ind w:left="200" w:right="200"/>
              <w:jc w:val="center"/>
              <w:rPr>
                <w:rFonts w:ascii="Garamond" w:hAnsi="Garamond" w:cs="Garamond"/>
              </w:rPr>
            </w:pPr>
            <w:r>
              <w:rPr>
                <w:rFonts w:ascii="Garamond" w:hAnsi="Garamond" w:cs="Garamond"/>
              </w:rPr>
              <w:t>4.00</w:t>
            </w:r>
          </w:p>
        </w:tc>
      </w:tr>
      <w:tr w:rsidR="00FD5E14" w14:paraId="13F20E11" w14:textId="77777777">
        <w:trPr>
          <w:trHeight w:val="317"/>
          <w:jc w:val="center"/>
        </w:trPr>
        <w:tc>
          <w:tcPr>
            <w:tcW w:w="9459" w:type="dxa"/>
            <w:tcBorders>
              <w:top w:val="nil"/>
              <w:left w:val="nil"/>
              <w:bottom w:val="nil"/>
              <w:right w:val="nil"/>
            </w:tcBorders>
            <w:tcMar>
              <w:top w:w="0" w:type="dxa"/>
              <w:left w:w="0" w:type="dxa"/>
              <w:bottom w:w="0" w:type="dxa"/>
              <w:right w:w="0" w:type="dxa"/>
            </w:tcMar>
            <w:vAlign w:val="bottom"/>
          </w:tcPr>
          <w:p w14:paraId="1D311F56" w14:textId="77777777" w:rsidR="00FD5E14" w:rsidRDefault="00AC120D">
            <w:pPr>
              <w:widowControl w:val="0"/>
              <w:ind w:left="140" w:right="140"/>
              <w:jc w:val="both"/>
              <w:rPr>
                <w:rFonts w:ascii="Garamond" w:hAnsi="Garamond" w:cs="Garamond"/>
                <w:b/>
                <w:bCs/>
              </w:rPr>
            </w:pPr>
            <w:r>
              <w:rPr>
                <w:rFonts w:ascii="Garamond" w:hAnsi="Garamond" w:cs="Garamond"/>
              </w:rPr>
              <w:t>Overall</w:t>
            </w:r>
            <w:r>
              <w:rPr>
                <w:rFonts w:ascii="Garamond" w:hAnsi="Garamond" w:cs="Garamond"/>
                <w:b/>
                <w:bCs/>
              </w:rPr>
              <w:t xml:space="preserve"> Comfort</w:t>
            </w:r>
          </w:p>
        </w:tc>
        <w:tc>
          <w:tcPr>
            <w:tcW w:w="1100" w:type="dxa"/>
            <w:tcBorders>
              <w:top w:val="nil"/>
              <w:left w:val="nil"/>
              <w:bottom w:val="nil"/>
              <w:right w:val="nil"/>
            </w:tcBorders>
            <w:shd w:val="clear" w:color="auto" w:fill="FFFFFF"/>
            <w:tcMar>
              <w:top w:w="0" w:type="dxa"/>
              <w:left w:w="0" w:type="dxa"/>
              <w:bottom w:w="0" w:type="dxa"/>
              <w:right w:w="0" w:type="dxa"/>
            </w:tcMar>
            <w:vAlign w:val="bottom"/>
          </w:tcPr>
          <w:p w14:paraId="008BF2E6" w14:textId="77777777" w:rsidR="00FD5E14" w:rsidRDefault="00AC120D">
            <w:pPr>
              <w:widowControl w:val="0"/>
              <w:ind w:left="200" w:right="200"/>
              <w:jc w:val="center"/>
              <w:rPr>
                <w:rFonts w:ascii="Garamond" w:hAnsi="Garamond" w:cs="Garamond"/>
              </w:rPr>
            </w:pPr>
            <w:r>
              <w:rPr>
                <w:rFonts w:ascii="Garamond" w:hAnsi="Garamond" w:cs="Garamond"/>
              </w:rPr>
              <w:t>4.77</w:t>
            </w:r>
          </w:p>
        </w:tc>
      </w:tr>
      <w:tr w:rsidR="00FD5E14" w14:paraId="5EEDFE02" w14:textId="77777777">
        <w:trPr>
          <w:trHeight w:val="317"/>
          <w:jc w:val="center"/>
        </w:trPr>
        <w:tc>
          <w:tcPr>
            <w:tcW w:w="9459" w:type="dxa"/>
            <w:tcBorders>
              <w:top w:val="nil"/>
              <w:left w:val="nil"/>
              <w:bottom w:val="nil"/>
              <w:right w:val="nil"/>
            </w:tcBorders>
            <w:tcMar>
              <w:top w:w="0" w:type="dxa"/>
              <w:left w:w="0" w:type="dxa"/>
              <w:bottom w:w="0" w:type="dxa"/>
              <w:right w:w="0" w:type="dxa"/>
            </w:tcMar>
            <w:vAlign w:val="bottom"/>
          </w:tcPr>
          <w:p w14:paraId="4812519B" w14:textId="77777777" w:rsidR="00FD5E14" w:rsidRDefault="00AC120D">
            <w:pPr>
              <w:widowControl w:val="0"/>
              <w:ind w:right="140"/>
              <w:jc w:val="both"/>
              <w:rPr>
                <w:rFonts w:ascii="Garamond" w:hAnsi="Garamond" w:cs="Garamond"/>
                <w:b/>
                <w:bCs/>
              </w:rPr>
            </w:pPr>
            <w:r>
              <w:rPr>
                <w:rFonts w:ascii="Garamond" w:hAnsi="Garamond" w:cs="Garamond"/>
                <w:b/>
                <w:bCs/>
              </w:rPr>
              <w:t>Attitude Toward Disease Process</w:t>
            </w:r>
          </w:p>
        </w:tc>
        <w:tc>
          <w:tcPr>
            <w:tcW w:w="1100" w:type="dxa"/>
            <w:tcBorders>
              <w:top w:val="nil"/>
              <w:left w:val="nil"/>
              <w:bottom w:val="nil"/>
              <w:right w:val="nil"/>
            </w:tcBorders>
            <w:shd w:val="clear" w:color="auto" w:fill="FFFFFF"/>
            <w:tcMar>
              <w:top w:w="0" w:type="dxa"/>
              <w:left w:w="0" w:type="dxa"/>
              <w:bottom w:w="0" w:type="dxa"/>
              <w:right w:w="0" w:type="dxa"/>
            </w:tcMar>
          </w:tcPr>
          <w:p w14:paraId="01D18BD4" w14:textId="77777777" w:rsidR="00FD5E14" w:rsidRDefault="00AC120D">
            <w:pPr>
              <w:widowControl w:val="0"/>
              <w:ind w:left="200" w:right="200"/>
              <w:jc w:val="center"/>
              <w:rPr>
                <w:rFonts w:ascii="Garamond" w:hAnsi="Garamond" w:cs="Garamond"/>
                <w:b/>
                <w:bCs/>
              </w:rPr>
            </w:pPr>
            <w:r>
              <w:rPr>
                <w:rFonts w:ascii="Garamond" w:hAnsi="Garamond" w:cs="Garamond"/>
                <w:b/>
                <w:bCs/>
              </w:rPr>
              <w:t xml:space="preserve"> </w:t>
            </w:r>
          </w:p>
        </w:tc>
      </w:tr>
      <w:tr w:rsidR="00FD5E14" w14:paraId="21693B13"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6B368332" w14:textId="77777777" w:rsidR="00FD5E14" w:rsidRDefault="00AC120D">
            <w:pPr>
              <w:widowControl w:val="0"/>
              <w:ind w:left="980" w:right="140" w:hanging="420"/>
              <w:jc w:val="both"/>
              <w:rPr>
                <w:rFonts w:ascii="Garamond" w:hAnsi="Garamond" w:cs="Garamond"/>
              </w:rPr>
            </w:pPr>
            <w:r>
              <w:rPr>
                <w:rFonts w:ascii="Garamond" w:hAnsi="Garamond" w:cs="Garamond"/>
              </w:rPr>
              <w:t xml:space="preserve">It is important to know the </w:t>
            </w:r>
            <w:r>
              <w:rPr>
                <w:rFonts w:ascii="Garamond" w:hAnsi="Garamond" w:cs="Garamond"/>
              </w:rPr>
              <w:t>past history of people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2553F84C" w14:textId="77777777" w:rsidR="00FD5E14" w:rsidRDefault="00AC120D">
            <w:pPr>
              <w:widowControl w:val="0"/>
              <w:ind w:left="200" w:right="200"/>
              <w:jc w:val="center"/>
              <w:rPr>
                <w:rFonts w:ascii="Garamond" w:hAnsi="Garamond" w:cs="Garamond"/>
              </w:rPr>
            </w:pPr>
            <w:r>
              <w:rPr>
                <w:rFonts w:ascii="Garamond" w:hAnsi="Garamond" w:cs="Garamond"/>
              </w:rPr>
              <w:t>6.18</w:t>
            </w:r>
          </w:p>
        </w:tc>
      </w:tr>
      <w:tr w:rsidR="00FD5E14" w14:paraId="10D8777A"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5D0C1BF8" w14:textId="77777777" w:rsidR="00FD5E14" w:rsidRDefault="00AC120D">
            <w:pPr>
              <w:widowControl w:val="0"/>
              <w:ind w:left="980" w:right="140" w:hanging="420"/>
              <w:jc w:val="both"/>
              <w:rPr>
                <w:rFonts w:ascii="Garamond" w:hAnsi="Garamond" w:cs="Garamond"/>
              </w:rPr>
            </w:pPr>
            <w:r>
              <w:rPr>
                <w:rFonts w:ascii="Garamond" w:hAnsi="Garamond" w:cs="Garamond"/>
              </w:rPr>
              <w:t>Every person with ADRD has different needs.</w:t>
            </w:r>
          </w:p>
        </w:tc>
        <w:tc>
          <w:tcPr>
            <w:tcW w:w="1100" w:type="dxa"/>
            <w:tcBorders>
              <w:top w:val="nil"/>
              <w:left w:val="nil"/>
              <w:bottom w:val="nil"/>
              <w:right w:val="nil"/>
            </w:tcBorders>
            <w:shd w:val="clear" w:color="auto" w:fill="FFFFFF"/>
            <w:tcMar>
              <w:top w:w="0" w:type="dxa"/>
              <w:left w:w="0" w:type="dxa"/>
              <w:bottom w:w="0" w:type="dxa"/>
              <w:right w:w="0" w:type="dxa"/>
            </w:tcMar>
          </w:tcPr>
          <w:p w14:paraId="3499F1A8" w14:textId="77777777" w:rsidR="00FD5E14" w:rsidRDefault="00AC120D">
            <w:pPr>
              <w:widowControl w:val="0"/>
              <w:ind w:left="200" w:right="200"/>
              <w:jc w:val="center"/>
              <w:rPr>
                <w:rFonts w:ascii="Garamond" w:hAnsi="Garamond" w:cs="Garamond"/>
              </w:rPr>
            </w:pPr>
            <w:r>
              <w:rPr>
                <w:rFonts w:ascii="Garamond" w:hAnsi="Garamond" w:cs="Garamond"/>
              </w:rPr>
              <w:t>5.97</w:t>
            </w:r>
          </w:p>
        </w:tc>
      </w:tr>
      <w:tr w:rsidR="00FD5E14" w14:paraId="50C09A1B"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5B6C34B2" w14:textId="77777777" w:rsidR="00FD5E14" w:rsidRDefault="00AC120D">
            <w:pPr>
              <w:widowControl w:val="0"/>
              <w:ind w:left="980" w:right="140" w:hanging="420"/>
              <w:jc w:val="both"/>
              <w:rPr>
                <w:rFonts w:ascii="Garamond" w:hAnsi="Garamond" w:cs="Garamond"/>
              </w:rPr>
            </w:pPr>
            <w:r>
              <w:rPr>
                <w:rFonts w:ascii="Garamond" w:hAnsi="Garamond" w:cs="Garamond"/>
              </w:rPr>
              <w:t>We can do a lot now to improve the lives of people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612E8567" w14:textId="77777777" w:rsidR="00FD5E14" w:rsidRDefault="00AC120D">
            <w:pPr>
              <w:widowControl w:val="0"/>
              <w:ind w:left="200" w:right="200"/>
              <w:jc w:val="center"/>
              <w:rPr>
                <w:rFonts w:ascii="Garamond" w:hAnsi="Garamond" w:cs="Garamond"/>
              </w:rPr>
            </w:pPr>
            <w:r>
              <w:rPr>
                <w:rFonts w:ascii="Garamond" w:hAnsi="Garamond" w:cs="Garamond"/>
              </w:rPr>
              <w:t>5.90</w:t>
            </w:r>
          </w:p>
        </w:tc>
      </w:tr>
      <w:tr w:rsidR="00FD5E14" w14:paraId="18412E7D"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07E4E7E9" w14:textId="77777777" w:rsidR="00FD5E14" w:rsidRDefault="00AC120D">
            <w:pPr>
              <w:widowControl w:val="0"/>
              <w:ind w:left="980" w:right="140" w:hanging="420"/>
              <w:jc w:val="both"/>
              <w:rPr>
                <w:rFonts w:ascii="Garamond" w:hAnsi="Garamond" w:cs="Garamond"/>
              </w:rPr>
            </w:pPr>
            <w:r>
              <w:rPr>
                <w:rFonts w:ascii="Garamond" w:hAnsi="Garamond" w:cs="Garamond"/>
              </w:rPr>
              <w:t>People with ADRD can feel when others are kind to them.</w:t>
            </w:r>
          </w:p>
        </w:tc>
        <w:tc>
          <w:tcPr>
            <w:tcW w:w="1100" w:type="dxa"/>
            <w:tcBorders>
              <w:top w:val="nil"/>
              <w:left w:val="nil"/>
              <w:bottom w:val="nil"/>
              <w:right w:val="nil"/>
            </w:tcBorders>
            <w:shd w:val="clear" w:color="auto" w:fill="FFFFFF"/>
            <w:tcMar>
              <w:top w:w="0" w:type="dxa"/>
              <w:left w:w="0" w:type="dxa"/>
              <w:bottom w:w="0" w:type="dxa"/>
              <w:right w:w="0" w:type="dxa"/>
            </w:tcMar>
          </w:tcPr>
          <w:p w14:paraId="73A190E9" w14:textId="77777777" w:rsidR="00FD5E14" w:rsidRDefault="00AC120D">
            <w:pPr>
              <w:widowControl w:val="0"/>
              <w:ind w:left="200" w:right="200"/>
              <w:jc w:val="center"/>
              <w:rPr>
                <w:rFonts w:ascii="Garamond" w:hAnsi="Garamond" w:cs="Garamond"/>
              </w:rPr>
            </w:pPr>
            <w:r>
              <w:rPr>
                <w:rFonts w:ascii="Garamond" w:hAnsi="Garamond" w:cs="Garamond"/>
              </w:rPr>
              <w:t>5.75</w:t>
            </w:r>
          </w:p>
        </w:tc>
      </w:tr>
      <w:tr w:rsidR="00FD5E14" w14:paraId="2EA50C2A"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17A11DFF" w14:textId="77777777" w:rsidR="00FD5E14" w:rsidRDefault="00AC120D">
            <w:pPr>
              <w:widowControl w:val="0"/>
              <w:ind w:left="980" w:right="140" w:hanging="420"/>
              <w:jc w:val="both"/>
              <w:rPr>
                <w:rFonts w:ascii="Garamond" w:hAnsi="Garamond" w:cs="Garamond"/>
              </w:rPr>
            </w:pPr>
            <w:r>
              <w:rPr>
                <w:rFonts w:ascii="Garamond" w:hAnsi="Garamond" w:cs="Garamond"/>
              </w:rPr>
              <w:t>I admire the coping skills of people</w:t>
            </w:r>
            <w:r>
              <w:rPr>
                <w:rFonts w:ascii="Garamond" w:hAnsi="Garamond" w:cs="Garamond"/>
              </w:rPr>
              <w:t xml:space="preserv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1B08760A" w14:textId="77777777" w:rsidR="00FD5E14" w:rsidRDefault="00AC120D">
            <w:pPr>
              <w:widowControl w:val="0"/>
              <w:ind w:left="200" w:right="200"/>
              <w:jc w:val="center"/>
              <w:rPr>
                <w:rFonts w:ascii="Garamond" w:hAnsi="Garamond" w:cs="Garamond"/>
              </w:rPr>
            </w:pPr>
            <w:r>
              <w:rPr>
                <w:rFonts w:ascii="Garamond" w:hAnsi="Garamond" w:cs="Garamond"/>
              </w:rPr>
              <w:t>5.71</w:t>
            </w:r>
          </w:p>
        </w:tc>
      </w:tr>
      <w:tr w:rsidR="00FD5E14" w14:paraId="452BC3C4"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0CD07962" w14:textId="77777777" w:rsidR="00FD5E14" w:rsidRDefault="00AC120D">
            <w:pPr>
              <w:widowControl w:val="0"/>
              <w:ind w:left="980" w:right="140" w:hanging="420"/>
              <w:jc w:val="both"/>
              <w:rPr>
                <w:rFonts w:ascii="Garamond" w:hAnsi="Garamond" w:cs="Garamond"/>
              </w:rPr>
            </w:pPr>
            <w:r>
              <w:rPr>
                <w:rFonts w:ascii="Garamond" w:hAnsi="Garamond" w:cs="Garamond"/>
              </w:rPr>
              <w:t>People with ADRD like having familiar things nearby.</w:t>
            </w:r>
          </w:p>
        </w:tc>
        <w:tc>
          <w:tcPr>
            <w:tcW w:w="1100" w:type="dxa"/>
            <w:tcBorders>
              <w:top w:val="nil"/>
              <w:left w:val="nil"/>
              <w:bottom w:val="nil"/>
              <w:right w:val="nil"/>
            </w:tcBorders>
            <w:shd w:val="clear" w:color="auto" w:fill="FFFFFF"/>
            <w:tcMar>
              <w:top w:w="0" w:type="dxa"/>
              <w:left w:w="0" w:type="dxa"/>
              <w:bottom w:w="0" w:type="dxa"/>
              <w:right w:w="0" w:type="dxa"/>
            </w:tcMar>
          </w:tcPr>
          <w:p w14:paraId="34CD5B13" w14:textId="77777777" w:rsidR="00FD5E14" w:rsidRDefault="00AC120D">
            <w:pPr>
              <w:widowControl w:val="0"/>
              <w:ind w:left="200" w:right="200"/>
              <w:jc w:val="center"/>
              <w:rPr>
                <w:rFonts w:ascii="Garamond" w:hAnsi="Garamond" w:cs="Garamond"/>
              </w:rPr>
            </w:pPr>
            <w:r>
              <w:rPr>
                <w:rFonts w:ascii="Garamond" w:hAnsi="Garamond" w:cs="Garamond"/>
              </w:rPr>
              <w:t>5.71</w:t>
            </w:r>
          </w:p>
        </w:tc>
      </w:tr>
      <w:tr w:rsidR="00FD5E14" w14:paraId="500AE9C9"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3B020434" w14:textId="77777777" w:rsidR="00FD5E14" w:rsidRDefault="00AC120D">
            <w:pPr>
              <w:widowControl w:val="0"/>
              <w:ind w:left="980" w:right="140" w:hanging="420"/>
              <w:jc w:val="both"/>
              <w:rPr>
                <w:rFonts w:ascii="Garamond" w:hAnsi="Garamond" w:cs="Garamond"/>
              </w:rPr>
            </w:pPr>
            <w:r>
              <w:rPr>
                <w:rFonts w:ascii="Garamond" w:hAnsi="Garamond" w:cs="Garamond"/>
              </w:rPr>
              <w:t>It is possible to enjoy interacting with people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57681C1A" w14:textId="77777777" w:rsidR="00FD5E14" w:rsidRDefault="00AC120D">
            <w:pPr>
              <w:widowControl w:val="0"/>
              <w:ind w:left="200" w:right="200"/>
              <w:jc w:val="center"/>
              <w:rPr>
                <w:rFonts w:ascii="Garamond" w:hAnsi="Garamond" w:cs="Garamond"/>
              </w:rPr>
            </w:pPr>
            <w:r>
              <w:rPr>
                <w:rFonts w:ascii="Garamond" w:hAnsi="Garamond" w:cs="Garamond"/>
              </w:rPr>
              <w:t>5.69</w:t>
            </w:r>
          </w:p>
        </w:tc>
      </w:tr>
      <w:tr w:rsidR="00FD5E14" w14:paraId="056997F9"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4DB7A3C7" w14:textId="77777777" w:rsidR="00FD5E14" w:rsidRDefault="00AC120D">
            <w:pPr>
              <w:widowControl w:val="0"/>
              <w:ind w:left="980" w:right="140" w:hanging="420"/>
              <w:jc w:val="both"/>
              <w:rPr>
                <w:rFonts w:ascii="Garamond" w:hAnsi="Garamond" w:cs="Garamond"/>
              </w:rPr>
            </w:pPr>
            <w:r>
              <w:rPr>
                <w:rFonts w:ascii="Garamond" w:hAnsi="Garamond" w:cs="Garamond"/>
              </w:rPr>
              <w:t>People with ADRD can enjoy life.</w:t>
            </w:r>
          </w:p>
        </w:tc>
        <w:tc>
          <w:tcPr>
            <w:tcW w:w="1100" w:type="dxa"/>
            <w:tcBorders>
              <w:top w:val="nil"/>
              <w:left w:val="nil"/>
              <w:bottom w:val="nil"/>
              <w:right w:val="nil"/>
            </w:tcBorders>
            <w:shd w:val="clear" w:color="auto" w:fill="FFFFFF"/>
            <w:tcMar>
              <w:top w:w="0" w:type="dxa"/>
              <w:left w:w="0" w:type="dxa"/>
              <w:bottom w:w="0" w:type="dxa"/>
              <w:right w:w="0" w:type="dxa"/>
            </w:tcMar>
          </w:tcPr>
          <w:p w14:paraId="1912E861" w14:textId="77777777" w:rsidR="00FD5E14" w:rsidRDefault="00AC120D">
            <w:pPr>
              <w:widowControl w:val="0"/>
              <w:ind w:left="200" w:right="200"/>
              <w:jc w:val="center"/>
              <w:rPr>
                <w:rFonts w:ascii="Garamond" w:hAnsi="Garamond" w:cs="Garamond"/>
              </w:rPr>
            </w:pPr>
            <w:r>
              <w:rPr>
                <w:rFonts w:ascii="Garamond" w:hAnsi="Garamond" w:cs="Garamond"/>
              </w:rPr>
              <w:t>5.64</w:t>
            </w:r>
          </w:p>
        </w:tc>
      </w:tr>
      <w:tr w:rsidR="00FD5E14" w14:paraId="275D4F4A"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3EF7F0EA" w14:textId="77777777" w:rsidR="00FD5E14" w:rsidRDefault="00AC120D">
            <w:pPr>
              <w:widowControl w:val="0"/>
              <w:ind w:left="980" w:right="140" w:hanging="420"/>
              <w:jc w:val="both"/>
              <w:rPr>
                <w:rFonts w:ascii="Garamond" w:hAnsi="Garamond" w:cs="Garamond"/>
              </w:rPr>
            </w:pPr>
            <w:r>
              <w:rPr>
                <w:rFonts w:ascii="Garamond" w:hAnsi="Garamond" w:cs="Garamond"/>
              </w:rPr>
              <w:t>Difficult behaviors may be a form of communication for people with ADRD.</w:t>
            </w:r>
          </w:p>
        </w:tc>
        <w:tc>
          <w:tcPr>
            <w:tcW w:w="1100" w:type="dxa"/>
            <w:tcBorders>
              <w:top w:val="nil"/>
              <w:left w:val="nil"/>
              <w:bottom w:val="nil"/>
              <w:right w:val="nil"/>
            </w:tcBorders>
            <w:shd w:val="clear" w:color="auto" w:fill="FFFFFF"/>
            <w:tcMar>
              <w:top w:w="0" w:type="dxa"/>
              <w:left w:w="0" w:type="dxa"/>
              <w:bottom w:w="0" w:type="dxa"/>
              <w:right w:w="0" w:type="dxa"/>
            </w:tcMar>
          </w:tcPr>
          <w:p w14:paraId="48E22975" w14:textId="77777777" w:rsidR="00FD5E14" w:rsidRDefault="00AC120D">
            <w:pPr>
              <w:widowControl w:val="0"/>
              <w:ind w:left="200" w:right="200"/>
              <w:jc w:val="center"/>
              <w:rPr>
                <w:rFonts w:ascii="Garamond" w:hAnsi="Garamond" w:cs="Garamond"/>
              </w:rPr>
            </w:pPr>
            <w:r>
              <w:rPr>
                <w:rFonts w:ascii="Garamond" w:hAnsi="Garamond" w:cs="Garamond"/>
              </w:rPr>
              <w:t>5.36</w:t>
            </w:r>
          </w:p>
        </w:tc>
      </w:tr>
      <w:tr w:rsidR="00FD5E14" w14:paraId="45DD95D0" w14:textId="77777777">
        <w:trPr>
          <w:trHeight w:val="317"/>
          <w:jc w:val="center"/>
        </w:trPr>
        <w:tc>
          <w:tcPr>
            <w:tcW w:w="9459" w:type="dxa"/>
            <w:tcBorders>
              <w:top w:val="nil"/>
              <w:left w:val="nil"/>
              <w:bottom w:val="nil"/>
              <w:right w:val="nil"/>
            </w:tcBorders>
            <w:tcMar>
              <w:top w:w="0" w:type="dxa"/>
              <w:left w:w="0" w:type="dxa"/>
              <w:bottom w:w="0" w:type="dxa"/>
              <w:right w:w="0" w:type="dxa"/>
            </w:tcMar>
          </w:tcPr>
          <w:p w14:paraId="41B77EEF" w14:textId="77777777" w:rsidR="00FD5E14" w:rsidRDefault="00AC120D">
            <w:pPr>
              <w:widowControl w:val="0"/>
              <w:ind w:left="980" w:right="140" w:hanging="420"/>
              <w:jc w:val="both"/>
              <w:rPr>
                <w:rFonts w:ascii="Garamond" w:hAnsi="Garamond" w:cs="Garamond"/>
              </w:rPr>
            </w:pPr>
            <w:r>
              <w:rPr>
                <w:rFonts w:ascii="Garamond" w:hAnsi="Garamond" w:cs="Garamond"/>
              </w:rPr>
              <w:t>People with ADRD can be creative.</w:t>
            </w:r>
          </w:p>
        </w:tc>
        <w:tc>
          <w:tcPr>
            <w:tcW w:w="1100" w:type="dxa"/>
            <w:tcBorders>
              <w:top w:val="nil"/>
              <w:left w:val="nil"/>
              <w:bottom w:val="nil"/>
              <w:right w:val="nil"/>
            </w:tcBorders>
            <w:shd w:val="clear" w:color="auto" w:fill="FFFFFF"/>
            <w:tcMar>
              <w:top w:w="0" w:type="dxa"/>
              <w:left w:w="0" w:type="dxa"/>
              <w:bottom w:w="0" w:type="dxa"/>
              <w:right w:w="0" w:type="dxa"/>
            </w:tcMar>
          </w:tcPr>
          <w:p w14:paraId="378D6161" w14:textId="77777777" w:rsidR="00FD5E14" w:rsidRDefault="00AC120D">
            <w:pPr>
              <w:widowControl w:val="0"/>
              <w:ind w:left="200" w:right="200"/>
              <w:jc w:val="center"/>
              <w:rPr>
                <w:rFonts w:ascii="Garamond" w:hAnsi="Garamond" w:cs="Garamond"/>
              </w:rPr>
            </w:pPr>
            <w:r>
              <w:rPr>
                <w:rFonts w:ascii="Garamond" w:hAnsi="Garamond" w:cs="Garamond"/>
              </w:rPr>
              <w:t>5.12</w:t>
            </w:r>
          </w:p>
        </w:tc>
      </w:tr>
      <w:tr w:rsidR="00FD5E14" w14:paraId="75361035" w14:textId="77777777">
        <w:trPr>
          <w:trHeight w:val="340"/>
          <w:jc w:val="center"/>
        </w:trPr>
        <w:tc>
          <w:tcPr>
            <w:tcW w:w="9459" w:type="dxa"/>
            <w:tcBorders>
              <w:top w:val="nil"/>
              <w:left w:val="nil"/>
              <w:bottom w:val="single" w:sz="8" w:space="0" w:color="000000"/>
              <w:right w:val="nil"/>
            </w:tcBorders>
            <w:tcMar>
              <w:top w:w="0" w:type="dxa"/>
              <w:left w:w="0" w:type="dxa"/>
              <w:bottom w:w="0" w:type="dxa"/>
              <w:right w:w="0" w:type="dxa"/>
            </w:tcMar>
            <w:vAlign w:val="bottom"/>
          </w:tcPr>
          <w:p w14:paraId="60C922A7" w14:textId="77777777" w:rsidR="00FD5E14" w:rsidRDefault="00AC120D">
            <w:pPr>
              <w:widowControl w:val="0"/>
              <w:ind w:left="140" w:right="140"/>
              <w:rPr>
                <w:rFonts w:ascii="Garamond" w:hAnsi="Garamond" w:cs="Garamond"/>
                <w:b/>
                <w:bCs/>
              </w:rPr>
            </w:pPr>
            <w:r>
              <w:rPr>
                <w:rFonts w:ascii="Garamond" w:hAnsi="Garamond" w:cs="Garamond"/>
              </w:rPr>
              <w:t xml:space="preserve">Overall </w:t>
            </w:r>
            <w:r>
              <w:rPr>
                <w:rFonts w:ascii="Garamond" w:hAnsi="Garamond" w:cs="Garamond"/>
                <w:b/>
                <w:bCs/>
              </w:rPr>
              <w:t>Attitude Toward Disease Process</w:t>
            </w:r>
          </w:p>
        </w:tc>
        <w:tc>
          <w:tcPr>
            <w:tcW w:w="110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F43558F" w14:textId="77777777" w:rsidR="00FD5E14" w:rsidRDefault="00AC120D">
            <w:pPr>
              <w:widowControl w:val="0"/>
              <w:ind w:left="200" w:right="200"/>
              <w:jc w:val="center"/>
              <w:rPr>
                <w:rFonts w:ascii="Garamond" w:hAnsi="Garamond" w:cs="Garamond"/>
              </w:rPr>
            </w:pPr>
            <w:r>
              <w:rPr>
                <w:rFonts w:ascii="Garamond" w:hAnsi="Garamond" w:cs="Garamond"/>
              </w:rPr>
              <w:t>5.70</w:t>
            </w:r>
          </w:p>
        </w:tc>
      </w:tr>
      <w:tr w:rsidR="00FD5E14" w14:paraId="4CD6D4C7" w14:textId="77777777">
        <w:trPr>
          <w:trHeight w:val="357"/>
          <w:jc w:val="center"/>
        </w:trPr>
        <w:tc>
          <w:tcPr>
            <w:tcW w:w="9459" w:type="dxa"/>
            <w:tcBorders>
              <w:top w:val="nil"/>
              <w:left w:val="nil"/>
              <w:bottom w:val="single" w:sz="8" w:space="0" w:color="000000"/>
              <w:right w:val="nil"/>
            </w:tcBorders>
            <w:tcMar>
              <w:top w:w="0" w:type="dxa"/>
              <w:left w:w="0" w:type="dxa"/>
              <w:bottom w:w="0" w:type="dxa"/>
              <w:right w:w="0" w:type="dxa"/>
            </w:tcMar>
            <w:vAlign w:val="bottom"/>
          </w:tcPr>
          <w:p w14:paraId="3618C979" w14:textId="77777777" w:rsidR="00FD5E14" w:rsidRDefault="00AC120D">
            <w:pPr>
              <w:widowControl w:val="0"/>
              <w:ind w:left="140" w:right="140"/>
              <w:rPr>
                <w:rFonts w:ascii="Garamond" w:hAnsi="Garamond" w:cs="Garamond"/>
                <w:b/>
                <w:bCs/>
              </w:rPr>
            </w:pPr>
            <w:r>
              <w:rPr>
                <w:rFonts w:ascii="Garamond" w:hAnsi="Garamond" w:cs="Garamond"/>
                <w:b/>
                <w:bCs/>
              </w:rPr>
              <w:t>Total Overall</w:t>
            </w:r>
          </w:p>
        </w:tc>
        <w:tc>
          <w:tcPr>
            <w:tcW w:w="110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FF6097C" w14:textId="77777777" w:rsidR="00FD5E14" w:rsidRDefault="00AC120D">
            <w:pPr>
              <w:widowControl w:val="0"/>
              <w:ind w:left="200" w:right="200"/>
              <w:jc w:val="center"/>
              <w:rPr>
                <w:rFonts w:ascii="Garamond" w:hAnsi="Garamond" w:cs="Garamond"/>
              </w:rPr>
            </w:pPr>
            <w:r>
              <w:rPr>
                <w:rFonts w:ascii="Garamond" w:hAnsi="Garamond" w:cs="Garamond"/>
              </w:rPr>
              <w:t>4.77</w:t>
            </w:r>
          </w:p>
        </w:tc>
      </w:tr>
    </w:tbl>
    <w:p w14:paraId="68ADC483" w14:textId="77777777" w:rsidR="00FD5E14" w:rsidRDefault="00FD5E14">
      <w:pPr>
        <w:jc w:val="both"/>
        <w:rPr>
          <w:rFonts w:ascii="Arial" w:eastAsia="Arial" w:hAnsi="Arial" w:cs="Arial"/>
          <w:b/>
          <w:bCs/>
        </w:rPr>
      </w:pPr>
    </w:p>
    <w:p w14:paraId="6D58B6D8" w14:textId="77777777" w:rsidR="00FD5E14" w:rsidRDefault="00FD5E14">
      <w:pPr>
        <w:jc w:val="center"/>
        <w:rPr>
          <w:rFonts w:ascii="Arial" w:eastAsia="Arial" w:hAnsi="Arial" w:cs="Arial"/>
          <w:b/>
          <w:bCs/>
        </w:rPr>
      </w:pPr>
    </w:p>
    <w:p w14:paraId="7F6B73D3" w14:textId="77777777" w:rsidR="00FD5E14" w:rsidRDefault="00AC120D">
      <w:pPr>
        <w:jc w:val="center"/>
        <w:rPr>
          <w:rFonts w:ascii="Arial" w:eastAsia="Arial" w:hAnsi="Arial" w:cs="Arial"/>
          <w:b/>
          <w:bCs/>
        </w:rPr>
      </w:pPr>
      <w:r>
        <w:rPr>
          <w:rFonts w:ascii="Arial" w:eastAsia="Arial" w:hAnsi="Arial" w:cs="Arial"/>
          <w:b/>
          <w:bCs/>
        </w:rPr>
        <w:t>Inferential Statistics</w:t>
      </w:r>
    </w:p>
    <w:p w14:paraId="5847737E" w14:textId="77777777" w:rsidR="00FD5E14" w:rsidRDefault="00FD5E14">
      <w:pPr>
        <w:jc w:val="both"/>
        <w:rPr>
          <w:rFonts w:ascii="Arial" w:eastAsia="Arial" w:hAnsi="Arial" w:cs="Arial"/>
          <w:b/>
          <w:bCs/>
        </w:rPr>
      </w:pPr>
    </w:p>
    <w:p w14:paraId="48267CC5" w14:textId="77777777" w:rsidR="00FD5E14" w:rsidRDefault="00AC120D">
      <w:pPr>
        <w:jc w:val="both"/>
        <w:rPr>
          <w:rFonts w:ascii="Arial" w:eastAsia="Arial" w:hAnsi="Arial" w:cs="Arial"/>
          <w:b/>
          <w:bCs/>
        </w:rPr>
      </w:pPr>
      <w:r>
        <w:rPr>
          <w:rFonts w:ascii="Arial" w:eastAsia="Arial" w:hAnsi="Arial" w:cs="Arial"/>
          <w:b/>
          <w:bCs/>
        </w:rPr>
        <w:t>Relationship Between Respondents’ Knowledge and Attitudes Toward Alzheimer’s Care</w:t>
      </w:r>
    </w:p>
    <w:p w14:paraId="078D5CCC" w14:textId="77777777" w:rsidR="00FD5E14" w:rsidRDefault="00AC120D">
      <w:pPr>
        <w:jc w:val="both"/>
        <w:rPr>
          <w:rFonts w:ascii="Arial" w:eastAsia="Arial" w:hAnsi="Arial" w:cs="Arial"/>
        </w:rPr>
      </w:pPr>
      <w:r>
        <w:rPr>
          <w:rFonts w:ascii="Arial" w:eastAsia="Arial" w:hAnsi="Arial" w:cs="Arial"/>
        </w:rPr>
        <w:t xml:space="preserve">To assess the normality of the data </w:t>
      </w:r>
      <w:r>
        <w:rPr>
          <w:rFonts w:ascii="Arial" w:eastAsia="Arial" w:hAnsi="Arial" w:cs="Arial"/>
        </w:rPr>
        <w:t xml:space="preserve">and determine the appropriate inferential statistical method, the researcher conducted the Kolmogorov–Smirnov Test (Faizi &amp; Alvi, 2023). The results indicated that the data on knowledge and attitudes, including their respective </w:t>
      </w:r>
      <w:r>
        <w:rPr>
          <w:rFonts w:ascii="Arial" w:eastAsia="Arial" w:hAnsi="Arial" w:cs="Arial"/>
        </w:rPr>
        <w:lastRenderedPageBreak/>
        <w:t>subdomains, did not follow a</w:t>
      </w:r>
      <w:r>
        <w:rPr>
          <w:rFonts w:ascii="Arial" w:eastAsia="Arial" w:hAnsi="Arial" w:cs="Arial"/>
        </w:rPr>
        <w:t xml:space="preserve"> normal distribution, as evidenced by significant p-values (p &lt; 0.05). Therefore, nonparametric statistical tests were deemed appropriate for the analysis. Consequently, the Spearman's Rank Correlation Coefficient was utilized.</w:t>
      </w:r>
    </w:p>
    <w:p w14:paraId="552DBFAC" w14:textId="77777777" w:rsidR="00FD5E14" w:rsidRDefault="00FD5E14">
      <w:pPr>
        <w:jc w:val="both"/>
        <w:rPr>
          <w:rFonts w:ascii="Arial" w:eastAsia="Arial" w:hAnsi="Arial" w:cs="Arial"/>
        </w:rPr>
      </w:pPr>
    </w:p>
    <w:p w14:paraId="571F00DA" w14:textId="77777777" w:rsidR="00FD5E14" w:rsidRDefault="00AC120D">
      <w:pPr>
        <w:jc w:val="both"/>
        <w:rPr>
          <w:rFonts w:ascii="Arial" w:eastAsia="Arial" w:hAnsi="Arial" w:cs="Arial"/>
        </w:rPr>
      </w:pPr>
      <w:r>
        <w:rPr>
          <w:rFonts w:ascii="Arial" w:eastAsia="Arial" w:hAnsi="Arial" w:cs="Arial"/>
        </w:rPr>
        <w:t xml:space="preserve">The analysis revealed that </w:t>
      </w:r>
      <w:r>
        <w:rPr>
          <w:rFonts w:ascii="Arial" w:eastAsia="Arial" w:hAnsi="Arial" w:cs="Arial"/>
        </w:rPr>
        <w:t xml:space="preserve">the relationship between overall knowledge and overall attitude yielded a p-value of 0.864. Since this value is greater than the 0.05 level of significance, there is no statistically significant relationship between overall knowledge and overall attitude. </w:t>
      </w:r>
      <w:r>
        <w:rPr>
          <w:rFonts w:ascii="Arial" w:eastAsia="Arial" w:hAnsi="Arial" w:cs="Arial"/>
        </w:rPr>
        <w:t>Therefore, the null hypothesis failed to be rejected. Because the relationship is not statistically significant, the correlation coefficient was not interpreted.</w:t>
      </w:r>
    </w:p>
    <w:p w14:paraId="5B707D17" w14:textId="77777777" w:rsidR="00FD5E14" w:rsidRDefault="00FD5E14">
      <w:pPr>
        <w:jc w:val="both"/>
        <w:rPr>
          <w:rFonts w:ascii="Arial" w:eastAsia="Arial" w:hAnsi="Arial" w:cs="Arial"/>
        </w:rPr>
      </w:pPr>
    </w:p>
    <w:p w14:paraId="057BC9A7" w14:textId="77777777" w:rsidR="00FD5E14" w:rsidRDefault="00AC120D">
      <w:pPr>
        <w:jc w:val="both"/>
        <w:rPr>
          <w:rFonts w:ascii="Arial" w:eastAsia="Arial" w:hAnsi="Arial" w:cs="Arial"/>
        </w:rPr>
      </w:pPr>
      <w:r>
        <w:rPr>
          <w:rFonts w:ascii="Arial" w:eastAsia="Arial" w:hAnsi="Arial" w:cs="Arial"/>
        </w:rPr>
        <w:t>However, several statistically significant relationships were identified among specific knowl</w:t>
      </w:r>
      <w:r>
        <w:rPr>
          <w:rFonts w:ascii="Arial" w:eastAsia="Arial" w:hAnsi="Arial" w:cs="Arial"/>
        </w:rPr>
        <w:t>edge domains and attitude domains. Knowledge of Symptoms demonstrated significant positive correlations with Comfort (</w:t>
      </w:r>
      <w:proofErr w:type="spellStart"/>
      <w:r>
        <w:rPr>
          <w:rFonts w:ascii="Arial" w:eastAsia="Arial" w:hAnsi="Arial" w:cs="Arial"/>
        </w:rPr>
        <w:t>rs</w:t>
      </w:r>
      <w:proofErr w:type="spellEnd"/>
      <w:r>
        <w:rPr>
          <w:rFonts w:ascii="Arial" w:eastAsia="Arial" w:hAnsi="Arial" w:cs="Arial"/>
        </w:rPr>
        <w:t xml:space="preserve"> = .208, p = .001), Attitude Toward Disease Process (</w:t>
      </w:r>
      <w:proofErr w:type="spellStart"/>
      <w:r>
        <w:rPr>
          <w:rFonts w:ascii="Arial" w:eastAsia="Arial" w:hAnsi="Arial" w:cs="Arial"/>
        </w:rPr>
        <w:t>rs</w:t>
      </w:r>
      <w:proofErr w:type="spellEnd"/>
      <w:r>
        <w:rPr>
          <w:rFonts w:ascii="Arial" w:eastAsia="Arial" w:hAnsi="Arial" w:cs="Arial"/>
        </w:rPr>
        <w:t xml:space="preserve"> = .154, p = .011), and Overall Attitude (</w:t>
      </w:r>
      <w:proofErr w:type="spellStart"/>
      <w:r>
        <w:rPr>
          <w:rFonts w:ascii="Arial" w:eastAsia="Arial" w:hAnsi="Arial" w:cs="Arial"/>
        </w:rPr>
        <w:t>rs</w:t>
      </w:r>
      <w:proofErr w:type="spellEnd"/>
      <w:r>
        <w:rPr>
          <w:rFonts w:ascii="Arial" w:eastAsia="Arial" w:hAnsi="Arial" w:cs="Arial"/>
        </w:rPr>
        <w:t xml:space="preserve"> = .208, p = .001). Knowledge of Asse</w:t>
      </w:r>
      <w:r>
        <w:rPr>
          <w:rFonts w:ascii="Arial" w:eastAsia="Arial" w:hAnsi="Arial" w:cs="Arial"/>
        </w:rPr>
        <w:t>ssment and Diagnosis was significantly related to Attitude Toward Disease Process (</w:t>
      </w:r>
      <w:proofErr w:type="spellStart"/>
      <w:r>
        <w:rPr>
          <w:rFonts w:ascii="Arial" w:eastAsia="Arial" w:hAnsi="Arial" w:cs="Arial"/>
        </w:rPr>
        <w:t>rs</w:t>
      </w:r>
      <w:proofErr w:type="spellEnd"/>
      <w:r>
        <w:rPr>
          <w:rFonts w:ascii="Arial" w:eastAsia="Arial" w:hAnsi="Arial" w:cs="Arial"/>
        </w:rPr>
        <w:t xml:space="preserve"> = .131, p = .030). Knowledge of the Course of the Disease showed significant positive relationships with Comfort (</w:t>
      </w:r>
      <w:proofErr w:type="spellStart"/>
      <w:r>
        <w:rPr>
          <w:rFonts w:ascii="Arial" w:eastAsia="Arial" w:hAnsi="Arial" w:cs="Arial"/>
        </w:rPr>
        <w:t>rs</w:t>
      </w:r>
      <w:proofErr w:type="spellEnd"/>
      <w:r>
        <w:rPr>
          <w:rFonts w:ascii="Arial" w:eastAsia="Arial" w:hAnsi="Arial" w:cs="Arial"/>
        </w:rPr>
        <w:t xml:space="preserve"> = .139, p = .021) and Overall Attitude (</w:t>
      </w:r>
      <w:proofErr w:type="spellStart"/>
      <w:r>
        <w:rPr>
          <w:rFonts w:ascii="Arial" w:eastAsia="Arial" w:hAnsi="Arial" w:cs="Arial"/>
        </w:rPr>
        <w:t>rs</w:t>
      </w:r>
      <w:proofErr w:type="spellEnd"/>
      <w:r>
        <w:rPr>
          <w:rFonts w:ascii="Arial" w:eastAsia="Arial" w:hAnsi="Arial" w:cs="Arial"/>
        </w:rPr>
        <w:t xml:space="preserve"> = .139, p </w:t>
      </w:r>
      <w:r>
        <w:rPr>
          <w:rFonts w:ascii="Arial" w:eastAsia="Arial" w:hAnsi="Arial" w:cs="Arial"/>
        </w:rPr>
        <w:t>= .021). Furthermore, knowledge of Life Impact was significantly associated with Comfort (</w:t>
      </w:r>
      <w:proofErr w:type="spellStart"/>
      <w:r>
        <w:rPr>
          <w:rFonts w:ascii="Arial" w:eastAsia="Arial" w:hAnsi="Arial" w:cs="Arial"/>
        </w:rPr>
        <w:t>rs</w:t>
      </w:r>
      <w:proofErr w:type="spellEnd"/>
      <w:r>
        <w:rPr>
          <w:rFonts w:ascii="Arial" w:eastAsia="Arial" w:hAnsi="Arial" w:cs="Arial"/>
        </w:rPr>
        <w:t xml:space="preserve"> = .204, p = .001), Attitude Toward Disease Process (</w:t>
      </w:r>
      <w:proofErr w:type="spellStart"/>
      <w:r>
        <w:rPr>
          <w:rFonts w:ascii="Arial" w:eastAsia="Arial" w:hAnsi="Arial" w:cs="Arial"/>
        </w:rPr>
        <w:t>rs</w:t>
      </w:r>
      <w:proofErr w:type="spellEnd"/>
      <w:r>
        <w:rPr>
          <w:rFonts w:ascii="Arial" w:eastAsia="Arial" w:hAnsi="Arial" w:cs="Arial"/>
        </w:rPr>
        <w:t xml:space="preserve"> = .185, p = .002), and Overall Attitude (</w:t>
      </w:r>
      <w:proofErr w:type="spellStart"/>
      <w:r>
        <w:rPr>
          <w:rFonts w:ascii="Arial" w:eastAsia="Arial" w:hAnsi="Arial" w:cs="Arial"/>
        </w:rPr>
        <w:t>rs</w:t>
      </w:r>
      <w:proofErr w:type="spellEnd"/>
      <w:r>
        <w:rPr>
          <w:rFonts w:ascii="Arial" w:eastAsia="Arial" w:hAnsi="Arial" w:cs="Arial"/>
        </w:rPr>
        <w:t xml:space="preserve"> = .204, p = .001).</w:t>
      </w:r>
    </w:p>
    <w:p w14:paraId="78F3CD87" w14:textId="77777777" w:rsidR="00FD5E14" w:rsidRDefault="00FD5E14">
      <w:pPr>
        <w:jc w:val="both"/>
        <w:rPr>
          <w:rFonts w:ascii="Arial" w:eastAsia="Arial" w:hAnsi="Arial" w:cs="Arial"/>
        </w:rPr>
      </w:pPr>
    </w:p>
    <w:p w14:paraId="3C20A749" w14:textId="77777777" w:rsidR="00FD5E14" w:rsidRDefault="00AC120D">
      <w:pPr>
        <w:jc w:val="both"/>
        <w:rPr>
          <w:rFonts w:ascii="Arial" w:eastAsia="Arial" w:hAnsi="Arial" w:cs="Arial"/>
        </w:rPr>
      </w:pPr>
      <w:r>
        <w:rPr>
          <w:rFonts w:ascii="Arial" w:eastAsia="Arial" w:hAnsi="Arial" w:cs="Arial"/>
        </w:rPr>
        <w:t xml:space="preserve">Since all p-values in these cases were less </w:t>
      </w:r>
      <w:r>
        <w:rPr>
          <w:rFonts w:ascii="Arial" w:eastAsia="Arial" w:hAnsi="Arial" w:cs="Arial"/>
        </w:rPr>
        <w:t>than 0.05, the relationships were considered statistically significant. Additionally, all significant correlation coefficients were positive, indicating direct relationships, meaning that higher knowledge in these domains corresponds to more positive attit</w:t>
      </w:r>
      <w:r>
        <w:rPr>
          <w:rFonts w:ascii="Arial" w:eastAsia="Arial" w:hAnsi="Arial" w:cs="Arial"/>
        </w:rPr>
        <w:t>udes toward caring for patients with AD.</w:t>
      </w:r>
    </w:p>
    <w:p w14:paraId="4BBE5D15" w14:textId="77777777" w:rsidR="00FD5E14" w:rsidRDefault="00FD5E14">
      <w:pPr>
        <w:jc w:val="both"/>
        <w:rPr>
          <w:rFonts w:ascii="Arial" w:eastAsia="Arial" w:hAnsi="Arial" w:cs="Arial"/>
        </w:rPr>
      </w:pPr>
    </w:p>
    <w:p w14:paraId="6105C5FE" w14:textId="77777777" w:rsidR="00FD5E14" w:rsidRDefault="00AC120D">
      <w:pPr>
        <w:jc w:val="both"/>
        <w:rPr>
          <w:rFonts w:ascii="Arial" w:eastAsia="Arial" w:hAnsi="Arial" w:cs="Arial"/>
        </w:rPr>
      </w:pPr>
      <w:r>
        <w:rPr>
          <w:rFonts w:ascii="Arial" w:eastAsia="Arial" w:hAnsi="Arial" w:cs="Arial"/>
        </w:rPr>
        <w:t xml:space="preserve">In contrast, no statistically significant relationships were found in the domains of Risk Factors, Caregiving, Treatment and Management, and Overall Knowledge, as all p-values exceeded the 0.05 significance level. </w:t>
      </w:r>
      <w:r>
        <w:rPr>
          <w:rFonts w:ascii="Arial" w:eastAsia="Arial" w:hAnsi="Arial" w:cs="Arial"/>
        </w:rPr>
        <w:t>Similarly, Assessment and Diagnosis did not show significant relationships with Comfort and Overall Attitude, while Course of the Disease was not significantly associated with Attitude Toward Disease Process. Because these findings were not statistically s</w:t>
      </w:r>
      <w:r>
        <w:rPr>
          <w:rFonts w:ascii="Arial" w:eastAsia="Arial" w:hAnsi="Arial" w:cs="Arial"/>
        </w:rPr>
        <w:t>ignificant, the corresponding correlation coefficients were not interpreted.</w:t>
      </w:r>
    </w:p>
    <w:p w14:paraId="35899989" w14:textId="77777777" w:rsidR="00FD5E14" w:rsidRDefault="00FD5E14">
      <w:pPr>
        <w:jc w:val="both"/>
        <w:rPr>
          <w:rFonts w:ascii="Arial" w:eastAsia="Arial" w:hAnsi="Arial" w:cs="Arial"/>
        </w:rPr>
      </w:pPr>
    </w:p>
    <w:p w14:paraId="7AD3E4B3" w14:textId="77777777" w:rsidR="00FD5E14" w:rsidRDefault="00AC120D">
      <w:pPr>
        <w:jc w:val="both"/>
        <w:rPr>
          <w:rFonts w:ascii="Arial" w:eastAsia="Arial" w:hAnsi="Arial" w:cs="Arial"/>
        </w:rPr>
      </w:pPr>
      <w:r>
        <w:rPr>
          <w:rFonts w:ascii="Arial" w:eastAsia="Arial" w:hAnsi="Arial" w:cs="Arial"/>
        </w:rPr>
        <w:t>The strength of the statistically significant correlations was interpreted based on the classification proposed by James D. Evans (1996), where values of 0.00–0.19 indicate a ver</w:t>
      </w:r>
      <w:r>
        <w:rPr>
          <w:rFonts w:ascii="Arial" w:eastAsia="Arial" w:hAnsi="Arial" w:cs="Arial"/>
        </w:rPr>
        <w:t>y weak correlation, 0.20–0.39 a weak correlation, 0.40–0.59 a moderate correlation, 0.60–0.79 a strong correlation, and 0.80–1.00 a very strong correlation. In this study, the significant correlation coefficients ranged from 0.131 to 0.208. Values of 0.131</w:t>
      </w:r>
      <w:r>
        <w:rPr>
          <w:rFonts w:ascii="Arial" w:eastAsia="Arial" w:hAnsi="Arial" w:cs="Arial"/>
        </w:rPr>
        <w:t>, 0.139, 0.154, and 0.185 indicate very weak positive correlations, while 0.204 and 0.208 indicate weak positive correlations. These results suggest that as knowledge increases, attitudes toward caring for individuals with AD tend to improve slightly.</w:t>
      </w:r>
    </w:p>
    <w:p w14:paraId="2DF98F41" w14:textId="77777777" w:rsidR="00FD5E14" w:rsidRDefault="00FD5E14">
      <w:pPr>
        <w:jc w:val="both"/>
        <w:rPr>
          <w:rFonts w:ascii="Arial" w:eastAsia="Arial" w:hAnsi="Arial" w:cs="Arial"/>
        </w:rPr>
      </w:pPr>
    </w:p>
    <w:p w14:paraId="59F97D90" w14:textId="77777777" w:rsidR="00FD5E14" w:rsidRDefault="00AC120D">
      <w:pPr>
        <w:jc w:val="both"/>
        <w:rPr>
          <w:rFonts w:ascii="Arial" w:eastAsia="Arial" w:hAnsi="Arial" w:cs="Arial"/>
        </w:rPr>
      </w:pPr>
      <w:r>
        <w:rPr>
          <w:rFonts w:ascii="Arial" w:eastAsia="Arial" w:hAnsi="Arial" w:cs="Arial"/>
        </w:rPr>
        <w:t>The</w:t>
      </w:r>
      <w:r>
        <w:rPr>
          <w:rFonts w:ascii="Arial" w:eastAsia="Arial" w:hAnsi="Arial" w:cs="Arial"/>
        </w:rPr>
        <w:t>se findings are consistent with the results of a cross-sectional study among medical students in Palestine, which reported a weak but statistically significant positive correlation between scores on the ADKS and the DAS (Spearman’s rho = 0.227, p &lt; 0.001),</w:t>
      </w:r>
      <w:r>
        <w:rPr>
          <w:rFonts w:ascii="Arial" w:eastAsia="Arial" w:hAnsi="Arial" w:cs="Arial"/>
        </w:rPr>
        <w:t xml:space="preserve"> suggesting that increased knowledge may modestly enhance attitudes toward dementia care (Abuawad et al., 2024). Table 4 shows data.</w:t>
      </w:r>
    </w:p>
    <w:p w14:paraId="5352EC0E" w14:textId="77777777" w:rsidR="00FD5E14" w:rsidRDefault="00FD5E14">
      <w:pPr>
        <w:jc w:val="both"/>
        <w:rPr>
          <w:rFonts w:ascii="Arial" w:eastAsia="Arial" w:hAnsi="Arial" w:cs="Arial"/>
          <w:b/>
          <w:bCs/>
        </w:rPr>
      </w:pPr>
    </w:p>
    <w:p w14:paraId="2F36C0C2" w14:textId="77777777" w:rsidR="00FD5E14" w:rsidRDefault="00AC120D">
      <w:pPr>
        <w:jc w:val="both"/>
        <w:rPr>
          <w:rFonts w:ascii="Arial" w:eastAsia="Arial" w:hAnsi="Arial" w:cs="Arial"/>
          <w:b/>
          <w:bCs/>
        </w:rPr>
      </w:pPr>
      <w:r>
        <w:rPr>
          <w:rFonts w:ascii="Arial" w:eastAsia="Arial" w:hAnsi="Arial" w:cs="Arial"/>
          <w:b/>
          <w:bCs/>
        </w:rPr>
        <w:t>Table 4. Correlation between Respondents’ Knowledge and Attitude</w:t>
      </w:r>
    </w:p>
    <w:tbl>
      <w:tblPr>
        <w:tblStyle w:val="Style140"/>
        <w:tblW w:w="8640" w:type="dxa"/>
        <w:jc w:val="cente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420"/>
        <w:gridCol w:w="1968"/>
        <w:gridCol w:w="1897"/>
        <w:gridCol w:w="2355"/>
      </w:tblGrid>
      <w:tr w:rsidR="00FD5E14" w14:paraId="70324FEE" w14:textId="77777777">
        <w:trPr>
          <w:trHeight w:val="283"/>
          <w:jc w:val="center"/>
        </w:trPr>
        <w:tc>
          <w:tcPr>
            <w:tcW w:w="8640" w:type="dxa"/>
            <w:gridSpan w:val="4"/>
            <w:tcBorders>
              <w:top w:val="single" w:sz="8" w:space="0" w:color="000000"/>
              <w:left w:val="nil"/>
              <w:bottom w:val="single" w:sz="8" w:space="0" w:color="000000"/>
              <w:right w:val="nil"/>
            </w:tcBorders>
            <w:tcMar>
              <w:top w:w="0" w:type="dxa"/>
              <w:left w:w="100" w:type="dxa"/>
              <w:bottom w:w="0" w:type="dxa"/>
              <w:right w:w="100" w:type="dxa"/>
            </w:tcMar>
            <w:vAlign w:val="center"/>
          </w:tcPr>
          <w:p w14:paraId="628DACFD" w14:textId="77777777" w:rsidR="00FD5E14" w:rsidRDefault="00AC120D">
            <w:pPr>
              <w:widowControl w:val="0"/>
              <w:jc w:val="center"/>
              <w:rPr>
                <w:rFonts w:ascii="Garamond" w:hAnsi="Garamond" w:cs="Garamond"/>
              </w:rPr>
            </w:pPr>
            <w:r>
              <w:rPr>
                <w:rFonts w:ascii="Garamond" w:hAnsi="Garamond" w:cs="Garamond"/>
              </w:rPr>
              <w:t>Attitude</w:t>
            </w:r>
          </w:p>
        </w:tc>
      </w:tr>
      <w:tr w:rsidR="00FD5E14" w14:paraId="54130DF3" w14:textId="77777777">
        <w:trPr>
          <w:trHeight w:val="518"/>
          <w:jc w:val="center"/>
        </w:trPr>
        <w:tc>
          <w:tcPr>
            <w:tcW w:w="2420" w:type="dxa"/>
            <w:tcBorders>
              <w:top w:val="nil"/>
              <w:left w:val="nil"/>
              <w:bottom w:val="nil"/>
              <w:right w:val="nil"/>
            </w:tcBorders>
            <w:tcMar>
              <w:top w:w="0" w:type="dxa"/>
              <w:left w:w="100" w:type="dxa"/>
              <w:bottom w:w="0" w:type="dxa"/>
              <w:right w:w="100" w:type="dxa"/>
            </w:tcMar>
          </w:tcPr>
          <w:p w14:paraId="55315E7D" w14:textId="77777777" w:rsidR="00FD5E14" w:rsidRDefault="00AC120D">
            <w:pPr>
              <w:widowControl w:val="0"/>
              <w:rPr>
                <w:rFonts w:ascii="Garamond" w:hAnsi="Garamond" w:cs="Garamond"/>
              </w:rPr>
            </w:pPr>
            <w:r>
              <w:rPr>
                <w:rFonts w:ascii="Garamond" w:hAnsi="Garamond" w:cs="Garamond"/>
              </w:rPr>
              <w:t>Knowledge</w:t>
            </w:r>
          </w:p>
        </w:tc>
        <w:tc>
          <w:tcPr>
            <w:tcW w:w="1968" w:type="dxa"/>
            <w:tcBorders>
              <w:top w:val="nil"/>
              <w:left w:val="nil"/>
              <w:bottom w:val="nil"/>
              <w:right w:val="nil"/>
            </w:tcBorders>
            <w:tcMar>
              <w:top w:w="0" w:type="dxa"/>
              <w:left w:w="100" w:type="dxa"/>
              <w:bottom w:w="0" w:type="dxa"/>
              <w:right w:w="100" w:type="dxa"/>
            </w:tcMar>
          </w:tcPr>
          <w:p w14:paraId="6202B328" w14:textId="77777777" w:rsidR="00FD5E14" w:rsidRDefault="00AC120D">
            <w:pPr>
              <w:widowControl w:val="0"/>
              <w:jc w:val="center"/>
              <w:rPr>
                <w:rFonts w:ascii="Garamond" w:hAnsi="Garamond" w:cs="Garamond"/>
              </w:rPr>
            </w:pPr>
            <w:r>
              <w:rPr>
                <w:rFonts w:ascii="Garamond" w:hAnsi="Garamond" w:cs="Garamond"/>
              </w:rPr>
              <w:t>Comfort</w:t>
            </w:r>
          </w:p>
        </w:tc>
        <w:tc>
          <w:tcPr>
            <w:tcW w:w="1897" w:type="dxa"/>
            <w:tcBorders>
              <w:top w:val="nil"/>
              <w:left w:val="nil"/>
              <w:bottom w:val="nil"/>
              <w:right w:val="nil"/>
            </w:tcBorders>
            <w:tcMar>
              <w:top w:w="0" w:type="dxa"/>
              <w:left w:w="100" w:type="dxa"/>
              <w:bottom w:w="0" w:type="dxa"/>
              <w:right w:w="100" w:type="dxa"/>
            </w:tcMar>
          </w:tcPr>
          <w:p w14:paraId="1C9FE5E4" w14:textId="77777777" w:rsidR="00FD5E14" w:rsidRDefault="00AC120D">
            <w:pPr>
              <w:widowControl w:val="0"/>
              <w:jc w:val="center"/>
              <w:rPr>
                <w:rFonts w:ascii="Garamond" w:hAnsi="Garamond" w:cs="Garamond"/>
              </w:rPr>
            </w:pPr>
            <w:r>
              <w:rPr>
                <w:rFonts w:ascii="Garamond" w:hAnsi="Garamond" w:cs="Garamond"/>
              </w:rPr>
              <w:t xml:space="preserve">Attitude toward Disease </w:t>
            </w:r>
            <w:r>
              <w:rPr>
                <w:rFonts w:ascii="Garamond" w:hAnsi="Garamond" w:cs="Garamond"/>
              </w:rPr>
              <w:t>Process</w:t>
            </w:r>
          </w:p>
        </w:tc>
        <w:tc>
          <w:tcPr>
            <w:tcW w:w="2355" w:type="dxa"/>
            <w:tcBorders>
              <w:top w:val="nil"/>
              <w:left w:val="nil"/>
              <w:bottom w:val="nil"/>
              <w:right w:val="nil"/>
            </w:tcBorders>
            <w:tcMar>
              <w:top w:w="0" w:type="dxa"/>
              <w:left w:w="100" w:type="dxa"/>
              <w:bottom w:w="0" w:type="dxa"/>
              <w:right w:w="100" w:type="dxa"/>
            </w:tcMar>
          </w:tcPr>
          <w:p w14:paraId="3D4325EF" w14:textId="77777777" w:rsidR="00FD5E14" w:rsidRDefault="00AC120D">
            <w:pPr>
              <w:widowControl w:val="0"/>
              <w:jc w:val="center"/>
              <w:rPr>
                <w:rFonts w:ascii="Garamond" w:hAnsi="Garamond" w:cs="Garamond"/>
              </w:rPr>
            </w:pPr>
            <w:r>
              <w:rPr>
                <w:rFonts w:ascii="Garamond" w:hAnsi="Garamond" w:cs="Garamond"/>
                <w:b/>
                <w:bCs/>
              </w:rPr>
              <w:t>Overall Attitude</w:t>
            </w:r>
          </w:p>
        </w:tc>
      </w:tr>
      <w:tr w:rsidR="00FD5E14" w14:paraId="4E5C694A" w14:textId="77777777">
        <w:trPr>
          <w:trHeight w:val="398"/>
          <w:jc w:val="center"/>
        </w:trPr>
        <w:tc>
          <w:tcPr>
            <w:tcW w:w="2420" w:type="dxa"/>
            <w:tcBorders>
              <w:top w:val="nil"/>
              <w:left w:val="nil"/>
              <w:bottom w:val="nil"/>
              <w:right w:val="nil"/>
            </w:tcBorders>
            <w:tcMar>
              <w:top w:w="0" w:type="dxa"/>
              <w:left w:w="100" w:type="dxa"/>
              <w:bottom w:w="0" w:type="dxa"/>
              <w:right w:w="100" w:type="dxa"/>
            </w:tcMar>
          </w:tcPr>
          <w:p w14:paraId="7A0B1218" w14:textId="77777777" w:rsidR="00FD5E14" w:rsidRDefault="00AC120D">
            <w:pPr>
              <w:widowControl w:val="0"/>
              <w:rPr>
                <w:rFonts w:ascii="Garamond" w:hAnsi="Garamond" w:cs="Garamond"/>
              </w:rPr>
            </w:pPr>
            <w:r>
              <w:rPr>
                <w:rFonts w:ascii="Garamond" w:hAnsi="Garamond" w:cs="Garamond"/>
              </w:rPr>
              <w:lastRenderedPageBreak/>
              <w:t>Symptoms</w:t>
            </w:r>
          </w:p>
        </w:tc>
        <w:tc>
          <w:tcPr>
            <w:tcW w:w="1968" w:type="dxa"/>
            <w:tcBorders>
              <w:top w:val="nil"/>
              <w:left w:val="nil"/>
              <w:bottom w:val="nil"/>
              <w:right w:val="nil"/>
            </w:tcBorders>
            <w:tcMar>
              <w:top w:w="0" w:type="dxa"/>
              <w:left w:w="100" w:type="dxa"/>
              <w:bottom w:w="0" w:type="dxa"/>
              <w:right w:w="100" w:type="dxa"/>
            </w:tcMar>
          </w:tcPr>
          <w:p w14:paraId="15C2155D"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.208** (p =.</w:t>
            </w:r>
            <w:proofErr w:type="gramStart"/>
            <w:r>
              <w:rPr>
                <w:rFonts w:ascii="Garamond" w:hAnsi="Garamond" w:cs="Garamond"/>
              </w:rPr>
              <w:t>001 )</w:t>
            </w:r>
            <w:proofErr w:type="gramEnd"/>
          </w:p>
        </w:tc>
        <w:tc>
          <w:tcPr>
            <w:tcW w:w="1897" w:type="dxa"/>
            <w:tcBorders>
              <w:top w:val="nil"/>
              <w:left w:val="nil"/>
              <w:bottom w:val="nil"/>
              <w:right w:val="nil"/>
            </w:tcBorders>
            <w:tcMar>
              <w:top w:w="0" w:type="dxa"/>
              <w:left w:w="100" w:type="dxa"/>
              <w:bottom w:w="0" w:type="dxa"/>
              <w:right w:w="100" w:type="dxa"/>
            </w:tcMar>
          </w:tcPr>
          <w:p w14:paraId="51BA40F7"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.154* (p = .011)</w:t>
            </w:r>
          </w:p>
        </w:tc>
        <w:tc>
          <w:tcPr>
            <w:tcW w:w="2355" w:type="dxa"/>
            <w:tcBorders>
              <w:top w:val="nil"/>
              <w:left w:val="nil"/>
              <w:bottom w:val="nil"/>
              <w:right w:val="nil"/>
            </w:tcBorders>
            <w:tcMar>
              <w:top w:w="0" w:type="dxa"/>
              <w:left w:w="100" w:type="dxa"/>
              <w:bottom w:w="0" w:type="dxa"/>
              <w:right w:w="100" w:type="dxa"/>
            </w:tcMar>
          </w:tcPr>
          <w:p w14:paraId="715B15B3"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.208** (p = .001)</w:t>
            </w:r>
          </w:p>
        </w:tc>
      </w:tr>
      <w:tr w:rsidR="00FD5E14" w14:paraId="05B792A9" w14:textId="77777777">
        <w:trPr>
          <w:trHeight w:val="350"/>
          <w:jc w:val="center"/>
        </w:trPr>
        <w:tc>
          <w:tcPr>
            <w:tcW w:w="2420" w:type="dxa"/>
            <w:tcBorders>
              <w:top w:val="nil"/>
              <w:left w:val="nil"/>
              <w:bottom w:val="nil"/>
              <w:right w:val="nil"/>
            </w:tcBorders>
            <w:tcMar>
              <w:top w:w="0" w:type="dxa"/>
              <w:left w:w="100" w:type="dxa"/>
              <w:bottom w:w="0" w:type="dxa"/>
              <w:right w:w="100" w:type="dxa"/>
            </w:tcMar>
          </w:tcPr>
          <w:p w14:paraId="4A402010" w14:textId="77777777" w:rsidR="00FD5E14" w:rsidRDefault="00AC120D">
            <w:pPr>
              <w:widowControl w:val="0"/>
              <w:rPr>
                <w:rFonts w:ascii="Garamond" w:hAnsi="Garamond" w:cs="Garamond"/>
              </w:rPr>
            </w:pPr>
            <w:r>
              <w:rPr>
                <w:rFonts w:ascii="Garamond" w:hAnsi="Garamond" w:cs="Garamond"/>
              </w:rPr>
              <w:t>Risk Factors</w:t>
            </w:r>
          </w:p>
        </w:tc>
        <w:tc>
          <w:tcPr>
            <w:tcW w:w="1968" w:type="dxa"/>
            <w:tcBorders>
              <w:top w:val="nil"/>
              <w:left w:val="nil"/>
              <w:bottom w:val="nil"/>
              <w:right w:val="nil"/>
            </w:tcBorders>
            <w:tcMar>
              <w:top w:w="0" w:type="dxa"/>
              <w:left w:w="100" w:type="dxa"/>
              <w:bottom w:w="0" w:type="dxa"/>
              <w:right w:w="100" w:type="dxa"/>
            </w:tcMar>
          </w:tcPr>
          <w:p w14:paraId="191ADA09"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.079 (p = .</w:t>
            </w:r>
            <w:proofErr w:type="gramStart"/>
            <w:r>
              <w:rPr>
                <w:rFonts w:ascii="Garamond" w:hAnsi="Garamond" w:cs="Garamond"/>
              </w:rPr>
              <w:t>192 )</w:t>
            </w:r>
            <w:proofErr w:type="gramEnd"/>
          </w:p>
        </w:tc>
        <w:tc>
          <w:tcPr>
            <w:tcW w:w="1897" w:type="dxa"/>
            <w:tcBorders>
              <w:top w:val="nil"/>
              <w:left w:val="nil"/>
              <w:bottom w:val="nil"/>
              <w:right w:val="nil"/>
            </w:tcBorders>
            <w:tcMar>
              <w:top w:w="0" w:type="dxa"/>
              <w:left w:w="100" w:type="dxa"/>
              <w:bottom w:w="0" w:type="dxa"/>
              <w:right w:w="100" w:type="dxa"/>
            </w:tcMar>
          </w:tcPr>
          <w:p w14:paraId="362B450A"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.078 (p = .199)</w:t>
            </w:r>
          </w:p>
        </w:tc>
        <w:tc>
          <w:tcPr>
            <w:tcW w:w="2355" w:type="dxa"/>
            <w:tcBorders>
              <w:top w:val="nil"/>
              <w:left w:val="nil"/>
              <w:bottom w:val="nil"/>
              <w:right w:val="nil"/>
            </w:tcBorders>
            <w:tcMar>
              <w:top w:w="0" w:type="dxa"/>
              <w:left w:w="100" w:type="dxa"/>
              <w:bottom w:w="0" w:type="dxa"/>
              <w:right w:w="100" w:type="dxa"/>
            </w:tcMar>
          </w:tcPr>
          <w:p w14:paraId="35046C32"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.079 (p = .192)</w:t>
            </w:r>
          </w:p>
        </w:tc>
      </w:tr>
      <w:tr w:rsidR="00FD5E14" w14:paraId="29C46B82" w14:textId="77777777">
        <w:trPr>
          <w:trHeight w:val="370"/>
          <w:jc w:val="center"/>
        </w:trPr>
        <w:tc>
          <w:tcPr>
            <w:tcW w:w="2420" w:type="dxa"/>
            <w:tcBorders>
              <w:top w:val="nil"/>
              <w:left w:val="nil"/>
              <w:bottom w:val="nil"/>
              <w:right w:val="nil"/>
            </w:tcBorders>
            <w:tcMar>
              <w:top w:w="0" w:type="dxa"/>
              <w:left w:w="100" w:type="dxa"/>
              <w:bottom w:w="0" w:type="dxa"/>
              <w:right w:w="100" w:type="dxa"/>
            </w:tcMar>
          </w:tcPr>
          <w:p w14:paraId="6E81FE5C" w14:textId="77777777" w:rsidR="00FD5E14" w:rsidRDefault="00AC120D">
            <w:pPr>
              <w:widowControl w:val="0"/>
              <w:rPr>
                <w:rFonts w:ascii="Garamond" w:hAnsi="Garamond" w:cs="Garamond"/>
              </w:rPr>
            </w:pPr>
            <w:r>
              <w:rPr>
                <w:rFonts w:ascii="Garamond" w:hAnsi="Garamond" w:cs="Garamond"/>
              </w:rPr>
              <w:t>Assessment and Diagnosis</w:t>
            </w:r>
          </w:p>
        </w:tc>
        <w:tc>
          <w:tcPr>
            <w:tcW w:w="1968" w:type="dxa"/>
            <w:tcBorders>
              <w:top w:val="nil"/>
              <w:left w:val="nil"/>
              <w:bottom w:val="nil"/>
              <w:right w:val="nil"/>
            </w:tcBorders>
            <w:tcMar>
              <w:top w:w="0" w:type="dxa"/>
              <w:left w:w="100" w:type="dxa"/>
              <w:bottom w:w="0" w:type="dxa"/>
              <w:right w:w="100" w:type="dxa"/>
            </w:tcMar>
          </w:tcPr>
          <w:p w14:paraId="0C080CA1"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.113 (p = 0.62)</w:t>
            </w:r>
          </w:p>
        </w:tc>
        <w:tc>
          <w:tcPr>
            <w:tcW w:w="1897" w:type="dxa"/>
            <w:tcBorders>
              <w:top w:val="nil"/>
              <w:left w:val="nil"/>
              <w:bottom w:val="nil"/>
              <w:right w:val="nil"/>
            </w:tcBorders>
            <w:tcMar>
              <w:top w:w="0" w:type="dxa"/>
              <w:left w:w="100" w:type="dxa"/>
              <w:bottom w:w="0" w:type="dxa"/>
              <w:right w:w="100" w:type="dxa"/>
            </w:tcMar>
          </w:tcPr>
          <w:p w14:paraId="2BD9440C"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.131* (p = .030)</w:t>
            </w:r>
          </w:p>
        </w:tc>
        <w:tc>
          <w:tcPr>
            <w:tcW w:w="2355" w:type="dxa"/>
            <w:tcBorders>
              <w:top w:val="nil"/>
              <w:left w:val="nil"/>
              <w:bottom w:val="nil"/>
              <w:right w:val="nil"/>
            </w:tcBorders>
            <w:tcMar>
              <w:top w:w="0" w:type="dxa"/>
              <w:left w:w="100" w:type="dxa"/>
              <w:bottom w:w="0" w:type="dxa"/>
              <w:right w:w="100" w:type="dxa"/>
            </w:tcMar>
          </w:tcPr>
          <w:p w14:paraId="491445BE"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xml:space="preserve">= .113 (p = </w:t>
            </w:r>
            <w:r>
              <w:rPr>
                <w:rFonts w:ascii="Garamond" w:hAnsi="Garamond" w:cs="Garamond"/>
              </w:rPr>
              <w:t>.062)</w:t>
            </w:r>
          </w:p>
        </w:tc>
      </w:tr>
      <w:tr w:rsidR="00FD5E14" w14:paraId="05BDC6F4" w14:textId="77777777">
        <w:trPr>
          <w:trHeight w:val="356"/>
          <w:jc w:val="center"/>
        </w:trPr>
        <w:tc>
          <w:tcPr>
            <w:tcW w:w="2420" w:type="dxa"/>
            <w:tcBorders>
              <w:top w:val="nil"/>
              <w:left w:val="nil"/>
              <w:bottom w:val="nil"/>
              <w:right w:val="nil"/>
            </w:tcBorders>
            <w:tcMar>
              <w:top w:w="0" w:type="dxa"/>
              <w:left w:w="100" w:type="dxa"/>
              <w:bottom w:w="0" w:type="dxa"/>
              <w:right w:w="100" w:type="dxa"/>
            </w:tcMar>
          </w:tcPr>
          <w:p w14:paraId="6F5D19C3" w14:textId="77777777" w:rsidR="00FD5E14" w:rsidRDefault="00AC120D">
            <w:pPr>
              <w:widowControl w:val="0"/>
              <w:rPr>
                <w:rFonts w:ascii="Garamond" w:hAnsi="Garamond" w:cs="Garamond"/>
              </w:rPr>
            </w:pPr>
            <w:r>
              <w:rPr>
                <w:rFonts w:ascii="Garamond" w:hAnsi="Garamond" w:cs="Garamond"/>
              </w:rPr>
              <w:t>Course of the Disease</w:t>
            </w:r>
          </w:p>
        </w:tc>
        <w:tc>
          <w:tcPr>
            <w:tcW w:w="1968" w:type="dxa"/>
            <w:tcBorders>
              <w:top w:val="nil"/>
              <w:left w:val="nil"/>
              <w:bottom w:val="nil"/>
              <w:right w:val="nil"/>
            </w:tcBorders>
            <w:tcMar>
              <w:top w:w="0" w:type="dxa"/>
              <w:left w:w="100" w:type="dxa"/>
              <w:bottom w:w="0" w:type="dxa"/>
              <w:right w:w="100" w:type="dxa"/>
            </w:tcMar>
          </w:tcPr>
          <w:p w14:paraId="61B24F3D"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.139* (p = .021)</w:t>
            </w:r>
          </w:p>
        </w:tc>
        <w:tc>
          <w:tcPr>
            <w:tcW w:w="1897" w:type="dxa"/>
            <w:tcBorders>
              <w:top w:val="nil"/>
              <w:left w:val="nil"/>
              <w:bottom w:val="nil"/>
              <w:right w:val="nil"/>
            </w:tcBorders>
            <w:tcMar>
              <w:top w:w="0" w:type="dxa"/>
              <w:left w:w="100" w:type="dxa"/>
              <w:bottom w:w="0" w:type="dxa"/>
              <w:right w:w="100" w:type="dxa"/>
            </w:tcMar>
          </w:tcPr>
          <w:p w14:paraId="1096CBAD"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.114 (p = .058)</w:t>
            </w:r>
          </w:p>
        </w:tc>
        <w:tc>
          <w:tcPr>
            <w:tcW w:w="2355" w:type="dxa"/>
            <w:tcBorders>
              <w:top w:val="nil"/>
              <w:left w:val="nil"/>
              <w:bottom w:val="nil"/>
              <w:right w:val="nil"/>
            </w:tcBorders>
            <w:tcMar>
              <w:top w:w="0" w:type="dxa"/>
              <w:left w:w="100" w:type="dxa"/>
              <w:bottom w:w="0" w:type="dxa"/>
              <w:right w:w="100" w:type="dxa"/>
            </w:tcMar>
          </w:tcPr>
          <w:p w14:paraId="041070A3"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.139* (p = .021)</w:t>
            </w:r>
          </w:p>
        </w:tc>
      </w:tr>
      <w:tr w:rsidR="00FD5E14" w14:paraId="18B82B09" w14:textId="77777777">
        <w:trPr>
          <w:trHeight w:val="350"/>
          <w:jc w:val="center"/>
        </w:trPr>
        <w:tc>
          <w:tcPr>
            <w:tcW w:w="2420" w:type="dxa"/>
            <w:tcBorders>
              <w:top w:val="nil"/>
              <w:left w:val="nil"/>
              <w:bottom w:val="nil"/>
              <w:right w:val="nil"/>
            </w:tcBorders>
            <w:tcMar>
              <w:top w:w="0" w:type="dxa"/>
              <w:left w:w="100" w:type="dxa"/>
              <w:bottom w:w="0" w:type="dxa"/>
              <w:right w:w="100" w:type="dxa"/>
            </w:tcMar>
          </w:tcPr>
          <w:p w14:paraId="5C8638C9" w14:textId="77777777" w:rsidR="00FD5E14" w:rsidRDefault="00AC120D">
            <w:pPr>
              <w:widowControl w:val="0"/>
              <w:rPr>
                <w:rFonts w:ascii="Garamond" w:hAnsi="Garamond" w:cs="Garamond"/>
              </w:rPr>
            </w:pPr>
            <w:r>
              <w:rPr>
                <w:rFonts w:ascii="Garamond" w:hAnsi="Garamond" w:cs="Garamond"/>
              </w:rPr>
              <w:t>Life Impact</w:t>
            </w:r>
          </w:p>
        </w:tc>
        <w:tc>
          <w:tcPr>
            <w:tcW w:w="1968" w:type="dxa"/>
            <w:tcBorders>
              <w:top w:val="nil"/>
              <w:left w:val="nil"/>
              <w:bottom w:val="nil"/>
              <w:right w:val="nil"/>
            </w:tcBorders>
            <w:tcMar>
              <w:top w:w="0" w:type="dxa"/>
              <w:left w:w="100" w:type="dxa"/>
              <w:bottom w:w="0" w:type="dxa"/>
              <w:right w:w="100" w:type="dxa"/>
            </w:tcMar>
          </w:tcPr>
          <w:p w14:paraId="243D4F10"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.204** (p = .001)</w:t>
            </w:r>
          </w:p>
        </w:tc>
        <w:tc>
          <w:tcPr>
            <w:tcW w:w="1897" w:type="dxa"/>
            <w:tcBorders>
              <w:top w:val="nil"/>
              <w:left w:val="nil"/>
              <w:bottom w:val="nil"/>
              <w:right w:val="nil"/>
            </w:tcBorders>
            <w:tcMar>
              <w:top w:w="0" w:type="dxa"/>
              <w:left w:w="100" w:type="dxa"/>
              <w:bottom w:w="0" w:type="dxa"/>
              <w:right w:w="100" w:type="dxa"/>
            </w:tcMar>
          </w:tcPr>
          <w:p w14:paraId="5F0EDCB2"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.185** (p = .002)</w:t>
            </w:r>
          </w:p>
        </w:tc>
        <w:tc>
          <w:tcPr>
            <w:tcW w:w="2355" w:type="dxa"/>
            <w:tcBorders>
              <w:top w:val="nil"/>
              <w:left w:val="nil"/>
              <w:bottom w:val="nil"/>
              <w:right w:val="nil"/>
            </w:tcBorders>
            <w:tcMar>
              <w:top w:w="0" w:type="dxa"/>
              <w:left w:w="100" w:type="dxa"/>
              <w:bottom w:w="0" w:type="dxa"/>
              <w:right w:w="100" w:type="dxa"/>
            </w:tcMar>
          </w:tcPr>
          <w:p w14:paraId="5835883B"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.204** (p = .001)</w:t>
            </w:r>
          </w:p>
        </w:tc>
      </w:tr>
      <w:tr w:rsidR="00FD5E14" w14:paraId="492A674A" w14:textId="77777777">
        <w:trPr>
          <w:trHeight w:val="335"/>
          <w:jc w:val="center"/>
        </w:trPr>
        <w:tc>
          <w:tcPr>
            <w:tcW w:w="2420" w:type="dxa"/>
            <w:tcBorders>
              <w:top w:val="nil"/>
              <w:left w:val="nil"/>
              <w:bottom w:val="nil"/>
              <w:right w:val="nil"/>
            </w:tcBorders>
            <w:tcMar>
              <w:top w:w="0" w:type="dxa"/>
              <w:left w:w="100" w:type="dxa"/>
              <w:bottom w:w="0" w:type="dxa"/>
              <w:right w:w="100" w:type="dxa"/>
            </w:tcMar>
          </w:tcPr>
          <w:p w14:paraId="6C57A573" w14:textId="77777777" w:rsidR="00FD5E14" w:rsidRDefault="00AC120D">
            <w:pPr>
              <w:widowControl w:val="0"/>
              <w:rPr>
                <w:rFonts w:ascii="Garamond" w:hAnsi="Garamond" w:cs="Garamond"/>
              </w:rPr>
            </w:pPr>
            <w:r>
              <w:rPr>
                <w:rFonts w:ascii="Garamond" w:hAnsi="Garamond" w:cs="Garamond"/>
              </w:rPr>
              <w:t>Caregiving</w:t>
            </w:r>
          </w:p>
        </w:tc>
        <w:tc>
          <w:tcPr>
            <w:tcW w:w="1968" w:type="dxa"/>
            <w:tcBorders>
              <w:top w:val="nil"/>
              <w:left w:val="nil"/>
              <w:bottom w:val="nil"/>
              <w:right w:val="nil"/>
            </w:tcBorders>
            <w:tcMar>
              <w:top w:w="0" w:type="dxa"/>
              <w:left w:w="100" w:type="dxa"/>
              <w:bottom w:w="0" w:type="dxa"/>
              <w:right w:w="100" w:type="dxa"/>
            </w:tcMar>
          </w:tcPr>
          <w:p w14:paraId="79731AEB"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.065 (p = .281)</w:t>
            </w:r>
          </w:p>
        </w:tc>
        <w:tc>
          <w:tcPr>
            <w:tcW w:w="1897" w:type="dxa"/>
            <w:tcBorders>
              <w:top w:val="nil"/>
              <w:left w:val="nil"/>
              <w:bottom w:val="nil"/>
              <w:right w:val="nil"/>
            </w:tcBorders>
            <w:tcMar>
              <w:top w:w="0" w:type="dxa"/>
              <w:left w:w="100" w:type="dxa"/>
              <w:bottom w:w="0" w:type="dxa"/>
              <w:right w:w="100" w:type="dxa"/>
            </w:tcMar>
          </w:tcPr>
          <w:p w14:paraId="4FDCAA2C"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.027 (p = .</w:t>
            </w:r>
            <w:proofErr w:type="gramStart"/>
            <w:r>
              <w:rPr>
                <w:rFonts w:ascii="Garamond" w:hAnsi="Garamond" w:cs="Garamond"/>
              </w:rPr>
              <w:t>651 )</w:t>
            </w:r>
            <w:proofErr w:type="gramEnd"/>
          </w:p>
        </w:tc>
        <w:tc>
          <w:tcPr>
            <w:tcW w:w="2355" w:type="dxa"/>
            <w:tcBorders>
              <w:top w:val="nil"/>
              <w:left w:val="nil"/>
              <w:bottom w:val="nil"/>
              <w:right w:val="nil"/>
            </w:tcBorders>
            <w:tcMar>
              <w:top w:w="0" w:type="dxa"/>
              <w:left w:w="100" w:type="dxa"/>
              <w:bottom w:w="0" w:type="dxa"/>
              <w:right w:w="100" w:type="dxa"/>
            </w:tcMar>
          </w:tcPr>
          <w:p w14:paraId="5F793D1D"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.065 (p = .281)</w:t>
            </w:r>
          </w:p>
        </w:tc>
      </w:tr>
      <w:tr w:rsidR="00FD5E14" w14:paraId="27709B01" w14:textId="77777777">
        <w:trPr>
          <w:trHeight w:val="365"/>
          <w:jc w:val="center"/>
        </w:trPr>
        <w:tc>
          <w:tcPr>
            <w:tcW w:w="2420" w:type="dxa"/>
            <w:tcBorders>
              <w:top w:val="nil"/>
              <w:left w:val="nil"/>
              <w:bottom w:val="nil"/>
              <w:right w:val="nil"/>
            </w:tcBorders>
            <w:tcMar>
              <w:top w:w="0" w:type="dxa"/>
              <w:left w:w="100" w:type="dxa"/>
              <w:bottom w:w="0" w:type="dxa"/>
              <w:right w:w="100" w:type="dxa"/>
            </w:tcMar>
          </w:tcPr>
          <w:p w14:paraId="7AC94EFB" w14:textId="77777777" w:rsidR="00FD5E14" w:rsidRDefault="00AC120D">
            <w:pPr>
              <w:widowControl w:val="0"/>
              <w:rPr>
                <w:rFonts w:ascii="Garamond" w:hAnsi="Garamond" w:cs="Garamond"/>
              </w:rPr>
            </w:pPr>
            <w:r>
              <w:rPr>
                <w:rFonts w:ascii="Garamond" w:hAnsi="Garamond" w:cs="Garamond"/>
              </w:rPr>
              <w:t xml:space="preserve">Treatment </w:t>
            </w:r>
            <w:r>
              <w:rPr>
                <w:rFonts w:ascii="Garamond" w:hAnsi="Garamond" w:cs="Garamond"/>
              </w:rPr>
              <w:t>and Management</w:t>
            </w:r>
          </w:p>
        </w:tc>
        <w:tc>
          <w:tcPr>
            <w:tcW w:w="1968" w:type="dxa"/>
            <w:tcBorders>
              <w:top w:val="nil"/>
              <w:left w:val="nil"/>
              <w:bottom w:val="nil"/>
              <w:right w:val="nil"/>
            </w:tcBorders>
            <w:tcMar>
              <w:top w:w="0" w:type="dxa"/>
              <w:left w:w="100" w:type="dxa"/>
              <w:bottom w:w="0" w:type="dxa"/>
              <w:right w:w="100" w:type="dxa"/>
            </w:tcMar>
          </w:tcPr>
          <w:p w14:paraId="17E7EFDE"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.068 (p = .258)</w:t>
            </w:r>
          </w:p>
        </w:tc>
        <w:tc>
          <w:tcPr>
            <w:tcW w:w="1897" w:type="dxa"/>
            <w:tcBorders>
              <w:top w:val="nil"/>
              <w:left w:val="nil"/>
              <w:bottom w:val="nil"/>
              <w:right w:val="nil"/>
            </w:tcBorders>
            <w:tcMar>
              <w:top w:w="0" w:type="dxa"/>
              <w:left w:w="100" w:type="dxa"/>
              <w:bottom w:w="0" w:type="dxa"/>
              <w:right w:w="100" w:type="dxa"/>
            </w:tcMar>
          </w:tcPr>
          <w:p w14:paraId="37E9D4B7"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.077 (p = .205)</w:t>
            </w:r>
          </w:p>
        </w:tc>
        <w:tc>
          <w:tcPr>
            <w:tcW w:w="2355" w:type="dxa"/>
            <w:tcBorders>
              <w:top w:val="nil"/>
              <w:left w:val="nil"/>
              <w:bottom w:val="nil"/>
              <w:right w:val="nil"/>
            </w:tcBorders>
            <w:tcMar>
              <w:top w:w="0" w:type="dxa"/>
              <w:left w:w="100" w:type="dxa"/>
              <w:bottom w:w="0" w:type="dxa"/>
              <w:right w:w="100" w:type="dxa"/>
            </w:tcMar>
          </w:tcPr>
          <w:p w14:paraId="20924BBF"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.068 (p = .258)</w:t>
            </w:r>
          </w:p>
        </w:tc>
      </w:tr>
      <w:tr w:rsidR="00FD5E14" w14:paraId="4DA32D30" w14:textId="77777777">
        <w:trPr>
          <w:trHeight w:val="510"/>
          <w:jc w:val="center"/>
        </w:trPr>
        <w:tc>
          <w:tcPr>
            <w:tcW w:w="2420" w:type="dxa"/>
            <w:tcBorders>
              <w:top w:val="nil"/>
              <w:left w:val="nil"/>
              <w:bottom w:val="single" w:sz="8" w:space="0" w:color="000000"/>
              <w:right w:val="nil"/>
            </w:tcBorders>
            <w:tcMar>
              <w:top w:w="0" w:type="dxa"/>
              <w:left w:w="100" w:type="dxa"/>
              <w:bottom w:w="0" w:type="dxa"/>
              <w:right w:w="100" w:type="dxa"/>
            </w:tcMar>
            <w:vAlign w:val="center"/>
          </w:tcPr>
          <w:p w14:paraId="25F74D2E" w14:textId="77777777" w:rsidR="00FD5E14" w:rsidRDefault="00AC120D">
            <w:pPr>
              <w:widowControl w:val="0"/>
              <w:rPr>
                <w:rFonts w:ascii="Garamond" w:hAnsi="Garamond" w:cs="Garamond"/>
              </w:rPr>
            </w:pPr>
            <w:r>
              <w:rPr>
                <w:rFonts w:ascii="Garamond" w:hAnsi="Garamond" w:cs="Garamond"/>
                <w:b/>
                <w:bCs/>
              </w:rPr>
              <w:t>Overall Knowledge</w:t>
            </w:r>
          </w:p>
        </w:tc>
        <w:tc>
          <w:tcPr>
            <w:tcW w:w="1968" w:type="dxa"/>
            <w:tcBorders>
              <w:top w:val="nil"/>
              <w:left w:val="nil"/>
              <w:bottom w:val="single" w:sz="8" w:space="0" w:color="000000"/>
              <w:right w:val="nil"/>
            </w:tcBorders>
            <w:tcMar>
              <w:top w:w="0" w:type="dxa"/>
              <w:left w:w="100" w:type="dxa"/>
              <w:bottom w:w="0" w:type="dxa"/>
              <w:right w:w="100" w:type="dxa"/>
            </w:tcMar>
            <w:vAlign w:val="center"/>
          </w:tcPr>
          <w:p w14:paraId="1B58B30F"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.010 (p = .864)</w:t>
            </w:r>
          </w:p>
        </w:tc>
        <w:tc>
          <w:tcPr>
            <w:tcW w:w="1897" w:type="dxa"/>
            <w:tcBorders>
              <w:top w:val="nil"/>
              <w:left w:val="nil"/>
              <w:bottom w:val="single" w:sz="8" w:space="0" w:color="000000"/>
              <w:right w:val="nil"/>
            </w:tcBorders>
            <w:tcMar>
              <w:top w:w="0" w:type="dxa"/>
              <w:left w:w="100" w:type="dxa"/>
              <w:bottom w:w="0" w:type="dxa"/>
              <w:right w:w="100" w:type="dxa"/>
            </w:tcMar>
            <w:vAlign w:val="center"/>
          </w:tcPr>
          <w:p w14:paraId="34D9F5A8"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r>
              <w:rPr>
                <w:rFonts w:ascii="Garamond" w:hAnsi="Garamond" w:cs="Garamond"/>
              </w:rPr>
              <w:t>= .002 (p = .</w:t>
            </w:r>
            <w:proofErr w:type="gramStart"/>
            <w:r>
              <w:rPr>
                <w:rFonts w:ascii="Garamond" w:hAnsi="Garamond" w:cs="Garamond"/>
              </w:rPr>
              <w:t>970 )</w:t>
            </w:r>
            <w:proofErr w:type="gramEnd"/>
          </w:p>
        </w:tc>
        <w:tc>
          <w:tcPr>
            <w:tcW w:w="2355" w:type="dxa"/>
            <w:tcBorders>
              <w:top w:val="nil"/>
              <w:left w:val="nil"/>
              <w:bottom w:val="single" w:sz="8" w:space="0" w:color="000000"/>
              <w:right w:val="nil"/>
            </w:tcBorders>
            <w:tcMar>
              <w:top w:w="0" w:type="dxa"/>
              <w:left w:w="100" w:type="dxa"/>
              <w:bottom w:w="0" w:type="dxa"/>
              <w:right w:w="100" w:type="dxa"/>
            </w:tcMar>
            <w:vAlign w:val="center"/>
          </w:tcPr>
          <w:p w14:paraId="28B1F225" w14:textId="77777777" w:rsidR="00FD5E14" w:rsidRDefault="00AC120D">
            <w:pPr>
              <w:widowControl w:val="0"/>
              <w:rPr>
                <w:rFonts w:ascii="Garamond" w:hAnsi="Garamond" w:cs="Garamond"/>
              </w:rPr>
            </w:pPr>
            <w:proofErr w:type="spellStart"/>
            <w:r>
              <w:rPr>
                <w:rFonts w:ascii="Garamond" w:hAnsi="Garamond" w:cs="Garamond"/>
                <w:i/>
                <w:iCs/>
              </w:rPr>
              <w:t>r</w:t>
            </w:r>
            <w:r>
              <w:rPr>
                <w:rFonts w:ascii="Garamond" w:hAnsi="Garamond" w:cs="Garamond"/>
                <w:i/>
                <w:iCs/>
                <w:vertAlign w:val="subscript"/>
              </w:rPr>
              <w:t>s</w:t>
            </w:r>
            <w:proofErr w:type="spellEnd"/>
            <w:proofErr w:type="gramStart"/>
            <w:r>
              <w:rPr>
                <w:rFonts w:ascii="Garamond" w:hAnsi="Garamond" w:cs="Garamond"/>
              </w:rPr>
              <w:t>=  .</w:t>
            </w:r>
            <w:proofErr w:type="gramEnd"/>
            <w:r>
              <w:rPr>
                <w:rFonts w:ascii="Garamond" w:hAnsi="Garamond" w:cs="Garamond"/>
              </w:rPr>
              <w:t>010 (p = .864)</w:t>
            </w:r>
          </w:p>
        </w:tc>
      </w:tr>
    </w:tbl>
    <w:p w14:paraId="080969AD" w14:textId="77777777" w:rsidR="00FD5E14" w:rsidRDefault="00FD5E14">
      <w:pPr>
        <w:jc w:val="both"/>
        <w:rPr>
          <w:rFonts w:ascii="Arial" w:eastAsia="Arial" w:hAnsi="Arial" w:cs="Arial"/>
        </w:rPr>
      </w:pPr>
    </w:p>
    <w:p w14:paraId="6C27C027" w14:textId="77777777" w:rsidR="00FD5E14" w:rsidRDefault="00FD5E14">
      <w:pPr>
        <w:pStyle w:val="Body"/>
        <w:spacing w:after="0"/>
        <w:rPr>
          <w:rFonts w:ascii="Arial" w:hAnsi="Arial" w:cs="Arial"/>
        </w:rPr>
      </w:pPr>
    </w:p>
    <w:p w14:paraId="4C037BBF" w14:textId="77777777" w:rsidR="00FD5E14" w:rsidRDefault="00AC120D">
      <w:pPr>
        <w:pStyle w:val="ConcHead"/>
        <w:spacing w:after="0"/>
        <w:jc w:val="both"/>
        <w:rPr>
          <w:rFonts w:ascii="Arial" w:hAnsi="Arial" w:cs="Arial"/>
        </w:rPr>
      </w:pPr>
      <w:r>
        <w:rPr>
          <w:rFonts w:ascii="Arial" w:hAnsi="Arial" w:cs="Arial"/>
        </w:rPr>
        <w:t>4. Conclusion</w:t>
      </w:r>
    </w:p>
    <w:p w14:paraId="3CAF37A9" w14:textId="77777777" w:rsidR="00FD5E14" w:rsidRDefault="00AC120D">
      <w:pPr>
        <w:widowControl w:val="0"/>
        <w:spacing w:line="279" w:lineRule="auto"/>
        <w:jc w:val="both"/>
        <w:rPr>
          <w:rFonts w:ascii="Arial" w:hAnsi="Arial" w:cs="Arial"/>
          <w:b/>
          <w:bCs/>
        </w:rPr>
      </w:pPr>
      <w:r>
        <w:rPr>
          <w:rFonts w:ascii="Arial" w:hAnsi="Arial" w:cs="Arial"/>
        </w:rPr>
        <w:t xml:space="preserve">Based on the findings of the study, the overall results revealed that the </w:t>
      </w:r>
      <w:r>
        <w:rPr>
          <w:rFonts w:ascii="Arial" w:hAnsi="Arial" w:cs="Arial"/>
        </w:rPr>
        <w:t>respondents possessed a moderate level of knowledge regarding AD. In terms of specific knowledge subdomains, the respondents demonstrated the highest level of knowledge in treatment and management and course of the disease, indicating that they are relativ</w:t>
      </w:r>
      <w:r>
        <w:rPr>
          <w:rFonts w:ascii="Arial" w:hAnsi="Arial" w:cs="Arial"/>
        </w:rPr>
        <w:t>ely well-informed about the management of AD and the progression of the disease over time. However, the findings also revealed knowledge gaps in the caregiving domain, suggesting that nursing students still need further exposure and learning in practical c</w:t>
      </w:r>
      <w:r>
        <w:rPr>
          <w:rFonts w:ascii="Arial" w:hAnsi="Arial" w:cs="Arial"/>
        </w:rPr>
        <w:t>aregiving approaches for individuals with AD.</w:t>
      </w:r>
    </w:p>
    <w:p w14:paraId="28F7301A" w14:textId="77777777" w:rsidR="00FD5E14" w:rsidRDefault="00FD5E14">
      <w:pPr>
        <w:widowControl w:val="0"/>
        <w:spacing w:line="279" w:lineRule="auto"/>
        <w:jc w:val="both"/>
        <w:rPr>
          <w:rFonts w:ascii="Arial" w:hAnsi="Arial" w:cs="Arial"/>
        </w:rPr>
      </w:pPr>
    </w:p>
    <w:p w14:paraId="2DFD29E4" w14:textId="77777777" w:rsidR="00FD5E14" w:rsidRDefault="00AC120D">
      <w:pPr>
        <w:widowControl w:val="0"/>
        <w:spacing w:line="279" w:lineRule="auto"/>
        <w:jc w:val="both"/>
        <w:rPr>
          <w:rFonts w:ascii="Arial" w:hAnsi="Arial" w:cs="Arial"/>
          <w:b/>
          <w:bCs/>
        </w:rPr>
      </w:pPr>
      <w:r>
        <w:rPr>
          <w:rFonts w:ascii="Arial" w:hAnsi="Arial" w:cs="Arial"/>
        </w:rPr>
        <w:t>In terms of attitude, the results under the subdomains of comfort and attitude toward the disease process indicated that the respondents demonstrated a neutral attitude toward individuals with AD. This suggest</w:t>
      </w:r>
      <w:r>
        <w:rPr>
          <w:rFonts w:ascii="Arial" w:hAnsi="Arial" w:cs="Arial"/>
        </w:rPr>
        <w:t>s that while nursing students do not hold negative perceptions toward individuals with AD, they may still experience uncertainty, limited confidence, or insufficient emotional preparedness when interacting with individuals affected by the condition.</w:t>
      </w:r>
    </w:p>
    <w:p w14:paraId="643CDE80" w14:textId="77777777" w:rsidR="00FD5E14" w:rsidRDefault="00FD5E14">
      <w:pPr>
        <w:widowControl w:val="0"/>
        <w:spacing w:line="279" w:lineRule="auto"/>
        <w:jc w:val="both"/>
        <w:rPr>
          <w:rFonts w:ascii="Arial" w:hAnsi="Arial" w:cs="Arial"/>
        </w:rPr>
      </w:pPr>
    </w:p>
    <w:p w14:paraId="0E30CA11" w14:textId="77777777" w:rsidR="00FD5E14" w:rsidRDefault="00AC120D">
      <w:pPr>
        <w:widowControl w:val="0"/>
        <w:spacing w:line="279" w:lineRule="auto"/>
        <w:jc w:val="both"/>
        <w:rPr>
          <w:rFonts w:ascii="Arial" w:hAnsi="Arial" w:cs="Arial"/>
          <w:b/>
          <w:bCs/>
        </w:rPr>
      </w:pPr>
      <w:r>
        <w:rPr>
          <w:rFonts w:ascii="Arial" w:hAnsi="Arial" w:cs="Arial"/>
        </w:rPr>
        <w:t xml:space="preserve">The </w:t>
      </w:r>
      <w:r>
        <w:rPr>
          <w:rFonts w:ascii="Arial" w:hAnsi="Arial" w:cs="Arial"/>
        </w:rPr>
        <w:t>study found no statistically significant relationship between overall knowledge and overall attitude toward patients with AD. However, several knowledge subdomains demonstrated significant relationships with attitude variables. Specifically, knowledge of s</w:t>
      </w:r>
      <w:r>
        <w:rPr>
          <w:rFonts w:ascii="Arial" w:hAnsi="Arial" w:cs="Arial"/>
        </w:rPr>
        <w:t>ymptoms and life impact showed significant relationships with comfort, attitude toward the disease process, and overall dementia attitude. Similarly, knowledge in assessment and diagnosis demonstrated a significant relationship with attitude toward the dis</w:t>
      </w:r>
      <w:r>
        <w:rPr>
          <w:rFonts w:ascii="Arial" w:hAnsi="Arial" w:cs="Arial"/>
        </w:rPr>
        <w:t>ease process, while knowledge of the course of the disease showed significant relationships with comfort and overall attitude.</w:t>
      </w:r>
    </w:p>
    <w:p w14:paraId="00C4A16E" w14:textId="77777777" w:rsidR="00FD5E14" w:rsidRDefault="00FD5E14">
      <w:pPr>
        <w:widowControl w:val="0"/>
        <w:spacing w:line="279" w:lineRule="auto"/>
        <w:jc w:val="both"/>
        <w:rPr>
          <w:rFonts w:ascii="Arial" w:hAnsi="Arial" w:cs="Arial"/>
        </w:rPr>
      </w:pPr>
    </w:p>
    <w:p w14:paraId="1271B5BB" w14:textId="77777777" w:rsidR="00FD5E14" w:rsidRDefault="00AC120D">
      <w:pPr>
        <w:widowControl w:val="0"/>
        <w:spacing w:line="279" w:lineRule="auto"/>
        <w:jc w:val="both"/>
        <w:rPr>
          <w:rFonts w:ascii="Arial" w:hAnsi="Arial" w:cs="Arial"/>
          <w:b/>
          <w:bCs/>
        </w:rPr>
      </w:pPr>
      <w:r>
        <w:rPr>
          <w:rFonts w:ascii="Arial" w:hAnsi="Arial" w:cs="Arial"/>
        </w:rPr>
        <w:t>On the other hand, knowledge in risk factors, caregiving, and treatment and management did not show significant relationships wi</w:t>
      </w:r>
      <w:r>
        <w:rPr>
          <w:rFonts w:ascii="Arial" w:hAnsi="Arial" w:cs="Arial"/>
        </w:rPr>
        <w:t>th comfort, attitude toward disease process, or overall dementia attitude. These findings indicate that as nursing students’ knowledge in specific domains increases, their level of comfort and positive attitudes toward individuals with AD may also improve.</w:t>
      </w:r>
      <w:r>
        <w:rPr>
          <w:rFonts w:ascii="Arial" w:hAnsi="Arial" w:cs="Arial"/>
        </w:rPr>
        <w:t xml:space="preserve"> Therefore, strengthening targeted knowledge areas may contribute to developing more positive attitudes and better preparedness among nursing students in providing care for patients with AD.</w:t>
      </w:r>
    </w:p>
    <w:p w14:paraId="2F558653" w14:textId="77777777" w:rsidR="00FD5E14" w:rsidRDefault="00FD5E14">
      <w:pPr>
        <w:pStyle w:val="Body"/>
        <w:spacing w:after="0"/>
        <w:rPr>
          <w:rFonts w:ascii="Arial" w:hAnsi="Arial" w:cs="Arial"/>
        </w:rPr>
      </w:pPr>
    </w:p>
    <w:p w14:paraId="5B26C839" w14:textId="77777777" w:rsidR="00FD5E14" w:rsidRDefault="00FD5E14"/>
    <w:p w14:paraId="79DC2A4A" w14:textId="77777777" w:rsidR="00FD5E14" w:rsidRDefault="00FD5E14"/>
    <w:p w14:paraId="0E4F5531" w14:textId="77777777" w:rsidR="00FD5E14" w:rsidRDefault="00FD5E14"/>
    <w:p w14:paraId="1483F978" w14:textId="77777777" w:rsidR="00FD5E14" w:rsidRDefault="00FD5E14"/>
    <w:p w14:paraId="26061AB5" w14:textId="77777777" w:rsidR="00FD5E14" w:rsidRDefault="00FD5E14"/>
    <w:p w14:paraId="533B4860" w14:textId="77777777" w:rsidR="00FD5E14" w:rsidRDefault="00FD5E14"/>
    <w:p w14:paraId="245474AD" w14:textId="77777777" w:rsidR="00FD5E14" w:rsidRDefault="00FD5E14"/>
    <w:p w14:paraId="570CD69B" w14:textId="77777777" w:rsidR="00FD5E14" w:rsidRDefault="00AC120D">
      <w:pPr>
        <w:pStyle w:val="ReferHead"/>
        <w:spacing w:after="0"/>
        <w:jc w:val="both"/>
        <w:rPr>
          <w:rFonts w:ascii="Arial" w:hAnsi="Arial" w:cs="Arial"/>
          <w:bCs/>
        </w:rPr>
      </w:pPr>
      <w:r>
        <w:rPr>
          <w:rFonts w:ascii="Arial" w:hAnsi="Arial" w:cs="Arial"/>
          <w:bCs/>
        </w:rPr>
        <w:t>Competing interests</w:t>
      </w:r>
    </w:p>
    <w:p w14:paraId="2291D645" w14:textId="77777777" w:rsidR="00FD5E14" w:rsidRDefault="00FD5E14">
      <w:pPr>
        <w:pStyle w:val="ReferHead"/>
        <w:spacing w:after="0"/>
        <w:jc w:val="both"/>
        <w:rPr>
          <w:rFonts w:ascii="Arial" w:hAnsi="Arial" w:cs="Arial"/>
          <w:b w:val="0"/>
          <w:caps w:val="0"/>
          <w:sz w:val="20"/>
        </w:rPr>
      </w:pPr>
    </w:p>
    <w:p w14:paraId="4FD5E65D" w14:textId="77777777" w:rsidR="00FD5E14" w:rsidRDefault="00AC120D">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5BF35AB2" w14:textId="77777777" w:rsidR="00FD5E14" w:rsidRDefault="00FD5E14">
      <w:pPr>
        <w:pStyle w:val="ReferHead"/>
        <w:spacing w:after="0"/>
        <w:jc w:val="both"/>
        <w:rPr>
          <w:rFonts w:ascii="Arial" w:hAnsi="Arial" w:cs="Arial"/>
          <w:b w:val="0"/>
          <w:caps w:val="0"/>
          <w:sz w:val="20"/>
        </w:rPr>
      </w:pPr>
    </w:p>
    <w:p w14:paraId="791E4B4A" w14:textId="77777777" w:rsidR="00FD5E14" w:rsidRDefault="00AC120D">
      <w:pPr>
        <w:pStyle w:val="ReferHead"/>
        <w:spacing w:after="0"/>
        <w:jc w:val="both"/>
        <w:rPr>
          <w:rFonts w:ascii="Arial" w:hAnsi="Arial" w:cs="Arial"/>
          <w:bCs/>
        </w:rPr>
      </w:pPr>
      <w:bookmarkStart w:id="0" w:name="_GoBack"/>
      <w:bookmarkEnd w:id="0"/>
      <w:r>
        <w:rPr>
          <w:rFonts w:ascii="Arial" w:hAnsi="Arial" w:cs="Arial"/>
          <w:bCs/>
        </w:rPr>
        <w:t xml:space="preserve">Consent </w:t>
      </w:r>
    </w:p>
    <w:p w14:paraId="1A3B5D48" w14:textId="77777777" w:rsidR="00FD5E14" w:rsidRDefault="00FD5E14">
      <w:pPr>
        <w:pStyle w:val="ReferHead"/>
        <w:spacing w:after="0"/>
        <w:jc w:val="both"/>
        <w:rPr>
          <w:rFonts w:ascii="Arial" w:hAnsi="Arial" w:cs="Arial"/>
          <w:b w:val="0"/>
          <w:caps w:val="0"/>
          <w:sz w:val="20"/>
        </w:rPr>
      </w:pPr>
    </w:p>
    <w:p w14:paraId="72764F52" w14:textId="77777777" w:rsidR="00FD5E14" w:rsidRDefault="00AC120D">
      <w:pPr>
        <w:pStyle w:val="ReferHead"/>
        <w:spacing w:after="0"/>
        <w:jc w:val="both"/>
        <w:rPr>
          <w:rFonts w:ascii="Arial" w:hAnsi="Arial" w:cs="Arial"/>
          <w:b w:val="0"/>
          <w:caps w:val="0"/>
          <w:sz w:val="20"/>
        </w:rPr>
      </w:pPr>
      <w:r>
        <w:rPr>
          <w:rFonts w:ascii="Arial" w:hAnsi="Arial" w:cs="Arial"/>
          <w:b w:val="0"/>
          <w:caps w:val="0"/>
          <w:sz w:val="20"/>
        </w:rPr>
        <w:t>Participation was voluntary, and informed consent was obtained after explaining the study’s purpose, procedures, and participants’ right</w:t>
      </w:r>
      <w:r>
        <w:rPr>
          <w:rFonts w:ascii="Arial" w:hAnsi="Arial" w:cs="Arial"/>
          <w:b w:val="0"/>
          <w:caps w:val="0"/>
          <w:sz w:val="20"/>
        </w:rPr>
        <w:t>s, including the right to withdraw at any time.</w:t>
      </w:r>
    </w:p>
    <w:p w14:paraId="3FCDF786" w14:textId="77777777" w:rsidR="00FD5E14" w:rsidRDefault="00FD5E14">
      <w:pPr>
        <w:pStyle w:val="ReferHead"/>
        <w:spacing w:after="0"/>
        <w:jc w:val="both"/>
        <w:rPr>
          <w:rFonts w:ascii="Arial" w:hAnsi="Arial" w:cs="Arial"/>
          <w:b w:val="0"/>
          <w:caps w:val="0"/>
          <w:sz w:val="20"/>
        </w:rPr>
      </w:pPr>
    </w:p>
    <w:p w14:paraId="5B9D9789" w14:textId="77777777" w:rsidR="00FD5E14" w:rsidRDefault="00FD5E14">
      <w:pPr>
        <w:pStyle w:val="ReferHead"/>
        <w:spacing w:after="0"/>
        <w:jc w:val="both"/>
        <w:rPr>
          <w:rFonts w:ascii="Arial" w:hAnsi="Arial" w:cs="Arial"/>
          <w:b w:val="0"/>
          <w:caps w:val="0"/>
          <w:sz w:val="20"/>
        </w:rPr>
      </w:pPr>
    </w:p>
    <w:p w14:paraId="47CB4407" w14:textId="77777777" w:rsidR="00FD5E14" w:rsidRDefault="00AC120D">
      <w:pPr>
        <w:pStyle w:val="ReferHead"/>
        <w:spacing w:after="0"/>
        <w:jc w:val="both"/>
        <w:rPr>
          <w:rFonts w:ascii="Arial" w:hAnsi="Arial" w:cs="Arial"/>
          <w:bCs/>
        </w:rPr>
      </w:pPr>
      <w:r>
        <w:rPr>
          <w:rFonts w:ascii="Arial" w:hAnsi="Arial" w:cs="Arial"/>
          <w:bCs/>
        </w:rPr>
        <w:t xml:space="preserve">Ethical approval </w:t>
      </w:r>
    </w:p>
    <w:p w14:paraId="5BFD918A" w14:textId="77777777" w:rsidR="00FD5E14" w:rsidRDefault="00FD5E14">
      <w:pPr>
        <w:pStyle w:val="ReferHead"/>
        <w:spacing w:after="0"/>
        <w:jc w:val="both"/>
        <w:rPr>
          <w:rFonts w:ascii="Arial" w:hAnsi="Arial" w:cs="Arial"/>
          <w:bCs/>
        </w:rPr>
      </w:pPr>
    </w:p>
    <w:p w14:paraId="29C54289" w14:textId="77777777" w:rsidR="00FD5E14" w:rsidRDefault="00AC120D">
      <w:pPr>
        <w:pStyle w:val="ReferHead"/>
        <w:spacing w:after="0"/>
        <w:jc w:val="both"/>
        <w:rPr>
          <w:rFonts w:ascii="Arial" w:hAnsi="Arial" w:cs="Arial"/>
          <w:b w:val="0"/>
          <w:caps w:val="0"/>
          <w:sz w:val="20"/>
        </w:rPr>
      </w:pPr>
      <w:r>
        <w:rPr>
          <w:rFonts w:ascii="Arial" w:hAnsi="Arial" w:cs="Arial"/>
          <w:b w:val="0"/>
          <w:caps w:val="0"/>
          <w:sz w:val="20"/>
        </w:rPr>
        <w:t>The study was submitted to the Iloilo Doctors’ Institutional Research Ethics Committee (IDIREC) and was granted ethical clearance (IDIREC-2025.OL_235). The study strictly adhered to the e</w:t>
      </w:r>
      <w:r>
        <w:rPr>
          <w:rFonts w:ascii="Arial" w:hAnsi="Arial" w:cs="Arial"/>
          <w:b w:val="0"/>
          <w:caps w:val="0"/>
          <w:sz w:val="20"/>
        </w:rPr>
        <w:t>thical guidelines of IDIREC to uphold the rights, safety, and well-being of all selected participants.</w:t>
      </w:r>
    </w:p>
    <w:p w14:paraId="0F964EB9" w14:textId="77777777" w:rsidR="00FD5E14" w:rsidRDefault="00FD5E14">
      <w:pPr>
        <w:pStyle w:val="ReferHead"/>
        <w:spacing w:after="0"/>
        <w:jc w:val="both"/>
        <w:rPr>
          <w:rFonts w:ascii="Arial" w:hAnsi="Arial" w:cs="Arial"/>
          <w:b w:val="0"/>
          <w:caps w:val="0"/>
          <w:sz w:val="20"/>
        </w:rPr>
      </w:pPr>
    </w:p>
    <w:p w14:paraId="1456D797" w14:textId="77777777" w:rsidR="00FD5E14" w:rsidRDefault="00AC120D">
      <w:pPr>
        <w:pStyle w:val="ReferHead"/>
        <w:spacing w:after="0"/>
        <w:jc w:val="both"/>
        <w:rPr>
          <w:rFonts w:ascii="Arial" w:hAnsi="Arial" w:cs="Arial"/>
        </w:rPr>
      </w:pPr>
      <w:r>
        <w:rPr>
          <w:rFonts w:ascii="Arial" w:hAnsi="Arial" w:cs="Arial"/>
        </w:rPr>
        <w:t>References</w:t>
      </w:r>
    </w:p>
    <w:p w14:paraId="6299812A" w14:textId="77777777" w:rsidR="00FD5E14" w:rsidRDefault="00FD5E14">
      <w:pPr>
        <w:pStyle w:val="Body"/>
        <w:spacing w:after="0"/>
      </w:pPr>
    </w:p>
    <w:p w14:paraId="35FD02C6" w14:textId="77777777" w:rsidR="00FD5E14" w:rsidRDefault="00AC120D">
      <w:pPr>
        <w:widowControl w:val="0"/>
        <w:ind w:left="800" w:hangingChars="400" w:hanging="800"/>
        <w:rPr>
          <w:color w:val="006798"/>
          <w:highlight w:val="white"/>
          <w:u w:val="single"/>
        </w:rPr>
      </w:pPr>
      <w:r>
        <w:rPr>
          <w:highlight w:val="white"/>
        </w:rPr>
        <w:t xml:space="preserve">Abuawad, M., Rjoub, A., </w:t>
      </w:r>
      <w:proofErr w:type="spellStart"/>
      <w:r>
        <w:rPr>
          <w:highlight w:val="white"/>
        </w:rPr>
        <w:t>Dumaidi</w:t>
      </w:r>
      <w:proofErr w:type="spellEnd"/>
      <w:r>
        <w:rPr>
          <w:highlight w:val="white"/>
        </w:rPr>
        <w:t xml:space="preserve">, Y., </w:t>
      </w:r>
      <w:proofErr w:type="spellStart"/>
      <w:r>
        <w:rPr>
          <w:highlight w:val="white"/>
        </w:rPr>
        <w:t>Daraghma</w:t>
      </w:r>
      <w:proofErr w:type="spellEnd"/>
      <w:r>
        <w:rPr>
          <w:highlight w:val="white"/>
        </w:rPr>
        <w:t xml:space="preserve">, M., Ghanim, M., </w:t>
      </w:r>
      <w:proofErr w:type="spellStart"/>
      <w:r>
        <w:rPr>
          <w:highlight w:val="white"/>
        </w:rPr>
        <w:t>Rabayaa</w:t>
      </w:r>
      <w:proofErr w:type="spellEnd"/>
      <w:r>
        <w:rPr>
          <w:highlight w:val="white"/>
        </w:rPr>
        <w:t xml:space="preserve">, M., et al. (2024). Evaluation of knowledge and attitudes regarding Alzheimer’s disease and related dementia among medical students in Palestine: A cross-sectional study. </w:t>
      </w:r>
      <w:proofErr w:type="spellStart"/>
      <w:r>
        <w:rPr>
          <w:highlight w:val="white"/>
        </w:rPr>
        <w:t>PLoS</w:t>
      </w:r>
      <w:proofErr w:type="spellEnd"/>
      <w:r>
        <w:rPr>
          <w:highlight w:val="white"/>
        </w:rPr>
        <w:t xml:space="preserve"> ONE, 19(5), e0304012. </w:t>
      </w:r>
      <w:r>
        <w:rPr>
          <w:color w:val="006798"/>
          <w:highlight w:val="white"/>
          <w:u w:val="single"/>
        </w:rPr>
        <w:t>https://journals.plos.org/plosone/article?id=10.1371/jour</w:t>
      </w:r>
      <w:r>
        <w:rPr>
          <w:color w:val="006798"/>
          <w:highlight w:val="white"/>
          <w:u w:val="single"/>
        </w:rPr>
        <w:t xml:space="preserve">nal.pone.0304012 </w:t>
      </w:r>
    </w:p>
    <w:p w14:paraId="46602997" w14:textId="77777777" w:rsidR="00FD5E14" w:rsidRDefault="00AC120D">
      <w:pPr>
        <w:widowControl w:val="0"/>
        <w:ind w:left="800" w:hangingChars="400" w:hanging="800"/>
        <w:rPr>
          <w:color w:val="006798"/>
          <w:highlight w:val="white"/>
          <w:u w:val="single"/>
        </w:rPr>
      </w:pPr>
      <w:proofErr w:type="spellStart"/>
      <w:r>
        <w:rPr>
          <w:highlight w:val="white"/>
        </w:rPr>
        <w:t>Aljezawi</w:t>
      </w:r>
      <w:proofErr w:type="spellEnd"/>
      <w:r>
        <w:rPr>
          <w:highlight w:val="white"/>
        </w:rPr>
        <w:t xml:space="preserve">, M., Al Qadire, M., Suliman, M., Al Omari, O., &amp; Khalaf, A. (2022). Undergraduate nursing students’ knowledge of and attitudes toward people with Alzheimer’s disease. BMC Geriatrics, 22, 691. </w:t>
      </w:r>
      <w:r>
        <w:rPr>
          <w:color w:val="006798"/>
          <w:highlight w:val="white"/>
          <w:u w:val="single"/>
        </w:rPr>
        <w:t>https://doi.org/10.1186/s12877-022-03</w:t>
      </w:r>
      <w:r>
        <w:rPr>
          <w:color w:val="006798"/>
          <w:highlight w:val="white"/>
          <w:u w:val="single"/>
        </w:rPr>
        <w:t xml:space="preserve">389-6 </w:t>
      </w:r>
    </w:p>
    <w:p w14:paraId="72286084" w14:textId="77777777" w:rsidR="00FD5E14" w:rsidRDefault="00AC120D">
      <w:pPr>
        <w:widowControl w:val="0"/>
        <w:ind w:left="800" w:hangingChars="400" w:hanging="800"/>
        <w:rPr>
          <w:color w:val="006798"/>
          <w:highlight w:val="white"/>
          <w:u w:val="single"/>
        </w:rPr>
      </w:pPr>
      <w:r>
        <w:rPr>
          <w:highlight w:val="white"/>
        </w:rPr>
        <w:t xml:space="preserve">Alzahrani, M., Alghamdi, A., Alghamdi, S., &amp; Alotaibi, R. (2021). Knowledge and Attitude of Dentists Towards Obstructive Sleep Apnea. ResearchGate. </w:t>
      </w:r>
      <w:r>
        <w:rPr>
          <w:color w:val="006798"/>
          <w:highlight w:val="white"/>
          <w:u w:val="single"/>
        </w:rPr>
        <w:t>https://www.researchgate.net/publication/352795263_Knowledge_and_Attitude_of_Dentists_Towards_Obstruc</w:t>
      </w:r>
      <w:r>
        <w:rPr>
          <w:color w:val="006798"/>
          <w:highlight w:val="white"/>
          <w:u w:val="single"/>
        </w:rPr>
        <w:t>tive_Sleep_Apnea</w:t>
      </w:r>
    </w:p>
    <w:p w14:paraId="120B9FEB" w14:textId="77777777" w:rsidR="00FD5E14" w:rsidRDefault="00AC120D">
      <w:pPr>
        <w:widowControl w:val="0"/>
        <w:ind w:left="800" w:hangingChars="400" w:hanging="800"/>
        <w:rPr>
          <w:color w:val="006798"/>
          <w:highlight w:val="white"/>
          <w:u w:val="single"/>
        </w:rPr>
      </w:pPr>
      <w:r>
        <w:rPr>
          <w:highlight w:val="white"/>
        </w:rPr>
        <w:t xml:space="preserve">Bhandari, P. (2023). Correlational research / When &amp; how to use. </w:t>
      </w:r>
      <w:proofErr w:type="spellStart"/>
      <w:r>
        <w:rPr>
          <w:highlight w:val="white"/>
        </w:rPr>
        <w:t>Scribbr</w:t>
      </w:r>
      <w:proofErr w:type="spellEnd"/>
      <w:r>
        <w:rPr>
          <w:highlight w:val="white"/>
        </w:rPr>
        <w:t xml:space="preserve">. </w:t>
      </w:r>
      <w:r>
        <w:rPr>
          <w:color w:val="006798"/>
          <w:highlight w:val="white"/>
          <w:u w:val="single"/>
        </w:rPr>
        <w:t xml:space="preserve">https://www.scribbr.com/methodology/correlational-research/ </w:t>
      </w:r>
    </w:p>
    <w:p w14:paraId="6302A681" w14:textId="77777777" w:rsidR="00FD5E14" w:rsidRDefault="00AC120D">
      <w:pPr>
        <w:widowControl w:val="0"/>
        <w:ind w:left="800" w:hangingChars="400" w:hanging="800"/>
        <w:rPr>
          <w:color w:val="006798"/>
          <w:highlight w:val="white"/>
          <w:u w:val="single"/>
        </w:rPr>
      </w:pPr>
      <w:r>
        <w:rPr>
          <w:highlight w:val="white"/>
        </w:rPr>
        <w:t xml:space="preserve">Cleveland Clinic. (2025) Alzheimer’s disease. </w:t>
      </w:r>
      <w:r>
        <w:rPr>
          <w:color w:val="006798"/>
          <w:highlight w:val="white"/>
          <w:u w:val="single"/>
        </w:rPr>
        <w:t>https://my.clevelandclinic.org/health/diseases/9164-alzhei</w:t>
      </w:r>
      <w:r>
        <w:rPr>
          <w:color w:val="006798"/>
          <w:highlight w:val="white"/>
          <w:u w:val="single"/>
        </w:rPr>
        <w:t>mers-disease</w:t>
      </w:r>
    </w:p>
    <w:p w14:paraId="77BA7C2D" w14:textId="77777777" w:rsidR="00FD5E14" w:rsidRDefault="00AC120D">
      <w:pPr>
        <w:widowControl w:val="0"/>
        <w:ind w:left="800" w:hangingChars="400" w:hanging="800"/>
        <w:rPr>
          <w:color w:val="006798"/>
          <w:highlight w:val="white"/>
          <w:u w:val="single"/>
        </w:rPr>
      </w:pPr>
      <w:r>
        <w:rPr>
          <w:highlight w:val="white"/>
        </w:rPr>
        <w:t xml:space="preserve">Carpenter, B. D., Balsis, S., </w:t>
      </w:r>
      <w:proofErr w:type="spellStart"/>
      <w:r>
        <w:rPr>
          <w:highlight w:val="white"/>
        </w:rPr>
        <w:t>Otilingam</w:t>
      </w:r>
      <w:proofErr w:type="spellEnd"/>
      <w:r>
        <w:rPr>
          <w:highlight w:val="white"/>
        </w:rPr>
        <w:t xml:space="preserve">, P.G., Hanson, P.K., &amp; Gatz, M. (2009). The Alzheimer’s Disease Knowledge Scale: Development and Psychometric Properties. The Gerontologist, 49 (2), 236-247. </w:t>
      </w:r>
      <w:r>
        <w:rPr>
          <w:color w:val="006798"/>
          <w:highlight w:val="white"/>
          <w:u w:val="single"/>
        </w:rPr>
        <w:t xml:space="preserve">https://doi.org/10.1093/geront/gnp023 </w:t>
      </w:r>
    </w:p>
    <w:p w14:paraId="483AB7F8" w14:textId="77777777" w:rsidR="00FD5E14" w:rsidRDefault="00AC120D">
      <w:pPr>
        <w:widowControl w:val="0"/>
        <w:ind w:left="800" w:hangingChars="400" w:hanging="800"/>
        <w:rPr>
          <w:color w:val="006798"/>
          <w:highlight w:val="white"/>
          <w:u w:val="single"/>
        </w:rPr>
      </w:pPr>
      <w:r>
        <w:rPr>
          <w:highlight w:val="white"/>
        </w:rPr>
        <w:t>Faizi,</w:t>
      </w:r>
      <w:r>
        <w:rPr>
          <w:highlight w:val="white"/>
        </w:rPr>
        <w:t xml:space="preserve"> N., &amp; Alvi, Y. (2023). Biostatistics manual for health research: A practical guide to data analysis. Academic Press. </w:t>
      </w:r>
      <w:r>
        <w:rPr>
          <w:color w:val="006798"/>
          <w:highlight w:val="white"/>
          <w:u w:val="single"/>
        </w:rPr>
        <w:t xml:space="preserve">https://doi.org/10.1016/C2022-0-00374-3 </w:t>
      </w:r>
    </w:p>
    <w:p w14:paraId="0FB0750C" w14:textId="77777777" w:rsidR="00FD5E14" w:rsidRDefault="00AC120D">
      <w:pPr>
        <w:widowControl w:val="0"/>
        <w:ind w:left="800" w:hangingChars="400" w:hanging="800"/>
        <w:rPr>
          <w:color w:val="006798"/>
          <w:highlight w:val="white"/>
          <w:u w:val="single"/>
        </w:rPr>
      </w:pPr>
      <w:r>
        <w:rPr>
          <w:highlight w:val="white"/>
        </w:rPr>
        <w:t xml:space="preserve">McCombes, S. (2023). Descriptive research | Definition, types, methods examples. </w:t>
      </w:r>
      <w:proofErr w:type="spellStart"/>
      <w:r>
        <w:rPr>
          <w:highlight w:val="white"/>
        </w:rPr>
        <w:t>Scribbr</w:t>
      </w:r>
      <w:proofErr w:type="spellEnd"/>
      <w:r>
        <w:rPr>
          <w:highlight w:val="white"/>
        </w:rPr>
        <w:t xml:space="preserve">. </w:t>
      </w:r>
      <w:r>
        <w:rPr>
          <w:color w:val="006798"/>
          <w:highlight w:val="white"/>
          <w:u w:val="single"/>
        </w:rPr>
        <w:t xml:space="preserve">https://www.scribbr.com/methodology/descriptive-research/ </w:t>
      </w:r>
    </w:p>
    <w:p w14:paraId="7F86F990" w14:textId="77777777" w:rsidR="00FD5E14" w:rsidRDefault="00AC120D">
      <w:pPr>
        <w:widowControl w:val="0"/>
        <w:ind w:left="800" w:hangingChars="400" w:hanging="800"/>
        <w:rPr>
          <w:color w:val="006798"/>
          <w:highlight w:val="white"/>
          <w:u w:val="single"/>
        </w:rPr>
      </w:pPr>
      <w:r>
        <w:rPr>
          <w:highlight w:val="white"/>
        </w:rPr>
        <w:t xml:space="preserve">O’ Connor, M.L., &amp; McFadden, S. H. (2010). Development and Psychometric validation of the Dementia Attitude Scale. International Journal of Alzheimer’s Disease, 2010, 1-10. </w:t>
      </w:r>
      <w:r>
        <w:rPr>
          <w:color w:val="006798"/>
          <w:highlight w:val="white"/>
          <w:u w:val="single"/>
        </w:rPr>
        <w:t>https://doi.org/10.4061/</w:t>
      </w:r>
      <w:r>
        <w:rPr>
          <w:color w:val="006798"/>
          <w:highlight w:val="white"/>
          <w:u w:val="single"/>
        </w:rPr>
        <w:t xml:space="preserve">2010/454218 </w:t>
      </w:r>
    </w:p>
    <w:p w14:paraId="78210FF5" w14:textId="77777777" w:rsidR="00FD5E14" w:rsidRDefault="00AC120D">
      <w:pPr>
        <w:widowControl w:val="0"/>
        <w:ind w:left="800" w:hangingChars="400" w:hanging="800"/>
        <w:rPr>
          <w:color w:val="006798"/>
          <w:highlight w:val="white"/>
          <w:u w:val="single"/>
        </w:rPr>
      </w:pPr>
      <w:proofErr w:type="spellStart"/>
      <w:r>
        <w:rPr>
          <w:highlight w:val="white"/>
        </w:rPr>
        <w:lastRenderedPageBreak/>
        <w:t>Oladjide</w:t>
      </w:r>
      <w:proofErr w:type="spellEnd"/>
      <w:r>
        <w:rPr>
          <w:highlight w:val="white"/>
        </w:rPr>
        <w:t xml:space="preserve">, T., Ajao, F., Joshua, I., </w:t>
      </w:r>
      <w:proofErr w:type="spellStart"/>
      <w:r>
        <w:rPr>
          <w:highlight w:val="white"/>
        </w:rPr>
        <w:t>Oyedokun</w:t>
      </w:r>
      <w:proofErr w:type="spellEnd"/>
      <w:r>
        <w:rPr>
          <w:highlight w:val="white"/>
        </w:rPr>
        <w:t xml:space="preserve">, A, </w:t>
      </w:r>
      <w:proofErr w:type="spellStart"/>
      <w:r>
        <w:rPr>
          <w:highlight w:val="white"/>
        </w:rPr>
        <w:t>Odubiyi</w:t>
      </w:r>
      <w:proofErr w:type="spellEnd"/>
      <w:r>
        <w:rPr>
          <w:highlight w:val="white"/>
        </w:rPr>
        <w:t xml:space="preserve">, A., </w:t>
      </w:r>
      <w:proofErr w:type="spellStart"/>
      <w:r>
        <w:rPr>
          <w:highlight w:val="white"/>
        </w:rPr>
        <w:t>Aderwara</w:t>
      </w:r>
      <w:proofErr w:type="spellEnd"/>
      <w:r>
        <w:rPr>
          <w:highlight w:val="white"/>
        </w:rPr>
        <w:t xml:space="preserve">, O., Anele, F., </w:t>
      </w:r>
      <w:proofErr w:type="spellStart"/>
      <w:r>
        <w:rPr>
          <w:highlight w:val="white"/>
        </w:rPr>
        <w:t>Fatola</w:t>
      </w:r>
      <w:proofErr w:type="spellEnd"/>
      <w:r>
        <w:rPr>
          <w:highlight w:val="white"/>
        </w:rPr>
        <w:t xml:space="preserve">, A., Ayeni, S., </w:t>
      </w:r>
      <w:proofErr w:type="spellStart"/>
      <w:r>
        <w:rPr>
          <w:highlight w:val="white"/>
        </w:rPr>
        <w:t>Amakom</w:t>
      </w:r>
      <w:proofErr w:type="spellEnd"/>
      <w:r>
        <w:rPr>
          <w:highlight w:val="white"/>
        </w:rPr>
        <w:t xml:space="preserve">, N., </w:t>
      </w:r>
      <w:proofErr w:type="spellStart"/>
      <w:r>
        <w:rPr>
          <w:highlight w:val="white"/>
        </w:rPr>
        <w:t>Osakuade</w:t>
      </w:r>
      <w:proofErr w:type="spellEnd"/>
      <w:r>
        <w:rPr>
          <w:highlight w:val="white"/>
        </w:rPr>
        <w:t xml:space="preserve">, O., Adeyeye, O., Ezeh, C., Shittu G., </w:t>
      </w:r>
      <w:proofErr w:type="spellStart"/>
      <w:r>
        <w:rPr>
          <w:highlight w:val="white"/>
        </w:rPr>
        <w:t>Mafutau</w:t>
      </w:r>
      <w:proofErr w:type="spellEnd"/>
      <w:r>
        <w:rPr>
          <w:highlight w:val="white"/>
        </w:rPr>
        <w:t xml:space="preserve">, R., Atoyebi, S., </w:t>
      </w:r>
      <w:proofErr w:type="spellStart"/>
      <w:r>
        <w:rPr>
          <w:highlight w:val="white"/>
        </w:rPr>
        <w:t>Apata</w:t>
      </w:r>
      <w:proofErr w:type="spellEnd"/>
      <w:r>
        <w:rPr>
          <w:highlight w:val="white"/>
        </w:rPr>
        <w:t xml:space="preserve">, M, </w:t>
      </w:r>
      <w:proofErr w:type="spellStart"/>
      <w:r>
        <w:rPr>
          <w:highlight w:val="white"/>
        </w:rPr>
        <w:t>Obatowon</w:t>
      </w:r>
      <w:proofErr w:type="spellEnd"/>
      <w:r>
        <w:rPr>
          <w:highlight w:val="white"/>
        </w:rPr>
        <w:t>, S., Abdul, A., Adeyeye, j.,</w:t>
      </w:r>
      <w:r>
        <w:rPr>
          <w:highlight w:val="white"/>
        </w:rPr>
        <w:t xml:space="preserve"> &amp; </w:t>
      </w:r>
      <w:proofErr w:type="spellStart"/>
      <w:r>
        <w:rPr>
          <w:highlight w:val="white"/>
        </w:rPr>
        <w:t>Ojagbemi</w:t>
      </w:r>
      <w:proofErr w:type="spellEnd"/>
      <w:r>
        <w:rPr>
          <w:highlight w:val="white"/>
        </w:rPr>
        <w:t xml:space="preserve">, A. (2025). Knowledge and attitudes towards Alzheimer’s disease and study. BMC Medical Education, 25, Article 184. </w:t>
      </w:r>
      <w:r>
        <w:rPr>
          <w:color w:val="006798"/>
          <w:highlight w:val="white"/>
          <w:u w:val="single"/>
        </w:rPr>
        <w:t xml:space="preserve">https://doi.org/10.1186/s12909-025-06775-x </w:t>
      </w:r>
    </w:p>
    <w:p w14:paraId="276E1394" w14:textId="77777777" w:rsidR="00FD5E14" w:rsidRDefault="00AC120D">
      <w:pPr>
        <w:widowControl w:val="0"/>
        <w:ind w:left="800" w:hangingChars="400" w:hanging="800"/>
        <w:rPr>
          <w:color w:val="006798"/>
          <w:highlight w:val="white"/>
          <w:u w:val="single"/>
        </w:rPr>
      </w:pPr>
      <w:r>
        <w:rPr>
          <w:highlight w:val="white"/>
        </w:rPr>
        <w:t xml:space="preserve">Ozpulat, F., </w:t>
      </w:r>
      <w:proofErr w:type="spellStart"/>
      <w:r>
        <w:rPr>
          <w:highlight w:val="white"/>
        </w:rPr>
        <w:t>Oztas</w:t>
      </w:r>
      <w:proofErr w:type="spellEnd"/>
      <w:r>
        <w:rPr>
          <w:highlight w:val="white"/>
        </w:rPr>
        <w:t xml:space="preserve">, D., &amp; </w:t>
      </w:r>
      <w:proofErr w:type="spellStart"/>
      <w:r>
        <w:rPr>
          <w:highlight w:val="white"/>
        </w:rPr>
        <w:t>Urganci</w:t>
      </w:r>
      <w:proofErr w:type="spellEnd"/>
      <w:r>
        <w:rPr>
          <w:highlight w:val="white"/>
        </w:rPr>
        <w:t>, Y. (2023). Alzheimer’s knowledge of nurses and hea</w:t>
      </w:r>
      <w:r>
        <w:rPr>
          <w:highlight w:val="white"/>
        </w:rPr>
        <w:t xml:space="preserve">lthcare students. International Journal of Caring Sciences, 16 (2), 856-870. </w:t>
      </w:r>
      <w:r>
        <w:rPr>
          <w:color w:val="006798"/>
          <w:highlight w:val="white"/>
          <w:u w:val="single"/>
        </w:rPr>
        <w:t>https://internationaljournalofcaringsciences.org/docs/34.opulat.pdf?fbclid=IwY2xjawNPcNleHRuA2FlbQIxMQBzcnRjBmFwcF9pZAEwAAEeEVLkji3zkOiQJkGMk9_vzsrczrJ8TUIUP8QOejgpPdm6QJCliHP3Crp</w:t>
      </w:r>
      <w:r>
        <w:rPr>
          <w:color w:val="006798"/>
          <w:highlight w:val="white"/>
          <w:u w:val="single"/>
        </w:rPr>
        <w:t xml:space="preserve">aEt0_aem_FjHMMY4gN-EAipnbdoNgbw </w:t>
      </w:r>
    </w:p>
    <w:p w14:paraId="44F1EC0F" w14:textId="77777777" w:rsidR="00FD5E14" w:rsidRDefault="00AC120D">
      <w:pPr>
        <w:widowControl w:val="0"/>
        <w:ind w:left="800" w:hangingChars="400" w:hanging="800"/>
        <w:rPr>
          <w:color w:val="006798"/>
          <w:highlight w:val="white"/>
          <w:u w:val="single"/>
        </w:rPr>
      </w:pPr>
      <w:r>
        <w:rPr>
          <w:highlight w:val="white"/>
        </w:rPr>
        <w:t xml:space="preserve">Samir, A. A., </w:t>
      </w:r>
      <w:proofErr w:type="spellStart"/>
      <w:r>
        <w:rPr>
          <w:highlight w:val="white"/>
        </w:rPr>
        <w:t>Hageen</w:t>
      </w:r>
      <w:proofErr w:type="spellEnd"/>
      <w:r>
        <w:rPr>
          <w:highlight w:val="white"/>
        </w:rPr>
        <w:t xml:space="preserve">, A. W., </w:t>
      </w:r>
      <w:proofErr w:type="spellStart"/>
      <w:r>
        <w:rPr>
          <w:highlight w:val="white"/>
        </w:rPr>
        <w:t>Elbarbary</w:t>
      </w:r>
      <w:proofErr w:type="spellEnd"/>
      <w:r>
        <w:rPr>
          <w:highlight w:val="white"/>
        </w:rPr>
        <w:t xml:space="preserve">, K., Elamir, A. H., Abdel-Fattah, M. A., </w:t>
      </w:r>
      <w:proofErr w:type="spellStart"/>
      <w:r>
        <w:rPr>
          <w:highlight w:val="white"/>
        </w:rPr>
        <w:t>Alameldin</w:t>
      </w:r>
      <w:proofErr w:type="spellEnd"/>
      <w:r>
        <w:rPr>
          <w:highlight w:val="white"/>
        </w:rPr>
        <w:t xml:space="preserve">, M. M., Al-Qahtani, F. S., Egypt, O. B. O. T. a. G. O., Elsharkawy, S., Mohamed, M. F., Flifel, E. A., Ehab, A., </w:t>
      </w:r>
      <w:proofErr w:type="spellStart"/>
      <w:r>
        <w:rPr>
          <w:highlight w:val="white"/>
        </w:rPr>
        <w:t>Mousalawi</w:t>
      </w:r>
      <w:proofErr w:type="spellEnd"/>
      <w:r>
        <w:rPr>
          <w:highlight w:val="white"/>
        </w:rPr>
        <w:t xml:space="preserve">, H., </w:t>
      </w:r>
      <w:proofErr w:type="spellStart"/>
      <w:r>
        <w:rPr>
          <w:highlight w:val="white"/>
        </w:rPr>
        <w:t>Aliba</w:t>
      </w:r>
      <w:r>
        <w:rPr>
          <w:highlight w:val="white"/>
        </w:rPr>
        <w:t>shir</w:t>
      </w:r>
      <w:proofErr w:type="spellEnd"/>
      <w:r>
        <w:rPr>
          <w:highlight w:val="white"/>
        </w:rPr>
        <w:t xml:space="preserve">, S., </w:t>
      </w:r>
      <w:proofErr w:type="spellStart"/>
      <w:r>
        <w:rPr>
          <w:highlight w:val="white"/>
        </w:rPr>
        <w:t>Attef</w:t>
      </w:r>
      <w:proofErr w:type="spellEnd"/>
      <w:r>
        <w:rPr>
          <w:highlight w:val="white"/>
        </w:rPr>
        <w:t xml:space="preserve">, A., Abdellatif, M. S., </w:t>
      </w:r>
      <w:proofErr w:type="spellStart"/>
      <w:r>
        <w:rPr>
          <w:highlight w:val="white"/>
        </w:rPr>
        <w:t>Mousalawi</w:t>
      </w:r>
      <w:proofErr w:type="spellEnd"/>
      <w:r>
        <w:rPr>
          <w:highlight w:val="white"/>
        </w:rPr>
        <w:t xml:space="preserve">, I., </w:t>
      </w:r>
      <w:proofErr w:type="spellStart"/>
      <w:r>
        <w:rPr>
          <w:highlight w:val="white"/>
        </w:rPr>
        <w:t>Hemida</w:t>
      </w:r>
      <w:proofErr w:type="spellEnd"/>
      <w:r>
        <w:rPr>
          <w:highlight w:val="white"/>
        </w:rPr>
        <w:t xml:space="preserve">, M. F., Selim, A. A., </w:t>
      </w:r>
      <w:proofErr w:type="spellStart"/>
      <w:r>
        <w:rPr>
          <w:highlight w:val="white"/>
        </w:rPr>
        <w:t>Ghazy</w:t>
      </w:r>
      <w:proofErr w:type="spellEnd"/>
      <w:r>
        <w:rPr>
          <w:highlight w:val="white"/>
        </w:rPr>
        <w:t>, R. M. (2025). Assessing Alzheimer’s disease knowledge among Egyptian medical students in the context of recent educational reforms. BMC Medical Education, 25(1), 654</w:t>
      </w:r>
      <w:r>
        <w:rPr>
          <w:highlight w:val="white"/>
        </w:rPr>
        <w:t xml:space="preserve">. </w:t>
      </w:r>
      <w:r>
        <w:rPr>
          <w:color w:val="006798"/>
          <w:highlight w:val="white"/>
          <w:u w:val="single"/>
        </w:rPr>
        <w:t xml:space="preserve">https://doi.org/10.1186/s12909-025-07258-9 </w:t>
      </w:r>
    </w:p>
    <w:p w14:paraId="0FF9C661" w14:textId="77777777" w:rsidR="00FD5E14" w:rsidRDefault="00AC120D">
      <w:pPr>
        <w:widowControl w:val="0"/>
        <w:ind w:left="800" w:hangingChars="400" w:hanging="800"/>
        <w:rPr>
          <w:color w:val="006798"/>
          <w:highlight w:val="white"/>
          <w:u w:val="single"/>
        </w:rPr>
      </w:pPr>
      <w:r>
        <w:rPr>
          <w:highlight w:val="white"/>
        </w:rPr>
        <w:t>Tan, R. U., &amp; Orteza, G. O. (2024). Knowledge and attitude of Filipino caregivers of patients with dementia admitted for other health issues in a tertiary hospital of Manila: A descriptive cross-sectional study</w:t>
      </w:r>
      <w:r>
        <w:rPr>
          <w:highlight w:val="white"/>
        </w:rPr>
        <w:t xml:space="preserve">. Acta Medica Philippina, 58 (3). </w:t>
      </w:r>
      <w:r>
        <w:rPr>
          <w:color w:val="006798"/>
          <w:highlight w:val="white"/>
          <w:u w:val="single"/>
        </w:rPr>
        <w:t>https://doi.org/10.47895/amp.vi0.8938</w:t>
      </w:r>
    </w:p>
    <w:p w14:paraId="7C3C434A" w14:textId="77777777" w:rsidR="00FD5E14" w:rsidRDefault="00FD5E14">
      <w:pPr>
        <w:widowControl w:val="0"/>
        <w:ind w:left="800" w:hangingChars="400" w:hanging="800"/>
        <w:rPr>
          <w:color w:val="006798"/>
          <w:highlight w:val="white"/>
          <w:u w:val="single"/>
        </w:rPr>
        <w:sectPr w:rsidR="00FD5E14" w:rsidSect="0047344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EEE55BC" w14:textId="77777777" w:rsidR="00FD5E14" w:rsidRDefault="00FD5E14">
      <w:pPr>
        <w:pStyle w:val="Appendix"/>
        <w:spacing w:after="0"/>
        <w:jc w:val="both"/>
        <w:rPr>
          <w:rFonts w:ascii="Arial" w:hAnsi="Arial" w:cs="Arial"/>
          <w:b w:val="0"/>
        </w:rPr>
      </w:pPr>
    </w:p>
    <w:sectPr w:rsidR="00FD5E14" w:rsidSect="0047344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D9AAB" w14:textId="77777777" w:rsidR="00AC120D" w:rsidRDefault="00AC120D">
      <w:r>
        <w:separator/>
      </w:r>
    </w:p>
  </w:endnote>
  <w:endnote w:type="continuationSeparator" w:id="0">
    <w:p w14:paraId="793CFEDE" w14:textId="77777777" w:rsidR="00AC120D" w:rsidRDefault="00AC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default"/>
    <w:sig w:usb0="00000000" w:usb1="00000000"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AB89" w14:textId="77777777" w:rsidR="008F2A9B" w:rsidRDefault="008F2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0FB9" w14:textId="3EF4B91C" w:rsidR="00FD5E14" w:rsidRPr="005D00BD" w:rsidRDefault="00AC120D" w:rsidP="005D00BD">
    <w:pPr>
      <w:pStyle w:val="Footer"/>
    </w:pPr>
    <w:r w:rsidRPr="005D00B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F6A7" w14:textId="51563E62" w:rsidR="00FD5E14" w:rsidRPr="008F2A9B" w:rsidRDefault="00FD5E14" w:rsidP="008F2A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3917E" w14:textId="77777777" w:rsidR="00FD5E14" w:rsidRDefault="00FD5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28B2" w14:textId="77777777" w:rsidR="00AC120D" w:rsidRDefault="00AC120D">
      <w:r>
        <w:separator/>
      </w:r>
    </w:p>
  </w:footnote>
  <w:footnote w:type="continuationSeparator" w:id="0">
    <w:p w14:paraId="5546F1DF" w14:textId="77777777" w:rsidR="00AC120D" w:rsidRDefault="00AC1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05FE" w14:textId="23C73EA1" w:rsidR="008F2A9B" w:rsidRDefault="008F2A9B">
    <w:pPr>
      <w:pStyle w:val="Header"/>
    </w:pPr>
    <w:r>
      <w:rPr>
        <w:noProof/>
      </w:rPr>
      <w:pict w14:anchorId="10B25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948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6AD61" w14:textId="0B782DD5" w:rsidR="008F2A9B" w:rsidRDefault="008F2A9B">
    <w:pPr>
      <w:pStyle w:val="Header"/>
    </w:pPr>
    <w:r>
      <w:rPr>
        <w:noProof/>
      </w:rPr>
      <w:pict w14:anchorId="28923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948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7658D" w14:textId="5F7CA80C" w:rsidR="00FD5E14" w:rsidRDefault="008F2A9B">
    <w:pPr>
      <w:ind w:left="2160"/>
      <w:jc w:val="center"/>
      <w:rPr>
        <w:rFonts w:ascii="Times New Roman" w:eastAsia="Calibri" w:hAnsi="Times New Roman"/>
        <w:i/>
        <w:sz w:val="18"/>
        <w:szCs w:val="22"/>
      </w:rPr>
    </w:pPr>
    <w:r>
      <w:rPr>
        <w:noProof/>
      </w:rPr>
      <w:pict w14:anchorId="154A5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948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4F96B5" w14:textId="77777777" w:rsidR="00FD5E14" w:rsidRDefault="00AC120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0557858" w14:textId="77777777" w:rsidR="00FD5E14" w:rsidRDefault="00AC120D">
    <w:pPr>
      <w:jc w:val="center"/>
      <w:rPr>
        <w:rFonts w:ascii="Times New Roman" w:eastAsia="Calibri" w:hAnsi="Times New Roman"/>
        <w:i/>
        <w:sz w:val="18"/>
        <w:szCs w:val="22"/>
      </w:rPr>
    </w:pPr>
    <w:r>
      <w:rPr>
        <w:rFonts w:ascii="Times New Roman" w:eastAsia="Calibri" w:hAnsi="Times New Roman"/>
        <w:i/>
        <w:sz w:val="18"/>
        <w:szCs w:val="22"/>
      </w:rPr>
      <w:t>.</w:t>
    </w:r>
  </w:p>
  <w:p w14:paraId="59F69299" w14:textId="77777777" w:rsidR="00FD5E14" w:rsidRDefault="00AC120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362CE1F" w14:textId="77777777" w:rsidR="00FD5E14" w:rsidRDefault="00AC120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08A7398" w14:textId="77777777" w:rsidR="00FD5E14" w:rsidRDefault="00AC120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81837B" w14:textId="77777777" w:rsidR="00FD5E14" w:rsidRDefault="00AC120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F0F1" w14:textId="31705698" w:rsidR="008F2A9B" w:rsidRDefault="008F2A9B">
    <w:pPr>
      <w:pStyle w:val="Header"/>
    </w:pPr>
    <w:r>
      <w:rPr>
        <w:noProof/>
      </w:rPr>
      <w:pict w14:anchorId="265F4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948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A83E" w14:textId="72228650" w:rsidR="008F2A9B" w:rsidRDefault="008F2A9B">
    <w:pPr>
      <w:pStyle w:val="Header"/>
    </w:pPr>
    <w:r>
      <w:rPr>
        <w:noProof/>
      </w:rPr>
      <w:pict w14:anchorId="13DB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948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85A8" w14:textId="5F6B4B27" w:rsidR="008F2A9B" w:rsidRDefault="008F2A9B">
    <w:pPr>
      <w:pStyle w:val="Header"/>
    </w:pPr>
    <w:r>
      <w:rPr>
        <w:noProof/>
      </w:rPr>
      <w:pict w14:anchorId="0C6D7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948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B791CF"/>
    <w:multiLevelType w:val="singleLevel"/>
    <w:tmpl w:val="F6B791CF"/>
    <w:lvl w:ilvl="0">
      <w:start w:val="2"/>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60AA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0AFC"/>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344C"/>
    <w:rsid w:val="004C1DD7"/>
    <w:rsid w:val="004D305E"/>
    <w:rsid w:val="004D4277"/>
    <w:rsid w:val="00502516"/>
    <w:rsid w:val="00505F06"/>
    <w:rsid w:val="00506828"/>
    <w:rsid w:val="0053056E"/>
    <w:rsid w:val="00554FDA"/>
    <w:rsid w:val="005C784C"/>
    <w:rsid w:val="005D00BD"/>
    <w:rsid w:val="005D17F6"/>
    <w:rsid w:val="005E5539"/>
    <w:rsid w:val="00602BF5"/>
    <w:rsid w:val="00617FDD"/>
    <w:rsid w:val="00633614"/>
    <w:rsid w:val="00633F68"/>
    <w:rsid w:val="00636EB2"/>
    <w:rsid w:val="006375B8"/>
    <w:rsid w:val="0066510A"/>
    <w:rsid w:val="00673F9F"/>
    <w:rsid w:val="00683B8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2A9B"/>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120D"/>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3B31"/>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7F06"/>
    <w:rsid w:val="00E66496"/>
    <w:rsid w:val="00E66B35"/>
    <w:rsid w:val="00E66E10"/>
    <w:rsid w:val="00E769F6"/>
    <w:rsid w:val="00E8407C"/>
    <w:rsid w:val="00E84F3C"/>
    <w:rsid w:val="00EA012C"/>
    <w:rsid w:val="00EC6A55"/>
    <w:rsid w:val="00ED0288"/>
    <w:rsid w:val="00EE52CB"/>
    <w:rsid w:val="00EF581D"/>
    <w:rsid w:val="00EF7FD8"/>
    <w:rsid w:val="00F03B07"/>
    <w:rsid w:val="00F06F59"/>
    <w:rsid w:val="00F17988"/>
    <w:rsid w:val="00F469F0"/>
    <w:rsid w:val="00F53273"/>
    <w:rsid w:val="00F755E4"/>
    <w:rsid w:val="00F77D02"/>
    <w:rsid w:val="00FB3A86"/>
    <w:rsid w:val="00FD36C8"/>
    <w:rsid w:val="00FD5E14"/>
    <w:rsid w:val="108F4CEC"/>
    <w:rsid w:val="3A3D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00BC912"/>
  <w15:docId w15:val="{C0E17F7A-C8C0-4C25-A7B1-D51F11CC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0">
    <w:name w:val="_Style 10"/>
    <w:basedOn w:val="TableNormal0"/>
    <w:qFormat/>
    <w:tblPr>
      <w:tblCellMar>
        <w:top w:w="0" w:type="dxa"/>
        <w:left w:w="115" w:type="dxa"/>
        <w:bottom w:w="0" w:type="dxa"/>
        <w:right w:w="115"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1">
    <w:name w:val="_Style 11"/>
    <w:basedOn w:val="TableNormal0"/>
    <w:qFormat/>
    <w:tblPr>
      <w:tblCellMar>
        <w:top w:w="0" w:type="dxa"/>
        <w:left w:w="115" w:type="dxa"/>
        <w:bottom w:w="0" w:type="dxa"/>
        <w:right w:w="115" w:type="dxa"/>
      </w:tblCellMar>
    </w:tblPr>
  </w:style>
  <w:style w:type="table" w:customStyle="1" w:styleId="Style135">
    <w:name w:val="_Style 135"/>
    <w:basedOn w:val="TableNormal0"/>
    <w:qFormat/>
    <w:tblPr>
      <w:tblCellMar>
        <w:top w:w="0" w:type="dxa"/>
        <w:left w:w="108" w:type="dxa"/>
        <w:bottom w:w="0" w:type="dxa"/>
        <w:right w:w="108" w:type="dxa"/>
      </w:tblCellMar>
    </w:tblPr>
  </w:style>
  <w:style w:type="table" w:customStyle="1" w:styleId="Style136">
    <w:name w:val="_Style 136"/>
    <w:basedOn w:val="TableNormal0"/>
    <w:qFormat/>
    <w:tblPr>
      <w:tblCellMar>
        <w:top w:w="0" w:type="dxa"/>
        <w:left w:w="108" w:type="dxa"/>
        <w:bottom w:w="0" w:type="dxa"/>
        <w:right w:w="108" w:type="dxa"/>
      </w:tblCellMar>
    </w:tblPr>
  </w:style>
  <w:style w:type="table" w:customStyle="1" w:styleId="Style138">
    <w:name w:val="_Style 138"/>
    <w:basedOn w:val="TableNormal0"/>
    <w:qFormat/>
    <w:tblPr>
      <w:tblCellMar>
        <w:top w:w="0" w:type="dxa"/>
        <w:left w:w="108" w:type="dxa"/>
        <w:bottom w:w="0" w:type="dxa"/>
        <w:right w:w="108" w:type="dxa"/>
      </w:tblCellMar>
    </w:tblPr>
  </w:style>
  <w:style w:type="table" w:customStyle="1" w:styleId="Style139">
    <w:name w:val="_Style 139"/>
    <w:basedOn w:val="TableNormal0"/>
    <w:qFormat/>
    <w:tblPr>
      <w:tblCellMar>
        <w:top w:w="0" w:type="dxa"/>
        <w:left w:w="108" w:type="dxa"/>
        <w:bottom w:w="0" w:type="dxa"/>
        <w:right w:w="108" w:type="dxa"/>
      </w:tblCellMar>
    </w:tblPr>
  </w:style>
  <w:style w:type="table" w:customStyle="1" w:styleId="Style140">
    <w:name w:val="_Style 140"/>
    <w:basedOn w:val="TableNormal0"/>
    <w:qFormat/>
    <w:tblPr/>
  </w:style>
  <w:style w:type="character" w:styleId="UnresolvedMention">
    <w:name w:val="Unresolved Mention"/>
    <w:basedOn w:val="DefaultParagraphFont"/>
    <w:uiPriority w:val="99"/>
    <w:semiHidden/>
    <w:unhideWhenUsed/>
    <w:rsid w:val="005D00BD"/>
    <w:rPr>
      <w:color w:val="605E5C"/>
      <w:shd w:val="clear" w:color="auto" w:fill="E1DFDD"/>
    </w:rPr>
  </w:style>
  <w:style w:type="table" w:customStyle="1" w:styleId="TableGrid1">
    <w:name w:val="Table Grid1"/>
    <w:basedOn w:val="TableNormal"/>
    <w:next w:val="TableGrid"/>
    <w:uiPriority w:val="39"/>
    <w:qFormat/>
    <w:rsid w:val="00060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5FA35-DAFC-425C-8E57-324590E0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11</Pages>
  <Words>4809</Words>
  <Characters>27417</Characters>
  <Application>Microsoft Office Word</Application>
  <DocSecurity>0</DocSecurity>
  <Lines>228</Lines>
  <Paragraphs>64</Paragraphs>
  <ScaleCrop>false</ScaleCrop>
  <Company>aaaa</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15</cp:revision>
  <cp:lastPrinted>1999-07-06T11:00:00Z</cp:lastPrinted>
  <dcterms:created xsi:type="dcterms:W3CDTF">2014-10-25T14:34:00Z</dcterms:created>
  <dcterms:modified xsi:type="dcterms:W3CDTF">2026-04-17T12:39:00Z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eyJoZGlkIjoiYjk5ODM0YmMxOWJiYWQyNDU4MGIzYWRmYTA0ZmI5NDciLCJ1c2VySWQiOiI3MDQ2NjA4MDc3MTEifQ==</vt:lpwstr>
  </property>
  <property fmtid="{D5CDD505-2E9C-101B-9397-08002B2CF9AE}" pid="3" name="KSOProductBuildVer">
    <vt:lpwstr>1033-12.1.0.25830</vt:lpwstr>
  </property>
  <property fmtid="{D5CDD505-2E9C-101B-9397-08002B2CF9AE}" pid="4" name="ICV">
    <vt:lpwstr>29168AFB531D47A99F84A66DF05CCC2B_13</vt:lpwstr>
  </property>
</Properties>
</file>