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8F1D7" w14:textId="152553C7" w:rsidR="007108A5" w:rsidRPr="00CA7043" w:rsidRDefault="007108A5" w:rsidP="00FD142E">
      <w:pPr>
        <w:pStyle w:val="NoSpacing"/>
        <w:ind w:right="72"/>
        <w:jc w:val="center"/>
        <w:rPr>
          <w:rFonts w:ascii="Times New Roman" w:hAnsi="Times New Roman" w:cs="Times New Roman"/>
          <w:b/>
          <w:bCs/>
          <w:sz w:val="24"/>
          <w:szCs w:val="24"/>
        </w:rPr>
      </w:pPr>
      <w:r w:rsidRPr="00CA7043">
        <w:rPr>
          <w:rFonts w:ascii="Times New Roman" w:hAnsi="Times New Roman" w:cs="Times New Roman"/>
          <w:b/>
          <w:bCs/>
          <w:noProof/>
          <w:sz w:val="24"/>
          <w:szCs w:val="24"/>
        </w:rPr>
        <w:t>DISASTER RESPONSE MECHANISM TO HYDROMETEOROLOGICAL HAZARDS OF RESPONDERS IN A MUNICIPALITY</w:t>
      </w:r>
      <w:r w:rsidR="00000C87">
        <w:rPr>
          <w:rFonts w:ascii="Times New Roman" w:hAnsi="Times New Roman" w:cs="Times New Roman"/>
          <w:b/>
          <w:bCs/>
          <w:noProof/>
          <w:sz w:val="24"/>
          <w:szCs w:val="24"/>
        </w:rPr>
        <w:t xml:space="preserve"> </w:t>
      </w:r>
      <w:r w:rsidRPr="00CA7043">
        <w:rPr>
          <w:rFonts w:ascii="Times New Roman" w:hAnsi="Times New Roman" w:cs="Times New Roman"/>
          <w:b/>
          <w:bCs/>
          <w:noProof/>
          <w:sz w:val="24"/>
          <w:szCs w:val="24"/>
        </w:rPr>
        <w:t>IN RINCONADA DISTRICT</w:t>
      </w:r>
    </w:p>
    <w:p w14:paraId="2F32A431" w14:textId="77777777" w:rsidR="00CA7043" w:rsidRDefault="00CA7043" w:rsidP="00FD142E">
      <w:pPr>
        <w:pStyle w:val="NoSpacing"/>
        <w:jc w:val="both"/>
        <w:rPr>
          <w:rFonts w:ascii="Times New Roman" w:hAnsi="Times New Roman" w:cs="Times New Roman"/>
          <w:sz w:val="24"/>
          <w:szCs w:val="24"/>
        </w:rPr>
      </w:pPr>
    </w:p>
    <w:p w14:paraId="6A9EBF94" w14:textId="5B1BE0C7" w:rsidR="00000C87" w:rsidRDefault="00000C87" w:rsidP="00FD142E">
      <w:pPr>
        <w:pStyle w:val="NoSpacing"/>
        <w:jc w:val="both"/>
        <w:rPr>
          <w:rFonts w:ascii="Times New Roman" w:hAnsi="Times New Roman" w:cs="Times New Roman"/>
          <w:sz w:val="24"/>
          <w:szCs w:val="24"/>
        </w:rPr>
      </w:pPr>
    </w:p>
    <w:p w14:paraId="578B083C" w14:textId="77777777" w:rsidR="006A2C7E" w:rsidRPr="00CA7043" w:rsidRDefault="006A2C7E" w:rsidP="00FD142E">
      <w:pPr>
        <w:pStyle w:val="NoSpacing"/>
        <w:jc w:val="both"/>
        <w:rPr>
          <w:rFonts w:ascii="Times New Roman" w:hAnsi="Times New Roman" w:cs="Times New Roman"/>
          <w:sz w:val="24"/>
          <w:szCs w:val="24"/>
        </w:rPr>
      </w:pPr>
      <w:bookmarkStart w:id="0" w:name="_GoBack"/>
      <w:bookmarkEnd w:id="0"/>
    </w:p>
    <w:p w14:paraId="7C4FB8B0" w14:textId="77777777" w:rsidR="007108A5" w:rsidRPr="00CA7043" w:rsidRDefault="007108A5" w:rsidP="00FD142E">
      <w:pPr>
        <w:pStyle w:val="NoSpacing"/>
        <w:jc w:val="both"/>
        <w:rPr>
          <w:rFonts w:ascii="Times New Roman" w:hAnsi="Times New Roman" w:cs="Times New Roman"/>
          <w:sz w:val="24"/>
          <w:szCs w:val="24"/>
        </w:rPr>
      </w:pPr>
      <w:r w:rsidRPr="00CA7043">
        <w:rPr>
          <w:rFonts w:ascii="Times New Roman" w:hAnsi="Times New Roman" w:cs="Times New Roman"/>
          <w:b/>
          <w:sz w:val="24"/>
          <w:szCs w:val="24"/>
        </w:rPr>
        <w:t>Abstract</w:t>
      </w:r>
    </w:p>
    <w:p w14:paraId="196D2DE1" w14:textId="77777777" w:rsidR="007108A5" w:rsidRPr="00CA7043" w:rsidRDefault="007108A5"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This study examined the disaster response mechanisms of Municipal Disaster Risk Reduction and Management Office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in relation to hydrometeorological hazards and the barriers that constrain their effectiveness. A quantitative descriptive-correlational design was employed, involving all 201 MDRRMO, Barangay Health Emergency Response Team, PNP, and BFP personnel who answered a validated structured questionnaire. Data were treated using descriptive statistics, weighted means, and chi-square tests to describe respondents’ profiles, assess response mech</w:t>
      </w:r>
      <w:r w:rsidR="00C71007">
        <w:rPr>
          <w:rFonts w:ascii="Times New Roman" w:hAnsi="Times New Roman" w:cs="Times New Roman"/>
          <w:sz w:val="24"/>
          <w:szCs w:val="24"/>
        </w:rPr>
        <w:t xml:space="preserve">anisms across eight dimensions. </w:t>
      </w:r>
      <w:r w:rsidRPr="00CA7043">
        <w:rPr>
          <w:rFonts w:ascii="Times New Roman" w:hAnsi="Times New Roman" w:cs="Times New Roman"/>
          <w:sz w:val="24"/>
          <w:szCs w:val="24"/>
        </w:rPr>
        <w:t xml:space="preserve">Results showed that responders were mostly male, married, in the 31–40-year age group, and earning modest monthly incomes, with generally functional mechanisms in logistics, resources, coordination and organization, community-related concerns, infrastructure and environment, training and capacity building, leadership and decision-making via the Incident Command System, and technology utilization. However, only a small proportion had formal ICS training, and the limited use of advanced technologies such as GIS and drones, alongside geographic isolation, inadequate early warning systems, and constrained budgets, created persistent operational gaps. Overall, the analysis and discussion underscore that while MDRRMO responders show strong commitment and basic capability, systematic investments in specialized training, early warning and drainage infrastructure, technology integration, and sustained community engagement are essential to build a more resilient municipal disaster response system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w:t>
      </w:r>
    </w:p>
    <w:p w14:paraId="0C85D78D" w14:textId="77777777" w:rsidR="007108A5" w:rsidRPr="00CA7043" w:rsidRDefault="007108A5" w:rsidP="00FD142E">
      <w:pPr>
        <w:spacing w:after="0" w:line="240" w:lineRule="auto"/>
        <w:jc w:val="both"/>
        <w:rPr>
          <w:rFonts w:ascii="Times New Roman" w:hAnsi="Times New Roman" w:cs="Times New Roman"/>
          <w:sz w:val="24"/>
          <w:szCs w:val="24"/>
        </w:rPr>
      </w:pPr>
    </w:p>
    <w:p w14:paraId="05AAE24A" w14:textId="77777777" w:rsidR="007108A5" w:rsidRPr="00CA7043" w:rsidRDefault="007108A5" w:rsidP="00FD142E">
      <w:pPr>
        <w:spacing w:after="0" w:line="240" w:lineRule="auto"/>
        <w:jc w:val="both"/>
        <w:rPr>
          <w:rFonts w:ascii="Times New Roman" w:hAnsi="Times New Roman" w:cs="Times New Roman"/>
          <w:i/>
          <w:iCs/>
          <w:sz w:val="24"/>
          <w:szCs w:val="24"/>
        </w:rPr>
      </w:pPr>
      <w:r w:rsidRPr="00CA7043">
        <w:rPr>
          <w:rFonts w:ascii="Times New Roman" w:hAnsi="Times New Roman" w:cs="Times New Roman"/>
          <w:b/>
          <w:bCs/>
          <w:sz w:val="24"/>
          <w:szCs w:val="24"/>
        </w:rPr>
        <w:t>Keywords:</w:t>
      </w:r>
      <w:r w:rsidRPr="00CA7043">
        <w:rPr>
          <w:rFonts w:ascii="Times New Roman" w:hAnsi="Times New Roman" w:cs="Times New Roman"/>
          <w:sz w:val="24"/>
          <w:szCs w:val="24"/>
        </w:rPr>
        <w:t> </w:t>
      </w:r>
      <w:r w:rsidRPr="00CA7043">
        <w:rPr>
          <w:rFonts w:ascii="Times New Roman" w:hAnsi="Times New Roman" w:cs="Times New Roman"/>
          <w:i/>
          <w:iCs/>
          <w:sz w:val="24"/>
          <w:szCs w:val="24"/>
        </w:rPr>
        <w:t>Disaster response, Hydrometeorological hazards, Responders</w:t>
      </w:r>
    </w:p>
    <w:p w14:paraId="07B7EEDA" w14:textId="77777777" w:rsidR="007108A5" w:rsidRPr="00CA7043" w:rsidRDefault="007108A5" w:rsidP="00FD142E">
      <w:pPr>
        <w:pStyle w:val="NoSpacing"/>
        <w:jc w:val="both"/>
        <w:rPr>
          <w:rFonts w:ascii="Times New Roman" w:hAnsi="Times New Roman" w:cs="Times New Roman"/>
          <w:b/>
          <w:bCs/>
          <w:sz w:val="24"/>
          <w:szCs w:val="24"/>
        </w:rPr>
      </w:pPr>
    </w:p>
    <w:p w14:paraId="3652DCFD" w14:textId="77777777" w:rsidR="007108A5" w:rsidRPr="00CA7043" w:rsidRDefault="007108A5" w:rsidP="00FD142E">
      <w:pPr>
        <w:pStyle w:val="NoSpacing"/>
        <w:numPr>
          <w:ilvl w:val="0"/>
          <w:numId w:val="14"/>
        </w:numPr>
        <w:ind w:left="0"/>
        <w:jc w:val="both"/>
        <w:rPr>
          <w:rFonts w:ascii="Times New Roman" w:hAnsi="Times New Roman" w:cs="Times New Roman"/>
          <w:b/>
          <w:bCs/>
          <w:sz w:val="24"/>
          <w:szCs w:val="24"/>
        </w:rPr>
      </w:pPr>
      <w:r w:rsidRPr="00CA7043">
        <w:rPr>
          <w:rFonts w:ascii="Times New Roman" w:hAnsi="Times New Roman" w:cs="Times New Roman"/>
          <w:b/>
          <w:bCs/>
          <w:sz w:val="24"/>
          <w:szCs w:val="24"/>
        </w:rPr>
        <w:t>Introduction</w:t>
      </w:r>
    </w:p>
    <w:p w14:paraId="23F4ADCE" w14:textId="77777777" w:rsidR="007108A5" w:rsidRPr="00CA7043" w:rsidRDefault="007108A5" w:rsidP="00FD142E">
      <w:pPr>
        <w:pStyle w:val="NoSpacing"/>
        <w:jc w:val="both"/>
        <w:rPr>
          <w:rFonts w:ascii="Times New Roman" w:hAnsi="Times New Roman" w:cs="Times New Roman"/>
          <w:b/>
          <w:bCs/>
          <w:sz w:val="24"/>
          <w:szCs w:val="24"/>
        </w:rPr>
      </w:pPr>
    </w:p>
    <w:p w14:paraId="7CBC6DC8" w14:textId="77777777" w:rsidR="007108A5" w:rsidRPr="00CA7043" w:rsidRDefault="007108A5"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hAnsi="Times New Roman" w:cs="Times New Roman"/>
          <w:sz w:val="24"/>
          <w:szCs w:val="24"/>
        </w:rPr>
        <w:t>Reduction and management of disaster risks has become an inevitable part of the world affected by climate change, urbanization and natural hazards, which affect all layers of society without discrimination. The increase in the number and severity of hydrometeorological hazards like typhoons, floods, and storm surges has hig</w:t>
      </w:r>
      <w:r w:rsidR="00CA7043">
        <w:rPr>
          <w:rFonts w:ascii="Times New Roman" w:hAnsi="Times New Roman" w:cs="Times New Roman"/>
          <w:sz w:val="24"/>
          <w:szCs w:val="24"/>
        </w:rPr>
        <w:t xml:space="preserve">hlighted the importance of </w:t>
      </w:r>
      <w:proofErr w:type="spellStart"/>
      <w:r w:rsidR="00CA7043">
        <w:rPr>
          <w:rFonts w:ascii="Times New Roman" w:hAnsi="Times New Roman" w:cs="Times New Roman"/>
          <w:sz w:val="24"/>
          <w:szCs w:val="24"/>
        </w:rPr>
        <w:t xml:space="preserve">well </w:t>
      </w:r>
      <w:r w:rsidRPr="00CA7043">
        <w:rPr>
          <w:rFonts w:ascii="Times New Roman" w:hAnsi="Times New Roman" w:cs="Times New Roman"/>
          <w:sz w:val="24"/>
          <w:szCs w:val="24"/>
        </w:rPr>
        <w:t>constructed</w:t>
      </w:r>
      <w:proofErr w:type="spellEnd"/>
      <w:r w:rsidRPr="00CA7043">
        <w:rPr>
          <w:rFonts w:ascii="Times New Roman" w:hAnsi="Times New Roman" w:cs="Times New Roman"/>
          <w:sz w:val="24"/>
          <w:szCs w:val="24"/>
        </w:rPr>
        <w:t>, cross-cutting and communal disaster management systems. Disaster management has shifted its emphasis towards relief after the disaster to a system that focuses on preparedness, resilience, and empowerment of the communities. This development recognizes that the impacts of disasters are not evenly spread. The socioeconomic inequalities and the access to the infrastructure and services that mitigate risks affect vulnerable groups of people, particularly rural and resource-poor populations, the most</w:t>
      </w:r>
      <w:r w:rsidRPr="00CA7043">
        <w:rPr>
          <w:rFonts w:ascii="Times New Roman" w:eastAsia="Times New Roman" w:hAnsi="Times New Roman" w:cs="Times New Roman"/>
          <w:sz w:val="24"/>
          <w:szCs w:val="24"/>
          <w:lang w:eastAsia="en-PH"/>
        </w:rPr>
        <w:t>.</w:t>
      </w:r>
    </w:p>
    <w:p w14:paraId="63CC8977" w14:textId="77777777" w:rsidR="007108A5" w:rsidRPr="00CA7043" w:rsidRDefault="007108A5"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eastAsia="Times New Roman" w:hAnsi="Times New Roman" w:cs="Times New Roman"/>
          <w:sz w:val="24"/>
          <w:szCs w:val="24"/>
          <w:lang w:eastAsia="en-PH"/>
        </w:rPr>
        <w:t xml:space="preserve">The </w:t>
      </w:r>
      <w:r w:rsidRPr="00CA7043">
        <w:rPr>
          <w:rFonts w:ascii="Times New Roman" w:hAnsi="Times New Roman" w:cs="Times New Roman"/>
          <w:sz w:val="24"/>
          <w:szCs w:val="24"/>
        </w:rPr>
        <w:t xml:space="preserve">involvement of the researcher in the Disaster Risk Reduction and Management in Health (DRRM-H) projects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between 2015 and 2022 showed that the municipality responders had significant systemic issues. Lack of adequate resources </w:t>
      </w:r>
      <w:r w:rsidRPr="00CA7043">
        <w:rPr>
          <w:rFonts w:ascii="Times New Roman" w:hAnsi="Times New Roman" w:cs="Times New Roman"/>
          <w:sz w:val="24"/>
          <w:szCs w:val="24"/>
        </w:rPr>
        <w:lastRenderedPageBreak/>
        <w:t xml:space="preserve">especially when it comes to funding, complex inter-agency relationships and lack of community participation are some of the issues. National frameworks provide necessary policy direction; however, the ability and independence of the responders must play a major role in the efficiency of the local disaster response. Their efforts are usually interfered with by logistical issues, inadequate training, and absence of technological resources. This is made worse by poor funding distributions, lack of access to science based decision-making tools at the local levels. The paper explores the lives and organizational capacity of the Municipal Disaster Risk Reduction and Management Office (MDRRMO)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as an effort to explain the truths of disaster response in the municipal level. The proposed research seeks to offer evidence-based guidelines towards the creation of resilient, inclusive, and </w:t>
      </w:r>
      <w:proofErr w:type="gramStart"/>
      <w:r w:rsidRPr="00CA7043">
        <w:rPr>
          <w:rFonts w:ascii="Times New Roman" w:hAnsi="Times New Roman" w:cs="Times New Roman"/>
          <w:sz w:val="24"/>
          <w:szCs w:val="24"/>
        </w:rPr>
        <w:t>context based</w:t>
      </w:r>
      <w:proofErr w:type="gramEnd"/>
      <w:r w:rsidRPr="00CA7043">
        <w:rPr>
          <w:rFonts w:ascii="Times New Roman" w:hAnsi="Times New Roman" w:cs="Times New Roman"/>
          <w:sz w:val="24"/>
          <w:szCs w:val="24"/>
        </w:rPr>
        <w:t xml:space="preserve"> strategies that can be used effectively to combat recurrent hydrometeorological hazards in the municipality. This will highlight operational points that are fundamental in enhancing future reduction and management of the disaster related to hydrometeorological events</w:t>
      </w:r>
      <w:r w:rsidRPr="00CA7043">
        <w:rPr>
          <w:rFonts w:ascii="Times New Roman" w:eastAsia="Times New Roman" w:hAnsi="Times New Roman" w:cs="Times New Roman"/>
          <w:sz w:val="24"/>
          <w:szCs w:val="24"/>
          <w:lang w:eastAsia="en-PH"/>
        </w:rPr>
        <w:t>.</w:t>
      </w:r>
    </w:p>
    <w:p w14:paraId="38C28527" w14:textId="77777777" w:rsidR="007108A5" w:rsidRPr="00CA7043" w:rsidRDefault="007108A5" w:rsidP="00FD142E">
      <w:pPr>
        <w:pStyle w:val="NoSpacing"/>
        <w:jc w:val="both"/>
        <w:rPr>
          <w:rFonts w:ascii="Times New Roman" w:hAnsi="Times New Roman" w:cs="Times New Roman"/>
          <w:sz w:val="24"/>
          <w:szCs w:val="24"/>
        </w:rPr>
      </w:pPr>
    </w:p>
    <w:p w14:paraId="197B0ABA" w14:textId="77777777" w:rsidR="007108A5" w:rsidRPr="00CA7043" w:rsidRDefault="00CA7043" w:rsidP="00FD142E">
      <w:pPr>
        <w:pStyle w:val="NoSpacing"/>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20574815" w14:textId="77777777" w:rsidR="007108A5" w:rsidRPr="00CA7043" w:rsidRDefault="007108A5" w:rsidP="00FD142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CA7043">
        <w:rPr>
          <w:rFonts w:ascii="Times New Roman" w:eastAsia="Times New Roman" w:hAnsi="Times New Roman" w:cs="Times New Roman"/>
          <w:sz w:val="24"/>
          <w:szCs w:val="24"/>
          <w:lang w:eastAsia="en-PH"/>
        </w:rPr>
        <w:t xml:space="preserve">This </w:t>
      </w:r>
      <w:r w:rsidRPr="00CA7043">
        <w:rPr>
          <w:rFonts w:ascii="Times New Roman" w:hAnsi="Times New Roman" w:cs="Times New Roman"/>
          <w:sz w:val="24"/>
          <w:szCs w:val="24"/>
        </w:rPr>
        <w:t xml:space="preserve">study aimed to examine the strategies used by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to respond to the disaster with a focus on hydrometeorological hazards. It also studied the issues that have been faced when implementing disaster management strategies. To be more exact, it was supposed to achieve the following objectives</w:t>
      </w:r>
      <w:r w:rsidRPr="00CA7043">
        <w:rPr>
          <w:rFonts w:ascii="Times New Roman" w:eastAsia="Times New Roman" w:hAnsi="Times New Roman" w:cs="Times New Roman"/>
          <w:sz w:val="24"/>
          <w:szCs w:val="24"/>
          <w:lang w:eastAsia="en-PH"/>
        </w:rPr>
        <w:t>:</w:t>
      </w:r>
    </w:p>
    <w:p w14:paraId="4F74FE2F" w14:textId="77777777" w:rsidR="007108A5" w:rsidRPr="00CA7043" w:rsidRDefault="007108A5" w:rsidP="00FD142E">
      <w:pPr>
        <w:numPr>
          <w:ilvl w:val="0"/>
          <w:numId w:val="21"/>
        </w:numPr>
        <w:pBdr>
          <w:top w:val="nil"/>
          <w:left w:val="nil"/>
          <w:bottom w:val="nil"/>
          <w:right w:val="nil"/>
          <w:between w:val="nil"/>
        </w:pBdr>
        <w:tabs>
          <w:tab w:val="left" w:pos="1080"/>
        </w:tabs>
        <w:spacing w:after="0" w:line="240" w:lineRule="auto"/>
        <w:ind w:left="0" w:firstLine="709"/>
        <w:jc w:val="both"/>
        <w:rPr>
          <w:rFonts w:ascii="Times New Roman" w:hAnsi="Times New Roman" w:cs="Times New Roman"/>
          <w:sz w:val="24"/>
          <w:szCs w:val="24"/>
        </w:rPr>
      </w:pPr>
      <w:r w:rsidRPr="00CA7043">
        <w:rPr>
          <w:rFonts w:ascii="Times New Roman" w:hAnsi="Times New Roman" w:cs="Times New Roman"/>
          <w:sz w:val="24"/>
          <w:szCs w:val="24"/>
        </w:rPr>
        <w:t xml:space="preserve">Determine the profile of the respondents in terms of: </w:t>
      </w:r>
    </w:p>
    <w:p w14:paraId="56481F86"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Age</w:t>
      </w:r>
    </w:p>
    <w:p w14:paraId="27EE3857"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Sex</w:t>
      </w:r>
    </w:p>
    <w:p w14:paraId="78F42137"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Civil Status</w:t>
      </w:r>
    </w:p>
    <w:p w14:paraId="48AB435A"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Family Monthly Income</w:t>
      </w:r>
    </w:p>
    <w:p w14:paraId="6D439DA6"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Highest Educational Attainment</w:t>
      </w:r>
    </w:p>
    <w:p w14:paraId="5603CDDC"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bookmarkStart w:id="1" w:name="_Hlk210252258"/>
      <w:r w:rsidRPr="00CA7043">
        <w:rPr>
          <w:rFonts w:ascii="Times New Roman" w:hAnsi="Times New Roman" w:cs="Times New Roman"/>
          <w:sz w:val="24"/>
          <w:szCs w:val="24"/>
        </w:rPr>
        <w:t>Years of Service in the MDRRMO</w:t>
      </w:r>
    </w:p>
    <w:bookmarkEnd w:id="1"/>
    <w:p w14:paraId="6AFD41C4"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Relevant Seminars/Trainings Attended</w:t>
      </w:r>
    </w:p>
    <w:p w14:paraId="10D0FC09" w14:textId="77777777" w:rsidR="007108A5" w:rsidRPr="00CA7043" w:rsidRDefault="007108A5" w:rsidP="00FD142E">
      <w:pPr>
        <w:pStyle w:val="NormalWeb"/>
        <w:numPr>
          <w:ilvl w:val="0"/>
          <w:numId w:val="21"/>
        </w:numPr>
        <w:tabs>
          <w:tab w:val="left" w:pos="1080"/>
        </w:tabs>
        <w:spacing w:before="0" w:beforeAutospacing="0" w:after="0" w:afterAutospacing="0"/>
        <w:ind w:left="0" w:firstLine="709"/>
        <w:jc w:val="both"/>
      </w:pPr>
      <w:r w:rsidRPr="00CA7043">
        <w:t xml:space="preserve">Assess the disaster response mechanism to hydrometeorological hazards of the respondents in </w:t>
      </w:r>
      <w:proofErr w:type="spellStart"/>
      <w:r w:rsidRPr="00CA7043">
        <w:t>Balatan</w:t>
      </w:r>
      <w:proofErr w:type="spellEnd"/>
      <w:r w:rsidRPr="00CA7043">
        <w:t xml:space="preserve"> along the following aspects:</w:t>
      </w:r>
    </w:p>
    <w:p w14:paraId="3C619440"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Logistics</w:t>
      </w:r>
    </w:p>
    <w:p w14:paraId="068130D2"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Resources</w:t>
      </w:r>
    </w:p>
    <w:p w14:paraId="253AAC67"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Coordination and Organization</w:t>
      </w:r>
    </w:p>
    <w:p w14:paraId="56F4A32A" w14:textId="77777777" w:rsidR="007108A5" w:rsidRPr="00CA7043" w:rsidRDefault="007108A5" w:rsidP="00FD142E">
      <w:pPr>
        <w:pStyle w:val="NormalWeb"/>
        <w:numPr>
          <w:ilvl w:val="2"/>
          <w:numId w:val="21"/>
        </w:numPr>
        <w:spacing w:before="0" w:beforeAutospacing="0" w:after="0" w:afterAutospacing="0"/>
        <w:jc w:val="both"/>
        <w:rPr>
          <w:b/>
          <w:bCs/>
        </w:rPr>
      </w:pPr>
      <w:r w:rsidRPr="00CA7043">
        <w:rPr>
          <w:rStyle w:val="Strong"/>
          <w:b w:val="0"/>
        </w:rPr>
        <w:t>Community-Related Concerns</w:t>
      </w:r>
    </w:p>
    <w:p w14:paraId="0224617F"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Infrastructure and Environment</w:t>
      </w:r>
    </w:p>
    <w:p w14:paraId="48BCF371"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Training and Capacity Building</w:t>
      </w:r>
    </w:p>
    <w:p w14:paraId="13D419A3"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Leadership and Decision-Making (</w:t>
      </w:r>
      <w:r w:rsidRPr="00CA7043">
        <w:rPr>
          <w:b/>
        </w:rPr>
        <w:t>concept of ICS)</w:t>
      </w:r>
    </w:p>
    <w:p w14:paraId="4AE835B1" w14:textId="77777777" w:rsidR="007108A5" w:rsidRPr="00CA7043" w:rsidRDefault="007108A5" w:rsidP="00FD142E">
      <w:pPr>
        <w:pStyle w:val="NormalWeb"/>
        <w:numPr>
          <w:ilvl w:val="2"/>
          <w:numId w:val="21"/>
        </w:numPr>
        <w:spacing w:before="0" w:beforeAutospacing="0" w:after="0" w:afterAutospacing="0"/>
        <w:jc w:val="both"/>
        <w:rPr>
          <w:b/>
          <w:bCs/>
        </w:rPr>
      </w:pPr>
      <w:r w:rsidRPr="00CA7043">
        <w:rPr>
          <w:rStyle w:val="Strong"/>
          <w:b w:val="0"/>
        </w:rPr>
        <w:t>Technology Utilization</w:t>
      </w:r>
    </w:p>
    <w:p w14:paraId="496098F9" w14:textId="77777777" w:rsidR="007108A5" w:rsidRPr="00CA7043" w:rsidRDefault="007108A5" w:rsidP="00FD142E">
      <w:pPr>
        <w:pStyle w:val="NormalWeb"/>
        <w:numPr>
          <w:ilvl w:val="0"/>
          <w:numId w:val="21"/>
        </w:numPr>
        <w:tabs>
          <w:tab w:val="left" w:pos="1080"/>
        </w:tabs>
        <w:spacing w:before="0" w:beforeAutospacing="0" w:after="0" w:afterAutospacing="0"/>
        <w:ind w:left="0" w:firstLine="709"/>
        <w:jc w:val="both"/>
      </w:pPr>
      <w:r w:rsidRPr="00CA7043">
        <w:t xml:space="preserve">Analyze the factors affecting the disaster response mechanism to hydrometeorological hazards of the respondents in </w:t>
      </w:r>
      <w:proofErr w:type="spellStart"/>
      <w:r w:rsidRPr="00CA7043">
        <w:t>Balatan</w:t>
      </w:r>
      <w:proofErr w:type="spellEnd"/>
      <w:r w:rsidRPr="00CA7043">
        <w:t xml:space="preserve"> in terms of:</w:t>
      </w:r>
    </w:p>
    <w:p w14:paraId="19D961D9" w14:textId="77777777" w:rsidR="007108A5" w:rsidRPr="00CA7043" w:rsidRDefault="007108A5" w:rsidP="00FD142E">
      <w:pPr>
        <w:pStyle w:val="NormalWeb"/>
        <w:numPr>
          <w:ilvl w:val="2"/>
          <w:numId w:val="21"/>
        </w:numPr>
        <w:spacing w:before="0" w:beforeAutospacing="0" w:after="0" w:afterAutospacing="0"/>
        <w:jc w:val="both"/>
      </w:pPr>
      <w:r w:rsidRPr="00CA7043">
        <w:t>Social</w:t>
      </w:r>
    </w:p>
    <w:p w14:paraId="438B900F" w14:textId="77777777" w:rsidR="007108A5" w:rsidRPr="00CA7043" w:rsidRDefault="007108A5" w:rsidP="00FD142E">
      <w:pPr>
        <w:pStyle w:val="NormalWeb"/>
        <w:numPr>
          <w:ilvl w:val="2"/>
          <w:numId w:val="21"/>
        </w:numPr>
        <w:spacing w:before="0" w:beforeAutospacing="0" w:after="0" w:afterAutospacing="0"/>
        <w:jc w:val="both"/>
      </w:pPr>
      <w:r w:rsidRPr="00CA7043">
        <w:t>Environmental</w:t>
      </w:r>
    </w:p>
    <w:p w14:paraId="5C225B33" w14:textId="77777777" w:rsidR="007108A5" w:rsidRPr="00CA7043" w:rsidRDefault="007108A5" w:rsidP="00FD142E">
      <w:pPr>
        <w:pStyle w:val="NormalWeb"/>
        <w:numPr>
          <w:ilvl w:val="2"/>
          <w:numId w:val="21"/>
        </w:numPr>
        <w:spacing w:before="0" w:beforeAutospacing="0" w:after="0" w:afterAutospacing="0"/>
        <w:jc w:val="both"/>
      </w:pPr>
      <w:r w:rsidRPr="00CA7043">
        <w:t>Economic</w:t>
      </w:r>
    </w:p>
    <w:p w14:paraId="2D11A5DF" w14:textId="77777777" w:rsidR="007108A5" w:rsidRDefault="007108A5" w:rsidP="00FD142E">
      <w:pPr>
        <w:pStyle w:val="NormalWeb"/>
        <w:numPr>
          <w:ilvl w:val="2"/>
          <w:numId w:val="21"/>
        </w:numPr>
        <w:spacing w:before="0" w:beforeAutospacing="0" w:after="0" w:afterAutospacing="0"/>
        <w:jc w:val="both"/>
      </w:pPr>
      <w:r w:rsidRPr="00CA7043">
        <w:t xml:space="preserve">Personal </w:t>
      </w:r>
    </w:p>
    <w:p w14:paraId="19151689" w14:textId="77777777" w:rsidR="00FD142E" w:rsidRPr="00FD142E" w:rsidRDefault="00FD142E" w:rsidP="00FD142E">
      <w:pPr>
        <w:pStyle w:val="NormalWeb"/>
        <w:spacing w:before="0" w:beforeAutospacing="0" w:after="0" w:afterAutospacing="0"/>
        <w:ind w:left="1710"/>
        <w:jc w:val="both"/>
      </w:pPr>
    </w:p>
    <w:p w14:paraId="590E33ED" w14:textId="77777777" w:rsidR="00402F4F" w:rsidRPr="00FD142E" w:rsidRDefault="007108A5" w:rsidP="00FD142E">
      <w:pPr>
        <w:pStyle w:val="NoSpacing"/>
        <w:numPr>
          <w:ilvl w:val="0"/>
          <w:numId w:val="14"/>
        </w:numPr>
        <w:ind w:left="0"/>
        <w:jc w:val="both"/>
        <w:rPr>
          <w:rFonts w:ascii="Times New Roman" w:hAnsi="Times New Roman" w:cs="Times New Roman"/>
          <w:b/>
          <w:bCs/>
          <w:sz w:val="24"/>
          <w:szCs w:val="24"/>
        </w:rPr>
      </w:pPr>
      <w:r w:rsidRPr="00CA7043">
        <w:rPr>
          <w:rFonts w:ascii="Times New Roman" w:hAnsi="Times New Roman" w:cs="Times New Roman"/>
          <w:b/>
          <w:bCs/>
          <w:sz w:val="24"/>
          <w:szCs w:val="24"/>
        </w:rPr>
        <w:lastRenderedPageBreak/>
        <w:t>REVIEW OF RELATED LITERATURE AND STUDIES</w:t>
      </w:r>
    </w:p>
    <w:p w14:paraId="10EAE0B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The rising frequency and intensity of hydrometeorological disasters present major challenges to response systems both in international and local levels. According to ASEAN (2025), over 1,500 hydrometeorological incidents have been recorded in Southeast Asia since 1900 with majority being storm and flooding. Such incidences are a great threat to food security and they damage crucial infrastructure. The number of disasters grows rapidly overloading the existing response systems, often surpassing the local and more robust regional cooperation frameworks are necessary to ensure the displacement can be managed and resources allocated successful.</w:t>
      </w:r>
    </w:p>
    <w:p w14:paraId="1DBCA41B"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It was also revealed by the Australian Journal of Emergency Management (2024) that interoperability issues or responder exhaustion were key obstacles to making good decisions during emergencies. The study revealed that inconsistency in communication mechanisms and moral issues often deprive timely response, which is complicated by the physical and psychological exhaustion of emergency workers. The results emphasized the necessity to develop effective communication protocols and support system to sustain effective operations in the face of long-term disaster response operations. According to the United Nations Environment Program (2024), developing countries experience certain challenges in terms of technology transfer and financial needs to carry out disaster adaptation. Numerous nations struggle to adopt the designed strategies mainly because of inadequate funding and skills. The existing constraints are major barriers to the implementation of climate adaptation strategies in vulnerable regions</w:t>
      </w:r>
      <w:r w:rsidRPr="00CA7043">
        <w:rPr>
          <w:rFonts w:eastAsiaTheme="majorEastAsia"/>
          <w:lang w:val="en-US"/>
        </w:rPr>
        <w:t>.</w:t>
      </w:r>
    </w:p>
    <w:p w14:paraId="68F0536F"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 xml:space="preserve">Likewise, UNESCO (2025) introduced a program to tackle the issue of water security, as 25 nations worldwide are witnessing significant water stress and catastrophes connected to water, which has led to 70 percent of </w:t>
      </w:r>
      <w:proofErr w:type="gramStart"/>
      <w:r w:rsidRPr="00CA7043">
        <w:t>all natural</w:t>
      </w:r>
      <w:proofErr w:type="gramEnd"/>
      <w:r w:rsidRPr="00CA7043">
        <w:t xml:space="preserve"> disaster deaths in the past half-century. The program emphasized the importance of science-based evaluations, strengthened human resources and sustainable institutional arrangements in enhancing resilience to climate-sensitive risks by the use of structured capacity development and early warning systems</w:t>
      </w:r>
      <w:r w:rsidRPr="00CA7043">
        <w:rPr>
          <w:rFonts w:eastAsiaTheme="majorEastAsia"/>
          <w:lang w:val="en-US"/>
        </w:rPr>
        <w:t>.</w:t>
      </w:r>
    </w:p>
    <w:p w14:paraId="66BDA8E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Also, a narrative review carried out in Indonesia in 2021 has pinpointed significant challenges, including poor performance of disaster management systems, insufficient attention to disaster risk analysis, and inefficient utilization of technology and information systems. The existing regulatory and policy frameworks have been noted to be poorly enforced, characterized by the lack of technology application and a number of impediments to evacuation and transportation procedures</w:t>
      </w:r>
      <w:r w:rsidRPr="00CA7043">
        <w:rPr>
          <w:rFonts w:eastAsiaTheme="majorEastAsia"/>
          <w:lang w:val="en-US"/>
        </w:rPr>
        <w:t>.</w:t>
      </w:r>
    </w:p>
    <w:p w14:paraId="1506A9F9"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The 2020 Synthesis Report </w:t>
      </w:r>
      <w:r w:rsidRPr="00CA7043">
        <w:t>by the Adaptation Committee concentrated on best practices that are known to operate in developing countries. The practices encompass multisectoral planning, working with local communities, introducing early warning systems, and implementing innovative technologies, such as satellite-based monitoring of hydrometeorological events. Nations have emphasized the importance of comprehensive policies that include gender factors and facilitate wide inclusion in the adaptation policies. They intend to apply regional collaboration and local knowledge to make people more resilient. The report noted that there were still persisting problems in regards to financing, alignment of policies, and governance despite improvements achieved</w:t>
      </w:r>
      <w:r w:rsidRPr="00CA7043">
        <w:rPr>
          <w:rFonts w:eastAsiaTheme="majorEastAsia"/>
          <w:lang w:val="en-US"/>
        </w:rPr>
        <w:t>.</w:t>
      </w:r>
    </w:p>
    <w:p w14:paraId="3BB3846F"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 xml:space="preserve">In the study by Andaya et al. (2025), there were considerable gaps between national-level policies design and the local-level implementation of the related policies in mitigation activities.  Staffing shortages and inadequate preparedness plan implementation </w:t>
      </w:r>
      <w:r w:rsidRPr="00CA7043">
        <w:lastRenderedPageBreak/>
        <w:t>have been identified to be present in many local Disaster Risk Reduction and Management (DRRM) councils. The resulting disconnect frequently creates difficulties in terms of properly realizing the overall demands stipulated in the Philippine Disaster Risk reduction and management act of 2010 at local levels</w:t>
      </w:r>
      <w:r w:rsidRPr="00CA7043">
        <w:rPr>
          <w:rFonts w:eastAsiaTheme="majorEastAsia"/>
          <w:lang w:val="en-US"/>
        </w:rPr>
        <w:t>.</w:t>
      </w:r>
    </w:p>
    <w:p w14:paraId="70EC5B08" w14:textId="77777777" w:rsidR="00402F4F" w:rsidRPr="00CA7043"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Schroter</w:t>
      </w:r>
      <w:proofErr w:type="spellEnd"/>
      <w:r w:rsidRPr="00CA7043">
        <w:rPr>
          <w:rFonts w:eastAsiaTheme="majorEastAsia"/>
          <w:lang w:val="en-US"/>
        </w:rPr>
        <w:t xml:space="preserve"> et al. (2025) </w:t>
      </w:r>
      <w:r w:rsidRPr="00CA7043">
        <w:t>conducted an examination of significant disaster events in Europe to conduct a systematic assessment of the interoperability of disaster risk management systems in regions and countries. The results have shown that disjointed data systems and organizational silos still represent a major problem in effective emergency response in the regions, where there is advanced technological infrastructure and where there is well-established governance in place. According to the research, the lack of open and federated data infrastructures and well-coordinated governance frameworks have a significant impact on the successful exchange of essential information products and, therefore, on the overall pace and efficiency of emergency interventions and post-disaster recovery activities</w:t>
      </w:r>
      <w:r w:rsidRPr="00CA7043">
        <w:rPr>
          <w:rFonts w:eastAsiaTheme="majorEastAsia"/>
          <w:lang w:val="en-US"/>
        </w:rPr>
        <w:t>.</w:t>
      </w:r>
    </w:p>
    <w:p w14:paraId="366D3167"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The </w:t>
      </w:r>
      <w:r w:rsidRPr="00CA7043">
        <w:t xml:space="preserve">study </w:t>
      </w:r>
      <w:proofErr w:type="spellStart"/>
      <w:r w:rsidRPr="00CA7043">
        <w:t>Idukunda</w:t>
      </w:r>
      <w:proofErr w:type="spellEnd"/>
      <w:r w:rsidRPr="00CA7043">
        <w:t xml:space="preserve"> et al. (2025) have is an evaluation of the disaster risk management system in Rwanda with reference to the massive floods and landslides of 2023. The effectiveness of the implementation and the performance of the participating institutions was assessed using a mixed-methods research approach. The findings suggest that though strong national frameworks and policies are in place, their execution is facing immense challenges. The difficulties were based on the lack of local coordination and the ability to convey the message on warning systems and dangerous areas to the vulnerable groups. The study showed that vague warning systems, the lack of proper cooperation between the state government and the local population, contributed to the severity of disasters. This demonstrates the dire need to incorporate communication strategies in hazard warnings that would be more focused on clarity, accessibility, and community-oriented approach</w:t>
      </w:r>
      <w:r w:rsidRPr="00CA7043">
        <w:rPr>
          <w:rFonts w:eastAsiaTheme="majorEastAsia"/>
          <w:lang w:val="en-US"/>
        </w:rPr>
        <w:t>.</w:t>
      </w:r>
    </w:p>
    <w:p w14:paraId="160CFAB0"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Rivera et al. (2025) </w:t>
      </w:r>
      <w:r w:rsidRPr="00CA7043">
        <w:t>examined the complexity of organizing emergency management in organizations working in resource-constrained environments.   The findings of the research indicate that the difficulties with coordination have significantly increased in the post-pandemic contexts, in which the already-existing weaknesses and institutional gaps are further enhanced by the stressors and the reduction of the available resources.   The research discovered that despite the good intentions proposed by coordination practices and collaborative systems, there are substantial challenges and obstacles to implementation, especially when organizational resources are scarce and that the resource capabilities of institutions grow inherently limited.  The findings highlight the relationship between the presence of resources, the capacity of institutions, and the effectiveness of the coordinated disaster response systems</w:t>
      </w:r>
      <w:r w:rsidRPr="00CA7043">
        <w:rPr>
          <w:rFonts w:eastAsiaTheme="majorEastAsia"/>
          <w:lang w:val="en-US"/>
        </w:rPr>
        <w:t>.</w:t>
      </w:r>
    </w:p>
    <w:p w14:paraId="0AF9E33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Suarjana</w:t>
      </w:r>
      <w:proofErr w:type="spellEnd"/>
      <w:r w:rsidRPr="00CA7043">
        <w:rPr>
          <w:rFonts w:eastAsiaTheme="majorEastAsia"/>
          <w:lang w:val="en-US"/>
        </w:rPr>
        <w:t xml:space="preserve"> (2024) </w:t>
      </w:r>
      <w:r w:rsidRPr="00CA7043">
        <w:t xml:space="preserve">performed a critical analysis of the global situation in the context of disaster management systems in the wake of the COVID-19 pandemic and highlighted significant issues with the organizational resilience, operational efficiency, and responsiveness in the face of a large-scale crisis. According to the study, the pandemic revealed pronounced gaps in the capacity and readiness of the global system of public health and disaster management. Among these vulnerabilities are insufficient preparedness to compound disasters, cascading disasters, significant shortcomings on resource availability and allocation, and poor rapid decision-making. </w:t>
      </w:r>
      <w:proofErr w:type="spellStart"/>
      <w:r w:rsidRPr="00CA7043">
        <w:t>Suarjana</w:t>
      </w:r>
      <w:proofErr w:type="spellEnd"/>
      <w:r w:rsidRPr="00CA7043">
        <w:t xml:space="preserve"> pointed out consistent interoperability issues that prevail in various localities and nations, particularly, </w:t>
      </w:r>
      <w:r w:rsidRPr="00CA7043">
        <w:lastRenderedPageBreak/>
        <w:t>the disintegration of information systems and the structural lack of coordinated procedures of resource-sharing among numerous governmental and non-governmental organizations</w:t>
      </w:r>
      <w:r w:rsidRPr="00CA7043">
        <w:rPr>
          <w:rFonts w:eastAsiaTheme="majorEastAsia"/>
          <w:lang w:val="en-US"/>
        </w:rPr>
        <w:t>.</w:t>
      </w:r>
    </w:p>
    <w:p w14:paraId="2F8F88EE" w14:textId="77777777" w:rsidR="007108A5" w:rsidRPr="00FD142E"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Sydnes</w:t>
      </w:r>
      <w:proofErr w:type="spellEnd"/>
      <w:r w:rsidRPr="00CA7043">
        <w:rPr>
          <w:rFonts w:eastAsiaTheme="majorEastAsia"/>
          <w:lang w:val="en-US"/>
        </w:rPr>
        <w:t xml:space="preserve"> et al. (2025) and </w:t>
      </w:r>
      <w:proofErr w:type="spellStart"/>
      <w:r w:rsidRPr="00CA7043">
        <w:rPr>
          <w:rFonts w:eastAsiaTheme="majorEastAsia"/>
          <w:lang w:val="en-US"/>
        </w:rPr>
        <w:t>AlHinai</w:t>
      </w:r>
      <w:proofErr w:type="spellEnd"/>
      <w:r w:rsidRPr="00CA7043">
        <w:rPr>
          <w:rFonts w:eastAsiaTheme="majorEastAsia"/>
          <w:lang w:val="en-US"/>
        </w:rPr>
        <w:t xml:space="preserve"> (2020) </w:t>
      </w:r>
      <w:r w:rsidRPr="00CA7043">
        <w:t>carried out a study of the digital transformation and the obstacle to the technology adoption in managing disasters within developing territories were lack of infrastructure, disparity in highly qualified skills, and organizational resistance. These are the key contributors to the challenge in introducing sophisticated early warning mechanisms and real-time monitoring systems to local response operations. In both studies, there was a stress that unless there are concomitant investments in technical training, institutional restructuring, and infrastructure development, technology adoption initiatives more often than not fail to achieve their desired operational improvements</w:t>
      </w:r>
      <w:r w:rsidRPr="00CA7043">
        <w:rPr>
          <w:rFonts w:eastAsiaTheme="majorEastAsia"/>
          <w:lang w:val="en-US"/>
        </w:rPr>
        <w:t>.</w:t>
      </w:r>
    </w:p>
    <w:p w14:paraId="3084F046" w14:textId="77777777" w:rsidR="007108A5" w:rsidRPr="00CA7043" w:rsidRDefault="007108A5" w:rsidP="00FD142E">
      <w:pPr>
        <w:pStyle w:val="NoSpacing"/>
        <w:jc w:val="both"/>
        <w:rPr>
          <w:rFonts w:ascii="Times New Roman" w:hAnsi="Times New Roman" w:cs="Times New Roman"/>
          <w:sz w:val="24"/>
          <w:szCs w:val="24"/>
        </w:rPr>
      </w:pPr>
    </w:p>
    <w:p w14:paraId="770270CA" w14:textId="77777777" w:rsidR="007108A5" w:rsidRPr="00FD142E" w:rsidRDefault="007108A5" w:rsidP="00FD142E">
      <w:pPr>
        <w:pStyle w:val="NoSpacing"/>
        <w:numPr>
          <w:ilvl w:val="0"/>
          <w:numId w:val="14"/>
        </w:numPr>
        <w:ind w:left="0"/>
        <w:jc w:val="both"/>
        <w:rPr>
          <w:rFonts w:ascii="Times New Roman" w:hAnsi="Times New Roman" w:cs="Times New Roman"/>
          <w:b/>
          <w:bCs/>
          <w:sz w:val="24"/>
          <w:szCs w:val="24"/>
        </w:rPr>
      </w:pPr>
      <w:r w:rsidRPr="00CA7043">
        <w:rPr>
          <w:rFonts w:ascii="Times New Roman" w:hAnsi="Times New Roman" w:cs="Times New Roman"/>
          <w:b/>
          <w:bCs/>
          <w:sz w:val="24"/>
          <w:szCs w:val="24"/>
        </w:rPr>
        <w:t>METHODOLOGY</w:t>
      </w:r>
    </w:p>
    <w:p w14:paraId="33ADDA89"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The study involved a quantitative descriptive-correlational research design. Descriptive component aimed at the systematic description of profiles of the respondents and the assessment of the current state of disaster response mechanisms. The assessment focused on logistics, resources, coordination and organization, community-related issues, infrastructure and environment, training and capacity building, leadership and decision-making (ICS concept) and the use of technology. Descriptive research reflects the question of what, where, when, and how without changing variables. The method is especially efficient in profiling MDRRMO responders and forming the background information about disaster response capabilities (Singh, 2023).</w:t>
      </w:r>
    </w:p>
    <w:p w14:paraId="2FA59C00"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correlational element investigated how the profiles of respondents relate to their disaster response mechanisms and how social, environmental, economic, and personal factors impact respondent determinacy. Correlational research involves two or more variables that are measured to evaluate the statistical association that exists between them with no manipulation done. This method enables the detection of trends and connections in the real-life situations (Fleetwood, 2025). This type of design is suitable in this study because it is concerned with disaster risk reduction in scenarios where the variables are complex and therefore cannot be manipulated using experimental methods. This will contribute to the development of evidence-based guidelines enhancing the means by which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will react to the disaster.</w:t>
      </w:r>
    </w:p>
    <w:p w14:paraId="7F5E8ADB" w14:textId="77777777" w:rsidR="00402F4F" w:rsidRPr="00CA7043" w:rsidRDefault="00402F4F" w:rsidP="00FD142E">
      <w:pPr>
        <w:pStyle w:val="Heading3"/>
        <w:spacing w:after="0" w:line="240" w:lineRule="auto"/>
        <w:ind w:left="0" w:firstLine="0"/>
        <w:rPr>
          <w:rFonts w:ascii="Times New Roman" w:hAnsi="Times New Roman" w:cs="Times New Roman"/>
        </w:rPr>
      </w:pPr>
    </w:p>
    <w:p w14:paraId="6901F21C" w14:textId="77777777" w:rsidR="00402F4F" w:rsidRPr="00CA7043" w:rsidRDefault="00402F4F" w:rsidP="00FD142E">
      <w:pPr>
        <w:pStyle w:val="Heading3"/>
        <w:spacing w:after="0" w:line="240" w:lineRule="auto"/>
        <w:ind w:left="0"/>
        <w:rPr>
          <w:rFonts w:ascii="Times New Roman" w:hAnsi="Times New Roman" w:cs="Times New Roman"/>
        </w:rPr>
      </w:pPr>
      <w:r w:rsidRPr="00CA7043">
        <w:rPr>
          <w:rFonts w:ascii="Times New Roman" w:hAnsi="Times New Roman" w:cs="Times New Roman"/>
        </w:rPr>
        <w:t>Respondents of the Study</w:t>
      </w:r>
    </w:p>
    <w:p w14:paraId="0AB2146F" w14:textId="77777777" w:rsidR="00402F4F" w:rsidRPr="00CA7043" w:rsidRDefault="00402F4F" w:rsidP="00FD142E">
      <w:pPr>
        <w:spacing w:after="0" w:line="240" w:lineRule="auto"/>
        <w:jc w:val="both"/>
        <w:rPr>
          <w:rFonts w:ascii="Times New Roman" w:hAnsi="Times New Roman" w:cs="Times New Roman"/>
          <w:sz w:val="24"/>
          <w:szCs w:val="24"/>
        </w:rPr>
      </w:pPr>
    </w:p>
    <w:p w14:paraId="6CC6AE41" w14:textId="77777777" w:rsidR="00402F4F" w:rsidRPr="00CA7043" w:rsidRDefault="00402F4F"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eastAsia="Times New Roman" w:hAnsi="Times New Roman" w:cs="Times New Roman"/>
          <w:sz w:val="24"/>
          <w:szCs w:val="24"/>
          <w:lang w:eastAsia="en-PH"/>
        </w:rPr>
        <w:t xml:space="preserve">The </w:t>
      </w:r>
      <w:r w:rsidRPr="00CA7043">
        <w:rPr>
          <w:rFonts w:ascii="Times New Roman" w:hAnsi="Times New Roman" w:cs="Times New Roman"/>
          <w:sz w:val="24"/>
          <w:szCs w:val="24"/>
        </w:rPr>
        <w:t xml:space="preserve">respondents of the study were chosen using total enumeration; all of the 201 disaster response personnel involved into hydrometeorological disaster response in the Municipality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This was to guarantee that all the qualified members of the local disaster respond system were incorporated in the investigation. The number of respondents who were totaled to 17 personnel of the Municipal Disaster Risk Reduction and Management Office (MDRRMO), 116 members of the Barangay Health Emergency Response Team (BHERT), 10 personnel of the Philippine National Police (PNP), 10 officers of the Bureau of Fire Protection (BFP), and 48 Barangay Health Workers who were distributed among the 17 barangays of </w:t>
      </w:r>
      <w:proofErr w:type="spellStart"/>
      <w:r w:rsidRPr="00CA7043">
        <w:rPr>
          <w:rFonts w:ascii="Times New Roman" w:hAnsi="Times New Roman" w:cs="Times New Roman"/>
          <w:sz w:val="24"/>
          <w:szCs w:val="24"/>
        </w:rPr>
        <w:t>Balatan</w:t>
      </w:r>
      <w:proofErr w:type="spellEnd"/>
      <w:r w:rsidRPr="00CA7043">
        <w:rPr>
          <w:rFonts w:ascii="Times New Roman" w:eastAsia="Times New Roman" w:hAnsi="Times New Roman" w:cs="Times New Roman"/>
          <w:sz w:val="24"/>
          <w:szCs w:val="24"/>
          <w:lang w:eastAsia="en-PH"/>
        </w:rPr>
        <w:t>.</w:t>
      </w:r>
    </w:p>
    <w:p w14:paraId="1D17DBD7" w14:textId="77777777" w:rsidR="00402F4F" w:rsidRPr="00CA7043" w:rsidRDefault="00402F4F" w:rsidP="00FD142E">
      <w:pPr>
        <w:spacing w:after="0" w:line="240" w:lineRule="auto"/>
        <w:jc w:val="both"/>
        <w:rPr>
          <w:rFonts w:ascii="Times New Roman" w:hAnsi="Times New Roman" w:cs="Times New Roman"/>
          <w:b/>
          <w:sz w:val="24"/>
          <w:szCs w:val="24"/>
        </w:rPr>
      </w:pPr>
    </w:p>
    <w:p w14:paraId="3759940F" w14:textId="77777777" w:rsidR="00402F4F" w:rsidRPr="00CA7043" w:rsidRDefault="00402F4F"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Research Instrument</w:t>
      </w:r>
    </w:p>
    <w:p w14:paraId="0291CBD6" w14:textId="77777777" w:rsidR="00402F4F" w:rsidRPr="00CA7043" w:rsidRDefault="00402F4F" w:rsidP="00FD142E">
      <w:pPr>
        <w:spacing w:after="0" w:line="240" w:lineRule="auto"/>
        <w:jc w:val="both"/>
        <w:rPr>
          <w:rFonts w:ascii="Times New Roman" w:hAnsi="Times New Roman" w:cs="Times New Roman"/>
          <w:b/>
          <w:sz w:val="24"/>
          <w:szCs w:val="24"/>
        </w:rPr>
      </w:pPr>
    </w:p>
    <w:p w14:paraId="2E456FB0"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The researcher designed and used a structured form of questionnaire to collect the data needed in the study.</w:t>
      </w:r>
    </w:p>
    <w:p w14:paraId="38DA8D74"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Questionnaire</w:t>
      </w:r>
      <w:r w:rsidRPr="00CA7043">
        <w:rPr>
          <w:rFonts w:ascii="Times New Roman" w:hAnsi="Times New Roman" w:cs="Times New Roman"/>
          <w:sz w:val="24"/>
          <w:szCs w:val="24"/>
        </w:rPr>
        <w:t>. In this study, the researcher used a self-administered questionnaire that was structured to collect the necessary information. A questionnaire is a data collection instrument which is a combination of a number of questions that seek to gather data on respondents. The process enhances the comprehension of the knowledge, opinions, attitudes, beliefs, and behaviors of individuals (Ranganathan, 2023). The instrument was developed as a unified and analytical instrument of gathering quantitative information on the responding ability, difficulties, and demographic features of employees in the Municipal Disaster Risk Reduction and Management Office (MDRRMO).</w:t>
      </w:r>
    </w:p>
    <w:p w14:paraId="337175CE" w14:textId="77777777" w:rsidR="00402F4F" w:rsidRPr="00CA7043" w:rsidRDefault="00402F4F" w:rsidP="00FD142E">
      <w:pPr>
        <w:spacing w:after="0" w:line="240" w:lineRule="auto"/>
        <w:ind w:firstLine="720"/>
        <w:jc w:val="both"/>
        <w:rPr>
          <w:rFonts w:ascii="Times New Roman" w:hAnsi="Times New Roman" w:cs="Times New Roman"/>
          <w:b/>
          <w:sz w:val="24"/>
          <w:szCs w:val="24"/>
        </w:rPr>
      </w:pPr>
      <w:r w:rsidRPr="00CA7043">
        <w:rPr>
          <w:rFonts w:ascii="Times New Roman" w:hAnsi="Times New Roman" w:cs="Times New Roman"/>
          <w:sz w:val="24"/>
          <w:szCs w:val="24"/>
        </w:rPr>
        <w:t>The questionnaire was used in collecting the demographic and categorical data by using the closed-ended questions and provided set response options, as well as Likert-scale items to measure the attitude and perceptions of the respondents concerning the disaster preparedness and the effectiveness of the response efforts. This combination of formats simplified the process of counting the responses in addition to revealing the way different individuals considered and evaluated disaster response systems.</w:t>
      </w:r>
    </w:p>
    <w:p w14:paraId="22C1316F"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b/>
          <w:bCs/>
          <w:sz w:val="24"/>
          <w:szCs w:val="24"/>
        </w:rPr>
      </w:pPr>
    </w:p>
    <w:p w14:paraId="689241BE"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Data Analysis</w:t>
      </w:r>
    </w:p>
    <w:p w14:paraId="4DF10EBB"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sz w:val="24"/>
          <w:szCs w:val="24"/>
        </w:rPr>
      </w:pPr>
    </w:p>
    <w:p w14:paraId="33CF0DAD"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Descriptive and inferential statistical tools were used to assess the collected data in order to come up with meaningful inferences and answer the research questions set out in the study. The analysis was done at numerous stages so that the analysis would be accurate and understandable in terms of the patterns and relationships among the different variables.</w:t>
      </w:r>
    </w:p>
    <w:p w14:paraId="294C7559"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Percentage Technique. </w:t>
      </w:r>
      <w:r w:rsidRPr="00CA7043">
        <w:rPr>
          <w:rFonts w:ascii="Times New Roman" w:hAnsi="Times New Roman" w:cs="Times New Roman"/>
          <w:sz w:val="24"/>
          <w:szCs w:val="24"/>
        </w:rPr>
        <w:t>The technique is a basic statistical technique, which is a figure expressed as a fraction of 100. This is an excellent tool that can be used to compare and interpret data. The process included dividing particular answers or characteristics by the size of the whole sample, which makes it effective especially when the descriptive analysis of categorical data was required (</w:t>
      </w:r>
      <w:proofErr w:type="spellStart"/>
      <w:r w:rsidRPr="00CA7043">
        <w:rPr>
          <w:rFonts w:ascii="Times New Roman" w:hAnsi="Times New Roman" w:cs="Times New Roman"/>
          <w:sz w:val="24"/>
          <w:szCs w:val="24"/>
        </w:rPr>
        <w:t>Embibe</w:t>
      </w:r>
      <w:proofErr w:type="spellEnd"/>
      <w:r w:rsidRPr="00CA7043">
        <w:rPr>
          <w:rFonts w:ascii="Times New Roman" w:hAnsi="Times New Roman" w:cs="Times New Roman"/>
          <w:sz w:val="24"/>
          <w:szCs w:val="24"/>
        </w:rPr>
        <w:t xml:space="preserve">, 2023). This study applied the percentage method to examine the demographic characteristics of the respondents, including age distribution, sex, civil status, family monthly income, highest educational attainment, years of service in the MDRRMO, and relevant training attended. The statistical test generated valuable results about the study </w:t>
      </w:r>
      <w:proofErr w:type="gramStart"/>
      <w:r w:rsidRPr="00CA7043">
        <w:rPr>
          <w:rFonts w:ascii="Times New Roman" w:hAnsi="Times New Roman" w:cs="Times New Roman"/>
          <w:sz w:val="24"/>
          <w:szCs w:val="24"/>
        </w:rPr>
        <w:t>respondents</w:t>
      </w:r>
      <w:proofErr w:type="gramEnd"/>
      <w:r w:rsidRPr="00CA7043">
        <w:rPr>
          <w:rFonts w:ascii="Times New Roman" w:hAnsi="Times New Roman" w:cs="Times New Roman"/>
          <w:sz w:val="24"/>
          <w:szCs w:val="24"/>
        </w:rPr>
        <w:t xml:space="preserve"> profile, and it enabled the researcher to find out the patterns and trends within the demographics of the respondents. The technique was utilized to analyze the distribution of responses across various categories of the disaster response mechanism assessment, generating significant findings into the prevalence of specific response patterns among MDRRMO personnel.</w:t>
      </w:r>
    </w:p>
    <w:p w14:paraId="753EA674" w14:textId="77777777" w:rsidR="00402F4F" w:rsidRPr="00CA7043" w:rsidRDefault="00402F4F" w:rsidP="00FD142E">
      <w:pPr>
        <w:pStyle w:val="NormalWeb"/>
        <w:spacing w:before="0" w:beforeAutospacing="0" w:after="0" w:afterAutospacing="0"/>
        <w:ind w:firstLine="709"/>
        <w:jc w:val="both"/>
        <w:rPr>
          <w:rFonts w:eastAsia="Arial"/>
          <w:lang w:val="en-US"/>
        </w:rPr>
      </w:pPr>
      <w:r w:rsidRPr="00CA7043">
        <w:rPr>
          <w:rFonts w:eastAsia="Arial"/>
          <w:b/>
        </w:rPr>
        <w:t>Weighted Mean.</w:t>
      </w:r>
      <w:r w:rsidRPr="00CA7043">
        <w:rPr>
          <w:rFonts w:eastAsia="Arial"/>
        </w:rPr>
        <w:t xml:space="preserve"> </w:t>
      </w:r>
      <w:r w:rsidRPr="00CA7043">
        <w:t xml:space="preserve">It is a special kind of average which gives different values in a dataset different levels of significance. The calculation uses the formula of multiplying the data point with its weight and then dividing the result by the sum of all the weights. It is also a more accurate representation in cases where the data points have different degrees of significance or frequency, which is particularly useful in the management of ordinal data and multi-item questionnaires (Guide et al., 2024). The statistical tool was employed in conjunction with the five-point Likert scale responses to assess the disaster response mechanisms to hydrometeorological hazards among respondents across eight identified dimensions: logistics, resources, coordination and organizations, community-related </w:t>
      </w:r>
      <w:r w:rsidRPr="00CA7043">
        <w:lastRenderedPageBreak/>
        <w:t>concerns, infrastructure and environment, training and capacity building, leadership and decision-making, and technology utilization</w:t>
      </w:r>
      <w:r w:rsidRPr="00CA7043">
        <w:rPr>
          <w:rFonts w:eastAsia="Arial"/>
          <w:lang w:val="en-US"/>
        </w:rPr>
        <w:t>.</w:t>
      </w:r>
    </w:p>
    <w:p w14:paraId="7F84A925" w14:textId="77777777" w:rsidR="00402F4F" w:rsidRPr="00CA7043" w:rsidRDefault="00402F4F" w:rsidP="00FD142E">
      <w:pPr>
        <w:pStyle w:val="NormalWeb"/>
        <w:spacing w:before="0" w:beforeAutospacing="0" w:after="0" w:afterAutospacing="0"/>
        <w:ind w:firstLine="709"/>
        <w:jc w:val="both"/>
      </w:pPr>
      <w:r w:rsidRPr="00CA7043">
        <w:rPr>
          <w:rFonts w:eastAsia="Arial"/>
          <w:lang w:val="en-US"/>
        </w:rPr>
        <w:t xml:space="preserve">Furthermore, a weighted mean was </w:t>
      </w:r>
      <w:r w:rsidRPr="00CA7043">
        <w:t xml:space="preserve">employed to examine the factors influencing the disaster response mechanism to hydrometeorological hazards among the respondents, focusing on social, environmental, economic, and personal factors as specified in objective three. The weighted mean allowed assessing the total effectiveness of the disaster response components, severity of the challenges detected because the frequency and the intensity of the responses were put into consideration. This approach is a comprehensive evaluation of the available disaster response operations and problems in </w:t>
      </w:r>
      <w:proofErr w:type="spellStart"/>
      <w:r w:rsidRPr="00CA7043">
        <w:t>Balatan</w:t>
      </w:r>
      <w:proofErr w:type="spellEnd"/>
      <w:r w:rsidRPr="00CA7043">
        <w:t xml:space="preserve">. </w:t>
      </w:r>
    </w:p>
    <w:p w14:paraId="1F59FE22" w14:textId="77777777" w:rsidR="007108A5" w:rsidRPr="00CA7043" w:rsidRDefault="007108A5" w:rsidP="00FD142E">
      <w:pPr>
        <w:pStyle w:val="NoSpacing"/>
        <w:jc w:val="both"/>
        <w:rPr>
          <w:rFonts w:ascii="Times New Roman" w:hAnsi="Times New Roman" w:cs="Times New Roman"/>
          <w:sz w:val="24"/>
          <w:szCs w:val="24"/>
        </w:rPr>
      </w:pPr>
    </w:p>
    <w:p w14:paraId="5A772469" w14:textId="77777777" w:rsidR="007108A5" w:rsidRPr="00FD142E" w:rsidRDefault="007108A5" w:rsidP="00FD142E">
      <w:pPr>
        <w:pStyle w:val="NoSpacing"/>
        <w:jc w:val="both"/>
        <w:rPr>
          <w:rFonts w:ascii="Times New Roman" w:hAnsi="Times New Roman" w:cs="Times New Roman"/>
          <w:sz w:val="24"/>
          <w:szCs w:val="24"/>
        </w:rPr>
      </w:pPr>
      <w:r w:rsidRPr="00CA7043">
        <w:rPr>
          <w:rFonts w:ascii="Times New Roman" w:hAnsi="Times New Roman" w:cs="Times New Roman"/>
          <w:b/>
          <w:sz w:val="24"/>
          <w:szCs w:val="24"/>
        </w:rPr>
        <w:t>RESULTS AND DISCUSSION</w:t>
      </w:r>
    </w:p>
    <w:p w14:paraId="27BCA39E" w14:textId="77777777" w:rsidR="007108A5" w:rsidRPr="00CA7043" w:rsidRDefault="007108A5" w:rsidP="00FD142E">
      <w:pPr>
        <w:pStyle w:val="ListParagraph"/>
        <w:spacing w:after="0" w:line="240" w:lineRule="auto"/>
        <w:ind w:left="0"/>
        <w:jc w:val="both"/>
        <w:rPr>
          <w:rFonts w:ascii="Times New Roman" w:hAnsi="Times New Roman" w:cs="Times New Roman"/>
          <w:b/>
          <w:sz w:val="24"/>
          <w:szCs w:val="24"/>
        </w:rPr>
      </w:pPr>
    </w:p>
    <w:p w14:paraId="0ADDA53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 Profile of the Respondents</w:t>
      </w:r>
    </w:p>
    <w:p w14:paraId="7417E706" w14:textId="77777777" w:rsidR="00B7621A" w:rsidRPr="00CA7043" w:rsidRDefault="00B7621A" w:rsidP="00FD142E">
      <w:pPr>
        <w:spacing w:after="0" w:line="240" w:lineRule="auto"/>
        <w:ind w:firstLine="720"/>
        <w:jc w:val="both"/>
        <w:rPr>
          <w:rFonts w:ascii="Times New Roman" w:hAnsi="Times New Roman" w:cs="Times New Roman"/>
          <w:b/>
          <w:bCs/>
          <w:sz w:val="24"/>
          <w:szCs w:val="24"/>
        </w:rPr>
      </w:pPr>
      <w:r w:rsidRPr="00CA7043">
        <w:rPr>
          <w:rFonts w:ascii="Times New Roman" w:hAnsi="Times New Roman" w:cs="Times New Roman"/>
          <w:b/>
          <w:bCs/>
          <w:sz w:val="24"/>
          <w:szCs w:val="24"/>
        </w:rPr>
        <w:t xml:space="preserve">a. Age. </w:t>
      </w:r>
      <w:r w:rsidRPr="00CA7043">
        <w:rPr>
          <w:rFonts w:ascii="Times New Roman" w:hAnsi="Times New Roman" w:cs="Times New Roman"/>
          <w:sz w:val="24"/>
          <w:szCs w:val="24"/>
        </w:rPr>
        <w:t xml:space="preserve">Table 1 shows that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are spread as follows: 31-40 years (121 or 60.20%), 1st. This is then followed by those aged 41-50 years (40 or 19.90%), and those aged 21-30 years (26 or 12.93%). The oldest age bracket is registered among those responders that were above 50 years (14 or 6.97%), ranked 4th.</w:t>
      </w:r>
    </w:p>
    <w:p w14:paraId="5406CC49"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3D7F725" w14:textId="77777777" w:rsidR="00B7621A" w:rsidRPr="00CA7043" w:rsidRDefault="00B7621A" w:rsidP="00FD142E">
      <w:pPr>
        <w:spacing w:after="0" w:line="240" w:lineRule="auto"/>
        <w:ind w:firstLine="720"/>
        <w:jc w:val="both"/>
        <w:rPr>
          <w:rFonts w:ascii="Times New Roman" w:hAnsi="Times New Roman" w:cs="Times New Roman"/>
          <w:b/>
          <w:sz w:val="24"/>
          <w:szCs w:val="24"/>
        </w:rPr>
      </w:pPr>
      <w:r w:rsidRPr="00CA7043">
        <w:rPr>
          <w:rFonts w:ascii="Times New Roman" w:hAnsi="Times New Roman" w:cs="Times New Roman"/>
          <w:b/>
          <w:bCs/>
          <w:sz w:val="24"/>
          <w:szCs w:val="24"/>
        </w:rPr>
        <w:t>Table 1. Distribution of Respondents According to</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Age </w:t>
      </w:r>
    </w:p>
    <w:p w14:paraId="2F310C20" w14:textId="77777777" w:rsidR="00B7621A" w:rsidRPr="00CA7043" w:rsidRDefault="00B7621A" w:rsidP="00FD142E">
      <w:pPr>
        <w:spacing w:after="0" w:line="240" w:lineRule="auto"/>
        <w:ind w:firstLine="720"/>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470769D4" w14:textId="77777777" w:rsidTr="00CA7043">
        <w:trPr>
          <w:trHeight w:val="213"/>
        </w:trPr>
        <w:tc>
          <w:tcPr>
            <w:tcW w:w="3870" w:type="dxa"/>
            <w:tcBorders>
              <w:top w:val="double" w:sz="4" w:space="0" w:color="auto"/>
              <w:left w:val="nil"/>
              <w:bottom w:val="single" w:sz="4" w:space="0" w:color="000000"/>
              <w:right w:val="nil"/>
            </w:tcBorders>
            <w:vAlign w:val="center"/>
            <w:hideMark/>
          </w:tcPr>
          <w:p w14:paraId="07AAFE9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45F6C8D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782D67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616A533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EABD203" w14:textId="77777777" w:rsidTr="00CA7043">
        <w:trPr>
          <w:trHeight w:val="70"/>
        </w:trPr>
        <w:tc>
          <w:tcPr>
            <w:tcW w:w="3870" w:type="dxa"/>
            <w:tcBorders>
              <w:top w:val="nil"/>
              <w:left w:val="nil"/>
              <w:bottom w:val="nil"/>
              <w:right w:val="nil"/>
            </w:tcBorders>
            <w:vAlign w:val="bottom"/>
          </w:tcPr>
          <w:p w14:paraId="0273C5BB"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21-30 years old</w:t>
            </w:r>
          </w:p>
        </w:tc>
        <w:tc>
          <w:tcPr>
            <w:tcW w:w="1620" w:type="dxa"/>
            <w:tcBorders>
              <w:top w:val="nil"/>
              <w:left w:val="nil"/>
              <w:bottom w:val="nil"/>
              <w:right w:val="nil"/>
            </w:tcBorders>
            <w:vAlign w:val="bottom"/>
          </w:tcPr>
          <w:p w14:paraId="2E75570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w:t>
            </w:r>
          </w:p>
        </w:tc>
        <w:tc>
          <w:tcPr>
            <w:tcW w:w="1710" w:type="dxa"/>
            <w:tcBorders>
              <w:top w:val="nil"/>
              <w:left w:val="nil"/>
              <w:bottom w:val="nil"/>
              <w:right w:val="nil"/>
            </w:tcBorders>
            <w:vAlign w:val="bottom"/>
          </w:tcPr>
          <w:p w14:paraId="66975A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12.93</w:t>
            </w:r>
          </w:p>
        </w:tc>
        <w:tc>
          <w:tcPr>
            <w:tcW w:w="1440" w:type="dxa"/>
            <w:tcBorders>
              <w:top w:val="nil"/>
              <w:left w:val="nil"/>
              <w:bottom w:val="nil"/>
              <w:right w:val="nil"/>
            </w:tcBorders>
            <w:vAlign w:val="bottom"/>
          </w:tcPr>
          <w:p w14:paraId="576812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8F165EA" w14:textId="77777777" w:rsidTr="00CA7043">
        <w:trPr>
          <w:trHeight w:val="70"/>
        </w:trPr>
        <w:tc>
          <w:tcPr>
            <w:tcW w:w="3870" w:type="dxa"/>
            <w:tcBorders>
              <w:top w:val="nil"/>
              <w:left w:val="nil"/>
              <w:bottom w:val="nil"/>
              <w:right w:val="nil"/>
            </w:tcBorders>
            <w:vAlign w:val="bottom"/>
          </w:tcPr>
          <w:p w14:paraId="30A49FD9"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31-40 years old</w:t>
            </w:r>
          </w:p>
        </w:tc>
        <w:tc>
          <w:tcPr>
            <w:tcW w:w="1620" w:type="dxa"/>
            <w:tcBorders>
              <w:top w:val="nil"/>
              <w:left w:val="nil"/>
              <w:bottom w:val="nil"/>
              <w:right w:val="nil"/>
            </w:tcBorders>
            <w:vAlign w:val="bottom"/>
          </w:tcPr>
          <w:p w14:paraId="36950A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121</w:t>
            </w:r>
          </w:p>
        </w:tc>
        <w:tc>
          <w:tcPr>
            <w:tcW w:w="1710" w:type="dxa"/>
            <w:tcBorders>
              <w:top w:val="nil"/>
              <w:left w:val="nil"/>
              <w:bottom w:val="nil"/>
              <w:right w:val="nil"/>
            </w:tcBorders>
            <w:vAlign w:val="bottom"/>
          </w:tcPr>
          <w:p w14:paraId="0EC9FC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60.20</w:t>
            </w:r>
          </w:p>
        </w:tc>
        <w:tc>
          <w:tcPr>
            <w:tcW w:w="1440" w:type="dxa"/>
            <w:tcBorders>
              <w:top w:val="nil"/>
              <w:left w:val="nil"/>
              <w:bottom w:val="nil"/>
              <w:right w:val="nil"/>
            </w:tcBorders>
            <w:vAlign w:val="bottom"/>
          </w:tcPr>
          <w:p w14:paraId="75F166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69D0C5EC" w14:textId="77777777" w:rsidTr="00CA7043">
        <w:trPr>
          <w:trHeight w:val="70"/>
        </w:trPr>
        <w:tc>
          <w:tcPr>
            <w:tcW w:w="3870" w:type="dxa"/>
            <w:tcBorders>
              <w:top w:val="nil"/>
              <w:left w:val="nil"/>
              <w:bottom w:val="nil"/>
              <w:right w:val="nil"/>
            </w:tcBorders>
            <w:vAlign w:val="bottom"/>
          </w:tcPr>
          <w:p w14:paraId="6FDF915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41-50 years old</w:t>
            </w:r>
          </w:p>
        </w:tc>
        <w:tc>
          <w:tcPr>
            <w:tcW w:w="1620" w:type="dxa"/>
            <w:tcBorders>
              <w:top w:val="nil"/>
              <w:left w:val="nil"/>
              <w:bottom w:val="nil"/>
              <w:right w:val="nil"/>
            </w:tcBorders>
            <w:vAlign w:val="bottom"/>
          </w:tcPr>
          <w:p w14:paraId="6ED8379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40</w:t>
            </w:r>
          </w:p>
        </w:tc>
        <w:tc>
          <w:tcPr>
            <w:tcW w:w="1710" w:type="dxa"/>
            <w:tcBorders>
              <w:top w:val="nil"/>
              <w:left w:val="nil"/>
              <w:bottom w:val="nil"/>
              <w:right w:val="nil"/>
            </w:tcBorders>
            <w:vAlign w:val="bottom"/>
          </w:tcPr>
          <w:p w14:paraId="77DA36B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19.90</w:t>
            </w:r>
          </w:p>
        </w:tc>
        <w:tc>
          <w:tcPr>
            <w:tcW w:w="1440" w:type="dxa"/>
            <w:tcBorders>
              <w:top w:val="nil"/>
              <w:left w:val="nil"/>
              <w:bottom w:val="nil"/>
              <w:right w:val="nil"/>
            </w:tcBorders>
            <w:vAlign w:val="bottom"/>
          </w:tcPr>
          <w:p w14:paraId="0971B2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64FCFFC" w14:textId="77777777" w:rsidTr="00CA7043">
        <w:trPr>
          <w:trHeight w:val="70"/>
        </w:trPr>
        <w:tc>
          <w:tcPr>
            <w:tcW w:w="3870" w:type="dxa"/>
            <w:tcBorders>
              <w:top w:val="nil"/>
              <w:left w:val="nil"/>
              <w:bottom w:val="nil"/>
              <w:right w:val="nil"/>
            </w:tcBorders>
            <w:vAlign w:val="bottom"/>
          </w:tcPr>
          <w:p w14:paraId="0945EC2B"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Above 50 years old</w:t>
            </w:r>
          </w:p>
        </w:tc>
        <w:tc>
          <w:tcPr>
            <w:tcW w:w="1620" w:type="dxa"/>
            <w:tcBorders>
              <w:top w:val="nil"/>
              <w:left w:val="nil"/>
              <w:bottom w:val="nil"/>
              <w:right w:val="nil"/>
            </w:tcBorders>
            <w:vAlign w:val="bottom"/>
          </w:tcPr>
          <w:p w14:paraId="5A81E3A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w:t>
            </w:r>
          </w:p>
        </w:tc>
        <w:tc>
          <w:tcPr>
            <w:tcW w:w="1710" w:type="dxa"/>
            <w:tcBorders>
              <w:top w:val="nil"/>
              <w:left w:val="nil"/>
              <w:bottom w:val="nil"/>
              <w:right w:val="nil"/>
            </w:tcBorders>
            <w:vAlign w:val="bottom"/>
          </w:tcPr>
          <w:p w14:paraId="4407095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6.97</w:t>
            </w:r>
          </w:p>
        </w:tc>
        <w:tc>
          <w:tcPr>
            <w:tcW w:w="1440" w:type="dxa"/>
            <w:tcBorders>
              <w:top w:val="nil"/>
              <w:left w:val="nil"/>
              <w:bottom w:val="nil"/>
              <w:right w:val="nil"/>
            </w:tcBorders>
            <w:vAlign w:val="bottom"/>
          </w:tcPr>
          <w:p w14:paraId="5CFECE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74B0D224" w14:textId="77777777" w:rsidTr="00CA7043">
        <w:tc>
          <w:tcPr>
            <w:tcW w:w="3870" w:type="dxa"/>
            <w:tcBorders>
              <w:top w:val="single" w:sz="4" w:space="0" w:color="000000"/>
              <w:left w:val="nil"/>
              <w:bottom w:val="double" w:sz="4" w:space="0" w:color="auto"/>
              <w:right w:val="nil"/>
            </w:tcBorders>
            <w:vAlign w:val="center"/>
            <w:hideMark/>
          </w:tcPr>
          <w:p w14:paraId="2EEABDA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7E7A97F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4024D8F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60A352EA"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3E7AA7F0"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02897B9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Results indicated that a majority of disaster response workers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aged 31-40, which highlights experience in the workforce. The age distribution indicates that the MDRRMO is predominantly made up of persons of working-age with most individuals having physical and professional capability to work in such a disaster response operation. Most of the respondents are of ages 31 to 40 years old, indicating a workforce that combines extensive professionalism with the physical strength needed to handle the highly strenuous disaster response operations.</w:t>
      </w:r>
    </w:p>
    <w:p w14:paraId="6F56AAFD"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b. Sex.</w:t>
      </w:r>
      <w:r w:rsidRPr="00CA7043">
        <w:rPr>
          <w:rFonts w:ascii="Times New Roman" w:hAnsi="Times New Roman" w:cs="Times New Roman"/>
          <w:sz w:val="24"/>
          <w:szCs w:val="24"/>
        </w:rPr>
        <w:t xml:space="preserve"> Table 2 shows the sex distribution of respondents in the MDRRMO </w:t>
      </w:r>
    </w:p>
    <w:p w14:paraId="6AEA9E07"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sz w:val="24"/>
          <w:szCs w:val="24"/>
        </w:rPr>
        <w:t xml:space="preserve">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There are 201 respondents (n= 201), 118 is male (58.71%), and 79 is female (39.30). Only (four or 1.99) did not disclose their sex.</w:t>
      </w:r>
    </w:p>
    <w:p w14:paraId="45BD5586" w14:textId="77777777" w:rsidR="00B7621A" w:rsidRPr="00CA7043" w:rsidRDefault="00B7621A" w:rsidP="00FD142E">
      <w:pPr>
        <w:spacing w:after="0" w:line="240" w:lineRule="auto"/>
        <w:jc w:val="both"/>
        <w:rPr>
          <w:rFonts w:ascii="Times New Roman" w:hAnsi="Times New Roman" w:cs="Times New Roman"/>
          <w:b/>
          <w:bCs/>
          <w:sz w:val="24"/>
          <w:szCs w:val="24"/>
        </w:rPr>
      </w:pPr>
    </w:p>
    <w:p w14:paraId="0B86CD93" w14:textId="77777777" w:rsidR="00B7621A" w:rsidRPr="00CA7043" w:rsidRDefault="00B7621A" w:rsidP="00FD142E">
      <w:pPr>
        <w:spacing w:after="0" w:line="240" w:lineRule="auto"/>
        <w:jc w:val="both"/>
        <w:rPr>
          <w:rFonts w:ascii="Times New Roman" w:hAnsi="Times New Roman" w:cs="Times New Roman"/>
          <w:b/>
          <w:bCs/>
          <w:sz w:val="24"/>
          <w:szCs w:val="24"/>
        </w:rPr>
      </w:pPr>
    </w:p>
    <w:p w14:paraId="4D89365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2. Distribution of Respondents According to Sex</w:t>
      </w:r>
    </w:p>
    <w:p w14:paraId="23F6EC2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5F1AE51" w14:textId="77777777" w:rsidTr="00CA7043">
        <w:trPr>
          <w:trHeight w:val="213"/>
        </w:trPr>
        <w:tc>
          <w:tcPr>
            <w:tcW w:w="3870" w:type="dxa"/>
            <w:tcBorders>
              <w:top w:val="double" w:sz="4" w:space="0" w:color="auto"/>
              <w:left w:val="nil"/>
              <w:bottom w:val="single" w:sz="4" w:space="0" w:color="000000"/>
              <w:right w:val="nil"/>
            </w:tcBorders>
            <w:vAlign w:val="center"/>
            <w:hideMark/>
          </w:tcPr>
          <w:p w14:paraId="52CE0BE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45AC5DB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0092F39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2096D83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C03FCBC" w14:textId="77777777" w:rsidTr="00CA7043">
        <w:trPr>
          <w:trHeight w:val="70"/>
        </w:trPr>
        <w:tc>
          <w:tcPr>
            <w:tcW w:w="3870" w:type="dxa"/>
            <w:tcBorders>
              <w:top w:val="single" w:sz="4" w:space="0" w:color="000000"/>
              <w:left w:val="nil"/>
              <w:bottom w:val="nil"/>
              <w:right w:val="nil"/>
            </w:tcBorders>
            <w:hideMark/>
          </w:tcPr>
          <w:p w14:paraId="33B933D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Male</w:t>
            </w:r>
          </w:p>
        </w:tc>
        <w:tc>
          <w:tcPr>
            <w:tcW w:w="1620" w:type="dxa"/>
            <w:tcBorders>
              <w:top w:val="single" w:sz="4" w:space="0" w:color="000000"/>
              <w:left w:val="nil"/>
              <w:bottom w:val="nil"/>
              <w:right w:val="nil"/>
            </w:tcBorders>
            <w:vAlign w:val="bottom"/>
          </w:tcPr>
          <w:p w14:paraId="630618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118</w:t>
            </w:r>
          </w:p>
        </w:tc>
        <w:tc>
          <w:tcPr>
            <w:tcW w:w="1710" w:type="dxa"/>
            <w:tcBorders>
              <w:top w:val="single" w:sz="4" w:space="0" w:color="000000"/>
              <w:left w:val="nil"/>
              <w:bottom w:val="nil"/>
              <w:right w:val="nil"/>
            </w:tcBorders>
            <w:vAlign w:val="bottom"/>
          </w:tcPr>
          <w:p w14:paraId="7BE48B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58.71</w:t>
            </w:r>
          </w:p>
        </w:tc>
        <w:tc>
          <w:tcPr>
            <w:tcW w:w="1440" w:type="dxa"/>
            <w:tcBorders>
              <w:top w:val="single" w:sz="4" w:space="0" w:color="000000"/>
              <w:left w:val="nil"/>
              <w:bottom w:val="nil"/>
              <w:right w:val="nil"/>
            </w:tcBorders>
            <w:vAlign w:val="bottom"/>
          </w:tcPr>
          <w:p w14:paraId="09C3EA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CE68B56" w14:textId="77777777" w:rsidTr="00CA7043">
        <w:trPr>
          <w:trHeight w:val="70"/>
        </w:trPr>
        <w:tc>
          <w:tcPr>
            <w:tcW w:w="3870" w:type="dxa"/>
            <w:tcBorders>
              <w:top w:val="nil"/>
              <w:left w:val="nil"/>
              <w:bottom w:val="nil"/>
              <w:right w:val="nil"/>
            </w:tcBorders>
            <w:hideMark/>
          </w:tcPr>
          <w:p w14:paraId="00037C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Female</w:t>
            </w:r>
          </w:p>
        </w:tc>
        <w:tc>
          <w:tcPr>
            <w:tcW w:w="1620" w:type="dxa"/>
            <w:tcBorders>
              <w:top w:val="nil"/>
              <w:left w:val="nil"/>
              <w:bottom w:val="nil"/>
              <w:right w:val="nil"/>
            </w:tcBorders>
            <w:vAlign w:val="bottom"/>
          </w:tcPr>
          <w:p w14:paraId="20BFE04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79</w:t>
            </w:r>
          </w:p>
        </w:tc>
        <w:tc>
          <w:tcPr>
            <w:tcW w:w="1710" w:type="dxa"/>
            <w:tcBorders>
              <w:top w:val="nil"/>
              <w:left w:val="nil"/>
              <w:bottom w:val="nil"/>
              <w:right w:val="nil"/>
            </w:tcBorders>
            <w:vAlign w:val="bottom"/>
          </w:tcPr>
          <w:p w14:paraId="7C0BEF6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39.30</w:t>
            </w:r>
          </w:p>
        </w:tc>
        <w:tc>
          <w:tcPr>
            <w:tcW w:w="1440" w:type="dxa"/>
            <w:tcBorders>
              <w:top w:val="nil"/>
              <w:left w:val="nil"/>
              <w:bottom w:val="nil"/>
              <w:right w:val="nil"/>
            </w:tcBorders>
            <w:vAlign w:val="bottom"/>
          </w:tcPr>
          <w:p w14:paraId="70EBB0B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019E5CA" w14:textId="77777777" w:rsidTr="00CA7043">
        <w:trPr>
          <w:trHeight w:val="70"/>
        </w:trPr>
        <w:tc>
          <w:tcPr>
            <w:tcW w:w="3870" w:type="dxa"/>
            <w:tcBorders>
              <w:top w:val="nil"/>
              <w:left w:val="nil"/>
              <w:bottom w:val="nil"/>
              <w:right w:val="nil"/>
            </w:tcBorders>
          </w:tcPr>
          <w:p w14:paraId="537C20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Prefer not to say</w:t>
            </w:r>
          </w:p>
        </w:tc>
        <w:tc>
          <w:tcPr>
            <w:tcW w:w="1620" w:type="dxa"/>
            <w:tcBorders>
              <w:top w:val="nil"/>
              <w:left w:val="nil"/>
              <w:bottom w:val="nil"/>
              <w:right w:val="nil"/>
            </w:tcBorders>
            <w:vAlign w:val="bottom"/>
          </w:tcPr>
          <w:p w14:paraId="5BFDB2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c>
          <w:tcPr>
            <w:tcW w:w="1710" w:type="dxa"/>
            <w:tcBorders>
              <w:top w:val="nil"/>
              <w:left w:val="nil"/>
              <w:bottom w:val="nil"/>
              <w:right w:val="nil"/>
            </w:tcBorders>
            <w:vAlign w:val="bottom"/>
          </w:tcPr>
          <w:p w14:paraId="2EBAD6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1.99</w:t>
            </w:r>
          </w:p>
        </w:tc>
        <w:tc>
          <w:tcPr>
            <w:tcW w:w="1440" w:type="dxa"/>
            <w:tcBorders>
              <w:top w:val="nil"/>
              <w:left w:val="nil"/>
              <w:bottom w:val="nil"/>
              <w:right w:val="nil"/>
            </w:tcBorders>
            <w:vAlign w:val="bottom"/>
          </w:tcPr>
          <w:p w14:paraId="50BF25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2DCCCEE" w14:textId="77777777" w:rsidTr="00CA7043">
        <w:tc>
          <w:tcPr>
            <w:tcW w:w="3870" w:type="dxa"/>
            <w:tcBorders>
              <w:top w:val="single" w:sz="4" w:space="0" w:color="000000"/>
              <w:left w:val="nil"/>
              <w:bottom w:val="double" w:sz="4" w:space="0" w:color="auto"/>
              <w:right w:val="nil"/>
            </w:tcBorders>
            <w:vAlign w:val="center"/>
            <w:hideMark/>
          </w:tcPr>
          <w:p w14:paraId="0C9158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lastRenderedPageBreak/>
              <w:t xml:space="preserve">                    Total</w:t>
            </w:r>
          </w:p>
        </w:tc>
        <w:tc>
          <w:tcPr>
            <w:tcW w:w="1620" w:type="dxa"/>
            <w:tcBorders>
              <w:top w:val="single" w:sz="4" w:space="0" w:color="000000"/>
              <w:left w:val="nil"/>
              <w:bottom w:val="double" w:sz="4" w:space="0" w:color="auto"/>
              <w:right w:val="nil"/>
            </w:tcBorders>
            <w:vAlign w:val="center"/>
            <w:hideMark/>
          </w:tcPr>
          <w:p w14:paraId="3F043DC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20C25C4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5B5ABBA0"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2BAE9E3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64F7FF44"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presence of more male respondents indicated that disaster response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remains a conventionally male-dominated profession. It is explainable by the ongoing belief that disaster response and emergency management roles require a physically strong individual with stamina or other man-related traits. The high presence of female respondents, which reached almost 40 percent, indicates that there is a slow shift towards inclusive participation. This is evidence of the sustained initiatives to enhance gender integration and equity in the disaster risk reduction and management programs.</w:t>
      </w:r>
    </w:p>
    <w:p w14:paraId="1908AD6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c. Civil Status.</w:t>
      </w:r>
      <w:r w:rsidRPr="00CA7043">
        <w:rPr>
          <w:rFonts w:ascii="Times New Roman" w:hAnsi="Times New Roman" w:cs="Times New Roman"/>
          <w:sz w:val="24"/>
          <w:szCs w:val="24"/>
        </w:rPr>
        <w:t xml:space="preserve"> Table 3 shows the civil status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Of 201 respondents, the majority is married (169 or 84.08%), position 1st. Next are single respondents (20 or 9.95%), rank 2nd. Smaller percentages are recorded in widowed category (nine, 4.48 percent), rank 3rd, and separated responders (three people or 1.49 percent), rank 4th.</w:t>
      </w:r>
    </w:p>
    <w:p w14:paraId="7CF0BF6C" w14:textId="77777777" w:rsidR="00B7621A" w:rsidRPr="00CA7043" w:rsidRDefault="00B7621A" w:rsidP="00FD142E">
      <w:pPr>
        <w:spacing w:after="0" w:line="240" w:lineRule="auto"/>
        <w:jc w:val="both"/>
        <w:rPr>
          <w:rFonts w:ascii="Times New Roman" w:hAnsi="Times New Roman" w:cs="Times New Roman"/>
          <w:b/>
          <w:bCs/>
          <w:sz w:val="24"/>
          <w:szCs w:val="24"/>
        </w:rPr>
      </w:pPr>
    </w:p>
    <w:p w14:paraId="3AEC9A3B"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3. Distribution of Respondents According to Civil Status</w:t>
      </w:r>
    </w:p>
    <w:p w14:paraId="21E596FD"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2F33120C" w14:textId="77777777" w:rsidTr="00CA7043">
        <w:trPr>
          <w:trHeight w:val="213"/>
        </w:trPr>
        <w:tc>
          <w:tcPr>
            <w:tcW w:w="3870" w:type="dxa"/>
            <w:tcBorders>
              <w:top w:val="double" w:sz="4" w:space="0" w:color="auto"/>
              <w:left w:val="nil"/>
              <w:bottom w:val="single" w:sz="4" w:space="0" w:color="000000"/>
              <w:right w:val="nil"/>
            </w:tcBorders>
            <w:vAlign w:val="center"/>
            <w:hideMark/>
          </w:tcPr>
          <w:p w14:paraId="7FDE1B4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06CA96C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506BAC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0E38AC3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7895C89" w14:textId="77777777" w:rsidTr="00CA7043">
        <w:trPr>
          <w:trHeight w:val="70"/>
        </w:trPr>
        <w:tc>
          <w:tcPr>
            <w:tcW w:w="3870" w:type="dxa"/>
            <w:tcBorders>
              <w:top w:val="single" w:sz="4" w:space="0" w:color="000000"/>
              <w:left w:val="nil"/>
              <w:bottom w:val="nil"/>
              <w:right w:val="nil"/>
            </w:tcBorders>
            <w:hideMark/>
          </w:tcPr>
          <w:p w14:paraId="554810F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Single</w:t>
            </w:r>
          </w:p>
        </w:tc>
        <w:tc>
          <w:tcPr>
            <w:tcW w:w="1620" w:type="dxa"/>
            <w:tcBorders>
              <w:top w:val="single" w:sz="4" w:space="0" w:color="000000"/>
              <w:left w:val="nil"/>
              <w:bottom w:val="nil"/>
              <w:right w:val="nil"/>
            </w:tcBorders>
            <w:vAlign w:val="bottom"/>
          </w:tcPr>
          <w:p w14:paraId="48BF3C2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20</w:t>
            </w:r>
          </w:p>
        </w:tc>
        <w:tc>
          <w:tcPr>
            <w:tcW w:w="1710" w:type="dxa"/>
            <w:tcBorders>
              <w:top w:val="single" w:sz="4" w:space="0" w:color="000000"/>
              <w:left w:val="nil"/>
              <w:bottom w:val="nil"/>
              <w:right w:val="nil"/>
            </w:tcBorders>
            <w:vAlign w:val="bottom"/>
          </w:tcPr>
          <w:p w14:paraId="6B728F8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9.95</w:t>
            </w:r>
          </w:p>
        </w:tc>
        <w:tc>
          <w:tcPr>
            <w:tcW w:w="1440" w:type="dxa"/>
            <w:tcBorders>
              <w:top w:val="single" w:sz="4" w:space="0" w:color="000000"/>
              <w:left w:val="nil"/>
              <w:bottom w:val="nil"/>
              <w:right w:val="nil"/>
            </w:tcBorders>
            <w:vAlign w:val="bottom"/>
          </w:tcPr>
          <w:p w14:paraId="24F8600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21CB563E" w14:textId="77777777" w:rsidTr="00CA7043">
        <w:trPr>
          <w:trHeight w:val="70"/>
        </w:trPr>
        <w:tc>
          <w:tcPr>
            <w:tcW w:w="3870" w:type="dxa"/>
            <w:tcBorders>
              <w:top w:val="nil"/>
              <w:left w:val="nil"/>
              <w:bottom w:val="nil"/>
              <w:right w:val="nil"/>
            </w:tcBorders>
            <w:hideMark/>
          </w:tcPr>
          <w:p w14:paraId="1BAFEC1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Married</w:t>
            </w:r>
          </w:p>
        </w:tc>
        <w:tc>
          <w:tcPr>
            <w:tcW w:w="1620" w:type="dxa"/>
            <w:tcBorders>
              <w:top w:val="nil"/>
              <w:left w:val="nil"/>
              <w:bottom w:val="nil"/>
              <w:right w:val="nil"/>
            </w:tcBorders>
            <w:vAlign w:val="bottom"/>
          </w:tcPr>
          <w:p w14:paraId="470196B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169</w:t>
            </w:r>
          </w:p>
        </w:tc>
        <w:tc>
          <w:tcPr>
            <w:tcW w:w="1710" w:type="dxa"/>
            <w:tcBorders>
              <w:top w:val="nil"/>
              <w:left w:val="nil"/>
              <w:bottom w:val="nil"/>
              <w:right w:val="nil"/>
            </w:tcBorders>
            <w:vAlign w:val="bottom"/>
          </w:tcPr>
          <w:p w14:paraId="22FF81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84.08</w:t>
            </w:r>
          </w:p>
        </w:tc>
        <w:tc>
          <w:tcPr>
            <w:tcW w:w="1440" w:type="dxa"/>
            <w:tcBorders>
              <w:top w:val="nil"/>
              <w:left w:val="nil"/>
              <w:bottom w:val="nil"/>
              <w:right w:val="nil"/>
            </w:tcBorders>
            <w:vAlign w:val="bottom"/>
          </w:tcPr>
          <w:p w14:paraId="3F25A22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E306F7D" w14:textId="77777777" w:rsidTr="00CA7043">
        <w:trPr>
          <w:trHeight w:val="70"/>
        </w:trPr>
        <w:tc>
          <w:tcPr>
            <w:tcW w:w="3870" w:type="dxa"/>
            <w:tcBorders>
              <w:top w:val="nil"/>
              <w:left w:val="nil"/>
              <w:bottom w:val="nil"/>
              <w:right w:val="nil"/>
            </w:tcBorders>
          </w:tcPr>
          <w:p w14:paraId="10B83D5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Widowed</w:t>
            </w:r>
          </w:p>
        </w:tc>
        <w:tc>
          <w:tcPr>
            <w:tcW w:w="1620" w:type="dxa"/>
            <w:tcBorders>
              <w:top w:val="nil"/>
              <w:left w:val="nil"/>
              <w:bottom w:val="nil"/>
              <w:right w:val="nil"/>
            </w:tcBorders>
            <w:vAlign w:val="bottom"/>
          </w:tcPr>
          <w:p w14:paraId="07165B5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w:t>
            </w:r>
          </w:p>
        </w:tc>
        <w:tc>
          <w:tcPr>
            <w:tcW w:w="1710" w:type="dxa"/>
            <w:tcBorders>
              <w:top w:val="nil"/>
              <w:left w:val="nil"/>
              <w:bottom w:val="nil"/>
              <w:right w:val="nil"/>
            </w:tcBorders>
            <w:vAlign w:val="bottom"/>
          </w:tcPr>
          <w:p w14:paraId="7FBB1AE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4.48</w:t>
            </w:r>
          </w:p>
        </w:tc>
        <w:tc>
          <w:tcPr>
            <w:tcW w:w="1440" w:type="dxa"/>
            <w:tcBorders>
              <w:top w:val="nil"/>
              <w:left w:val="nil"/>
              <w:bottom w:val="nil"/>
              <w:right w:val="nil"/>
            </w:tcBorders>
            <w:vAlign w:val="bottom"/>
          </w:tcPr>
          <w:p w14:paraId="48040B4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6966FF57" w14:textId="77777777" w:rsidTr="00CA7043">
        <w:trPr>
          <w:trHeight w:val="70"/>
        </w:trPr>
        <w:tc>
          <w:tcPr>
            <w:tcW w:w="3870" w:type="dxa"/>
            <w:tcBorders>
              <w:top w:val="nil"/>
              <w:left w:val="nil"/>
              <w:bottom w:val="nil"/>
              <w:right w:val="nil"/>
            </w:tcBorders>
          </w:tcPr>
          <w:p w14:paraId="0331F5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Separated </w:t>
            </w:r>
          </w:p>
        </w:tc>
        <w:tc>
          <w:tcPr>
            <w:tcW w:w="1620" w:type="dxa"/>
            <w:tcBorders>
              <w:top w:val="nil"/>
              <w:left w:val="nil"/>
              <w:bottom w:val="nil"/>
              <w:right w:val="nil"/>
            </w:tcBorders>
            <w:vAlign w:val="bottom"/>
          </w:tcPr>
          <w:p w14:paraId="2E933A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c>
          <w:tcPr>
            <w:tcW w:w="1710" w:type="dxa"/>
            <w:tcBorders>
              <w:top w:val="nil"/>
              <w:left w:val="nil"/>
              <w:bottom w:val="nil"/>
              <w:right w:val="nil"/>
            </w:tcBorders>
            <w:vAlign w:val="bottom"/>
          </w:tcPr>
          <w:p w14:paraId="6143E26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1.49</w:t>
            </w:r>
          </w:p>
        </w:tc>
        <w:tc>
          <w:tcPr>
            <w:tcW w:w="1440" w:type="dxa"/>
            <w:tcBorders>
              <w:top w:val="nil"/>
              <w:left w:val="nil"/>
              <w:bottom w:val="nil"/>
              <w:right w:val="nil"/>
            </w:tcBorders>
            <w:vAlign w:val="bottom"/>
          </w:tcPr>
          <w:p w14:paraId="04526E8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7D6C0B7" w14:textId="77777777" w:rsidTr="00CA7043">
        <w:tc>
          <w:tcPr>
            <w:tcW w:w="3870" w:type="dxa"/>
            <w:tcBorders>
              <w:top w:val="single" w:sz="4" w:space="0" w:color="000000"/>
              <w:left w:val="nil"/>
              <w:bottom w:val="double" w:sz="4" w:space="0" w:color="auto"/>
              <w:right w:val="nil"/>
            </w:tcBorders>
            <w:vAlign w:val="center"/>
            <w:hideMark/>
          </w:tcPr>
          <w:p w14:paraId="2F5EA5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5D073F2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7A0EC2C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23539062"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4AC0066"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359833AE"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showed that a large proportion of MDRRMO staff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married. This demographic attribute shows that the disaster response workforce is mostly composed of people with substantial familial commitments and duties. The presence of married responders in the response efforts is another aspect of a disaster response that is important since they must be able to balance the needs of their professional duties and those of the family in times of disaster.</w:t>
      </w:r>
    </w:p>
    <w:p w14:paraId="2B035FE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d. Family Monthly Income</w:t>
      </w:r>
      <w:r w:rsidRPr="00CA7043">
        <w:rPr>
          <w:rFonts w:ascii="Times New Roman" w:hAnsi="Times New Roman" w:cs="Times New Roman"/>
          <w:sz w:val="24"/>
          <w:szCs w:val="24"/>
        </w:rPr>
        <w:t xml:space="preserve">. Table 4 shows the family monthly income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1st in rank, of 201 respondents, majority of them are in the Php 10, 000- Php 20, 000 income bracket (117 or 58.21%). This is then preceded by the income that exceeds Php 30,001 (65 individuals or 32.34%), which ranks 2nd. The lowest percentage is at the Php 20, 001- Php 30, 000 income (19 respondents or 9.45 percent), 3rd place.</w:t>
      </w:r>
    </w:p>
    <w:p w14:paraId="3B82AB2F" w14:textId="77777777" w:rsidR="00FD142E" w:rsidRDefault="00FD142E" w:rsidP="00FD142E">
      <w:pPr>
        <w:spacing w:after="0" w:line="240" w:lineRule="auto"/>
        <w:ind w:firstLine="720"/>
        <w:jc w:val="both"/>
        <w:rPr>
          <w:rFonts w:ascii="Times New Roman" w:hAnsi="Times New Roman" w:cs="Times New Roman"/>
          <w:sz w:val="24"/>
          <w:szCs w:val="24"/>
        </w:rPr>
      </w:pPr>
    </w:p>
    <w:p w14:paraId="1EEDFF7F" w14:textId="77777777" w:rsidR="00FD142E" w:rsidRDefault="00FD142E" w:rsidP="00FD142E">
      <w:pPr>
        <w:spacing w:after="0" w:line="240" w:lineRule="auto"/>
        <w:ind w:firstLine="720"/>
        <w:jc w:val="both"/>
        <w:rPr>
          <w:rFonts w:ascii="Times New Roman" w:hAnsi="Times New Roman" w:cs="Times New Roman"/>
          <w:sz w:val="24"/>
          <w:szCs w:val="24"/>
        </w:rPr>
      </w:pPr>
    </w:p>
    <w:p w14:paraId="2B6F6150" w14:textId="77777777" w:rsidR="00FD142E" w:rsidRPr="00CA7043" w:rsidRDefault="00FD142E" w:rsidP="00FD142E">
      <w:pPr>
        <w:spacing w:after="0" w:line="240" w:lineRule="auto"/>
        <w:ind w:firstLine="720"/>
        <w:jc w:val="both"/>
        <w:rPr>
          <w:rFonts w:ascii="Times New Roman" w:hAnsi="Times New Roman" w:cs="Times New Roman"/>
          <w:sz w:val="24"/>
          <w:szCs w:val="24"/>
        </w:rPr>
      </w:pPr>
    </w:p>
    <w:p w14:paraId="6AF4FA0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4. Distribution of Respondents According to Family Monthly Income</w:t>
      </w:r>
    </w:p>
    <w:p w14:paraId="5329A33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09A8BE3" w14:textId="77777777" w:rsidTr="00CA7043">
        <w:trPr>
          <w:trHeight w:val="213"/>
        </w:trPr>
        <w:tc>
          <w:tcPr>
            <w:tcW w:w="3870" w:type="dxa"/>
            <w:tcBorders>
              <w:top w:val="double" w:sz="4" w:space="0" w:color="auto"/>
              <w:left w:val="nil"/>
              <w:bottom w:val="single" w:sz="4" w:space="0" w:color="000000"/>
              <w:right w:val="nil"/>
            </w:tcBorders>
            <w:vAlign w:val="center"/>
            <w:hideMark/>
          </w:tcPr>
          <w:p w14:paraId="7F67040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2E12E1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54FAAE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7C5B2B5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8A43620" w14:textId="77777777" w:rsidTr="00CA7043">
        <w:trPr>
          <w:trHeight w:val="70"/>
        </w:trPr>
        <w:tc>
          <w:tcPr>
            <w:tcW w:w="3870" w:type="dxa"/>
            <w:tcBorders>
              <w:top w:val="nil"/>
              <w:left w:val="nil"/>
              <w:bottom w:val="nil"/>
              <w:right w:val="nil"/>
            </w:tcBorders>
            <w:vAlign w:val="bottom"/>
          </w:tcPr>
          <w:p w14:paraId="53F550D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Php 10,001-Php 20,000 </w:t>
            </w:r>
          </w:p>
        </w:tc>
        <w:tc>
          <w:tcPr>
            <w:tcW w:w="1620" w:type="dxa"/>
            <w:tcBorders>
              <w:top w:val="nil"/>
              <w:left w:val="nil"/>
              <w:bottom w:val="nil"/>
              <w:right w:val="nil"/>
            </w:tcBorders>
            <w:vAlign w:val="bottom"/>
          </w:tcPr>
          <w:p w14:paraId="052C207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117</w:t>
            </w:r>
          </w:p>
        </w:tc>
        <w:tc>
          <w:tcPr>
            <w:tcW w:w="1710" w:type="dxa"/>
            <w:tcBorders>
              <w:top w:val="nil"/>
              <w:left w:val="nil"/>
              <w:bottom w:val="nil"/>
              <w:right w:val="nil"/>
            </w:tcBorders>
            <w:vAlign w:val="bottom"/>
          </w:tcPr>
          <w:p w14:paraId="08E6BB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58.21</w:t>
            </w:r>
          </w:p>
        </w:tc>
        <w:tc>
          <w:tcPr>
            <w:tcW w:w="1440" w:type="dxa"/>
            <w:tcBorders>
              <w:top w:val="nil"/>
              <w:left w:val="nil"/>
              <w:bottom w:val="nil"/>
              <w:right w:val="nil"/>
            </w:tcBorders>
            <w:vAlign w:val="bottom"/>
          </w:tcPr>
          <w:p w14:paraId="16AAFC7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6A69CEA" w14:textId="77777777" w:rsidTr="00CA7043">
        <w:trPr>
          <w:trHeight w:val="70"/>
        </w:trPr>
        <w:tc>
          <w:tcPr>
            <w:tcW w:w="3870" w:type="dxa"/>
            <w:tcBorders>
              <w:top w:val="nil"/>
              <w:left w:val="nil"/>
              <w:bottom w:val="nil"/>
              <w:right w:val="nil"/>
            </w:tcBorders>
            <w:vAlign w:val="bottom"/>
          </w:tcPr>
          <w:p w14:paraId="0EBD3BC0"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Php 20,001-Php 30,000</w:t>
            </w:r>
          </w:p>
        </w:tc>
        <w:tc>
          <w:tcPr>
            <w:tcW w:w="1620" w:type="dxa"/>
            <w:tcBorders>
              <w:top w:val="nil"/>
              <w:left w:val="nil"/>
              <w:bottom w:val="nil"/>
              <w:right w:val="nil"/>
            </w:tcBorders>
            <w:vAlign w:val="bottom"/>
          </w:tcPr>
          <w:p w14:paraId="0CA9EB3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w:t>
            </w:r>
          </w:p>
        </w:tc>
        <w:tc>
          <w:tcPr>
            <w:tcW w:w="1710" w:type="dxa"/>
            <w:tcBorders>
              <w:top w:val="nil"/>
              <w:left w:val="nil"/>
              <w:bottom w:val="nil"/>
              <w:right w:val="nil"/>
            </w:tcBorders>
            <w:vAlign w:val="bottom"/>
          </w:tcPr>
          <w:p w14:paraId="6DB1C5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9.45</w:t>
            </w:r>
          </w:p>
        </w:tc>
        <w:tc>
          <w:tcPr>
            <w:tcW w:w="1440" w:type="dxa"/>
            <w:tcBorders>
              <w:top w:val="nil"/>
              <w:left w:val="nil"/>
              <w:bottom w:val="nil"/>
              <w:right w:val="nil"/>
            </w:tcBorders>
            <w:vAlign w:val="bottom"/>
          </w:tcPr>
          <w:p w14:paraId="57F5400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0831559D" w14:textId="77777777" w:rsidTr="00CA7043">
        <w:trPr>
          <w:trHeight w:val="70"/>
        </w:trPr>
        <w:tc>
          <w:tcPr>
            <w:tcW w:w="3870" w:type="dxa"/>
            <w:tcBorders>
              <w:top w:val="nil"/>
              <w:left w:val="nil"/>
              <w:bottom w:val="nil"/>
              <w:right w:val="nil"/>
            </w:tcBorders>
            <w:vAlign w:val="bottom"/>
          </w:tcPr>
          <w:p w14:paraId="70DEC2A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Above Php 30,001</w:t>
            </w:r>
          </w:p>
        </w:tc>
        <w:tc>
          <w:tcPr>
            <w:tcW w:w="1620" w:type="dxa"/>
            <w:tcBorders>
              <w:top w:val="nil"/>
              <w:left w:val="nil"/>
              <w:bottom w:val="nil"/>
              <w:right w:val="nil"/>
            </w:tcBorders>
            <w:vAlign w:val="bottom"/>
          </w:tcPr>
          <w:p w14:paraId="2CDF68D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65</w:t>
            </w:r>
          </w:p>
        </w:tc>
        <w:tc>
          <w:tcPr>
            <w:tcW w:w="1710" w:type="dxa"/>
            <w:tcBorders>
              <w:top w:val="nil"/>
              <w:left w:val="nil"/>
              <w:bottom w:val="nil"/>
              <w:right w:val="nil"/>
            </w:tcBorders>
            <w:vAlign w:val="bottom"/>
          </w:tcPr>
          <w:p w14:paraId="11C62C5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32.34</w:t>
            </w:r>
          </w:p>
        </w:tc>
        <w:tc>
          <w:tcPr>
            <w:tcW w:w="1440" w:type="dxa"/>
            <w:tcBorders>
              <w:top w:val="nil"/>
              <w:left w:val="nil"/>
              <w:bottom w:val="nil"/>
              <w:right w:val="nil"/>
            </w:tcBorders>
            <w:vAlign w:val="bottom"/>
          </w:tcPr>
          <w:p w14:paraId="7AA0DC5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26689B0B" w14:textId="77777777" w:rsidTr="00CA7043">
        <w:tc>
          <w:tcPr>
            <w:tcW w:w="3870" w:type="dxa"/>
            <w:tcBorders>
              <w:top w:val="single" w:sz="4" w:space="0" w:color="000000"/>
              <w:left w:val="nil"/>
              <w:bottom w:val="double" w:sz="4" w:space="0" w:color="auto"/>
              <w:right w:val="nil"/>
            </w:tcBorders>
            <w:vAlign w:val="center"/>
            <w:hideMark/>
          </w:tcPr>
          <w:p w14:paraId="67AE2C7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1FEBE50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37BE590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1C69EAFD"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1610B22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198ECAF3"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e. Highest Educational Attainment.</w:t>
      </w:r>
      <w:r w:rsidRPr="00CA7043">
        <w:rPr>
          <w:rFonts w:ascii="Times New Roman" w:hAnsi="Times New Roman" w:cs="Times New Roman"/>
          <w:sz w:val="24"/>
          <w:szCs w:val="24"/>
        </w:rPr>
        <w:t xml:space="preserve"> Table 5 presented the highest educational attainment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Out of 201 respondents, the majority are vocational graduates (91 or 45.28%), rank 1st. This is preceded by college graduates (68 or 33.83%), which rank 2 </w:t>
      </w:r>
      <w:proofErr w:type="spellStart"/>
      <w:r w:rsidRPr="00CA7043">
        <w:rPr>
          <w:rFonts w:ascii="Times New Roman" w:hAnsi="Times New Roman" w:cs="Times New Roman"/>
          <w:sz w:val="24"/>
          <w:szCs w:val="24"/>
        </w:rPr>
        <w:t>nd</w:t>
      </w:r>
      <w:proofErr w:type="spellEnd"/>
      <w:r w:rsidRPr="00CA7043">
        <w:rPr>
          <w:rFonts w:ascii="Times New Roman" w:hAnsi="Times New Roman" w:cs="Times New Roman"/>
          <w:sz w:val="24"/>
          <w:szCs w:val="24"/>
        </w:rPr>
        <w:t>. High school graduates (35 respondents or 17.41%) are ranked 3rd and those with postgraduate degrees (seven or 3.48%), are ranked 4th.</w:t>
      </w:r>
    </w:p>
    <w:p w14:paraId="160C84C7" w14:textId="77777777" w:rsidR="00B7621A" w:rsidRPr="00CA7043" w:rsidRDefault="00B7621A" w:rsidP="00FD142E">
      <w:pPr>
        <w:spacing w:after="0" w:line="240" w:lineRule="auto"/>
        <w:jc w:val="both"/>
        <w:rPr>
          <w:rFonts w:ascii="Times New Roman" w:hAnsi="Times New Roman" w:cs="Times New Roman"/>
          <w:b/>
          <w:bCs/>
          <w:sz w:val="24"/>
          <w:szCs w:val="24"/>
        </w:rPr>
      </w:pPr>
    </w:p>
    <w:p w14:paraId="794E781E"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5. Distribution of Respondents According to Highest Educational Attainment</w:t>
      </w:r>
    </w:p>
    <w:p w14:paraId="52630F1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72FD7915" w14:textId="77777777" w:rsidTr="00CA7043">
        <w:trPr>
          <w:trHeight w:val="213"/>
        </w:trPr>
        <w:tc>
          <w:tcPr>
            <w:tcW w:w="3870" w:type="dxa"/>
            <w:tcBorders>
              <w:top w:val="double" w:sz="4" w:space="0" w:color="auto"/>
              <w:left w:val="nil"/>
              <w:bottom w:val="single" w:sz="4" w:space="0" w:color="000000"/>
              <w:right w:val="nil"/>
            </w:tcBorders>
            <w:vAlign w:val="center"/>
            <w:hideMark/>
          </w:tcPr>
          <w:p w14:paraId="3D467FF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54A79FF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3DB1796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5C8B9C7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29811B70" w14:textId="77777777" w:rsidTr="00CA7043">
        <w:trPr>
          <w:trHeight w:val="70"/>
        </w:trPr>
        <w:tc>
          <w:tcPr>
            <w:tcW w:w="3870" w:type="dxa"/>
            <w:tcBorders>
              <w:top w:val="nil"/>
              <w:left w:val="nil"/>
              <w:bottom w:val="nil"/>
              <w:right w:val="nil"/>
            </w:tcBorders>
            <w:vAlign w:val="bottom"/>
          </w:tcPr>
          <w:p w14:paraId="011B194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Postgraduate</w:t>
            </w:r>
          </w:p>
        </w:tc>
        <w:tc>
          <w:tcPr>
            <w:tcW w:w="1620" w:type="dxa"/>
            <w:tcBorders>
              <w:top w:val="nil"/>
              <w:left w:val="nil"/>
              <w:bottom w:val="nil"/>
              <w:right w:val="nil"/>
            </w:tcBorders>
            <w:vAlign w:val="bottom"/>
          </w:tcPr>
          <w:p w14:paraId="07A4D1E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c>
          <w:tcPr>
            <w:tcW w:w="1710" w:type="dxa"/>
            <w:tcBorders>
              <w:top w:val="nil"/>
              <w:left w:val="nil"/>
              <w:bottom w:val="nil"/>
              <w:right w:val="nil"/>
            </w:tcBorders>
            <w:vAlign w:val="bottom"/>
          </w:tcPr>
          <w:p w14:paraId="5915EF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3.48</w:t>
            </w:r>
          </w:p>
        </w:tc>
        <w:tc>
          <w:tcPr>
            <w:tcW w:w="1440" w:type="dxa"/>
            <w:tcBorders>
              <w:top w:val="nil"/>
              <w:left w:val="nil"/>
              <w:bottom w:val="nil"/>
              <w:right w:val="nil"/>
            </w:tcBorders>
            <w:vAlign w:val="center"/>
          </w:tcPr>
          <w:p w14:paraId="398474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35064575" w14:textId="77777777" w:rsidTr="00CA7043">
        <w:trPr>
          <w:trHeight w:val="70"/>
        </w:trPr>
        <w:tc>
          <w:tcPr>
            <w:tcW w:w="3870" w:type="dxa"/>
            <w:tcBorders>
              <w:top w:val="nil"/>
              <w:left w:val="nil"/>
              <w:bottom w:val="nil"/>
              <w:right w:val="nil"/>
            </w:tcBorders>
            <w:vAlign w:val="bottom"/>
          </w:tcPr>
          <w:p w14:paraId="5906580D"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College graduate</w:t>
            </w:r>
          </w:p>
        </w:tc>
        <w:tc>
          <w:tcPr>
            <w:tcW w:w="1620" w:type="dxa"/>
            <w:tcBorders>
              <w:top w:val="nil"/>
              <w:left w:val="nil"/>
              <w:bottom w:val="nil"/>
              <w:right w:val="nil"/>
            </w:tcBorders>
            <w:vAlign w:val="bottom"/>
          </w:tcPr>
          <w:p w14:paraId="636CC5A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68</w:t>
            </w:r>
          </w:p>
        </w:tc>
        <w:tc>
          <w:tcPr>
            <w:tcW w:w="1710" w:type="dxa"/>
            <w:tcBorders>
              <w:top w:val="nil"/>
              <w:left w:val="nil"/>
              <w:bottom w:val="nil"/>
              <w:right w:val="nil"/>
            </w:tcBorders>
            <w:vAlign w:val="bottom"/>
          </w:tcPr>
          <w:p w14:paraId="5EE8B80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33.83</w:t>
            </w:r>
          </w:p>
        </w:tc>
        <w:tc>
          <w:tcPr>
            <w:tcW w:w="1440" w:type="dxa"/>
            <w:tcBorders>
              <w:top w:val="nil"/>
              <w:left w:val="nil"/>
              <w:bottom w:val="nil"/>
              <w:right w:val="nil"/>
            </w:tcBorders>
            <w:vAlign w:val="center"/>
          </w:tcPr>
          <w:p w14:paraId="20E9664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ECD59F4" w14:textId="77777777" w:rsidTr="00CA7043">
        <w:trPr>
          <w:trHeight w:val="70"/>
        </w:trPr>
        <w:tc>
          <w:tcPr>
            <w:tcW w:w="3870" w:type="dxa"/>
            <w:tcBorders>
              <w:top w:val="nil"/>
              <w:left w:val="nil"/>
              <w:bottom w:val="nil"/>
              <w:right w:val="nil"/>
            </w:tcBorders>
            <w:vAlign w:val="bottom"/>
          </w:tcPr>
          <w:p w14:paraId="4CA356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Vocational graduate</w:t>
            </w:r>
          </w:p>
        </w:tc>
        <w:tc>
          <w:tcPr>
            <w:tcW w:w="1620" w:type="dxa"/>
            <w:tcBorders>
              <w:top w:val="nil"/>
              <w:left w:val="nil"/>
              <w:bottom w:val="nil"/>
              <w:right w:val="nil"/>
            </w:tcBorders>
            <w:vAlign w:val="bottom"/>
          </w:tcPr>
          <w:p w14:paraId="314599E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91</w:t>
            </w:r>
          </w:p>
        </w:tc>
        <w:tc>
          <w:tcPr>
            <w:tcW w:w="1710" w:type="dxa"/>
            <w:tcBorders>
              <w:top w:val="nil"/>
              <w:left w:val="nil"/>
              <w:bottom w:val="nil"/>
              <w:right w:val="nil"/>
            </w:tcBorders>
            <w:vAlign w:val="bottom"/>
          </w:tcPr>
          <w:p w14:paraId="562E7C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45.28</w:t>
            </w:r>
          </w:p>
        </w:tc>
        <w:tc>
          <w:tcPr>
            <w:tcW w:w="1440" w:type="dxa"/>
            <w:tcBorders>
              <w:top w:val="nil"/>
              <w:left w:val="nil"/>
              <w:bottom w:val="nil"/>
              <w:right w:val="nil"/>
            </w:tcBorders>
            <w:vAlign w:val="center"/>
          </w:tcPr>
          <w:p w14:paraId="506FDF1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A5EE5B7" w14:textId="77777777" w:rsidTr="00CA7043">
        <w:trPr>
          <w:trHeight w:val="70"/>
        </w:trPr>
        <w:tc>
          <w:tcPr>
            <w:tcW w:w="3870" w:type="dxa"/>
            <w:tcBorders>
              <w:top w:val="nil"/>
              <w:left w:val="nil"/>
              <w:bottom w:val="nil"/>
              <w:right w:val="nil"/>
            </w:tcBorders>
            <w:vAlign w:val="bottom"/>
          </w:tcPr>
          <w:p w14:paraId="5700CA1E"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High School graduate</w:t>
            </w:r>
          </w:p>
        </w:tc>
        <w:tc>
          <w:tcPr>
            <w:tcW w:w="1620" w:type="dxa"/>
            <w:tcBorders>
              <w:top w:val="nil"/>
              <w:left w:val="nil"/>
              <w:bottom w:val="nil"/>
              <w:right w:val="nil"/>
            </w:tcBorders>
            <w:vAlign w:val="bottom"/>
          </w:tcPr>
          <w:p w14:paraId="5456D1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w:t>
            </w:r>
          </w:p>
        </w:tc>
        <w:tc>
          <w:tcPr>
            <w:tcW w:w="1710" w:type="dxa"/>
            <w:tcBorders>
              <w:top w:val="nil"/>
              <w:left w:val="nil"/>
              <w:bottom w:val="nil"/>
              <w:right w:val="nil"/>
            </w:tcBorders>
            <w:vAlign w:val="bottom"/>
          </w:tcPr>
          <w:p w14:paraId="219F4F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17.41</w:t>
            </w:r>
          </w:p>
        </w:tc>
        <w:tc>
          <w:tcPr>
            <w:tcW w:w="1440" w:type="dxa"/>
            <w:tcBorders>
              <w:top w:val="nil"/>
              <w:left w:val="nil"/>
              <w:bottom w:val="nil"/>
              <w:right w:val="nil"/>
            </w:tcBorders>
            <w:vAlign w:val="center"/>
          </w:tcPr>
          <w:p w14:paraId="77C4F7A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5E3FDBC7" w14:textId="77777777" w:rsidTr="00CA7043">
        <w:tc>
          <w:tcPr>
            <w:tcW w:w="3870" w:type="dxa"/>
            <w:tcBorders>
              <w:top w:val="single" w:sz="4" w:space="0" w:color="000000"/>
              <w:left w:val="nil"/>
              <w:bottom w:val="double" w:sz="4" w:space="0" w:color="auto"/>
              <w:right w:val="nil"/>
            </w:tcBorders>
            <w:vAlign w:val="center"/>
            <w:hideMark/>
          </w:tcPr>
          <w:p w14:paraId="059F821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534F43D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22EA568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1305BD67"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52DF4672"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5A9E657E"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findings showed that the employees of the MDRRMO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mainly people with vocational training. This educational profile reveals a workforce that is pragmatically framed and has some specialized technical aptitude that can be useful in regard to disaster response operations, which require the application of practical skills and field application. The combined percentage of vocational and college graduates, already 79.11, indicates that a large percentage of the personnel has received post-secondary education. This academic qualification provides them with sound knowledge of complex disaster management concepts and processes.</w:t>
      </w:r>
    </w:p>
    <w:p w14:paraId="09A88A10"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f. </w:t>
      </w:r>
      <w:bookmarkStart w:id="2" w:name="_Hlk210252304"/>
      <w:r w:rsidRPr="00CA7043">
        <w:rPr>
          <w:rFonts w:ascii="Times New Roman" w:hAnsi="Times New Roman" w:cs="Times New Roman"/>
          <w:b/>
          <w:bCs/>
          <w:sz w:val="24"/>
          <w:szCs w:val="24"/>
        </w:rPr>
        <w:t>Years of Service in the MDRRMO</w:t>
      </w:r>
      <w:r w:rsidRPr="00CA7043">
        <w:rPr>
          <w:rFonts w:ascii="Times New Roman" w:hAnsi="Times New Roman" w:cs="Times New Roman"/>
          <w:sz w:val="24"/>
          <w:szCs w:val="24"/>
        </w:rPr>
        <w:t xml:space="preserve">. </w:t>
      </w:r>
      <w:bookmarkEnd w:id="2"/>
      <w:r w:rsidRPr="00CA7043">
        <w:rPr>
          <w:rFonts w:ascii="Times New Roman" w:hAnsi="Times New Roman" w:cs="Times New Roman"/>
          <w:sz w:val="24"/>
          <w:szCs w:val="24"/>
        </w:rPr>
        <w:t xml:space="preserve">Table 6 showed the distribution of respondents in the MDRRMO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with 201 respondents, the biggest proportion of respondents is those with 1-3 years of service (65 or 32.34%), rank 1 </w:t>
      </w:r>
      <w:proofErr w:type="spellStart"/>
      <w:r w:rsidRPr="00CA7043">
        <w:rPr>
          <w:rFonts w:ascii="Times New Roman" w:hAnsi="Times New Roman" w:cs="Times New Roman"/>
          <w:sz w:val="24"/>
          <w:szCs w:val="24"/>
        </w:rPr>
        <w:t>st.</w:t>
      </w:r>
      <w:proofErr w:type="spellEnd"/>
      <w:r w:rsidRPr="00CA7043">
        <w:rPr>
          <w:rFonts w:ascii="Times New Roman" w:hAnsi="Times New Roman" w:cs="Times New Roman"/>
          <w:sz w:val="24"/>
          <w:szCs w:val="24"/>
        </w:rPr>
        <w:t xml:space="preserve"> Next, the personnel whose service is over 10 years old (48 or 23.88%), rank 2nd. Those with 4-6 years of service (36 or 17.91%), and those with less than 1 year of service (29 or 14.43%), are ranked 3rd and 4th, respectively. The lowest percentage is recorded among the respondents with 7-10 years of service (23 or 11.44%), rank 5th.</w:t>
      </w:r>
    </w:p>
    <w:p w14:paraId="21C541E2"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77D4C2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6.</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Distribution of Respondents According to Years of </w:t>
      </w:r>
    </w:p>
    <w:p w14:paraId="0CE0225B"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Service in the MDRRMO</w:t>
      </w:r>
    </w:p>
    <w:p w14:paraId="0D92C5E4"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07C75C0C" w14:textId="77777777" w:rsidTr="00CA7043">
        <w:trPr>
          <w:trHeight w:val="213"/>
        </w:trPr>
        <w:tc>
          <w:tcPr>
            <w:tcW w:w="3870" w:type="dxa"/>
            <w:tcBorders>
              <w:top w:val="double" w:sz="4" w:space="0" w:color="auto"/>
              <w:left w:val="nil"/>
              <w:bottom w:val="single" w:sz="4" w:space="0" w:color="000000"/>
              <w:right w:val="nil"/>
            </w:tcBorders>
            <w:vAlign w:val="center"/>
            <w:hideMark/>
          </w:tcPr>
          <w:p w14:paraId="52BE849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71F1304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4CD6001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48CD51C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AF694F0" w14:textId="77777777" w:rsidTr="00CA7043">
        <w:trPr>
          <w:trHeight w:val="70"/>
        </w:trPr>
        <w:tc>
          <w:tcPr>
            <w:tcW w:w="3870" w:type="dxa"/>
            <w:tcBorders>
              <w:top w:val="single" w:sz="4" w:space="0" w:color="000000"/>
              <w:left w:val="nil"/>
              <w:bottom w:val="nil"/>
              <w:right w:val="nil"/>
            </w:tcBorders>
            <w:vAlign w:val="bottom"/>
          </w:tcPr>
          <w:p w14:paraId="0622EB8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Less than 1 year</w:t>
            </w:r>
          </w:p>
        </w:tc>
        <w:tc>
          <w:tcPr>
            <w:tcW w:w="1620" w:type="dxa"/>
            <w:tcBorders>
              <w:top w:val="single" w:sz="4" w:space="0" w:color="000000"/>
              <w:left w:val="nil"/>
              <w:bottom w:val="nil"/>
              <w:right w:val="nil"/>
            </w:tcBorders>
            <w:vAlign w:val="bottom"/>
          </w:tcPr>
          <w:p w14:paraId="04B2C2E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w:t>
            </w:r>
          </w:p>
        </w:tc>
        <w:tc>
          <w:tcPr>
            <w:tcW w:w="1710" w:type="dxa"/>
            <w:tcBorders>
              <w:top w:val="single" w:sz="4" w:space="0" w:color="000000"/>
              <w:left w:val="nil"/>
              <w:bottom w:val="nil"/>
              <w:right w:val="nil"/>
            </w:tcBorders>
            <w:vAlign w:val="bottom"/>
          </w:tcPr>
          <w:p w14:paraId="58ED0E5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14.43</w:t>
            </w:r>
          </w:p>
        </w:tc>
        <w:tc>
          <w:tcPr>
            <w:tcW w:w="1440" w:type="dxa"/>
            <w:tcBorders>
              <w:top w:val="single" w:sz="4" w:space="0" w:color="000000"/>
              <w:left w:val="nil"/>
              <w:bottom w:val="nil"/>
              <w:right w:val="nil"/>
            </w:tcBorders>
            <w:vAlign w:val="bottom"/>
          </w:tcPr>
          <w:p w14:paraId="194BC5F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2755A45" w14:textId="77777777" w:rsidTr="00CA7043">
        <w:trPr>
          <w:trHeight w:val="80"/>
        </w:trPr>
        <w:tc>
          <w:tcPr>
            <w:tcW w:w="3870" w:type="dxa"/>
            <w:tcBorders>
              <w:top w:val="nil"/>
              <w:left w:val="nil"/>
              <w:bottom w:val="nil"/>
              <w:right w:val="nil"/>
            </w:tcBorders>
            <w:vAlign w:val="bottom"/>
          </w:tcPr>
          <w:p w14:paraId="30BC667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1-3 years</w:t>
            </w:r>
          </w:p>
        </w:tc>
        <w:tc>
          <w:tcPr>
            <w:tcW w:w="1620" w:type="dxa"/>
            <w:tcBorders>
              <w:top w:val="nil"/>
              <w:left w:val="nil"/>
              <w:bottom w:val="nil"/>
              <w:right w:val="nil"/>
            </w:tcBorders>
            <w:vAlign w:val="bottom"/>
          </w:tcPr>
          <w:p w14:paraId="46B4EF8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65</w:t>
            </w:r>
          </w:p>
        </w:tc>
        <w:tc>
          <w:tcPr>
            <w:tcW w:w="1710" w:type="dxa"/>
            <w:tcBorders>
              <w:top w:val="nil"/>
              <w:left w:val="nil"/>
              <w:bottom w:val="nil"/>
              <w:right w:val="nil"/>
            </w:tcBorders>
            <w:vAlign w:val="bottom"/>
          </w:tcPr>
          <w:p w14:paraId="2655DC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32.34</w:t>
            </w:r>
          </w:p>
        </w:tc>
        <w:tc>
          <w:tcPr>
            <w:tcW w:w="1440" w:type="dxa"/>
            <w:tcBorders>
              <w:top w:val="nil"/>
              <w:left w:val="nil"/>
              <w:bottom w:val="nil"/>
              <w:right w:val="nil"/>
            </w:tcBorders>
            <w:vAlign w:val="bottom"/>
          </w:tcPr>
          <w:p w14:paraId="46F00ED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EC4A430" w14:textId="77777777" w:rsidTr="00CA7043">
        <w:trPr>
          <w:trHeight w:val="80"/>
        </w:trPr>
        <w:tc>
          <w:tcPr>
            <w:tcW w:w="3870" w:type="dxa"/>
            <w:tcBorders>
              <w:top w:val="nil"/>
              <w:left w:val="nil"/>
              <w:bottom w:val="nil"/>
              <w:right w:val="nil"/>
            </w:tcBorders>
            <w:vAlign w:val="bottom"/>
          </w:tcPr>
          <w:p w14:paraId="6B14C39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4-6 years</w:t>
            </w:r>
          </w:p>
        </w:tc>
        <w:tc>
          <w:tcPr>
            <w:tcW w:w="1620" w:type="dxa"/>
            <w:tcBorders>
              <w:top w:val="nil"/>
              <w:left w:val="nil"/>
              <w:bottom w:val="nil"/>
              <w:right w:val="nil"/>
            </w:tcBorders>
            <w:vAlign w:val="bottom"/>
          </w:tcPr>
          <w:p w14:paraId="16A0260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w:t>
            </w:r>
          </w:p>
        </w:tc>
        <w:tc>
          <w:tcPr>
            <w:tcW w:w="1710" w:type="dxa"/>
            <w:tcBorders>
              <w:top w:val="nil"/>
              <w:left w:val="nil"/>
              <w:bottom w:val="nil"/>
              <w:right w:val="nil"/>
            </w:tcBorders>
            <w:vAlign w:val="bottom"/>
          </w:tcPr>
          <w:p w14:paraId="18DF2D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17.91</w:t>
            </w:r>
          </w:p>
        </w:tc>
        <w:tc>
          <w:tcPr>
            <w:tcW w:w="1440" w:type="dxa"/>
            <w:tcBorders>
              <w:top w:val="nil"/>
              <w:left w:val="nil"/>
              <w:bottom w:val="nil"/>
              <w:right w:val="nil"/>
            </w:tcBorders>
            <w:vAlign w:val="bottom"/>
          </w:tcPr>
          <w:p w14:paraId="44ED4D8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35FB0D8D" w14:textId="77777777" w:rsidTr="00CA7043">
        <w:trPr>
          <w:trHeight w:val="80"/>
        </w:trPr>
        <w:tc>
          <w:tcPr>
            <w:tcW w:w="3870" w:type="dxa"/>
            <w:tcBorders>
              <w:top w:val="nil"/>
              <w:left w:val="nil"/>
              <w:bottom w:val="nil"/>
              <w:right w:val="nil"/>
            </w:tcBorders>
            <w:vAlign w:val="bottom"/>
          </w:tcPr>
          <w:p w14:paraId="38DBA559"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7-10 years</w:t>
            </w:r>
          </w:p>
        </w:tc>
        <w:tc>
          <w:tcPr>
            <w:tcW w:w="1620" w:type="dxa"/>
            <w:tcBorders>
              <w:top w:val="nil"/>
              <w:left w:val="nil"/>
              <w:bottom w:val="nil"/>
              <w:right w:val="nil"/>
            </w:tcBorders>
            <w:vAlign w:val="bottom"/>
          </w:tcPr>
          <w:p w14:paraId="5D630D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w:t>
            </w:r>
          </w:p>
        </w:tc>
        <w:tc>
          <w:tcPr>
            <w:tcW w:w="1710" w:type="dxa"/>
            <w:tcBorders>
              <w:top w:val="nil"/>
              <w:left w:val="nil"/>
              <w:bottom w:val="nil"/>
              <w:right w:val="nil"/>
            </w:tcBorders>
            <w:vAlign w:val="bottom"/>
          </w:tcPr>
          <w:p w14:paraId="3C1C87C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11.44</w:t>
            </w:r>
          </w:p>
        </w:tc>
        <w:tc>
          <w:tcPr>
            <w:tcW w:w="1440" w:type="dxa"/>
            <w:tcBorders>
              <w:top w:val="nil"/>
              <w:left w:val="nil"/>
              <w:bottom w:val="nil"/>
              <w:right w:val="nil"/>
            </w:tcBorders>
            <w:vAlign w:val="bottom"/>
          </w:tcPr>
          <w:p w14:paraId="2D91306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2955A881" w14:textId="77777777" w:rsidTr="00CA7043">
        <w:trPr>
          <w:trHeight w:val="80"/>
        </w:trPr>
        <w:tc>
          <w:tcPr>
            <w:tcW w:w="3870" w:type="dxa"/>
            <w:tcBorders>
              <w:top w:val="nil"/>
              <w:left w:val="nil"/>
              <w:bottom w:val="nil"/>
              <w:right w:val="nil"/>
            </w:tcBorders>
            <w:vAlign w:val="bottom"/>
          </w:tcPr>
          <w:p w14:paraId="7B43B92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More than 10 years</w:t>
            </w:r>
          </w:p>
        </w:tc>
        <w:tc>
          <w:tcPr>
            <w:tcW w:w="1620" w:type="dxa"/>
            <w:tcBorders>
              <w:top w:val="nil"/>
              <w:left w:val="nil"/>
              <w:bottom w:val="nil"/>
              <w:right w:val="nil"/>
            </w:tcBorders>
            <w:vAlign w:val="bottom"/>
          </w:tcPr>
          <w:p w14:paraId="702312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48</w:t>
            </w:r>
          </w:p>
        </w:tc>
        <w:tc>
          <w:tcPr>
            <w:tcW w:w="1710" w:type="dxa"/>
            <w:tcBorders>
              <w:top w:val="nil"/>
              <w:left w:val="nil"/>
              <w:bottom w:val="nil"/>
              <w:right w:val="nil"/>
            </w:tcBorders>
            <w:vAlign w:val="bottom"/>
          </w:tcPr>
          <w:p w14:paraId="0C90DE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23.88</w:t>
            </w:r>
          </w:p>
        </w:tc>
        <w:tc>
          <w:tcPr>
            <w:tcW w:w="1440" w:type="dxa"/>
            <w:tcBorders>
              <w:top w:val="nil"/>
              <w:left w:val="nil"/>
              <w:bottom w:val="nil"/>
              <w:right w:val="nil"/>
            </w:tcBorders>
            <w:vAlign w:val="bottom"/>
          </w:tcPr>
          <w:p w14:paraId="2CA74D8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15D2AF9" w14:textId="77777777" w:rsidTr="00CA7043">
        <w:tc>
          <w:tcPr>
            <w:tcW w:w="3870" w:type="dxa"/>
            <w:tcBorders>
              <w:top w:val="single" w:sz="4" w:space="0" w:color="000000"/>
              <w:left w:val="nil"/>
              <w:bottom w:val="double" w:sz="4" w:space="0" w:color="auto"/>
              <w:right w:val="nil"/>
            </w:tcBorders>
            <w:vAlign w:val="center"/>
            <w:hideMark/>
          </w:tcPr>
          <w:p w14:paraId="562E37C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461DA74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7AA62EA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54594FF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E4632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b/>
      </w:r>
    </w:p>
    <w:p w14:paraId="15FBF5C6"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 that the MDRRMO predominantly employs a younger workforce, with one of its thirds of employees having limited working experience, namely one to three </w:t>
      </w:r>
      <w:r w:rsidRPr="00CA7043">
        <w:rPr>
          <w:rFonts w:ascii="Times New Roman" w:hAnsi="Times New Roman" w:cs="Times New Roman"/>
          <w:sz w:val="24"/>
          <w:szCs w:val="24"/>
        </w:rPr>
        <w:lastRenderedPageBreak/>
        <w:t xml:space="preserve">years. A large segment of the population, which constitutes 23.88 per cent., has a work experience of over 10 years, and it is therefore clear that there is a wealth of knowledge in the organization. The bimodal distribution illustrates the interaction between renewal and retention in disaster response workforce and the utility of the combination of new perspectives and the institutional knowledge. On the contrary, the large proportion of highly experienced personnel (23.88% working over 10 years of experience) provides the organization with the </w:t>
      </w:r>
      <w:proofErr w:type="gramStart"/>
      <w:r w:rsidRPr="00CA7043">
        <w:rPr>
          <w:rFonts w:ascii="Times New Roman" w:hAnsi="Times New Roman" w:cs="Times New Roman"/>
          <w:sz w:val="24"/>
          <w:szCs w:val="24"/>
        </w:rPr>
        <w:t>much needed</w:t>
      </w:r>
      <w:proofErr w:type="gramEnd"/>
      <w:r w:rsidRPr="00CA7043">
        <w:rPr>
          <w:rFonts w:ascii="Times New Roman" w:hAnsi="Times New Roman" w:cs="Times New Roman"/>
          <w:sz w:val="24"/>
          <w:szCs w:val="24"/>
        </w:rPr>
        <w:t xml:space="preserve"> expertise and mentoring.</w:t>
      </w:r>
    </w:p>
    <w:p w14:paraId="7E10571C" w14:textId="77777777" w:rsidR="00B7621A"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g. Relevant Seminars/Trainings Attended</w:t>
      </w:r>
      <w:r w:rsidRPr="00CA7043">
        <w:rPr>
          <w:rFonts w:ascii="Times New Roman" w:hAnsi="Times New Roman" w:cs="Times New Roman"/>
          <w:sz w:val="24"/>
          <w:szCs w:val="24"/>
        </w:rPr>
        <w:t xml:space="preserve">. Table 7 presented the distribution of Municipal Disaster Risk Reduction and Management Office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according to the relevant seminars and trainings they have attended. The data presented in the table reveals that, among 224 total training participations recorded by responders, the Basic Disaster Response and Safety training was the most frequently attended (47 or 20.98%), rank 1st. This was followed by Community-Based Disaster Risk Reduction (CBDRR) training (43 or 19.20%), rank 2nd. Incident Command System (ICS) training came in third place (31 or 13.84%). Search and Rescue Operations training (29 or 12.95%), rank 4th. Hydrometeorological Hazard Response training (23 or 10.27%), rank 5th. First Aid and Basic Life Support training (19 or 8.48%), rank 6th. Fire Safety and Handling training (15 or 6.70%) rank 7th, while Psychological First Aid (10 or 4.46%), rank 8th. Emergency Vehicle Operation training had the lowest attendance with (seven or 3.12%), rank 9</w:t>
      </w:r>
      <w:r w:rsidR="00FD142E">
        <w:rPr>
          <w:rFonts w:ascii="Times New Roman" w:hAnsi="Times New Roman" w:cs="Times New Roman"/>
          <w:sz w:val="24"/>
          <w:szCs w:val="24"/>
        </w:rPr>
        <w:t>th among the training programs.</w:t>
      </w:r>
    </w:p>
    <w:p w14:paraId="53EAD77D" w14:textId="77777777" w:rsidR="00FD142E" w:rsidRPr="00FD142E" w:rsidRDefault="00FD142E" w:rsidP="00FD142E">
      <w:pPr>
        <w:spacing w:after="0" w:line="240" w:lineRule="auto"/>
        <w:ind w:firstLine="720"/>
        <w:jc w:val="both"/>
        <w:rPr>
          <w:rFonts w:ascii="Times New Roman" w:hAnsi="Times New Roman" w:cs="Times New Roman"/>
          <w:sz w:val="24"/>
          <w:szCs w:val="24"/>
        </w:rPr>
      </w:pPr>
    </w:p>
    <w:p w14:paraId="7359BC3C" w14:textId="77777777" w:rsidR="00B7621A" w:rsidRPr="00CA7043" w:rsidRDefault="00B7621A" w:rsidP="00FD142E">
      <w:pPr>
        <w:spacing w:after="0" w:line="240" w:lineRule="auto"/>
        <w:ind w:firstLine="720"/>
        <w:jc w:val="both"/>
        <w:rPr>
          <w:rFonts w:ascii="Times New Roman" w:hAnsi="Times New Roman" w:cs="Times New Roman"/>
          <w:b/>
          <w:bCs/>
          <w:sz w:val="24"/>
          <w:szCs w:val="24"/>
        </w:rPr>
      </w:pPr>
      <w:r w:rsidRPr="00CA7043">
        <w:rPr>
          <w:rFonts w:ascii="Times New Roman" w:hAnsi="Times New Roman" w:cs="Times New Roman"/>
          <w:b/>
          <w:bCs/>
          <w:sz w:val="24"/>
          <w:szCs w:val="24"/>
        </w:rPr>
        <w:t>Table 7.</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Distribution of Respondents According to Relevant Seminars/Trainings Attended</w:t>
      </w:r>
    </w:p>
    <w:p w14:paraId="5497443B"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A45E5D1" w14:textId="77777777" w:rsidTr="00CA7043">
        <w:trPr>
          <w:trHeight w:val="213"/>
        </w:trPr>
        <w:tc>
          <w:tcPr>
            <w:tcW w:w="3870" w:type="dxa"/>
            <w:tcBorders>
              <w:top w:val="double" w:sz="4" w:space="0" w:color="auto"/>
              <w:left w:val="nil"/>
              <w:bottom w:val="single" w:sz="4" w:space="0" w:color="000000"/>
              <w:right w:val="nil"/>
            </w:tcBorders>
            <w:vAlign w:val="center"/>
            <w:hideMark/>
          </w:tcPr>
          <w:p w14:paraId="4A215DC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7D178D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0B8A61C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56D591C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12493879" w14:textId="77777777" w:rsidTr="00CA7043">
        <w:trPr>
          <w:trHeight w:val="70"/>
        </w:trPr>
        <w:tc>
          <w:tcPr>
            <w:tcW w:w="3870" w:type="dxa"/>
            <w:tcBorders>
              <w:top w:val="single" w:sz="4" w:space="0" w:color="000000"/>
              <w:left w:val="nil"/>
              <w:bottom w:val="nil"/>
              <w:right w:val="nil"/>
            </w:tcBorders>
          </w:tcPr>
          <w:p w14:paraId="468E660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Basic Disaster Response and Safety</w:t>
            </w:r>
          </w:p>
        </w:tc>
        <w:tc>
          <w:tcPr>
            <w:tcW w:w="1620" w:type="dxa"/>
            <w:tcBorders>
              <w:top w:val="single" w:sz="4" w:space="0" w:color="000000"/>
              <w:left w:val="nil"/>
              <w:bottom w:val="nil"/>
              <w:right w:val="nil"/>
            </w:tcBorders>
            <w:vAlign w:val="center"/>
          </w:tcPr>
          <w:p w14:paraId="5FEE0CD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47</w:t>
            </w:r>
          </w:p>
        </w:tc>
        <w:tc>
          <w:tcPr>
            <w:tcW w:w="1710" w:type="dxa"/>
            <w:tcBorders>
              <w:top w:val="single" w:sz="4" w:space="0" w:color="000000"/>
              <w:left w:val="nil"/>
              <w:bottom w:val="nil"/>
              <w:right w:val="nil"/>
            </w:tcBorders>
            <w:vAlign w:val="center"/>
          </w:tcPr>
          <w:p w14:paraId="4A6F613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20.98</w:t>
            </w:r>
          </w:p>
        </w:tc>
        <w:tc>
          <w:tcPr>
            <w:tcW w:w="1440" w:type="dxa"/>
            <w:tcBorders>
              <w:top w:val="single" w:sz="4" w:space="0" w:color="000000"/>
              <w:left w:val="nil"/>
              <w:bottom w:val="nil"/>
              <w:right w:val="nil"/>
            </w:tcBorders>
            <w:vAlign w:val="center"/>
          </w:tcPr>
          <w:p w14:paraId="2DF104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3A990B55" w14:textId="77777777" w:rsidTr="00CA7043">
        <w:trPr>
          <w:trHeight w:val="70"/>
        </w:trPr>
        <w:tc>
          <w:tcPr>
            <w:tcW w:w="3870" w:type="dxa"/>
            <w:tcBorders>
              <w:top w:val="nil"/>
              <w:left w:val="nil"/>
              <w:bottom w:val="nil"/>
              <w:right w:val="nil"/>
            </w:tcBorders>
            <w:vAlign w:val="center"/>
          </w:tcPr>
          <w:p w14:paraId="1E082E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Incident Command System (ICS)</w:t>
            </w:r>
          </w:p>
        </w:tc>
        <w:tc>
          <w:tcPr>
            <w:tcW w:w="1620" w:type="dxa"/>
            <w:tcBorders>
              <w:top w:val="nil"/>
              <w:left w:val="nil"/>
              <w:bottom w:val="nil"/>
              <w:right w:val="nil"/>
            </w:tcBorders>
            <w:vAlign w:val="center"/>
          </w:tcPr>
          <w:p w14:paraId="3AFA6A8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w:t>
            </w:r>
          </w:p>
        </w:tc>
        <w:tc>
          <w:tcPr>
            <w:tcW w:w="1710" w:type="dxa"/>
            <w:tcBorders>
              <w:top w:val="nil"/>
              <w:left w:val="nil"/>
              <w:bottom w:val="nil"/>
              <w:right w:val="nil"/>
            </w:tcBorders>
            <w:vAlign w:val="center"/>
          </w:tcPr>
          <w:p w14:paraId="33D607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13.84</w:t>
            </w:r>
          </w:p>
        </w:tc>
        <w:tc>
          <w:tcPr>
            <w:tcW w:w="1440" w:type="dxa"/>
            <w:tcBorders>
              <w:top w:val="nil"/>
              <w:left w:val="nil"/>
              <w:bottom w:val="nil"/>
              <w:right w:val="nil"/>
            </w:tcBorders>
            <w:vAlign w:val="center"/>
          </w:tcPr>
          <w:p w14:paraId="34FBCA9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A6E78C8" w14:textId="77777777" w:rsidTr="00CA7043">
        <w:trPr>
          <w:trHeight w:val="70"/>
        </w:trPr>
        <w:tc>
          <w:tcPr>
            <w:tcW w:w="3870" w:type="dxa"/>
            <w:tcBorders>
              <w:top w:val="nil"/>
              <w:left w:val="nil"/>
              <w:bottom w:val="nil"/>
              <w:right w:val="nil"/>
            </w:tcBorders>
          </w:tcPr>
          <w:p w14:paraId="1C547FF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Search and Rescue Operations</w:t>
            </w:r>
          </w:p>
        </w:tc>
        <w:tc>
          <w:tcPr>
            <w:tcW w:w="1620" w:type="dxa"/>
            <w:tcBorders>
              <w:top w:val="nil"/>
              <w:left w:val="nil"/>
              <w:bottom w:val="nil"/>
              <w:right w:val="nil"/>
            </w:tcBorders>
            <w:vAlign w:val="center"/>
          </w:tcPr>
          <w:p w14:paraId="70BEEB0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w:t>
            </w:r>
          </w:p>
        </w:tc>
        <w:tc>
          <w:tcPr>
            <w:tcW w:w="1710" w:type="dxa"/>
            <w:tcBorders>
              <w:top w:val="nil"/>
              <w:left w:val="nil"/>
              <w:bottom w:val="nil"/>
              <w:right w:val="nil"/>
            </w:tcBorders>
            <w:vAlign w:val="center"/>
          </w:tcPr>
          <w:p w14:paraId="674AFE0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12.95</w:t>
            </w:r>
          </w:p>
        </w:tc>
        <w:tc>
          <w:tcPr>
            <w:tcW w:w="1440" w:type="dxa"/>
            <w:tcBorders>
              <w:top w:val="nil"/>
              <w:left w:val="nil"/>
              <w:bottom w:val="nil"/>
              <w:right w:val="nil"/>
            </w:tcBorders>
            <w:vAlign w:val="center"/>
          </w:tcPr>
          <w:p w14:paraId="43010D7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494FCDCE" w14:textId="77777777" w:rsidTr="00CA7043">
        <w:trPr>
          <w:trHeight w:val="70"/>
        </w:trPr>
        <w:tc>
          <w:tcPr>
            <w:tcW w:w="3870" w:type="dxa"/>
            <w:tcBorders>
              <w:top w:val="nil"/>
              <w:left w:val="nil"/>
              <w:bottom w:val="nil"/>
              <w:right w:val="nil"/>
            </w:tcBorders>
          </w:tcPr>
          <w:p w14:paraId="1B1C4F60"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First Aid and Basic Life Support</w:t>
            </w:r>
          </w:p>
        </w:tc>
        <w:tc>
          <w:tcPr>
            <w:tcW w:w="1620" w:type="dxa"/>
            <w:tcBorders>
              <w:top w:val="nil"/>
              <w:left w:val="nil"/>
              <w:bottom w:val="nil"/>
              <w:right w:val="nil"/>
            </w:tcBorders>
            <w:vAlign w:val="center"/>
          </w:tcPr>
          <w:p w14:paraId="281DCA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w:t>
            </w:r>
          </w:p>
        </w:tc>
        <w:tc>
          <w:tcPr>
            <w:tcW w:w="1710" w:type="dxa"/>
            <w:tcBorders>
              <w:top w:val="nil"/>
              <w:left w:val="nil"/>
              <w:bottom w:val="nil"/>
              <w:right w:val="nil"/>
            </w:tcBorders>
            <w:vAlign w:val="center"/>
          </w:tcPr>
          <w:p w14:paraId="19F3312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8.48</w:t>
            </w:r>
          </w:p>
        </w:tc>
        <w:tc>
          <w:tcPr>
            <w:tcW w:w="1440" w:type="dxa"/>
            <w:tcBorders>
              <w:top w:val="nil"/>
              <w:left w:val="nil"/>
              <w:bottom w:val="nil"/>
              <w:right w:val="nil"/>
            </w:tcBorders>
            <w:vAlign w:val="center"/>
          </w:tcPr>
          <w:p w14:paraId="21B21EA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4F1F9897" w14:textId="77777777" w:rsidTr="00CA7043">
        <w:trPr>
          <w:trHeight w:val="70"/>
        </w:trPr>
        <w:tc>
          <w:tcPr>
            <w:tcW w:w="3870" w:type="dxa"/>
            <w:tcBorders>
              <w:top w:val="nil"/>
              <w:left w:val="nil"/>
              <w:bottom w:val="nil"/>
              <w:right w:val="nil"/>
            </w:tcBorders>
          </w:tcPr>
          <w:p w14:paraId="15973473"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Fire Safety and Handling</w:t>
            </w:r>
          </w:p>
        </w:tc>
        <w:tc>
          <w:tcPr>
            <w:tcW w:w="1620" w:type="dxa"/>
            <w:tcBorders>
              <w:top w:val="nil"/>
              <w:left w:val="nil"/>
              <w:bottom w:val="nil"/>
              <w:right w:val="nil"/>
            </w:tcBorders>
            <w:vAlign w:val="center"/>
          </w:tcPr>
          <w:p w14:paraId="64C3E6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c>
          <w:tcPr>
            <w:tcW w:w="1710" w:type="dxa"/>
            <w:tcBorders>
              <w:top w:val="nil"/>
              <w:left w:val="nil"/>
              <w:bottom w:val="nil"/>
              <w:right w:val="nil"/>
            </w:tcBorders>
            <w:vAlign w:val="center"/>
          </w:tcPr>
          <w:p w14:paraId="4A7794A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6.70</w:t>
            </w:r>
          </w:p>
        </w:tc>
        <w:tc>
          <w:tcPr>
            <w:tcW w:w="1440" w:type="dxa"/>
            <w:tcBorders>
              <w:top w:val="nil"/>
              <w:left w:val="nil"/>
              <w:bottom w:val="nil"/>
              <w:right w:val="nil"/>
            </w:tcBorders>
            <w:vAlign w:val="center"/>
          </w:tcPr>
          <w:p w14:paraId="688EF37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1663DBBE" w14:textId="77777777" w:rsidTr="00CA7043">
        <w:trPr>
          <w:trHeight w:val="70"/>
        </w:trPr>
        <w:tc>
          <w:tcPr>
            <w:tcW w:w="3870" w:type="dxa"/>
            <w:tcBorders>
              <w:top w:val="nil"/>
              <w:left w:val="nil"/>
              <w:bottom w:val="nil"/>
              <w:right w:val="nil"/>
            </w:tcBorders>
          </w:tcPr>
          <w:p w14:paraId="0A2DA9B5"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Hydrometeorological Hazard Response</w:t>
            </w:r>
          </w:p>
        </w:tc>
        <w:tc>
          <w:tcPr>
            <w:tcW w:w="1620" w:type="dxa"/>
            <w:tcBorders>
              <w:top w:val="nil"/>
              <w:left w:val="nil"/>
              <w:bottom w:val="nil"/>
              <w:right w:val="nil"/>
            </w:tcBorders>
            <w:vAlign w:val="center"/>
          </w:tcPr>
          <w:p w14:paraId="14D437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w:t>
            </w:r>
          </w:p>
        </w:tc>
        <w:tc>
          <w:tcPr>
            <w:tcW w:w="1710" w:type="dxa"/>
            <w:tcBorders>
              <w:top w:val="nil"/>
              <w:left w:val="nil"/>
              <w:bottom w:val="nil"/>
              <w:right w:val="nil"/>
            </w:tcBorders>
            <w:vAlign w:val="center"/>
          </w:tcPr>
          <w:p w14:paraId="2C6FA1C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10.27</w:t>
            </w:r>
          </w:p>
        </w:tc>
        <w:tc>
          <w:tcPr>
            <w:tcW w:w="1440" w:type="dxa"/>
            <w:tcBorders>
              <w:top w:val="nil"/>
              <w:left w:val="nil"/>
              <w:bottom w:val="nil"/>
              <w:right w:val="nil"/>
            </w:tcBorders>
            <w:vAlign w:val="center"/>
          </w:tcPr>
          <w:p w14:paraId="519D30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4EA66C9D" w14:textId="77777777" w:rsidTr="00CA7043">
        <w:trPr>
          <w:trHeight w:val="70"/>
        </w:trPr>
        <w:tc>
          <w:tcPr>
            <w:tcW w:w="3870" w:type="dxa"/>
            <w:tcBorders>
              <w:top w:val="nil"/>
              <w:left w:val="nil"/>
              <w:bottom w:val="nil"/>
              <w:right w:val="nil"/>
            </w:tcBorders>
          </w:tcPr>
          <w:p w14:paraId="0FF1BF06"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Community-Based Disaster Risk Reduction</w:t>
            </w:r>
          </w:p>
        </w:tc>
        <w:tc>
          <w:tcPr>
            <w:tcW w:w="1620" w:type="dxa"/>
            <w:tcBorders>
              <w:top w:val="nil"/>
              <w:left w:val="nil"/>
              <w:bottom w:val="nil"/>
              <w:right w:val="nil"/>
            </w:tcBorders>
            <w:vAlign w:val="center"/>
          </w:tcPr>
          <w:p w14:paraId="483A091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43</w:t>
            </w:r>
          </w:p>
        </w:tc>
        <w:tc>
          <w:tcPr>
            <w:tcW w:w="1710" w:type="dxa"/>
            <w:tcBorders>
              <w:top w:val="nil"/>
              <w:left w:val="nil"/>
              <w:bottom w:val="nil"/>
              <w:right w:val="nil"/>
            </w:tcBorders>
            <w:vAlign w:val="center"/>
          </w:tcPr>
          <w:p w14:paraId="757BB53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19.20</w:t>
            </w:r>
          </w:p>
        </w:tc>
        <w:tc>
          <w:tcPr>
            <w:tcW w:w="1440" w:type="dxa"/>
            <w:tcBorders>
              <w:top w:val="nil"/>
              <w:left w:val="nil"/>
              <w:bottom w:val="nil"/>
              <w:right w:val="nil"/>
            </w:tcBorders>
            <w:vAlign w:val="center"/>
          </w:tcPr>
          <w:p w14:paraId="25E49E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ABBAF6E" w14:textId="77777777" w:rsidTr="00CA7043">
        <w:trPr>
          <w:trHeight w:val="207"/>
        </w:trPr>
        <w:tc>
          <w:tcPr>
            <w:tcW w:w="3870" w:type="dxa"/>
            <w:tcBorders>
              <w:top w:val="nil"/>
              <w:left w:val="nil"/>
              <w:bottom w:val="nil"/>
              <w:right w:val="nil"/>
            </w:tcBorders>
          </w:tcPr>
          <w:p w14:paraId="61A1B2FA"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Psychological First Aid</w:t>
            </w:r>
          </w:p>
        </w:tc>
        <w:tc>
          <w:tcPr>
            <w:tcW w:w="1620" w:type="dxa"/>
            <w:tcBorders>
              <w:top w:val="nil"/>
              <w:left w:val="nil"/>
              <w:bottom w:val="nil"/>
              <w:right w:val="nil"/>
            </w:tcBorders>
            <w:vAlign w:val="center"/>
          </w:tcPr>
          <w:p w14:paraId="135C08E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c>
          <w:tcPr>
            <w:tcW w:w="1710" w:type="dxa"/>
            <w:tcBorders>
              <w:top w:val="nil"/>
              <w:left w:val="nil"/>
              <w:bottom w:val="nil"/>
              <w:right w:val="nil"/>
            </w:tcBorders>
            <w:vAlign w:val="center"/>
          </w:tcPr>
          <w:p w14:paraId="4CCE1E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4.46</w:t>
            </w:r>
          </w:p>
        </w:tc>
        <w:tc>
          <w:tcPr>
            <w:tcW w:w="1440" w:type="dxa"/>
            <w:tcBorders>
              <w:top w:val="nil"/>
              <w:left w:val="nil"/>
              <w:bottom w:val="nil"/>
              <w:right w:val="nil"/>
            </w:tcBorders>
            <w:vAlign w:val="center"/>
          </w:tcPr>
          <w:p w14:paraId="1A74B7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67158E4B" w14:textId="77777777" w:rsidTr="00CA7043">
        <w:trPr>
          <w:trHeight w:val="70"/>
        </w:trPr>
        <w:tc>
          <w:tcPr>
            <w:tcW w:w="3870" w:type="dxa"/>
            <w:tcBorders>
              <w:top w:val="nil"/>
              <w:left w:val="nil"/>
              <w:bottom w:val="double" w:sz="4" w:space="0" w:color="000000"/>
              <w:right w:val="nil"/>
            </w:tcBorders>
          </w:tcPr>
          <w:p w14:paraId="5D45C9C7"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Emergency Vehicle Operation</w:t>
            </w:r>
          </w:p>
        </w:tc>
        <w:tc>
          <w:tcPr>
            <w:tcW w:w="1620" w:type="dxa"/>
            <w:tcBorders>
              <w:top w:val="nil"/>
              <w:left w:val="nil"/>
              <w:bottom w:val="double" w:sz="4" w:space="0" w:color="000000"/>
              <w:right w:val="nil"/>
            </w:tcBorders>
            <w:vAlign w:val="center"/>
          </w:tcPr>
          <w:p w14:paraId="595AC7A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c>
          <w:tcPr>
            <w:tcW w:w="1710" w:type="dxa"/>
            <w:tcBorders>
              <w:top w:val="nil"/>
              <w:left w:val="nil"/>
              <w:bottom w:val="double" w:sz="4" w:space="0" w:color="000000"/>
              <w:right w:val="nil"/>
            </w:tcBorders>
            <w:vAlign w:val="center"/>
          </w:tcPr>
          <w:p w14:paraId="0AAB70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3.12</w:t>
            </w:r>
          </w:p>
        </w:tc>
        <w:tc>
          <w:tcPr>
            <w:tcW w:w="1440" w:type="dxa"/>
            <w:tcBorders>
              <w:top w:val="nil"/>
              <w:left w:val="nil"/>
              <w:bottom w:val="double" w:sz="4" w:space="0" w:color="000000"/>
              <w:right w:val="nil"/>
            </w:tcBorders>
            <w:vAlign w:val="center"/>
          </w:tcPr>
          <w:p w14:paraId="6DF83B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w:t>
            </w:r>
          </w:p>
        </w:tc>
      </w:tr>
    </w:tbl>
    <w:p w14:paraId="4100D399" w14:textId="77777777" w:rsidR="00B7621A" w:rsidRPr="00CA7043" w:rsidRDefault="00B7621A" w:rsidP="00FD142E">
      <w:pPr>
        <w:spacing w:after="0" w:line="240" w:lineRule="auto"/>
        <w:jc w:val="both"/>
        <w:rPr>
          <w:rFonts w:ascii="Times New Roman" w:hAnsi="Times New Roman" w:cs="Times New Roman"/>
          <w:sz w:val="24"/>
          <w:szCs w:val="24"/>
        </w:rPr>
      </w:pPr>
    </w:p>
    <w:p w14:paraId="57C27430" w14:textId="77777777" w:rsidR="00B7621A" w:rsidRPr="00FD142E"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of the training participation show that essential skills in disaster response are very important, with Basic Disaster Response and Safety and Community-Based Disaster Risk Reduction (CBDRR) trainings making up 40.18% of all participation. This result indicates a lack of focus on special technology but rather on overall disaster preparedness at the MDRRMO. Still, the relatively low attendance rates for specialized training programs like the Incident Command System, First Aid and Basic Life Support, and Psychological First Aid may mean that people lack both technical and organizational skills.   The weaknesses of the system that have been identified can undermine the efficiency of disaster response measures, particularly in dealing with hydrometeorological </w:t>
      </w:r>
      <w:r w:rsidRPr="00CA7043">
        <w:rPr>
          <w:rFonts w:ascii="Times New Roman" w:hAnsi="Times New Roman" w:cs="Times New Roman"/>
          <w:sz w:val="24"/>
          <w:szCs w:val="24"/>
        </w:rPr>
        <w:lastRenderedPageBreak/>
        <w:t xml:space="preserve">hazards that require coordinated command efforts, timely clinical response, and mental health </w:t>
      </w:r>
      <w:r w:rsidR="00FD142E">
        <w:rPr>
          <w:rFonts w:ascii="Times New Roman" w:hAnsi="Times New Roman" w:cs="Times New Roman"/>
          <w:sz w:val="24"/>
          <w:szCs w:val="24"/>
        </w:rPr>
        <w:t>assistance to disaster victims.</w:t>
      </w:r>
    </w:p>
    <w:p w14:paraId="59F04CF2" w14:textId="77777777" w:rsidR="00B7621A" w:rsidRPr="00CA7043" w:rsidRDefault="00B7621A" w:rsidP="00FD142E">
      <w:pPr>
        <w:spacing w:after="0" w:line="240" w:lineRule="auto"/>
        <w:jc w:val="both"/>
        <w:rPr>
          <w:rFonts w:ascii="Times New Roman" w:hAnsi="Times New Roman" w:cs="Times New Roman"/>
          <w:b/>
          <w:bCs/>
          <w:sz w:val="24"/>
          <w:szCs w:val="24"/>
        </w:rPr>
      </w:pPr>
    </w:p>
    <w:p w14:paraId="72C4D540"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0435E354"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25EB05C"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b/>
          <w:sz w:val="24"/>
          <w:szCs w:val="24"/>
        </w:rPr>
      </w:pPr>
      <w:r w:rsidRPr="00CA7043">
        <w:rPr>
          <w:rFonts w:ascii="Times New Roman" w:hAnsi="Times New Roman" w:cs="Times New Roman"/>
          <w:b/>
          <w:bCs/>
          <w:sz w:val="24"/>
          <w:szCs w:val="24"/>
        </w:rPr>
        <w:t>Logistics.</w:t>
      </w:r>
      <w:r w:rsidRPr="00CA7043">
        <w:rPr>
          <w:rFonts w:ascii="Times New Roman" w:hAnsi="Times New Roman" w:cs="Times New Roman"/>
          <w:sz w:val="24"/>
          <w:szCs w:val="24"/>
        </w:rPr>
        <w:t xml:space="preserve"> Table 8 presents the disaster response mechanism to hydrometeorological hazards along logistics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results obtained indicate that most responders express high levels of agreement on the logistics capabilities, and the weighted mean (WM = 2.83) falls within the range of “Agree”. Access to remote areas is challenging during hydrometeorological emergencies is the leading indicator (WM = 3.01). The second highest indicator is transportation delays influence timely delivery of relief goods during disasters. (WM = 2.92). The third-ranked indicator is concerned with the relief goods being pre-positioned in strategic areas prior to the disaster (WM = 2.78). </w:t>
      </w:r>
    </w:p>
    <w:p w14:paraId="25A07EA8" w14:textId="77777777" w:rsidR="00B7621A" w:rsidRPr="00CA7043" w:rsidRDefault="00B7621A" w:rsidP="00FD142E">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8. Disaster Response Mechanism </w:t>
      </w:r>
      <w:r w:rsidRPr="00CA7043">
        <w:rPr>
          <w:rFonts w:ascii="Times New Roman" w:hAnsi="Times New Roman" w:cs="Times New Roman"/>
          <w:b/>
          <w:bCs/>
          <w:sz w:val="24"/>
          <w:szCs w:val="24"/>
        </w:rPr>
        <w:t>to Hydrometeorological</w:t>
      </w:r>
    </w:p>
    <w:p w14:paraId="1927C694" w14:textId="77777777" w:rsidR="00B7621A" w:rsidRPr="00CA7043" w:rsidRDefault="00B7621A" w:rsidP="00FD142E">
      <w:pPr>
        <w:spacing w:after="0" w:line="240" w:lineRule="auto"/>
        <w:jc w:val="center"/>
        <w:rPr>
          <w:rFonts w:ascii="Times New Roman" w:hAnsi="Times New Roman" w:cs="Times New Roman"/>
          <w:b/>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along Logistics</w:t>
      </w:r>
    </w:p>
    <w:p w14:paraId="25F9E38D"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77"/>
        <w:gridCol w:w="1203"/>
        <w:gridCol w:w="1683"/>
        <w:gridCol w:w="777"/>
      </w:tblGrid>
      <w:tr w:rsidR="00B7621A" w:rsidRPr="00CA7043" w14:paraId="6D8A114D" w14:textId="77777777" w:rsidTr="00CA7043">
        <w:trPr>
          <w:trHeight w:val="213"/>
        </w:trPr>
        <w:tc>
          <w:tcPr>
            <w:tcW w:w="5693" w:type="dxa"/>
            <w:tcBorders>
              <w:top w:val="double" w:sz="4" w:space="0" w:color="auto"/>
              <w:left w:val="nil"/>
              <w:bottom w:val="single" w:sz="4" w:space="0" w:color="000000"/>
              <w:right w:val="nil"/>
            </w:tcBorders>
            <w:vAlign w:val="center"/>
            <w:hideMark/>
          </w:tcPr>
          <w:p w14:paraId="7E9B4C2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26C522E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73D99EC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8" w:type="dxa"/>
            <w:tcBorders>
              <w:top w:val="double" w:sz="4" w:space="0" w:color="auto"/>
              <w:left w:val="nil"/>
              <w:bottom w:val="single" w:sz="4" w:space="0" w:color="000000"/>
              <w:right w:val="nil"/>
            </w:tcBorders>
            <w:vAlign w:val="center"/>
            <w:hideMark/>
          </w:tcPr>
          <w:p w14:paraId="7EAC6F4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38372D3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754" w:type="dxa"/>
            <w:tcBorders>
              <w:top w:val="double" w:sz="4" w:space="0" w:color="auto"/>
              <w:left w:val="nil"/>
              <w:bottom w:val="single" w:sz="4" w:space="0" w:color="000000"/>
              <w:right w:val="nil"/>
            </w:tcBorders>
            <w:vAlign w:val="center"/>
            <w:hideMark/>
          </w:tcPr>
          <w:p w14:paraId="37CDCEF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00E0A19" w14:textId="77777777" w:rsidTr="00CA7043">
        <w:trPr>
          <w:trHeight w:val="70"/>
        </w:trPr>
        <w:tc>
          <w:tcPr>
            <w:tcW w:w="5693" w:type="dxa"/>
            <w:tcBorders>
              <w:top w:val="single" w:sz="4" w:space="0" w:color="000000"/>
              <w:left w:val="nil"/>
              <w:bottom w:val="nil"/>
              <w:right w:val="nil"/>
            </w:tcBorders>
            <w:vAlign w:val="center"/>
            <w:hideMark/>
          </w:tcPr>
          <w:p w14:paraId="64C6B7EC"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Transportation delays affect the timely delivery of relief goods during disasters.</w:t>
            </w:r>
          </w:p>
          <w:p w14:paraId="368AC9CD" w14:textId="77777777" w:rsidR="00B7621A" w:rsidRPr="00CA7043" w:rsidRDefault="00B7621A" w:rsidP="00FD142E">
            <w:pPr>
              <w:pStyle w:val="NoSpacing"/>
              <w:ind w:left="342"/>
              <w:jc w:val="both"/>
              <w:rPr>
                <w:rFonts w:ascii="Times New Roman" w:hAnsi="Times New Roman" w:cs="Times New Roman"/>
                <w:sz w:val="24"/>
                <w:szCs w:val="24"/>
              </w:rPr>
            </w:pPr>
          </w:p>
        </w:tc>
        <w:tc>
          <w:tcPr>
            <w:tcW w:w="705" w:type="dxa"/>
            <w:tcBorders>
              <w:top w:val="single" w:sz="4" w:space="0" w:color="000000"/>
              <w:left w:val="nil"/>
              <w:bottom w:val="nil"/>
              <w:right w:val="nil"/>
            </w:tcBorders>
            <w:vAlign w:val="center"/>
          </w:tcPr>
          <w:p w14:paraId="056C9A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2.92</w:t>
            </w:r>
          </w:p>
        </w:tc>
        <w:tc>
          <w:tcPr>
            <w:tcW w:w="1488" w:type="dxa"/>
            <w:tcBorders>
              <w:top w:val="single" w:sz="4" w:space="0" w:color="000000"/>
              <w:left w:val="nil"/>
              <w:bottom w:val="nil"/>
              <w:right w:val="nil"/>
            </w:tcBorders>
            <w:vAlign w:val="center"/>
          </w:tcPr>
          <w:p w14:paraId="328283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single" w:sz="4" w:space="0" w:color="000000"/>
              <w:left w:val="nil"/>
              <w:bottom w:val="nil"/>
              <w:right w:val="nil"/>
            </w:tcBorders>
            <w:vAlign w:val="center"/>
          </w:tcPr>
          <w:p w14:paraId="53F7AF5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B9969D4" w14:textId="77777777" w:rsidTr="00CA7043">
        <w:trPr>
          <w:trHeight w:val="70"/>
        </w:trPr>
        <w:tc>
          <w:tcPr>
            <w:tcW w:w="5693" w:type="dxa"/>
            <w:tcBorders>
              <w:top w:val="nil"/>
              <w:left w:val="nil"/>
              <w:bottom w:val="nil"/>
              <w:right w:val="nil"/>
            </w:tcBorders>
            <w:vAlign w:val="center"/>
            <w:hideMark/>
          </w:tcPr>
          <w:p w14:paraId="15A64018"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Access to remote areas is challenging during hydrometeorological emergencies.</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25F5987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3.01</w:t>
            </w:r>
          </w:p>
        </w:tc>
        <w:tc>
          <w:tcPr>
            <w:tcW w:w="1488" w:type="dxa"/>
            <w:tcBorders>
              <w:top w:val="nil"/>
              <w:left w:val="nil"/>
              <w:bottom w:val="nil"/>
              <w:right w:val="nil"/>
            </w:tcBorders>
            <w:vAlign w:val="center"/>
          </w:tcPr>
          <w:p w14:paraId="59E796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248A603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43A10CE" w14:textId="77777777" w:rsidTr="00CA7043">
        <w:trPr>
          <w:trHeight w:val="70"/>
        </w:trPr>
        <w:tc>
          <w:tcPr>
            <w:tcW w:w="5693" w:type="dxa"/>
            <w:tcBorders>
              <w:top w:val="nil"/>
              <w:left w:val="nil"/>
              <w:bottom w:val="nil"/>
              <w:right w:val="nil"/>
            </w:tcBorders>
            <w:vAlign w:val="center"/>
          </w:tcPr>
          <w:p w14:paraId="777DDA08"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Availability of emergency vehicles is sufficient during disaster response operations.</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3222540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2.77</w:t>
            </w:r>
          </w:p>
        </w:tc>
        <w:tc>
          <w:tcPr>
            <w:tcW w:w="1488" w:type="dxa"/>
            <w:tcBorders>
              <w:top w:val="nil"/>
              <w:left w:val="nil"/>
              <w:bottom w:val="nil"/>
              <w:right w:val="nil"/>
            </w:tcBorders>
            <w:vAlign w:val="center"/>
          </w:tcPr>
          <w:p w14:paraId="69FE526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5CAC2C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1E0AFE0E" w14:textId="77777777" w:rsidTr="00CA7043">
        <w:trPr>
          <w:trHeight w:val="70"/>
        </w:trPr>
        <w:tc>
          <w:tcPr>
            <w:tcW w:w="5693" w:type="dxa"/>
            <w:tcBorders>
              <w:top w:val="nil"/>
              <w:left w:val="nil"/>
              <w:bottom w:val="nil"/>
              <w:right w:val="nil"/>
            </w:tcBorders>
            <w:vAlign w:val="center"/>
          </w:tcPr>
          <w:p w14:paraId="52A39EA1"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Relief goods are pre-positioned in strategic locations before disasters occur.</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6A0960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88" w:type="dxa"/>
            <w:tcBorders>
              <w:top w:val="nil"/>
              <w:left w:val="nil"/>
              <w:bottom w:val="nil"/>
              <w:right w:val="nil"/>
            </w:tcBorders>
            <w:vAlign w:val="center"/>
          </w:tcPr>
          <w:p w14:paraId="04CCC7A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3F14DA6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1DED072" w14:textId="77777777" w:rsidTr="00CA7043">
        <w:trPr>
          <w:trHeight w:val="70"/>
        </w:trPr>
        <w:tc>
          <w:tcPr>
            <w:tcW w:w="5693" w:type="dxa"/>
            <w:tcBorders>
              <w:top w:val="nil"/>
              <w:left w:val="nil"/>
              <w:bottom w:val="nil"/>
              <w:right w:val="nil"/>
            </w:tcBorders>
            <w:vAlign w:val="center"/>
          </w:tcPr>
          <w:p w14:paraId="26C11CC1"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Communication systems are reliable during disaster response operations.</w:t>
            </w:r>
          </w:p>
        </w:tc>
        <w:tc>
          <w:tcPr>
            <w:tcW w:w="705" w:type="dxa"/>
            <w:tcBorders>
              <w:top w:val="nil"/>
              <w:left w:val="nil"/>
              <w:bottom w:val="nil"/>
              <w:right w:val="nil"/>
            </w:tcBorders>
            <w:vAlign w:val="center"/>
          </w:tcPr>
          <w:p w14:paraId="5978DE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2.68</w:t>
            </w:r>
          </w:p>
        </w:tc>
        <w:tc>
          <w:tcPr>
            <w:tcW w:w="1488" w:type="dxa"/>
            <w:tcBorders>
              <w:top w:val="nil"/>
              <w:left w:val="nil"/>
              <w:bottom w:val="nil"/>
              <w:right w:val="nil"/>
            </w:tcBorders>
            <w:vAlign w:val="center"/>
          </w:tcPr>
          <w:p w14:paraId="0CF8B11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3BADB3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25E85A6" w14:textId="77777777" w:rsidTr="00CA7043">
        <w:tc>
          <w:tcPr>
            <w:tcW w:w="5693" w:type="dxa"/>
            <w:tcBorders>
              <w:top w:val="single" w:sz="4" w:space="0" w:color="000000"/>
              <w:left w:val="nil"/>
              <w:bottom w:val="double" w:sz="4" w:space="0" w:color="auto"/>
              <w:right w:val="nil"/>
            </w:tcBorders>
            <w:vAlign w:val="center"/>
            <w:hideMark/>
          </w:tcPr>
          <w:p w14:paraId="2BEF6F9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1B98ED51"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2.83</w:t>
            </w:r>
          </w:p>
        </w:tc>
        <w:tc>
          <w:tcPr>
            <w:tcW w:w="1488" w:type="dxa"/>
            <w:tcBorders>
              <w:top w:val="single" w:sz="4" w:space="0" w:color="000000"/>
              <w:left w:val="nil"/>
              <w:bottom w:val="double" w:sz="4" w:space="0" w:color="auto"/>
              <w:right w:val="nil"/>
            </w:tcBorders>
            <w:vAlign w:val="center"/>
          </w:tcPr>
          <w:p w14:paraId="54D500C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754" w:type="dxa"/>
            <w:tcBorders>
              <w:top w:val="single" w:sz="4" w:space="0" w:color="000000"/>
              <w:left w:val="nil"/>
              <w:bottom w:val="double" w:sz="4" w:space="0" w:color="auto"/>
              <w:right w:val="nil"/>
            </w:tcBorders>
            <w:vAlign w:val="center"/>
          </w:tcPr>
          <w:p w14:paraId="0A8B057F"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4F39E0BC"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7A6F654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b/>
        <w:t xml:space="preserve">The results indicate that the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operate within the framework of an efficient disaster-response logistics, but certain spheres of improvement demand targeted improvement efforts. The factors involved are integrity of communication, adequacy of vehicles and the strategic resource deployment. These concerns are essential to enhance the overall impact of responses and to ensure equal access to relief aid, especially in the geographically isolated and conspicuous areas.</w:t>
      </w:r>
    </w:p>
    <w:p w14:paraId="1E8E7FD0"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Resources.</w:t>
      </w:r>
      <w:r w:rsidRPr="00CA7043">
        <w:rPr>
          <w:rFonts w:ascii="Times New Roman" w:hAnsi="Times New Roman" w:cs="Times New Roman"/>
          <w:sz w:val="24"/>
          <w:szCs w:val="24"/>
        </w:rPr>
        <w:t xml:space="preserve"> Table 9 presented the disaster response mechanism to hydrometeorological hazards along resources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Results show that there is a general agreement between respondents on the adequacy of the resource allocation in disaster response with the overall average weighted mean (WM = 2.70) falls in the “Agree” category. At the top of the rank (WM = 2.87) is the presence of medical supplies and first aid kits in case of an emergency. The second-ranked indicator is regarding the adequacy of food and water resources needed to sustain a disaster-affected community (WM = 2.71). The third-ranked indicator is associated with the </w:t>
      </w:r>
      <w:r w:rsidRPr="00CA7043">
        <w:rPr>
          <w:rFonts w:ascii="Times New Roman" w:hAnsi="Times New Roman" w:cs="Times New Roman"/>
          <w:sz w:val="24"/>
          <w:szCs w:val="24"/>
        </w:rPr>
        <w:lastRenderedPageBreak/>
        <w:t xml:space="preserve">adequateness and accessibility of equipment and tools needed during a disaster (WM = 2.66). </w:t>
      </w:r>
    </w:p>
    <w:p w14:paraId="5BCA08A1"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w:t>
      </w:r>
    </w:p>
    <w:p w14:paraId="70B9FFEC" w14:textId="77777777" w:rsidR="00B7621A" w:rsidRPr="00CA7043" w:rsidRDefault="00B7621A" w:rsidP="00FD142E">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9. Disaster Response Mechanism </w:t>
      </w:r>
      <w:r w:rsidRPr="00CA7043">
        <w:rPr>
          <w:rFonts w:ascii="Times New Roman" w:hAnsi="Times New Roman" w:cs="Times New Roman"/>
          <w:b/>
          <w:bCs/>
          <w:sz w:val="24"/>
          <w:szCs w:val="24"/>
        </w:rPr>
        <w:t>to Hydrometeorological</w:t>
      </w:r>
    </w:p>
    <w:p w14:paraId="2A9BEF1B" w14:textId="77777777" w:rsidR="00B7621A" w:rsidRPr="00CA7043" w:rsidRDefault="00B7621A" w:rsidP="00FD142E">
      <w:pPr>
        <w:spacing w:after="0" w:line="240" w:lineRule="auto"/>
        <w:jc w:val="center"/>
        <w:rPr>
          <w:rFonts w:ascii="Times New Roman" w:hAnsi="Times New Roman" w:cs="Times New Roman"/>
          <w:b/>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along Resources</w:t>
      </w:r>
    </w:p>
    <w:p w14:paraId="3B30A7B7"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782"/>
        <w:gridCol w:w="1292"/>
        <w:gridCol w:w="1763"/>
        <w:gridCol w:w="803"/>
      </w:tblGrid>
      <w:tr w:rsidR="00B7621A" w:rsidRPr="00CA7043" w14:paraId="69AC84CE" w14:textId="77777777" w:rsidTr="00CA7043">
        <w:trPr>
          <w:trHeight w:val="645"/>
        </w:trPr>
        <w:tc>
          <w:tcPr>
            <w:tcW w:w="4782" w:type="dxa"/>
            <w:tcBorders>
              <w:top w:val="double" w:sz="4" w:space="0" w:color="auto"/>
              <w:left w:val="nil"/>
              <w:bottom w:val="single" w:sz="4" w:space="0" w:color="000000"/>
              <w:right w:val="nil"/>
            </w:tcBorders>
            <w:vAlign w:val="center"/>
            <w:hideMark/>
          </w:tcPr>
          <w:p w14:paraId="549EE73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292" w:type="dxa"/>
            <w:tcBorders>
              <w:top w:val="double" w:sz="4" w:space="0" w:color="auto"/>
              <w:left w:val="nil"/>
              <w:bottom w:val="single" w:sz="4" w:space="0" w:color="000000"/>
              <w:right w:val="nil"/>
            </w:tcBorders>
            <w:vAlign w:val="center"/>
            <w:hideMark/>
          </w:tcPr>
          <w:p w14:paraId="6F1899E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1DD5B90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763" w:type="dxa"/>
            <w:tcBorders>
              <w:top w:val="double" w:sz="4" w:space="0" w:color="auto"/>
              <w:left w:val="nil"/>
              <w:bottom w:val="single" w:sz="4" w:space="0" w:color="000000"/>
              <w:right w:val="nil"/>
            </w:tcBorders>
            <w:vAlign w:val="center"/>
            <w:hideMark/>
          </w:tcPr>
          <w:p w14:paraId="2B27B6F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2DA37D9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7415215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62DD3F7" w14:textId="77777777" w:rsidTr="00CA7043">
        <w:trPr>
          <w:trHeight w:val="70"/>
        </w:trPr>
        <w:tc>
          <w:tcPr>
            <w:tcW w:w="4782" w:type="dxa"/>
            <w:tcBorders>
              <w:top w:val="single" w:sz="4" w:space="0" w:color="000000"/>
              <w:left w:val="nil"/>
              <w:bottom w:val="nil"/>
              <w:right w:val="nil"/>
            </w:tcBorders>
            <w:vAlign w:val="center"/>
            <w:hideMark/>
          </w:tcPr>
          <w:p w14:paraId="1A6FC541"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Financial resources allocated for disaster response are sufficient to meet community needs.</w:t>
            </w:r>
            <w:r w:rsidRPr="00CA7043">
              <w:rPr>
                <w:rFonts w:ascii="Times New Roman" w:hAnsi="Times New Roman" w:cs="Times New Roman"/>
                <w:sz w:val="24"/>
                <w:szCs w:val="24"/>
                <w:lang w:bidi="th-TH"/>
              </w:rPr>
              <w:t xml:space="preserve"> </w:t>
            </w:r>
          </w:p>
        </w:tc>
        <w:tc>
          <w:tcPr>
            <w:tcW w:w="1292" w:type="dxa"/>
            <w:tcBorders>
              <w:top w:val="single" w:sz="4" w:space="0" w:color="000000"/>
              <w:left w:val="nil"/>
              <w:bottom w:val="nil"/>
              <w:right w:val="nil"/>
            </w:tcBorders>
            <w:vAlign w:val="center"/>
          </w:tcPr>
          <w:p w14:paraId="4CEF10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2.63</w:t>
            </w:r>
          </w:p>
        </w:tc>
        <w:tc>
          <w:tcPr>
            <w:tcW w:w="1763" w:type="dxa"/>
            <w:tcBorders>
              <w:top w:val="single" w:sz="4" w:space="0" w:color="000000"/>
              <w:left w:val="nil"/>
              <w:bottom w:val="nil"/>
              <w:right w:val="nil"/>
            </w:tcBorders>
            <w:vAlign w:val="center"/>
          </w:tcPr>
          <w:p w14:paraId="0A4985D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41A0857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48F95915" w14:textId="77777777" w:rsidTr="00CA7043">
        <w:trPr>
          <w:trHeight w:val="70"/>
        </w:trPr>
        <w:tc>
          <w:tcPr>
            <w:tcW w:w="4782" w:type="dxa"/>
            <w:tcBorders>
              <w:top w:val="nil"/>
              <w:left w:val="nil"/>
              <w:bottom w:val="nil"/>
              <w:right w:val="nil"/>
            </w:tcBorders>
            <w:vAlign w:val="center"/>
            <w:hideMark/>
          </w:tcPr>
          <w:p w14:paraId="6729967A"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Equipment and tools for disaster response are adequate and accessible.</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417EA7C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2.66</w:t>
            </w:r>
          </w:p>
        </w:tc>
        <w:tc>
          <w:tcPr>
            <w:tcW w:w="1763" w:type="dxa"/>
            <w:tcBorders>
              <w:top w:val="nil"/>
              <w:left w:val="nil"/>
              <w:bottom w:val="nil"/>
              <w:right w:val="nil"/>
            </w:tcBorders>
            <w:vAlign w:val="center"/>
          </w:tcPr>
          <w:p w14:paraId="32F849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7A23C2E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D565453" w14:textId="77777777" w:rsidTr="00CA7043">
        <w:trPr>
          <w:trHeight w:val="70"/>
        </w:trPr>
        <w:tc>
          <w:tcPr>
            <w:tcW w:w="4782" w:type="dxa"/>
            <w:tcBorders>
              <w:top w:val="nil"/>
              <w:left w:val="nil"/>
              <w:bottom w:val="nil"/>
              <w:right w:val="nil"/>
            </w:tcBorders>
            <w:vAlign w:val="center"/>
          </w:tcPr>
          <w:p w14:paraId="20DB5EF6"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There is a sufficient number of trained personnel available for disaster response operations.</w:t>
            </w:r>
          </w:p>
        </w:tc>
        <w:tc>
          <w:tcPr>
            <w:tcW w:w="1292" w:type="dxa"/>
            <w:tcBorders>
              <w:top w:val="nil"/>
              <w:left w:val="nil"/>
              <w:bottom w:val="nil"/>
              <w:right w:val="nil"/>
            </w:tcBorders>
            <w:vAlign w:val="center"/>
          </w:tcPr>
          <w:p w14:paraId="1AD6BF2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2.61</w:t>
            </w:r>
          </w:p>
        </w:tc>
        <w:tc>
          <w:tcPr>
            <w:tcW w:w="1763" w:type="dxa"/>
            <w:tcBorders>
              <w:top w:val="nil"/>
              <w:left w:val="nil"/>
              <w:bottom w:val="nil"/>
              <w:right w:val="nil"/>
            </w:tcBorders>
            <w:vAlign w:val="center"/>
          </w:tcPr>
          <w:p w14:paraId="3B705F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1177E5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42B9A5D4" w14:textId="77777777" w:rsidTr="00CA7043">
        <w:trPr>
          <w:trHeight w:val="70"/>
        </w:trPr>
        <w:tc>
          <w:tcPr>
            <w:tcW w:w="4782" w:type="dxa"/>
            <w:tcBorders>
              <w:top w:val="nil"/>
              <w:left w:val="nil"/>
              <w:bottom w:val="nil"/>
              <w:right w:val="nil"/>
            </w:tcBorders>
            <w:vAlign w:val="center"/>
          </w:tcPr>
          <w:p w14:paraId="53EDDF00"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Medical supplies and first aid kits are readily available during emergencies.</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6790DD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2.87</w:t>
            </w:r>
          </w:p>
        </w:tc>
        <w:tc>
          <w:tcPr>
            <w:tcW w:w="1763" w:type="dxa"/>
            <w:tcBorders>
              <w:top w:val="nil"/>
              <w:left w:val="nil"/>
              <w:bottom w:val="nil"/>
              <w:right w:val="nil"/>
            </w:tcBorders>
            <w:vAlign w:val="center"/>
          </w:tcPr>
          <w:p w14:paraId="3B91B47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FC5CF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0DDB099F" w14:textId="77777777" w:rsidTr="00CA7043">
        <w:trPr>
          <w:trHeight w:val="70"/>
        </w:trPr>
        <w:tc>
          <w:tcPr>
            <w:tcW w:w="4782" w:type="dxa"/>
            <w:tcBorders>
              <w:top w:val="nil"/>
              <w:left w:val="nil"/>
              <w:bottom w:val="nil"/>
              <w:right w:val="nil"/>
            </w:tcBorders>
            <w:vAlign w:val="center"/>
          </w:tcPr>
          <w:p w14:paraId="671B84EA"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rPr>
            </w:pPr>
            <w:r w:rsidRPr="00CA7043">
              <w:rPr>
                <w:rFonts w:ascii="Times New Roman" w:hAnsi="Times New Roman" w:cs="Times New Roman"/>
                <w:sz w:val="24"/>
                <w:szCs w:val="24"/>
              </w:rPr>
              <w:t>Food and water supplies are sufficient to support affected communities during disasters.</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25C6E91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2.71</w:t>
            </w:r>
          </w:p>
        </w:tc>
        <w:tc>
          <w:tcPr>
            <w:tcW w:w="1763" w:type="dxa"/>
            <w:tcBorders>
              <w:top w:val="nil"/>
              <w:left w:val="nil"/>
              <w:bottom w:val="nil"/>
              <w:right w:val="nil"/>
            </w:tcBorders>
            <w:vAlign w:val="center"/>
          </w:tcPr>
          <w:p w14:paraId="5AE9CA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615654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464BFD34" w14:textId="77777777" w:rsidTr="00CA7043">
        <w:tc>
          <w:tcPr>
            <w:tcW w:w="4782" w:type="dxa"/>
            <w:tcBorders>
              <w:top w:val="single" w:sz="4" w:space="0" w:color="000000"/>
              <w:left w:val="nil"/>
              <w:bottom w:val="double" w:sz="4" w:space="0" w:color="auto"/>
              <w:right w:val="nil"/>
            </w:tcBorders>
            <w:vAlign w:val="center"/>
            <w:hideMark/>
          </w:tcPr>
          <w:p w14:paraId="270CCE6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1292" w:type="dxa"/>
            <w:tcBorders>
              <w:top w:val="single" w:sz="4" w:space="0" w:color="000000"/>
              <w:left w:val="nil"/>
              <w:bottom w:val="double" w:sz="4" w:space="0" w:color="auto"/>
              <w:right w:val="nil"/>
            </w:tcBorders>
            <w:vAlign w:val="center"/>
          </w:tcPr>
          <w:p w14:paraId="31576E15"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2.70</w:t>
            </w:r>
          </w:p>
        </w:tc>
        <w:tc>
          <w:tcPr>
            <w:tcW w:w="1763" w:type="dxa"/>
            <w:tcBorders>
              <w:top w:val="single" w:sz="4" w:space="0" w:color="000000"/>
              <w:left w:val="nil"/>
              <w:bottom w:val="double" w:sz="4" w:space="0" w:color="auto"/>
              <w:right w:val="nil"/>
            </w:tcBorders>
            <w:vAlign w:val="center"/>
          </w:tcPr>
          <w:p w14:paraId="0226F09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2AE8F6AC"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C3D80C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0E81C6F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On the other hand, the indicators that reflect somewhat low weighted means are the financial resources available to respond to the disasters are adequate to address the needs of the community (WM = 2.63, Rank 4) and the fact that the number of trained staff available to address the disaster response operations is adequate (WM = 2.61, Rank 5).</w:t>
      </w:r>
    </w:p>
    <w:p w14:paraId="23BB54B1"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Coordination and Organization. </w:t>
      </w:r>
      <w:r w:rsidRPr="00CA7043">
        <w:rPr>
          <w:rFonts w:ascii="Times New Roman" w:hAnsi="Times New Roman" w:cs="Times New Roman"/>
          <w:sz w:val="24"/>
          <w:szCs w:val="24"/>
        </w:rPr>
        <w:t xml:space="preserve">Table 10 presented the disaster response mechanism to hydrometeorological hazards along coordination and organization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showed a positive impression of agreement amongst the respondents with regard to coordination and organizational arrangements with an average weighted mean (WM = 2.81) classifying as "Agree" responses. The indicator that showed the greatest degree of agreement is connected to the coordination between Local Disaster Risk Reduction and Management Office (LDRRMO) and barangay officials in responding to disasters (WM = 3.09, Rank 1). The second-ranked indicator illustrates that the roles and responsibilities of responders are clearly defined in disaster response plans (WM = 2.87). The third indicator that is ranked as the third one reveals that duplication of efforts among agencies is reduced to the minimum in disaster operations (WM = 2.77).</w:t>
      </w:r>
    </w:p>
    <w:p w14:paraId="64ACC50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On the contrary, the indicators that have a lower weighted mean are the successful participation of all the key stakeholders in the disaster preparedness exercises (WM = 2.67, Rank 4) and the smooth flow of communication between agencies in the disaster response efforts (WM = 2.64, Rank 5).</w:t>
      </w:r>
    </w:p>
    <w:p w14:paraId="5310206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are that even though the MDRRMO responders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have been able to develop effective coordination and organizational structures that will respond to a disaster, there remains several aspects that responders can</w:t>
      </w:r>
    </w:p>
    <w:p w14:paraId="2CB89884" w14:textId="77777777" w:rsidR="00FD142E" w:rsidRDefault="00FD142E" w:rsidP="00FD142E">
      <w:pPr>
        <w:spacing w:after="0" w:line="240" w:lineRule="auto"/>
        <w:jc w:val="center"/>
        <w:rPr>
          <w:rFonts w:ascii="Times New Roman" w:hAnsi="Times New Roman" w:cs="Times New Roman"/>
          <w:b/>
          <w:sz w:val="24"/>
          <w:szCs w:val="24"/>
        </w:rPr>
      </w:pPr>
    </w:p>
    <w:p w14:paraId="40BFCC28" w14:textId="77777777" w:rsidR="00B7621A" w:rsidRPr="00CA7043" w:rsidRDefault="00B7621A" w:rsidP="00FD142E">
      <w:pPr>
        <w:spacing w:after="0" w:line="240" w:lineRule="auto"/>
        <w:jc w:val="center"/>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10.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b/>
          <w:sz w:val="24"/>
          <w:szCs w:val="24"/>
        </w:rPr>
        <w:t xml:space="preserve"> along </w:t>
      </w:r>
      <w:r w:rsidRPr="00CA7043">
        <w:rPr>
          <w:rStyle w:val="Strong"/>
          <w:rFonts w:ascii="Times New Roman" w:eastAsiaTheme="majorEastAsia" w:hAnsi="Times New Roman" w:cs="Times New Roman"/>
          <w:sz w:val="24"/>
          <w:szCs w:val="24"/>
        </w:rPr>
        <w:t>Coordination and Organizations</w:t>
      </w:r>
    </w:p>
    <w:p w14:paraId="1907E9F5"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00FDA5E4" w14:textId="77777777" w:rsidTr="00CA7043">
        <w:trPr>
          <w:trHeight w:val="213"/>
        </w:trPr>
        <w:tc>
          <w:tcPr>
            <w:tcW w:w="5672" w:type="dxa"/>
            <w:tcBorders>
              <w:top w:val="double" w:sz="4" w:space="0" w:color="auto"/>
              <w:left w:val="nil"/>
              <w:bottom w:val="single" w:sz="4" w:space="0" w:color="000000"/>
              <w:right w:val="nil"/>
            </w:tcBorders>
            <w:vAlign w:val="center"/>
            <w:hideMark/>
          </w:tcPr>
          <w:p w14:paraId="5FA7242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2A230FA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1E1CAD4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1" w:type="dxa"/>
            <w:tcBorders>
              <w:top w:val="double" w:sz="4" w:space="0" w:color="auto"/>
              <w:left w:val="nil"/>
              <w:bottom w:val="single" w:sz="4" w:space="0" w:color="000000"/>
              <w:right w:val="nil"/>
            </w:tcBorders>
            <w:vAlign w:val="center"/>
            <w:hideMark/>
          </w:tcPr>
          <w:p w14:paraId="4D3018F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493AA0F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693DC00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B6DAAF3" w14:textId="77777777" w:rsidTr="00CA7043">
        <w:trPr>
          <w:trHeight w:val="70"/>
        </w:trPr>
        <w:tc>
          <w:tcPr>
            <w:tcW w:w="5672" w:type="dxa"/>
            <w:tcBorders>
              <w:top w:val="single" w:sz="4" w:space="0" w:color="000000"/>
              <w:left w:val="nil"/>
              <w:bottom w:val="nil"/>
              <w:right w:val="nil"/>
            </w:tcBorders>
            <w:vAlign w:val="center"/>
            <w:hideMark/>
          </w:tcPr>
          <w:p w14:paraId="1DD1D646"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Coordination between LDRRMO and barangay officials is effective during disaster response efforts.</w:t>
            </w:r>
            <w:r w:rsidRPr="00CA7043">
              <w:rPr>
                <w:rFonts w:ascii="Times New Roman" w:hAnsi="Times New Roman" w:cs="Times New Roman"/>
                <w:sz w:val="24"/>
                <w:szCs w:val="24"/>
                <w:lang w:bidi="th-TH"/>
              </w:rPr>
              <w:t xml:space="preserve"> </w:t>
            </w:r>
          </w:p>
        </w:tc>
        <w:tc>
          <w:tcPr>
            <w:tcW w:w="684" w:type="dxa"/>
            <w:tcBorders>
              <w:top w:val="single" w:sz="4" w:space="0" w:color="000000"/>
              <w:left w:val="nil"/>
              <w:bottom w:val="nil"/>
              <w:right w:val="nil"/>
            </w:tcBorders>
            <w:vAlign w:val="center"/>
          </w:tcPr>
          <w:p w14:paraId="161608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3.09</w:t>
            </w:r>
          </w:p>
        </w:tc>
        <w:tc>
          <w:tcPr>
            <w:tcW w:w="1481" w:type="dxa"/>
            <w:tcBorders>
              <w:top w:val="single" w:sz="4" w:space="0" w:color="000000"/>
              <w:left w:val="nil"/>
              <w:bottom w:val="nil"/>
              <w:right w:val="nil"/>
            </w:tcBorders>
            <w:vAlign w:val="center"/>
          </w:tcPr>
          <w:p w14:paraId="66636A7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0EF7972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E73771F" w14:textId="77777777" w:rsidTr="00CA7043">
        <w:trPr>
          <w:trHeight w:val="70"/>
        </w:trPr>
        <w:tc>
          <w:tcPr>
            <w:tcW w:w="5672" w:type="dxa"/>
            <w:tcBorders>
              <w:top w:val="nil"/>
              <w:left w:val="nil"/>
              <w:bottom w:val="nil"/>
              <w:right w:val="nil"/>
            </w:tcBorders>
            <w:vAlign w:val="center"/>
            <w:hideMark/>
          </w:tcPr>
          <w:p w14:paraId="4943FD93"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Roles and responsibilities of responders are clearly defined in disaster response plans.</w:t>
            </w:r>
          </w:p>
        </w:tc>
        <w:tc>
          <w:tcPr>
            <w:tcW w:w="684" w:type="dxa"/>
            <w:tcBorders>
              <w:top w:val="nil"/>
              <w:left w:val="nil"/>
              <w:bottom w:val="nil"/>
              <w:right w:val="nil"/>
            </w:tcBorders>
            <w:vAlign w:val="center"/>
          </w:tcPr>
          <w:p w14:paraId="5063CD5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2.87</w:t>
            </w:r>
          </w:p>
        </w:tc>
        <w:tc>
          <w:tcPr>
            <w:tcW w:w="1481" w:type="dxa"/>
            <w:tcBorders>
              <w:top w:val="nil"/>
              <w:left w:val="nil"/>
              <w:bottom w:val="nil"/>
              <w:right w:val="nil"/>
            </w:tcBorders>
            <w:vAlign w:val="center"/>
          </w:tcPr>
          <w:p w14:paraId="1FC858E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407131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7E01320" w14:textId="77777777" w:rsidTr="00CA7043">
        <w:trPr>
          <w:trHeight w:val="70"/>
        </w:trPr>
        <w:tc>
          <w:tcPr>
            <w:tcW w:w="5672" w:type="dxa"/>
            <w:tcBorders>
              <w:top w:val="nil"/>
              <w:left w:val="nil"/>
              <w:bottom w:val="nil"/>
              <w:right w:val="nil"/>
            </w:tcBorders>
            <w:vAlign w:val="center"/>
          </w:tcPr>
          <w:p w14:paraId="2EADDB72"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Duplication of efforts among agencies is minimized during disaster operations.</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5EC86F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2.77</w:t>
            </w:r>
          </w:p>
        </w:tc>
        <w:tc>
          <w:tcPr>
            <w:tcW w:w="1481" w:type="dxa"/>
            <w:tcBorders>
              <w:top w:val="nil"/>
              <w:left w:val="nil"/>
              <w:bottom w:val="nil"/>
              <w:right w:val="nil"/>
            </w:tcBorders>
            <w:vAlign w:val="center"/>
          </w:tcPr>
          <w:p w14:paraId="4A6CEE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00B985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12212EE" w14:textId="77777777" w:rsidTr="00CA7043">
        <w:trPr>
          <w:trHeight w:val="70"/>
        </w:trPr>
        <w:tc>
          <w:tcPr>
            <w:tcW w:w="5672" w:type="dxa"/>
            <w:tcBorders>
              <w:top w:val="nil"/>
              <w:left w:val="nil"/>
              <w:bottom w:val="nil"/>
              <w:right w:val="nil"/>
            </w:tcBorders>
            <w:vAlign w:val="center"/>
          </w:tcPr>
          <w:p w14:paraId="1A4AA472"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rPr>
            </w:pPr>
            <w:r w:rsidRPr="00CA7043">
              <w:rPr>
                <w:rFonts w:ascii="Times New Roman" w:hAnsi="Times New Roman" w:cs="Times New Roman"/>
                <w:sz w:val="24"/>
                <w:szCs w:val="24"/>
              </w:rPr>
              <w:t>Inter-agency communication is seamless throughout disaster response activities.</w:t>
            </w:r>
          </w:p>
        </w:tc>
        <w:tc>
          <w:tcPr>
            <w:tcW w:w="684" w:type="dxa"/>
            <w:tcBorders>
              <w:top w:val="nil"/>
              <w:left w:val="nil"/>
              <w:bottom w:val="nil"/>
              <w:right w:val="nil"/>
            </w:tcBorders>
            <w:vAlign w:val="center"/>
          </w:tcPr>
          <w:p w14:paraId="3C93598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2.64</w:t>
            </w:r>
          </w:p>
        </w:tc>
        <w:tc>
          <w:tcPr>
            <w:tcW w:w="1481" w:type="dxa"/>
            <w:tcBorders>
              <w:top w:val="nil"/>
              <w:left w:val="nil"/>
              <w:bottom w:val="nil"/>
              <w:right w:val="nil"/>
            </w:tcBorders>
            <w:vAlign w:val="center"/>
          </w:tcPr>
          <w:p w14:paraId="7BDE0E5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0D832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C082AE9" w14:textId="77777777" w:rsidTr="00CA7043">
        <w:trPr>
          <w:trHeight w:val="70"/>
        </w:trPr>
        <w:tc>
          <w:tcPr>
            <w:tcW w:w="5672" w:type="dxa"/>
            <w:tcBorders>
              <w:top w:val="nil"/>
              <w:left w:val="nil"/>
              <w:bottom w:val="nil"/>
              <w:right w:val="nil"/>
            </w:tcBorders>
            <w:vAlign w:val="center"/>
          </w:tcPr>
          <w:p w14:paraId="233D053C"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rPr>
            </w:pPr>
            <w:r w:rsidRPr="00CA7043">
              <w:rPr>
                <w:rFonts w:ascii="Times New Roman" w:hAnsi="Times New Roman" w:cs="Times New Roman"/>
                <w:sz w:val="24"/>
                <w:szCs w:val="24"/>
              </w:rPr>
              <w:t>Disaster preparedness drills involve all key stakeholders effectively.</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76FEA14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2.67</w:t>
            </w:r>
          </w:p>
        </w:tc>
        <w:tc>
          <w:tcPr>
            <w:tcW w:w="1481" w:type="dxa"/>
            <w:tcBorders>
              <w:top w:val="nil"/>
              <w:left w:val="nil"/>
              <w:bottom w:val="nil"/>
              <w:right w:val="nil"/>
            </w:tcBorders>
            <w:vAlign w:val="center"/>
          </w:tcPr>
          <w:p w14:paraId="217E939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0FEFC2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2FE3B2F4" w14:textId="77777777" w:rsidTr="00CA7043">
        <w:tc>
          <w:tcPr>
            <w:tcW w:w="5672" w:type="dxa"/>
            <w:tcBorders>
              <w:top w:val="single" w:sz="4" w:space="0" w:color="000000"/>
              <w:left w:val="nil"/>
              <w:bottom w:val="double" w:sz="4" w:space="0" w:color="auto"/>
              <w:right w:val="nil"/>
            </w:tcBorders>
            <w:vAlign w:val="center"/>
            <w:hideMark/>
          </w:tcPr>
          <w:p w14:paraId="60631E9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bottom"/>
          </w:tcPr>
          <w:p w14:paraId="559A2B2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2.81</w:t>
            </w:r>
          </w:p>
        </w:tc>
        <w:tc>
          <w:tcPr>
            <w:tcW w:w="1481" w:type="dxa"/>
            <w:tcBorders>
              <w:top w:val="single" w:sz="4" w:space="0" w:color="000000"/>
              <w:left w:val="nil"/>
              <w:bottom w:val="double" w:sz="4" w:space="0" w:color="auto"/>
              <w:right w:val="nil"/>
            </w:tcBorders>
            <w:vAlign w:val="center"/>
          </w:tcPr>
          <w:p w14:paraId="167640E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51A4873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4D55050B"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p>
    <w:p w14:paraId="51AF5EFF"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r w:rsidRPr="00CA7043">
        <w:rPr>
          <w:rFonts w:ascii="Times New Roman" w:hAnsi="Times New Roman" w:cs="Times New Roman"/>
          <w:sz w:val="24"/>
          <w:szCs w:val="24"/>
        </w:rPr>
        <w:t>improve on. To enhance overall response coordination and operational efficiency during hydrometeorological emergencies, it is necessary to pay attention to inter-agency communication, extensive stakeholder involvement in preparedness drills, and efficient information exchange.</w:t>
      </w:r>
    </w:p>
    <w:p w14:paraId="4FDC3AF9" w14:textId="77777777" w:rsidR="00B7621A"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Community-Related Concerns. </w:t>
      </w:r>
      <w:r w:rsidRPr="00CA7043">
        <w:rPr>
          <w:rFonts w:ascii="Times New Roman" w:hAnsi="Times New Roman" w:cs="Times New Roman"/>
          <w:sz w:val="24"/>
          <w:szCs w:val="24"/>
        </w:rPr>
        <w:t xml:space="preserve">Table 11 presents the disaster response mechanism to hydrometeorological hazards along community-related concerns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showed that there was a high degree of community engagement and resilience through the mean weighted score (WM = 3.19), which is classified as “Agree”. The first indicator rated highest is the support of local customs and traditions to effective disaster response (WM= 3.86). The outcome shows that there was a high level of agreement with the statement. The second-ranking indicator is the active involvement of the community members in disaster drills and training (WM = 3.40). The third-ranking is Community members are informed about disaster preparedness actions (WM = 3.05).</w:t>
      </w:r>
    </w:p>
    <w:p w14:paraId="4ECF303B" w14:textId="77777777" w:rsidR="00A26D34" w:rsidRDefault="00A26D34" w:rsidP="00A26D34">
      <w:pPr>
        <w:tabs>
          <w:tab w:val="left" w:pos="1080"/>
        </w:tabs>
        <w:spacing w:after="0" w:line="240" w:lineRule="auto"/>
        <w:jc w:val="both"/>
        <w:rPr>
          <w:rFonts w:ascii="Times New Roman" w:hAnsi="Times New Roman" w:cs="Times New Roman"/>
          <w:sz w:val="24"/>
          <w:szCs w:val="24"/>
        </w:rPr>
      </w:pPr>
    </w:p>
    <w:p w14:paraId="7D7A3619" w14:textId="77777777" w:rsidR="00A26D34" w:rsidRDefault="00A26D34" w:rsidP="00A26D34">
      <w:pPr>
        <w:tabs>
          <w:tab w:val="left" w:pos="1080"/>
        </w:tabs>
        <w:spacing w:after="0" w:line="240" w:lineRule="auto"/>
        <w:jc w:val="both"/>
        <w:rPr>
          <w:rFonts w:ascii="Times New Roman" w:hAnsi="Times New Roman" w:cs="Times New Roman"/>
          <w:sz w:val="24"/>
          <w:szCs w:val="24"/>
        </w:rPr>
      </w:pPr>
    </w:p>
    <w:p w14:paraId="547A6826" w14:textId="77777777" w:rsidR="00A26D34" w:rsidRPr="00A26D34" w:rsidRDefault="00A26D34" w:rsidP="00A26D34">
      <w:pPr>
        <w:tabs>
          <w:tab w:val="left" w:pos="1080"/>
        </w:tabs>
        <w:spacing w:after="0" w:line="240" w:lineRule="auto"/>
        <w:jc w:val="both"/>
        <w:rPr>
          <w:rFonts w:ascii="Times New Roman" w:hAnsi="Times New Roman" w:cs="Times New Roman"/>
          <w:sz w:val="24"/>
          <w:szCs w:val="24"/>
        </w:rPr>
      </w:pPr>
    </w:p>
    <w:p w14:paraId="76FA5870"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11.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Community-Related Concerns</w:t>
      </w:r>
    </w:p>
    <w:p w14:paraId="7D1FAA55"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5D32CD8B" w14:textId="77777777" w:rsidTr="00CA7043">
        <w:trPr>
          <w:trHeight w:val="213"/>
        </w:trPr>
        <w:tc>
          <w:tcPr>
            <w:tcW w:w="5670" w:type="dxa"/>
            <w:tcBorders>
              <w:top w:val="double" w:sz="4" w:space="0" w:color="auto"/>
              <w:left w:val="nil"/>
              <w:bottom w:val="single" w:sz="4" w:space="0" w:color="000000"/>
              <w:right w:val="nil"/>
            </w:tcBorders>
            <w:vAlign w:val="center"/>
            <w:hideMark/>
          </w:tcPr>
          <w:p w14:paraId="42D6839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3A82929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3E3F86A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3" w:type="dxa"/>
            <w:tcBorders>
              <w:top w:val="double" w:sz="4" w:space="0" w:color="auto"/>
              <w:left w:val="nil"/>
              <w:bottom w:val="single" w:sz="4" w:space="0" w:color="000000"/>
              <w:right w:val="nil"/>
            </w:tcBorders>
            <w:vAlign w:val="center"/>
            <w:hideMark/>
          </w:tcPr>
          <w:p w14:paraId="261E551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74B24C2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77218D3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22742EDB" w14:textId="77777777" w:rsidTr="00CA7043">
        <w:trPr>
          <w:trHeight w:val="70"/>
        </w:trPr>
        <w:tc>
          <w:tcPr>
            <w:tcW w:w="5670" w:type="dxa"/>
            <w:tcBorders>
              <w:top w:val="single" w:sz="4" w:space="0" w:color="000000"/>
              <w:left w:val="nil"/>
              <w:bottom w:val="nil"/>
              <w:right w:val="nil"/>
            </w:tcBorders>
            <w:vAlign w:val="center"/>
            <w:hideMark/>
          </w:tcPr>
          <w:p w14:paraId="01043C9E"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Community members are well-informed about disaster preparedness measures.</w:t>
            </w:r>
            <w:r w:rsidRPr="00CA7043">
              <w:rPr>
                <w:rFonts w:ascii="Times New Roman" w:hAnsi="Times New Roman" w:cs="Times New Roman"/>
                <w:sz w:val="24"/>
                <w:szCs w:val="24"/>
                <w:lang w:bidi="th-TH"/>
              </w:rPr>
              <w:t xml:space="preserve"> </w:t>
            </w:r>
          </w:p>
        </w:tc>
        <w:tc>
          <w:tcPr>
            <w:tcW w:w="684" w:type="dxa"/>
            <w:tcBorders>
              <w:top w:val="single" w:sz="4" w:space="0" w:color="000000"/>
              <w:left w:val="nil"/>
              <w:bottom w:val="nil"/>
              <w:right w:val="nil"/>
            </w:tcBorders>
            <w:vAlign w:val="center"/>
          </w:tcPr>
          <w:p w14:paraId="1A963B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3.05</w:t>
            </w:r>
          </w:p>
        </w:tc>
        <w:tc>
          <w:tcPr>
            <w:tcW w:w="1483" w:type="dxa"/>
            <w:tcBorders>
              <w:top w:val="single" w:sz="4" w:space="0" w:color="000000"/>
              <w:left w:val="nil"/>
              <w:bottom w:val="nil"/>
              <w:right w:val="nil"/>
            </w:tcBorders>
            <w:vAlign w:val="center"/>
          </w:tcPr>
          <w:p w14:paraId="1069665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3688355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3CB1415" w14:textId="77777777" w:rsidTr="00CA7043">
        <w:trPr>
          <w:trHeight w:val="70"/>
        </w:trPr>
        <w:tc>
          <w:tcPr>
            <w:tcW w:w="5670" w:type="dxa"/>
            <w:tcBorders>
              <w:top w:val="nil"/>
              <w:left w:val="nil"/>
              <w:bottom w:val="nil"/>
              <w:right w:val="nil"/>
            </w:tcBorders>
            <w:vAlign w:val="center"/>
            <w:hideMark/>
          </w:tcPr>
          <w:p w14:paraId="5E363F4E"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Evacuation orders are generally followed by community residents.</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622772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83" w:type="dxa"/>
            <w:tcBorders>
              <w:top w:val="nil"/>
              <w:left w:val="nil"/>
              <w:bottom w:val="nil"/>
              <w:right w:val="nil"/>
            </w:tcBorders>
            <w:vAlign w:val="center"/>
          </w:tcPr>
          <w:p w14:paraId="1E631FB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BC4465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B46DB1A" w14:textId="77777777" w:rsidTr="00CA7043">
        <w:trPr>
          <w:trHeight w:val="70"/>
        </w:trPr>
        <w:tc>
          <w:tcPr>
            <w:tcW w:w="5670" w:type="dxa"/>
            <w:tcBorders>
              <w:top w:val="nil"/>
              <w:left w:val="nil"/>
              <w:bottom w:val="nil"/>
              <w:right w:val="nil"/>
            </w:tcBorders>
            <w:vAlign w:val="center"/>
          </w:tcPr>
          <w:p w14:paraId="70CE1E00"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lastRenderedPageBreak/>
              <w:t>Local customs and traditions support effective disaster response.</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2E61E4E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3.86</w:t>
            </w:r>
          </w:p>
        </w:tc>
        <w:tc>
          <w:tcPr>
            <w:tcW w:w="1483" w:type="dxa"/>
            <w:tcBorders>
              <w:top w:val="nil"/>
              <w:left w:val="nil"/>
              <w:bottom w:val="nil"/>
              <w:right w:val="nil"/>
            </w:tcBorders>
            <w:vAlign w:val="center"/>
          </w:tcPr>
          <w:p w14:paraId="7C984CE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Agree</w:t>
            </w:r>
          </w:p>
        </w:tc>
        <w:tc>
          <w:tcPr>
            <w:tcW w:w="803" w:type="dxa"/>
            <w:tcBorders>
              <w:top w:val="nil"/>
              <w:left w:val="nil"/>
              <w:bottom w:val="nil"/>
              <w:right w:val="nil"/>
            </w:tcBorders>
            <w:vAlign w:val="center"/>
          </w:tcPr>
          <w:p w14:paraId="79CB674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750BF77" w14:textId="77777777" w:rsidTr="00CA7043">
        <w:trPr>
          <w:trHeight w:val="70"/>
        </w:trPr>
        <w:tc>
          <w:tcPr>
            <w:tcW w:w="5670" w:type="dxa"/>
            <w:tcBorders>
              <w:top w:val="nil"/>
              <w:left w:val="nil"/>
              <w:bottom w:val="nil"/>
              <w:right w:val="nil"/>
            </w:tcBorders>
            <w:vAlign w:val="center"/>
          </w:tcPr>
          <w:p w14:paraId="38503E1A"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Community members actively participate in disaster drills and training.</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796B34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3.40</w:t>
            </w:r>
          </w:p>
        </w:tc>
        <w:tc>
          <w:tcPr>
            <w:tcW w:w="1483" w:type="dxa"/>
            <w:tcBorders>
              <w:top w:val="nil"/>
              <w:left w:val="nil"/>
              <w:bottom w:val="nil"/>
              <w:right w:val="nil"/>
            </w:tcBorders>
            <w:vAlign w:val="center"/>
          </w:tcPr>
          <w:p w14:paraId="20BB90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6AF1F4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A55FFA8" w14:textId="77777777" w:rsidTr="00CA7043">
        <w:trPr>
          <w:trHeight w:val="70"/>
        </w:trPr>
        <w:tc>
          <w:tcPr>
            <w:tcW w:w="5670" w:type="dxa"/>
            <w:tcBorders>
              <w:top w:val="nil"/>
              <w:left w:val="nil"/>
              <w:bottom w:val="nil"/>
              <w:right w:val="nil"/>
            </w:tcBorders>
            <w:vAlign w:val="center"/>
          </w:tcPr>
          <w:p w14:paraId="0FCE00B0"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There is strong cooperation between community members and responders during disasters. </w:t>
            </w:r>
          </w:p>
        </w:tc>
        <w:tc>
          <w:tcPr>
            <w:tcW w:w="684" w:type="dxa"/>
            <w:tcBorders>
              <w:top w:val="nil"/>
              <w:left w:val="nil"/>
              <w:bottom w:val="nil"/>
              <w:right w:val="nil"/>
            </w:tcBorders>
            <w:vAlign w:val="center"/>
          </w:tcPr>
          <w:p w14:paraId="6CFD2C3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2.80</w:t>
            </w:r>
          </w:p>
        </w:tc>
        <w:tc>
          <w:tcPr>
            <w:tcW w:w="1483" w:type="dxa"/>
            <w:tcBorders>
              <w:top w:val="nil"/>
              <w:left w:val="nil"/>
              <w:bottom w:val="nil"/>
              <w:right w:val="nil"/>
            </w:tcBorders>
            <w:vAlign w:val="center"/>
          </w:tcPr>
          <w:p w14:paraId="4796105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2FEF6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4C9307F" w14:textId="77777777" w:rsidTr="00CA7043">
        <w:tc>
          <w:tcPr>
            <w:tcW w:w="5670" w:type="dxa"/>
            <w:tcBorders>
              <w:top w:val="single" w:sz="4" w:space="0" w:color="000000"/>
              <w:left w:val="nil"/>
              <w:bottom w:val="double" w:sz="4" w:space="0" w:color="auto"/>
              <w:right w:val="nil"/>
            </w:tcBorders>
            <w:vAlign w:val="center"/>
            <w:hideMark/>
          </w:tcPr>
          <w:p w14:paraId="003DAF4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5979985F"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3.19</w:t>
            </w:r>
          </w:p>
        </w:tc>
        <w:tc>
          <w:tcPr>
            <w:tcW w:w="1483" w:type="dxa"/>
            <w:tcBorders>
              <w:top w:val="single" w:sz="4" w:space="0" w:color="000000"/>
              <w:left w:val="nil"/>
              <w:bottom w:val="double" w:sz="4" w:space="0" w:color="auto"/>
              <w:right w:val="nil"/>
            </w:tcBorders>
            <w:vAlign w:val="center"/>
          </w:tcPr>
          <w:p w14:paraId="28D75818"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685B61F0"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055638BB" w14:textId="77777777" w:rsidR="00B7621A" w:rsidRPr="00CA7043" w:rsidRDefault="00B7621A" w:rsidP="00FD142E">
      <w:pPr>
        <w:pStyle w:val="ListParagraph"/>
        <w:spacing w:after="0" w:line="240" w:lineRule="auto"/>
        <w:ind w:left="0" w:firstLine="720"/>
        <w:jc w:val="both"/>
        <w:rPr>
          <w:rFonts w:ascii="Times New Roman" w:hAnsi="Times New Roman" w:cs="Times New Roman"/>
          <w:sz w:val="24"/>
          <w:szCs w:val="24"/>
        </w:rPr>
      </w:pPr>
    </w:p>
    <w:p w14:paraId="57CB0113"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In contrast, the indicators with the lowest ratings are associated with the evacuation orders that are usually followed by community residents (WM = 2.81, Rank 4) and high cooperation of community members and responders in times of disaster (WM = 2.80, Rank 5). </w:t>
      </w:r>
      <w:r w:rsidRPr="00CA7043">
        <w:rPr>
          <w:rFonts w:ascii="Times New Roman" w:hAnsi="Times New Roman" w:cs="Times New Roman"/>
          <w:sz w:val="24"/>
          <w:szCs w:val="24"/>
        </w:rPr>
        <w:tab/>
      </w:r>
    </w:p>
    <w:p w14:paraId="21F51703" w14:textId="77777777" w:rsidR="00B7621A"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have shown that although the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founded on a culturally-grounded and participatory preparedness approach, the municipality could enhance cooperation and compliance processes. Effective disaster response strategies rely on reliable dissemination of information, continued participation of communities and common sense of responsibility.</w:t>
      </w:r>
    </w:p>
    <w:p w14:paraId="52809126" w14:textId="77777777" w:rsidR="00A26D34" w:rsidRPr="00CA7043" w:rsidRDefault="00A26D34" w:rsidP="00FD142E">
      <w:pPr>
        <w:spacing w:after="0" w:line="240" w:lineRule="auto"/>
        <w:ind w:firstLine="720"/>
        <w:jc w:val="both"/>
        <w:rPr>
          <w:rFonts w:ascii="Times New Roman" w:hAnsi="Times New Roman" w:cs="Times New Roman"/>
          <w:sz w:val="24"/>
          <w:szCs w:val="24"/>
        </w:rPr>
      </w:pPr>
    </w:p>
    <w:p w14:paraId="294D4E73"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Infrastructure and Environment.  </w:t>
      </w:r>
      <w:r w:rsidRPr="00CA7043">
        <w:rPr>
          <w:rFonts w:ascii="Times New Roman" w:hAnsi="Times New Roman" w:cs="Times New Roman"/>
          <w:sz w:val="24"/>
          <w:szCs w:val="24"/>
        </w:rPr>
        <w:t xml:space="preserve">Table 12 presents the disaster response mechanism to hydrometeorological hazards along infrastructure and environment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findings demonstrate a general consensus of the responders that the municipality has developed the background measures to the environmental management and the infrastructure maintenance and the overall weighted mean (WM = 2.84) is rated as “Agree”. Deforestation contributes to increased flooding and landslides in the municipality (WM = 3.34, Rank 1) is the highest rated indicator. The second-ranked indicator is that there is a proper waste management practice observed across the municipality (WM = 2.81). The 3rd-ranked one is related to climate-resilient infrastructure, which is prioritized in the construction project (WM = 2.76).</w:t>
      </w:r>
    </w:p>
    <w:p w14:paraId="15C75DF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On the other hand, the least rated indicators are the active involvement of </w:t>
      </w:r>
    </w:p>
    <w:p w14:paraId="1C6D359C" w14:textId="77777777" w:rsidR="00B7621A"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the community in environmental conservation activities (WM = 2.69, Rank 4) and the condition of roads and bridges, which supports access to the affected areas (WM = 2.61, Rank 5).</w:t>
      </w:r>
    </w:p>
    <w:p w14:paraId="24AE69D4" w14:textId="77777777" w:rsidR="00A26D34" w:rsidRDefault="00A26D34" w:rsidP="00FD142E">
      <w:pPr>
        <w:spacing w:after="0" w:line="240" w:lineRule="auto"/>
        <w:jc w:val="both"/>
        <w:rPr>
          <w:rFonts w:ascii="Times New Roman" w:hAnsi="Times New Roman" w:cs="Times New Roman"/>
          <w:sz w:val="24"/>
          <w:szCs w:val="24"/>
        </w:rPr>
      </w:pPr>
    </w:p>
    <w:p w14:paraId="521EC0C8" w14:textId="77777777" w:rsidR="00A26D34" w:rsidRDefault="00A26D34" w:rsidP="00FD142E">
      <w:pPr>
        <w:spacing w:after="0" w:line="240" w:lineRule="auto"/>
        <w:jc w:val="both"/>
        <w:rPr>
          <w:rFonts w:ascii="Times New Roman" w:hAnsi="Times New Roman" w:cs="Times New Roman"/>
          <w:sz w:val="24"/>
          <w:szCs w:val="24"/>
        </w:rPr>
      </w:pPr>
    </w:p>
    <w:p w14:paraId="00D69F89" w14:textId="77777777" w:rsidR="00A26D34" w:rsidRPr="00CA7043" w:rsidRDefault="00A26D34" w:rsidP="00FD142E">
      <w:pPr>
        <w:spacing w:after="0" w:line="240" w:lineRule="auto"/>
        <w:jc w:val="both"/>
        <w:rPr>
          <w:rFonts w:ascii="Times New Roman" w:hAnsi="Times New Roman" w:cs="Times New Roman"/>
          <w:sz w:val="24"/>
          <w:szCs w:val="24"/>
        </w:rPr>
      </w:pPr>
    </w:p>
    <w:p w14:paraId="44B30D4E"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12.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Infrastructure and Environment</w:t>
      </w:r>
    </w:p>
    <w:p w14:paraId="24124E91"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1"/>
        <w:gridCol w:w="1203"/>
        <w:gridCol w:w="1683"/>
        <w:gridCol w:w="823"/>
      </w:tblGrid>
      <w:tr w:rsidR="00B7621A" w:rsidRPr="00CA7043" w14:paraId="6BA1C5C7" w14:textId="77777777" w:rsidTr="00CA7043">
        <w:trPr>
          <w:trHeight w:val="213"/>
        </w:trPr>
        <w:tc>
          <w:tcPr>
            <w:tcW w:w="5585" w:type="dxa"/>
            <w:tcBorders>
              <w:top w:val="double" w:sz="4" w:space="0" w:color="auto"/>
              <w:left w:val="nil"/>
              <w:bottom w:val="single" w:sz="4" w:space="0" w:color="000000"/>
              <w:right w:val="nil"/>
            </w:tcBorders>
            <w:vAlign w:val="center"/>
            <w:hideMark/>
          </w:tcPr>
          <w:p w14:paraId="6D5CDED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1EDD2FC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67F9BB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72" w:type="dxa"/>
            <w:tcBorders>
              <w:top w:val="double" w:sz="4" w:space="0" w:color="auto"/>
              <w:left w:val="nil"/>
              <w:bottom w:val="single" w:sz="4" w:space="0" w:color="000000"/>
              <w:right w:val="nil"/>
            </w:tcBorders>
            <w:vAlign w:val="center"/>
            <w:hideMark/>
          </w:tcPr>
          <w:p w14:paraId="0885D04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109476A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2A99DC3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3BBF04B" w14:textId="77777777" w:rsidTr="00CA7043">
        <w:trPr>
          <w:trHeight w:val="70"/>
        </w:trPr>
        <w:tc>
          <w:tcPr>
            <w:tcW w:w="5585" w:type="dxa"/>
            <w:tcBorders>
              <w:top w:val="single" w:sz="4" w:space="0" w:color="000000"/>
              <w:left w:val="nil"/>
              <w:bottom w:val="nil"/>
              <w:right w:val="nil"/>
            </w:tcBorders>
            <w:vAlign w:val="center"/>
            <w:hideMark/>
          </w:tcPr>
          <w:p w14:paraId="382D4C0B"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Roads and bridges are well-maintained, facilitating access to affected areas. </w:t>
            </w:r>
          </w:p>
        </w:tc>
        <w:tc>
          <w:tcPr>
            <w:tcW w:w="750" w:type="dxa"/>
            <w:tcBorders>
              <w:top w:val="single" w:sz="4" w:space="0" w:color="000000"/>
              <w:left w:val="nil"/>
              <w:bottom w:val="nil"/>
              <w:right w:val="nil"/>
            </w:tcBorders>
            <w:vAlign w:val="center"/>
          </w:tcPr>
          <w:p w14:paraId="3CCB197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2.61</w:t>
            </w:r>
          </w:p>
        </w:tc>
        <w:tc>
          <w:tcPr>
            <w:tcW w:w="1472" w:type="dxa"/>
            <w:tcBorders>
              <w:top w:val="single" w:sz="4" w:space="0" w:color="000000"/>
              <w:left w:val="nil"/>
              <w:bottom w:val="nil"/>
              <w:right w:val="nil"/>
            </w:tcBorders>
            <w:vAlign w:val="center"/>
          </w:tcPr>
          <w:p w14:paraId="569BB68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2EB729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50D337C" w14:textId="77777777" w:rsidTr="00CA7043">
        <w:trPr>
          <w:trHeight w:val="70"/>
        </w:trPr>
        <w:tc>
          <w:tcPr>
            <w:tcW w:w="5585" w:type="dxa"/>
            <w:tcBorders>
              <w:top w:val="nil"/>
              <w:left w:val="nil"/>
              <w:bottom w:val="nil"/>
              <w:right w:val="nil"/>
            </w:tcBorders>
            <w:vAlign w:val="center"/>
            <w:hideMark/>
          </w:tcPr>
          <w:p w14:paraId="1BFE369A"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Deforestation contributes to increased flooding and landslides in the municipality</w:t>
            </w:r>
          </w:p>
        </w:tc>
        <w:tc>
          <w:tcPr>
            <w:tcW w:w="750" w:type="dxa"/>
            <w:tcBorders>
              <w:top w:val="nil"/>
              <w:left w:val="nil"/>
              <w:bottom w:val="nil"/>
              <w:right w:val="nil"/>
            </w:tcBorders>
            <w:vAlign w:val="center"/>
          </w:tcPr>
          <w:p w14:paraId="028185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2" w:type="dxa"/>
            <w:tcBorders>
              <w:top w:val="nil"/>
              <w:left w:val="nil"/>
              <w:bottom w:val="nil"/>
              <w:right w:val="nil"/>
            </w:tcBorders>
            <w:vAlign w:val="center"/>
          </w:tcPr>
          <w:p w14:paraId="3DDC9B3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33AE26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9AF7DFA" w14:textId="77777777" w:rsidTr="00CA7043">
        <w:trPr>
          <w:trHeight w:val="70"/>
        </w:trPr>
        <w:tc>
          <w:tcPr>
            <w:tcW w:w="5585" w:type="dxa"/>
            <w:tcBorders>
              <w:top w:val="nil"/>
              <w:left w:val="nil"/>
              <w:bottom w:val="nil"/>
              <w:right w:val="nil"/>
            </w:tcBorders>
            <w:vAlign w:val="center"/>
          </w:tcPr>
          <w:p w14:paraId="367CE541"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lastRenderedPageBreak/>
              <w:t xml:space="preserve">Climate-resilient infrastructure is prioritized in construction projects. </w:t>
            </w:r>
          </w:p>
        </w:tc>
        <w:tc>
          <w:tcPr>
            <w:tcW w:w="750" w:type="dxa"/>
            <w:tcBorders>
              <w:top w:val="nil"/>
              <w:left w:val="nil"/>
              <w:bottom w:val="nil"/>
              <w:right w:val="nil"/>
            </w:tcBorders>
            <w:vAlign w:val="center"/>
          </w:tcPr>
          <w:p w14:paraId="7073B3D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2.76</w:t>
            </w:r>
          </w:p>
        </w:tc>
        <w:tc>
          <w:tcPr>
            <w:tcW w:w="1472" w:type="dxa"/>
            <w:tcBorders>
              <w:top w:val="nil"/>
              <w:left w:val="nil"/>
              <w:bottom w:val="nil"/>
              <w:right w:val="nil"/>
            </w:tcBorders>
            <w:vAlign w:val="center"/>
          </w:tcPr>
          <w:p w14:paraId="21C75F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78A2D4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D6CFD98" w14:textId="77777777" w:rsidTr="00CA7043">
        <w:trPr>
          <w:trHeight w:val="70"/>
        </w:trPr>
        <w:tc>
          <w:tcPr>
            <w:tcW w:w="5585" w:type="dxa"/>
            <w:tcBorders>
              <w:top w:val="nil"/>
              <w:left w:val="nil"/>
              <w:bottom w:val="nil"/>
              <w:right w:val="nil"/>
            </w:tcBorders>
            <w:vAlign w:val="center"/>
          </w:tcPr>
          <w:p w14:paraId="7C80B0F7"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The community actively participates in environmental conservation efforts.</w:t>
            </w:r>
          </w:p>
        </w:tc>
        <w:tc>
          <w:tcPr>
            <w:tcW w:w="750" w:type="dxa"/>
            <w:tcBorders>
              <w:top w:val="nil"/>
              <w:left w:val="nil"/>
              <w:bottom w:val="nil"/>
              <w:right w:val="nil"/>
            </w:tcBorders>
            <w:vAlign w:val="center"/>
          </w:tcPr>
          <w:p w14:paraId="7011E9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2.69</w:t>
            </w:r>
          </w:p>
        </w:tc>
        <w:tc>
          <w:tcPr>
            <w:tcW w:w="1472" w:type="dxa"/>
            <w:tcBorders>
              <w:top w:val="nil"/>
              <w:left w:val="nil"/>
              <w:bottom w:val="nil"/>
              <w:right w:val="nil"/>
            </w:tcBorders>
            <w:vAlign w:val="center"/>
          </w:tcPr>
          <w:p w14:paraId="7A271C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9794C3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B3A09F4" w14:textId="77777777" w:rsidTr="00CA7043">
        <w:trPr>
          <w:trHeight w:val="70"/>
        </w:trPr>
        <w:tc>
          <w:tcPr>
            <w:tcW w:w="5585" w:type="dxa"/>
            <w:tcBorders>
              <w:top w:val="nil"/>
              <w:left w:val="nil"/>
              <w:bottom w:val="nil"/>
              <w:right w:val="nil"/>
            </w:tcBorders>
            <w:vAlign w:val="center"/>
          </w:tcPr>
          <w:p w14:paraId="69498B7B"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Proper waste management practices are observed throughout the municipality.</w:t>
            </w:r>
          </w:p>
        </w:tc>
        <w:tc>
          <w:tcPr>
            <w:tcW w:w="750" w:type="dxa"/>
            <w:tcBorders>
              <w:top w:val="nil"/>
              <w:left w:val="nil"/>
              <w:bottom w:val="nil"/>
              <w:right w:val="nil"/>
            </w:tcBorders>
            <w:vAlign w:val="center"/>
          </w:tcPr>
          <w:p w14:paraId="4578D0A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72" w:type="dxa"/>
            <w:tcBorders>
              <w:top w:val="nil"/>
              <w:left w:val="nil"/>
              <w:bottom w:val="nil"/>
              <w:right w:val="nil"/>
            </w:tcBorders>
            <w:vAlign w:val="center"/>
          </w:tcPr>
          <w:p w14:paraId="46E9E1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157F99C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B34D309" w14:textId="77777777" w:rsidTr="00CA7043">
        <w:tc>
          <w:tcPr>
            <w:tcW w:w="5585" w:type="dxa"/>
            <w:tcBorders>
              <w:top w:val="single" w:sz="4" w:space="0" w:color="000000"/>
              <w:left w:val="nil"/>
              <w:bottom w:val="double" w:sz="4" w:space="0" w:color="auto"/>
              <w:right w:val="nil"/>
            </w:tcBorders>
            <w:vAlign w:val="center"/>
            <w:hideMark/>
          </w:tcPr>
          <w:p w14:paraId="5C9CC01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0482F6A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2.84</w:t>
            </w:r>
          </w:p>
        </w:tc>
        <w:tc>
          <w:tcPr>
            <w:tcW w:w="1472" w:type="dxa"/>
            <w:tcBorders>
              <w:top w:val="single" w:sz="4" w:space="0" w:color="000000"/>
              <w:left w:val="nil"/>
              <w:bottom w:val="double" w:sz="4" w:space="0" w:color="auto"/>
              <w:right w:val="nil"/>
            </w:tcBorders>
            <w:vAlign w:val="center"/>
          </w:tcPr>
          <w:p w14:paraId="2F3CF72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50E34E0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490C31A"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7099BD8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indicate that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recognize the necessary connections between environmental degradation, quality of infrastructure, and vulnerability to calamities. To successfully address these interdependent issues, more concerted efforts to execute maintenance programs, more active involvement of the community in environmental protection, continuous construction of climate-resistant infrastructure to reduce the risk of disasters and strengthen the effectiveness of their responses are required.</w:t>
      </w:r>
    </w:p>
    <w:p w14:paraId="55097C80"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f.</w:t>
      </w:r>
      <w:r w:rsidRPr="00CA7043">
        <w:rPr>
          <w:rFonts w:ascii="Times New Roman" w:hAnsi="Times New Roman" w:cs="Times New Roman"/>
          <w:b/>
          <w:bCs/>
          <w:sz w:val="24"/>
          <w:szCs w:val="24"/>
        </w:rPr>
        <w:tab/>
        <w:t>Training and Capacity Building.</w:t>
      </w:r>
      <w:r w:rsidRPr="00CA7043">
        <w:rPr>
          <w:rFonts w:ascii="Times New Roman" w:hAnsi="Times New Roman" w:cs="Times New Roman"/>
          <w:sz w:val="24"/>
          <w:szCs w:val="24"/>
        </w:rPr>
        <w:t xml:space="preserve"> Table 13 presents the disaster response mechanism to hydrometeorological hazards along training and capacity building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shows that there is a general agreement with the respondents on the sufficiency of disaster training programs with an average weighted mean (WM = 2.88) that fall under the category of “Agree”. The top-rated indicator is the one that relates to the municipality investing in ongoing disaster responder capacity building (WM = 2.99, Rank 1). All training programs involve training practical simulation exercises (WM = 2.91, Rank 2) and efficient training is effective in preparing responders to face actual disaster situations (WM = 2.88, Rank 3). Responders are given specialized training (e.g. search and rescue) (WM = 2.85, Rank 4), and responders are also subjected to regular training on the response to hydrometeorological hazards (WM = 2.78, Rank 5).</w:t>
      </w:r>
    </w:p>
    <w:p w14:paraId="67FA0FD7" w14:textId="77777777" w:rsidR="00B7621A" w:rsidRPr="00CA7043" w:rsidRDefault="00B7621A" w:rsidP="00FD142E">
      <w:pPr>
        <w:spacing w:after="0" w:line="240" w:lineRule="auto"/>
        <w:jc w:val="both"/>
        <w:rPr>
          <w:rFonts w:ascii="Times New Roman" w:hAnsi="Times New Roman" w:cs="Times New Roman"/>
          <w:b/>
          <w:sz w:val="24"/>
          <w:szCs w:val="24"/>
        </w:rPr>
      </w:pPr>
    </w:p>
    <w:p w14:paraId="7F3EA709"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13.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Training and Capacity Building</w:t>
      </w:r>
    </w:p>
    <w:p w14:paraId="219AEEBF"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3"/>
        <w:gridCol w:w="1203"/>
        <w:gridCol w:w="1683"/>
        <w:gridCol w:w="821"/>
      </w:tblGrid>
      <w:tr w:rsidR="00B7621A" w:rsidRPr="00CA7043" w14:paraId="06280EFE" w14:textId="77777777" w:rsidTr="00CA7043">
        <w:trPr>
          <w:trHeight w:val="213"/>
        </w:trPr>
        <w:tc>
          <w:tcPr>
            <w:tcW w:w="5588" w:type="dxa"/>
            <w:tcBorders>
              <w:top w:val="double" w:sz="4" w:space="0" w:color="auto"/>
              <w:left w:val="nil"/>
              <w:bottom w:val="single" w:sz="4" w:space="0" w:color="000000"/>
              <w:right w:val="nil"/>
            </w:tcBorders>
            <w:vAlign w:val="center"/>
            <w:hideMark/>
          </w:tcPr>
          <w:p w14:paraId="4FC5CD3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725E507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741690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69" w:type="dxa"/>
            <w:tcBorders>
              <w:top w:val="double" w:sz="4" w:space="0" w:color="auto"/>
              <w:left w:val="nil"/>
              <w:bottom w:val="single" w:sz="4" w:space="0" w:color="000000"/>
              <w:right w:val="nil"/>
            </w:tcBorders>
            <w:vAlign w:val="center"/>
            <w:hideMark/>
          </w:tcPr>
          <w:p w14:paraId="1367FBC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1731E16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6FA0C81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2A5447E" w14:textId="77777777" w:rsidTr="00CA7043">
        <w:trPr>
          <w:trHeight w:val="70"/>
        </w:trPr>
        <w:tc>
          <w:tcPr>
            <w:tcW w:w="5588" w:type="dxa"/>
            <w:tcBorders>
              <w:top w:val="single" w:sz="4" w:space="0" w:color="000000"/>
              <w:left w:val="nil"/>
              <w:bottom w:val="nil"/>
              <w:right w:val="nil"/>
            </w:tcBorders>
            <w:vAlign w:val="center"/>
            <w:hideMark/>
          </w:tcPr>
          <w:p w14:paraId="49D3DF72"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rPr>
            </w:pPr>
            <w:r w:rsidRPr="00CA7043">
              <w:rPr>
                <w:rFonts w:ascii="Times New Roman" w:hAnsi="Times New Roman" w:cs="Times New Roman"/>
                <w:sz w:val="24"/>
                <w:szCs w:val="24"/>
              </w:rPr>
              <w:t>Responders receive regular training on hydrometeorological hazard response.</w:t>
            </w:r>
          </w:p>
        </w:tc>
        <w:tc>
          <w:tcPr>
            <w:tcW w:w="750" w:type="dxa"/>
            <w:tcBorders>
              <w:top w:val="single" w:sz="4" w:space="0" w:color="000000"/>
              <w:left w:val="nil"/>
              <w:bottom w:val="nil"/>
              <w:right w:val="nil"/>
            </w:tcBorders>
            <w:vAlign w:val="center"/>
          </w:tcPr>
          <w:p w14:paraId="602FE29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69" w:type="dxa"/>
            <w:tcBorders>
              <w:top w:val="single" w:sz="4" w:space="0" w:color="000000"/>
              <w:left w:val="nil"/>
              <w:bottom w:val="nil"/>
              <w:right w:val="nil"/>
            </w:tcBorders>
            <w:vAlign w:val="center"/>
          </w:tcPr>
          <w:p w14:paraId="2814B45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3D564B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45A5B8F" w14:textId="77777777" w:rsidTr="00CA7043">
        <w:trPr>
          <w:trHeight w:val="70"/>
        </w:trPr>
        <w:tc>
          <w:tcPr>
            <w:tcW w:w="5588" w:type="dxa"/>
            <w:tcBorders>
              <w:top w:val="nil"/>
              <w:left w:val="nil"/>
              <w:bottom w:val="nil"/>
              <w:right w:val="nil"/>
            </w:tcBorders>
            <w:vAlign w:val="center"/>
            <w:hideMark/>
          </w:tcPr>
          <w:p w14:paraId="094168A6"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Training programs include practical simulation exercises. </w:t>
            </w:r>
          </w:p>
        </w:tc>
        <w:tc>
          <w:tcPr>
            <w:tcW w:w="750" w:type="dxa"/>
            <w:tcBorders>
              <w:top w:val="nil"/>
              <w:left w:val="nil"/>
              <w:bottom w:val="nil"/>
              <w:right w:val="nil"/>
            </w:tcBorders>
            <w:vAlign w:val="center"/>
          </w:tcPr>
          <w:p w14:paraId="2D5857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2.91</w:t>
            </w:r>
          </w:p>
        </w:tc>
        <w:tc>
          <w:tcPr>
            <w:tcW w:w="1469" w:type="dxa"/>
            <w:tcBorders>
              <w:top w:val="nil"/>
              <w:left w:val="nil"/>
              <w:bottom w:val="nil"/>
              <w:right w:val="nil"/>
            </w:tcBorders>
            <w:vAlign w:val="center"/>
          </w:tcPr>
          <w:p w14:paraId="312AA05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B54EE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7CFCC445" w14:textId="77777777" w:rsidTr="00CA7043">
        <w:trPr>
          <w:trHeight w:val="70"/>
        </w:trPr>
        <w:tc>
          <w:tcPr>
            <w:tcW w:w="5588" w:type="dxa"/>
            <w:tcBorders>
              <w:top w:val="nil"/>
              <w:left w:val="nil"/>
              <w:bottom w:val="nil"/>
              <w:right w:val="nil"/>
            </w:tcBorders>
            <w:vAlign w:val="center"/>
          </w:tcPr>
          <w:p w14:paraId="6977470D"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Specialized training (e.g., search and rescue) is provided to responders.</w:t>
            </w:r>
          </w:p>
        </w:tc>
        <w:tc>
          <w:tcPr>
            <w:tcW w:w="750" w:type="dxa"/>
            <w:tcBorders>
              <w:top w:val="nil"/>
              <w:left w:val="nil"/>
              <w:bottom w:val="nil"/>
              <w:right w:val="nil"/>
            </w:tcBorders>
            <w:vAlign w:val="center"/>
          </w:tcPr>
          <w:p w14:paraId="1FEDB03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2.85</w:t>
            </w:r>
          </w:p>
        </w:tc>
        <w:tc>
          <w:tcPr>
            <w:tcW w:w="1469" w:type="dxa"/>
            <w:tcBorders>
              <w:top w:val="nil"/>
              <w:left w:val="nil"/>
              <w:bottom w:val="nil"/>
              <w:right w:val="nil"/>
            </w:tcBorders>
            <w:vAlign w:val="center"/>
          </w:tcPr>
          <w:p w14:paraId="7C8DF6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6D33F2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58596F0" w14:textId="77777777" w:rsidTr="00CA7043">
        <w:trPr>
          <w:trHeight w:val="70"/>
        </w:trPr>
        <w:tc>
          <w:tcPr>
            <w:tcW w:w="5588" w:type="dxa"/>
            <w:tcBorders>
              <w:top w:val="nil"/>
              <w:left w:val="nil"/>
              <w:bottom w:val="nil"/>
              <w:right w:val="nil"/>
            </w:tcBorders>
            <w:vAlign w:val="center"/>
          </w:tcPr>
          <w:p w14:paraId="0802837B"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The municipality invests in continuous capacity building for disaster responders. </w:t>
            </w:r>
          </w:p>
        </w:tc>
        <w:tc>
          <w:tcPr>
            <w:tcW w:w="750" w:type="dxa"/>
            <w:tcBorders>
              <w:top w:val="nil"/>
              <w:left w:val="nil"/>
              <w:bottom w:val="nil"/>
              <w:right w:val="nil"/>
            </w:tcBorders>
            <w:vAlign w:val="center"/>
          </w:tcPr>
          <w:p w14:paraId="637AB54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2.99</w:t>
            </w:r>
          </w:p>
        </w:tc>
        <w:tc>
          <w:tcPr>
            <w:tcW w:w="1469" w:type="dxa"/>
            <w:tcBorders>
              <w:top w:val="nil"/>
              <w:left w:val="nil"/>
              <w:bottom w:val="nil"/>
              <w:right w:val="nil"/>
            </w:tcBorders>
            <w:vAlign w:val="center"/>
          </w:tcPr>
          <w:p w14:paraId="7588B24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182CB0C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2482CEAC" w14:textId="77777777" w:rsidTr="00CA7043">
        <w:trPr>
          <w:trHeight w:val="70"/>
        </w:trPr>
        <w:tc>
          <w:tcPr>
            <w:tcW w:w="5588" w:type="dxa"/>
            <w:tcBorders>
              <w:top w:val="nil"/>
              <w:left w:val="nil"/>
              <w:bottom w:val="nil"/>
              <w:right w:val="nil"/>
            </w:tcBorders>
            <w:vAlign w:val="center"/>
          </w:tcPr>
          <w:p w14:paraId="70FC18DA"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Training effectively prepares responders for real-world disaster scenarios. </w:t>
            </w:r>
          </w:p>
        </w:tc>
        <w:tc>
          <w:tcPr>
            <w:tcW w:w="750" w:type="dxa"/>
            <w:tcBorders>
              <w:top w:val="nil"/>
              <w:left w:val="nil"/>
              <w:bottom w:val="nil"/>
              <w:right w:val="nil"/>
            </w:tcBorders>
            <w:vAlign w:val="center"/>
          </w:tcPr>
          <w:p w14:paraId="12524EB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2.88</w:t>
            </w:r>
          </w:p>
        </w:tc>
        <w:tc>
          <w:tcPr>
            <w:tcW w:w="1469" w:type="dxa"/>
            <w:tcBorders>
              <w:top w:val="nil"/>
              <w:left w:val="nil"/>
              <w:bottom w:val="nil"/>
              <w:right w:val="nil"/>
            </w:tcBorders>
            <w:vAlign w:val="center"/>
          </w:tcPr>
          <w:p w14:paraId="7AA2B5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F199C0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77E3CA2E" w14:textId="77777777" w:rsidTr="00CA7043">
        <w:tc>
          <w:tcPr>
            <w:tcW w:w="5588" w:type="dxa"/>
            <w:tcBorders>
              <w:top w:val="single" w:sz="4" w:space="0" w:color="000000"/>
              <w:left w:val="nil"/>
              <w:bottom w:val="double" w:sz="4" w:space="0" w:color="auto"/>
              <w:right w:val="nil"/>
            </w:tcBorders>
            <w:vAlign w:val="center"/>
            <w:hideMark/>
          </w:tcPr>
          <w:p w14:paraId="493F5D1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1EE26B69"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2.88</w:t>
            </w:r>
          </w:p>
        </w:tc>
        <w:tc>
          <w:tcPr>
            <w:tcW w:w="1469" w:type="dxa"/>
            <w:tcBorders>
              <w:top w:val="single" w:sz="4" w:space="0" w:color="000000"/>
              <w:left w:val="nil"/>
              <w:bottom w:val="double" w:sz="4" w:space="0" w:color="auto"/>
              <w:right w:val="nil"/>
            </w:tcBorders>
            <w:vAlign w:val="center"/>
          </w:tcPr>
          <w:p w14:paraId="6F3F55E3"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6BCECEE3"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8D04051"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p>
    <w:p w14:paraId="68405C22"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sz w:val="24"/>
          <w:szCs w:val="24"/>
        </w:rPr>
        <w:lastRenderedPageBreak/>
        <w:t>The positive scores of capacity-building investments and simulation exercises are inspiring and encouraging as opposed to lower scores of regular and specialized training. This gap suggests that training interventions may not cover all areas of technical competencies or provide that the competencies of responders keep abreast with the changing hazard profile. It can provide a limit to the effectiveness of responders, especially in extremely technical or infrequent emergencies like urban search and rescue or hydrometeorological events involving complicated system impacts.</w:t>
      </w:r>
    </w:p>
    <w:p w14:paraId="081B762C" w14:textId="77777777" w:rsidR="00A26D34" w:rsidRDefault="00A26D34" w:rsidP="00FD142E">
      <w:pPr>
        <w:pStyle w:val="ListParagraph"/>
        <w:tabs>
          <w:tab w:val="left" w:pos="1080"/>
        </w:tabs>
        <w:spacing w:after="0" w:line="240" w:lineRule="auto"/>
        <w:ind w:left="0" w:firstLine="720"/>
        <w:jc w:val="both"/>
        <w:rPr>
          <w:rFonts w:ascii="Times New Roman" w:hAnsi="Times New Roman" w:cs="Times New Roman"/>
          <w:sz w:val="24"/>
          <w:szCs w:val="24"/>
        </w:rPr>
      </w:pPr>
    </w:p>
    <w:p w14:paraId="20912617" w14:textId="77777777" w:rsidR="00B7621A" w:rsidRDefault="00B7621A" w:rsidP="00A67C74">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g.</w:t>
      </w:r>
      <w:r w:rsidRPr="00CA7043">
        <w:rPr>
          <w:rFonts w:ascii="Times New Roman" w:hAnsi="Times New Roman" w:cs="Times New Roman"/>
          <w:b/>
          <w:bCs/>
          <w:sz w:val="24"/>
          <w:szCs w:val="24"/>
        </w:rPr>
        <w:tab/>
        <w:t xml:space="preserve">Leadership and Decision-Making (concept of ICS). </w:t>
      </w:r>
      <w:r w:rsidRPr="00CA7043">
        <w:rPr>
          <w:rFonts w:ascii="Times New Roman" w:hAnsi="Times New Roman" w:cs="Times New Roman"/>
          <w:sz w:val="24"/>
          <w:szCs w:val="24"/>
        </w:rPr>
        <w:t xml:space="preserve">Table 14 shows the disaster response mechanism to hydrometeorological hazards along leadership and decision-making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result shows that leadership capacity and decision-making processes are evaluated positively, with an average weighted mean (WM = 2.97) presented as “Agree”. The most rated indicator is related to leaders with the ability to organize resources and staff during response to disasters (WM = 3.02, Rank 1). The second-ranked indicator is associated with the processes of making decisions being efficient and effective in the case of emergencies (WM = 3.01). The third-ranked indicator is the one referring to communication channels in the leadership team are o</w:t>
      </w:r>
      <w:r w:rsidR="00A67C74">
        <w:rPr>
          <w:rFonts w:ascii="Times New Roman" w:hAnsi="Times New Roman" w:cs="Times New Roman"/>
          <w:sz w:val="24"/>
          <w:szCs w:val="24"/>
        </w:rPr>
        <w:t>pen and dependable (WM = 2.97).</w:t>
      </w:r>
    </w:p>
    <w:p w14:paraId="7B6F0B5B" w14:textId="77777777" w:rsidR="00A67C74" w:rsidRPr="00CA7043" w:rsidRDefault="00A67C74" w:rsidP="00A67C74">
      <w:pPr>
        <w:pStyle w:val="ListParagraph"/>
        <w:tabs>
          <w:tab w:val="left" w:pos="1080"/>
        </w:tabs>
        <w:spacing w:after="0" w:line="240" w:lineRule="auto"/>
        <w:ind w:left="0" w:firstLine="720"/>
        <w:jc w:val="both"/>
        <w:rPr>
          <w:rFonts w:ascii="Times New Roman" w:hAnsi="Times New Roman" w:cs="Times New Roman"/>
          <w:sz w:val="24"/>
          <w:szCs w:val="24"/>
        </w:rPr>
      </w:pPr>
    </w:p>
    <w:p w14:paraId="6E139B71" w14:textId="77777777" w:rsidR="00B7621A" w:rsidRPr="00CA7043" w:rsidRDefault="00B7621A" w:rsidP="00FD142E">
      <w:pPr>
        <w:pStyle w:val="ListParagraph"/>
        <w:spacing w:after="0" w:line="240" w:lineRule="auto"/>
        <w:ind w:left="0"/>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14.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Leadership and Decision- Making</w:t>
      </w:r>
    </w:p>
    <w:p w14:paraId="013F21C9"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0E67F7F1" w14:textId="77777777" w:rsidTr="00CA7043">
        <w:trPr>
          <w:trHeight w:val="213"/>
        </w:trPr>
        <w:tc>
          <w:tcPr>
            <w:tcW w:w="5672" w:type="dxa"/>
            <w:tcBorders>
              <w:top w:val="double" w:sz="4" w:space="0" w:color="auto"/>
              <w:left w:val="nil"/>
              <w:bottom w:val="single" w:sz="4" w:space="0" w:color="000000"/>
              <w:right w:val="nil"/>
            </w:tcBorders>
            <w:vAlign w:val="center"/>
            <w:hideMark/>
          </w:tcPr>
          <w:p w14:paraId="6DFFC68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086F1C5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99EA34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1" w:type="dxa"/>
            <w:tcBorders>
              <w:top w:val="double" w:sz="4" w:space="0" w:color="auto"/>
              <w:left w:val="nil"/>
              <w:bottom w:val="single" w:sz="4" w:space="0" w:color="000000"/>
              <w:right w:val="nil"/>
            </w:tcBorders>
            <w:vAlign w:val="center"/>
            <w:hideMark/>
          </w:tcPr>
          <w:p w14:paraId="45E994D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2CFF8D4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62DB34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F8D30EC" w14:textId="77777777" w:rsidTr="00CA7043">
        <w:trPr>
          <w:trHeight w:val="70"/>
        </w:trPr>
        <w:tc>
          <w:tcPr>
            <w:tcW w:w="5672" w:type="dxa"/>
            <w:tcBorders>
              <w:top w:val="single" w:sz="4" w:space="0" w:color="000000"/>
              <w:left w:val="nil"/>
              <w:bottom w:val="nil"/>
              <w:right w:val="nil"/>
            </w:tcBorders>
            <w:vAlign w:val="center"/>
            <w:hideMark/>
          </w:tcPr>
          <w:p w14:paraId="459F94A5"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The Incident Command System (ICS) is implemented during disaster response operations. </w:t>
            </w:r>
          </w:p>
        </w:tc>
        <w:tc>
          <w:tcPr>
            <w:tcW w:w="684" w:type="dxa"/>
            <w:tcBorders>
              <w:top w:val="single" w:sz="4" w:space="0" w:color="000000"/>
              <w:left w:val="nil"/>
              <w:bottom w:val="nil"/>
              <w:right w:val="nil"/>
            </w:tcBorders>
            <w:vAlign w:val="center"/>
          </w:tcPr>
          <w:p w14:paraId="16164B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2.95</w:t>
            </w:r>
          </w:p>
        </w:tc>
        <w:tc>
          <w:tcPr>
            <w:tcW w:w="1481" w:type="dxa"/>
            <w:tcBorders>
              <w:top w:val="single" w:sz="4" w:space="0" w:color="000000"/>
              <w:left w:val="nil"/>
              <w:bottom w:val="nil"/>
              <w:right w:val="nil"/>
            </w:tcBorders>
            <w:vAlign w:val="center"/>
          </w:tcPr>
          <w:p w14:paraId="70553A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10BD770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3206390" w14:textId="77777777" w:rsidTr="00CA7043">
        <w:trPr>
          <w:trHeight w:val="70"/>
        </w:trPr>
        <w:tc>
          <w:tcPr>
            <w:tcW w:w="5672" w:type="dxa"/>
            <w:tcBorders>
              <w:top w:val="nil"/>
              <w:left w:val="nil"/>
              <w:bottom w:val="nil"/>
              <w:right w:val="nil"/>
            </w:tcBorders>
            <w:vAlign w:val="center"/>
            <w:hideMark/>
          </w:tcPr>
          <w:p w14:paraId="769AA998"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Leadership roles and responsibilities are clearly defined and understood.</w:t>
            </w:r>
          </w:p>
        </w:tc>
        <w:tc>
          <w:tcPr>
            <w:tcW w:w="684" w:type="dxa"/>
            <w:tcBorders>
              <w:top w:val="nil"/>
              <w:left w:val="nil"/>
              <w:bottom w:val="nil"/>
              <w:right w:val="nil"/>
            </w:tcBorders>
            <w:vAlign w:val="center"/>
          </w:tcPr>
          <w:p w14:paraId="266920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2.93</w:t>
            </w:r>
          </w:p>
        </w:tc>
        <w:tc>
          <w:tcPr>
            <w:tcW w:w="1481" w:type="dxa"/>
            <w:tcBorders>
              <w:top w:val="nil"/>
              <w:left w:val="nil"/>
              <w:bottom w:val="nil"/>
              <w:right w:val="nil"/>
            </w:tcBorders>
            <w:vAlign w:val="center"/>
          </w:tcPr>
          <w:p w14:paraId="2A13D16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555AED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AF0AD37" w14:textId="77777777" w:rsidTr="00CA7043">
        <w:trPr>
          <w:trHeight w:val="70"/>
        </w:trPr>
        <w:tc>
          <w:tcPr>
            <w:tcW w:w="5672" w:type="dxa"/>
            <w:tcBorders>
              <w:top w:val="nil"/>
              <w:left w:val="nil"/>
              <w:bottom w:val="nil"/>
              <w:right w:val="nil"/>
            </w:tcBorders>
            <w:vAlign w:val="center"/>
          </w:tcPr>
          <w:p w14:paraId="1C986AC6"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Decision-making processes are efficient and effective during emergencies. </w:t>
            </w:r>
          </w:p>
        </w:tc>
        <w:tc>
          <w:tcPr>
            <w:tcW w:w="684" w:type="dxa"/>
            <w:tcBorders>
              <w:top w:val="nil"/>
              <w:left w:val="nil"/>
              <w:bottom w:val="nil"/>
              <w:right w:val="nil"/>
            </w:tcBorders>
            <w:vAlign w:val="center"/>
          </w:tcPr>
          <w:p w14:paraId="1E44F12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3.01</w:t>
            </w:r>
          </w:p>
        </w:tc>
        <w:tc>
          <w:tcPr>
            <w:tcW w:w="1481" w:type="dxa"/>
            <w:tcBorders>
              <w:top w:val="nil"/>
              <w:left w:val="nil"/>
              <w:bottom w:val="nil"/>
              <w:right w:val="nil"/>
            </w:tcBorders>
            <w:vAlign w:val="center"/>
          </w:tcPr>
          <w:p w14:paraId="55E3C94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EAE2C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6EBA840" w14:textId="77777777" w:rsidTr="00CA7043">
        <w:trPr>
          <w:trHeight w:val="70"/>
        </w:trPr>
        <w:tc>
          <w:tcPr>
            <w:tcW w:w="5672" w:type="dxa"/>
            <w:tcBorders>
              <w:top w:val="nil"/>
              <w:left w:val="nil"/>
              <w:bottom w:val="nil"/>
              <w:right w:val="nil"/>
            </w:tcBorders>
            <w:vAlign w:val="center"/>
          </w:tcPr>
          <w:p w14:paraId="1E31D818"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Communication channels within the leadership team are open and reliable. </w:t>
            </w:r>
          </w:p>
        </w:tc>
        <w:tc>
          <w:tcPr>
            <w:tcW w:w="684" w:type="dxa"/>
            <w:tcBorders>
              <w:top w:val="nil"/>
              <w:left w:val="nil"/>
              <w:bottom w:val="nil"/>
              <w:right w:val="nil"/>
            </w:tcBorders>
            <w:vAlign w:val="center"/>
          </w:tcPr>
          <w:p w14:paraId="793BE4A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2.97</w:t>
            </w:r>
          </w:p>
        </w:tc>
        <w:tc>
          <w:tcPr>
            <w:tcW w:w="1481" w:type="dxa"/>
            <w:tcBorders>
              <w:top w:val="nil"/>
              <w:left w:val="nil"/>
              <w:bottom w:val="nil"/>
              <w:right w:val="nil"/>
            </w:tcBorders>
            <w:vAlign w:val="center"/>
          </w:tcPr>
          <w:p w14:paraId="09BF2BD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06019CD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0DC2DD7B" w14:textId="77777777" w:rsidTr="00CA7043">
        <w:trPr>
          <w:trHeight w:val="70"/>
        </w:trPr>
        <w:tc>
          <w:tcPr>
            <w:tcW w:w="5672" w:type="dxa"/>
            <w:tcBorders>
              <w:top w:val="nil"/>
              <w:left w:val="nil"/>
              <w:bottom w:val="nil"/>
              <w:right w:val="nil"/>
            </w:tcBorders>
            <w:vAlign w:val="center"/>
          </w:tcPr>
          <w:p w14:paraId="19A24A30"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Leaders effectively coordinate resources and personnel during disaster response. </w:t>
            </w:r>
          </w:p>
        </w:tc>
        <w:tc>
          <w:tcPr>
            <w:tcW w:w="684" w:type="dxa"/>
            <w:tcBorders>
              <w:top w:val="nil"/>
              <w:left w:val="nil"/>
              <w:bottom w:val="nil"/>
              <w:right w:val="nil"/>
            </w:tcBorders>
            <w:vAlign w:val="center"/>
          </w:tcPr>
          <w:p w14:paraId="0204C9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3.02</w:t>
            </w:r>
          </w:p>
        </w:tc>
        <w:tc>
          <w:tcPr>
            <w:tcW w:w="1481" w:type="dxa"/>
            <w:tcBorders>
              <w:top w:val="nil"/>
              <w:left w:val="nil"/>
              <w:bottom w:val="nil"/>
              <w:right w:val="nil"/>
            </w:tcBorders>
            <w:vAlign w:val="center"/>
          </w:tcPr>
          <w:p w14:paraId="0CC5AB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64C72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2985AA40" w14:textId="77777777" w:rsidTr="00CA7043">
        <w:tc>
          <w:tcPr>
            <w:tcW w:w="5672" w:type="dxa"/>
            <w:tcBorders>
              <w:top w:val="single" w:sz="4" w:space="0" w:color="000000"/>
              <w:left w:val="nil"/>
              <w:bottom w:val="double" w:sz="4" w:space="0" w:color="auto"/>
              <w:right w:val="nil"/>
            </w:tcBorders>
            <w:vAlign w:val="center"/>
            <w:hideMark/>
          </w:tcPr>
          <w:p w14:paraId="07B7743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23F135FC"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2.97</w:t>
            </w:r>
          </w:p>
        </w:tc>
        <w:tc>
          <w:tcPr>
            <w:tcW w:w="1481" w:type="dxa"/>
            <w:tcBorders>
              <w:top w:val="single" w:sz="4" w:space="0" w:color="000000"/>
              <w:left w:val="nil"/>
              <w:bottom w:val="double" w:sz="4" w:space="0" w:color="auto"/>
              <w:right w:val="nil"/>
            </w:tcBorders>
            <w:vAlign w:val="center"/>
          </w:tcPr>
          <w:p w14:paraId="77B0CCE3"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54B11BD5"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07E113FF" w14:textId="77777777" w:rsidR="007108A5" w:rsidRPr="00CA7043" w:rsidRDefault="007108A5" w:rsidP="00FD142E">
      <w:pPr>
        <w:pStyle w:val="ListParagraph"/>
        <w:spacing w:after="0" w:line="240" w:lineRule="auto"/>
        <w:ind w:left="0"/>
        <w:jc w:val="both"/>
        <w:rPr>
          <w:rFonts w:ascii="Times New Roman" w:hAnsi="Times New Roman" w:cs="Times New Roman"/>
          <w:sz w:val="24"/>
          <w:szCs w:val="24"/>
        </w:rPr>
      </w:pPr>
    </w:p>
    <w:p w14:paraId="60C8E0B2" w14:textId="77777777" w:rsidR="00B7621A" w:rsidRPr="00CA7043" w:rsidRDefault="00B7621A" w:rsidP="00FD142E">
      <w:pPr>
        <w:pStyle w:val="ListParagraph"/>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On the other hand, the indicators with the relatively lower weighted means are Incident Command System (ICS) is implemented during disaster response operations (WM = 2.95, Rank 4), and the leadership roles and responsibilities are clearly defined and understood (WM = 2.93, Rank 5). </w:t>
      </w:r>
    </w:p>
    <w:p w14:paraId="1560FC4F" w14:textId="77777777" w:rsidR="00A67C74" w:rsidRDefault="00A67C74" w:rsidP="00FD142E">
      <w:pPr>
        <w:tabs>
          <w:tab w:val="left" w:pos="1080"/>
        </w:tabs>
        <w:spacing w:after="0" w:line="240" w:lineRule="auto"/>
        <w:ind w:right="72" w:firstLine="720"/>
        <w:jc w:val="both"/>
        <w:rPr>
          <w:rFonts w:ascii="Times New Roman" w:hAnsi="Times New Roman" w:cs="Times New Roman"/>
          <w:sz w:val="24"/>
          <w:szCs w:val="24"/>
        </w:rPr>
      </w:pPr>
    </w:p>
    <w:p w14:paraId="44BC2EE7" w14:textId="77777777" w:rsidR="00B7621A" w:rsidRPr="00CA7043" w:rsidRDefault="00B7621A" w:rsidP="00FD142E">
      <w:pPr>
        <w:tabs>
          <w:tab w:val="left" w:pos="1080"/>
        </w:tabs>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b/>
          <w:bCs/>
          <w:sz w:val="24"/>
          <w:szCs w:val="24"/>
        </w:rPr>
        <w:t>h.</w:t>
      </w:r>
      <w:r w:rsidRPr="00CA7043">
        <w:rPr>
          <w:rFonts w:ascii="Times New Roman" w:hAnsi="Times New Roman" w:cs="Times New Roman"/>
          <w:b/>
          <w:bCs/>
          <w:sz w:val="24"/>
          <w:szCs w:val="24"/>
        </w:rPr>
        <w:tab/>
        <w:t xml:space="preserve">Technology Utilization. </w:t>
      </w:r>
      <w:r w:rsidRPr="00CA7043">
        <w:rPr>
          <w:rFonts w:ascii="Times New Roman" w:hAnsi="Times New Roman" w:cs="Times New Roman"/>
          <w:sz w:val="24"/>
          <w:szCs w:val="24"/>
        </w:rPr>
        <w:t xml:space="preserve">Table 15 summarizes the disaster response mechanism to hydrometeorological hazards along technology utilization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results show that the overall evaluation of integration of technology into disaster response activities is generally </w:t>
      </w:r>
      <w:r w:rsidRPr="00CA7043">
        <w:rPr>
          <w:rFonts w:ascii="Times New Roman" w:hAnsi="Times New Roman" w:cs="Times New Roman"/>
          <w:sz w:val="24"/>
          <w:szCs w:val="24"/>
        </w:rPr>
        <w:lastRenderedPageBreak/>
        <w:t>positive with an average weighted mean (WM = 2.91) of “Agree”. The top-ranked indicator is related to the fact that the technology enhances the effectiveness of disaster response overall (WM = 3.25, Rank 1). The 2nd ranked indicator is the existence and working efficiency of the early warning systems that notify communities about the threat of any hazard.  (WM = 2.94). The third-ranked indicator addresses the issue of the responders being trained in disaster response operations involving the use of technology (WM = 2.84).</w:t>
      </w:r>
    </w:p>
    <w:p w14:paraId="02602359" w14:textId="77777777" w:rsidR="00B7621A" w:rsidRPr="00CA7043" w:rsidRDefault="00B7621A" w:rsidP="00FD142E">
      <w:pPr>
        <w:spacing w:after="0" w:line="240" w:lineRule="auto"/>
        <w:ind w:right="72" w:firstLine="715"/>
        <w:jc w:val="both"/>
        <w:rPr>
          <w:rFonts w:ascii="Times New Roman" w:hAnsi="Times New Roman" w:cs="Times New Roman"/>
          <w:sz w:val="24"/>
          <w:szCs w:val="24"/>
        </w:rPr>
      </w:pPr>
      <w:r w:rsidRPr="00CA7043">
        <w:rPr>
          <w:rFonts w:ascii="Times New Roman" w:hAnsi="Times New Roman" w:cs="Times New Roman"/>
          <w:sz w:val="24"/>
          <w:szCs w:val="24"/>
        </w:rPr>
        <w:t>Conversely, the indicators that represent lower weighted means are: access to live information and updates in cases of emergency (WM = 2.78, Rank 4), and the use of technology (including GIS and drones) to assess damage and identify needs in the case of a disaster (WM = 2.72, Rank 5).</w:t>
      </w:r>
    </w:p>
    <w:p w14:paraId="3D38AF20" w14:textId="77777777" w:rsidR="00B7621A" w:rsidRPr="00CA7043" w:rsidRDefault="00B7621A" w:rsidP="00A67C74">
      <w:pPr>
        <w:spacing w:after="0" w:line="240" w:lineRule="auto"/>
        <w:jc w:val="center"/>
        <w:rPr>
          <w:rFonts w:ascii="Times New Roman" w:hAnsi="Times New Roman" w:cs="Times New Roman"/>
          <w:b/>
          <w:sz w:val="24"/>
          <w:szCs w:val="24"/>
        </w:rPr>
      </w:pPr>
    </w:p>
    <w:p w14:paraId="42A33565" w14:textId="77777777" w:rsidR="00B7621A" w:rsidRPr="00CA7043" w:rsidRDefault="00B7621A" w:rsidP="00A67C74">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15. Disaster Response Mechanism </w:t>
      </w:r>
      <w:r w:rsidRPr="00CA7043">
        <w:rPr>
          <w:rFonts w:ascii="Times New Roman" w:hAnsi="Times New Roman" w:cs="Times New Roman"/>
          <w:b/>
          <w:bCs/>
          <w:sz w:val="24"/>
          <w:szCs w:val="24"/>
        </w:rPr>
        <w:t>to Hydrometeorological</w:t>
      </w:r>
    </w:p>
    <w:p w14:paraId="0A443B36" w14:textId="77777777" w:rsidR="00B7621A" w:rsidRPr="00CA7043" w:rsidRDefault="00B7621A" w:rsidP="00A67C74">
      <w:pPr>
        <w:spacing w:after="0" w:line="240" w:lineRule="auto"/>
        <w:jc w:val="center"/>
        <w:rPr>
          <w:rStyle w:val="Strong"/>
          <w:rFonts w:ascii="Times New Roman" w:eastAsiaTheme="majorEastAsia" w:hAnsi="Times New Roman" w:cs="Times New Roman"/>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Technology Utilization</w:t>
      </w:r>
    </w:p>
    <w:p w14:paraId="76A04016"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1"/>
        <w:gridCol w:w="1203"/>
        <w:gridCol w:w="1683"/>
        <w:gridCol w:w="823"/>
      </w:tblGrid>
      <w:tr w:rsidR="00B7621A" w:rsidRPr="00CA7043" w14:paraId="7758A046" w14:textId="77777777" w:rsidTr="00CA7043">
        <w:trPr>
          <w:trHeight w:val="213"/>
        </w:trPr>
        <w:tc>
          <w:tcPr>
            <w:tcW w:w="5584" w:type="dxa"/>
            <w:tcBorders>
              <w:top w:val="double" w:sz="4" w:space="0" w:color="auto"/>
              <w:left w:val="nil"/>
              <w:bottom w:val="single" w:sz="4" w:space="0" w:color="000000"/>
              <w:right w:val="nil"/>
            </w:tcBorders>
            <w:vAlign w:val="center"/>
            <w:hideMark/>
          </w:tcPr>
          <w:p w14:paraId="7CC7720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0A6EF92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5E57EE1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73" w:type="dxa"/>
            <w:tcBorders>
              <w:top w:val="double" w:sz="4" w:space="0" w:color="auto"/>
              <w:left w:val="nil"/>
              <w:bottom w:val="single" w:sz="4" w:space="0" w:color="000000"/>
              <w:right w:val="nil"/>
            </w:tcBorders>
            <w:vAlign w:val="center"/>
            <w:hideMark/>
          </w:tcPr>
          <w:p w14:paraId="6E56657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037F500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462E3FF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1C54DF70" w14:textId="77777777" w:rsidTr="00CA7043">
        <w:trPr>
          <w:trHeight w:val="70"/>
        </w:trPr>
        <w:tc>
          <w:tcPr>
            <w:tcW w:w="5584" w:type="dxa"/>
            <w:tcBorders>
              <w:top w:val="single" w:sz="4" w:space="0" w:color="000000"/>
              <w:left w:val="nil"/>
              <w:bottom w:val="nil"/>
              <w:right w:val="nil"/>
            </w:tcBorders>
            <w:vAlign w:val="center"/>
            <w:hideMark/>
          </w:tcPr>
          <w:p w14:paraId="1E098A74"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Early warning systems are in place and effectively alert communities to impending hazards.  </w:t>
            </w:r>
          </w:p>
        </w:tc>
        <w:tc>
          <w:tcPr>
            <w:tcW w:w="750" w:type="dxa"/>
            <w:tcBorders>
              <w:top w:val="single" w:sz="4" w:space="0" w:color="000000"/>
              <w:left w:val="nil"/>
              <w:bottom w:val="nil"/>
              <w:right w:val="nil"/>
            </w:tcBorders>
            <w:vAlign w:val="center"/>
          </w:tcPr>
          <w:p w14:paraId="6F1142B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2.94</w:t>
            </w:r>
          </w:p>
        </w:tc>
        <w:tc>
          <w:tcPr>
            <w:tcW w:w="1473" w:type="dxa"/>
            <w:tcBorders>
              <w:top w:val="single" w:sz="4" w:space="0" w:color="000000"/>
              <w:left w:val="nil"/>
              <w:bottom w:val="nil"/>
              <w:right w:val="nil"/>
            </w:tcBorders>
            <w:vAlign w:val="center"/>
          </w:tcPr>
          <w:p w14:paraId="0438E6E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160015E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298692E" w14:textId="77777777" w:rsidTr="00CA7043">
        <w:trPr>
          <w:trHeight w:val="70"/>
        </w:trPr>
        <w:tc>
          <w:tcPr>
            <w:tcW w:w="5584" w:type="dxa"/>
            <w:tcBorders>
              <w:top w:val="nil"/>
              <w:left w:val="nil"/>
              <w:bottom w:val="nil"/>
              <w:right w:val="nil"/>
            </w:tcBorders>
            <w:vAlign w:val="center"/>
            <w:hideMark/>
          </w:tcPr>
          <w:p w14:paraId="7F0C9F14"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Technology (e.g., GIS, drones) is used to assess damage and identify needs during disasters. </w:t>
            </w:r>
          </w:p>
        </w:tc>
        <w:tc>
          <w:tcPr>
            <w:tcW w:w="750" w:type="dxa"/>
            <w:tcBorders>
              <w:top w:val="nil"/>
              <w:left w:val="nil"/>
              <w:bottom w:val="nil"/>
              <w:right w:val="nil"/>
            </w:tcBorders>
            <w:vAlign w:val="center"/>
          </w:tcPr>
          <w:p w14:paraId="223FC8D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2.72</w:t>
            </w:r>
          </w:p>
        </w:tc>
        <w:tc>
          <w:tcPr>
            <w:tcW w:w="1473" w:type="dxa"/>
            <w:tcBorders>
              <w:top w:val="nil"/>
              <w:left w:val="nil"/>
              <w:bottom w:val="nil"/>
              <w:right w:val="nil"/>
            </w:tcBorders>
            <w:vAlign w:val="center"/>
          </w:tcPr>
          <w:p w14:paraId="04089C4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95FFD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EC99EB4" w14:textId="77777777" w:rsidTr="00CA7043">
        <w:trPr>
          <w:trHeight w:val="70"/>
        </w:trPr>
        <w:tc>
          <w:tcPr>
            <w:tcW w:w="5584" w:type="dxa"/>
            <w:tcBorders>
              <w:top w:val="nil"/>
              <w:left w:val="nil"/>
              <w:bottom w:val="nil"/>
              <w:right w:val="nil"/>
            </w:tcBorders>
            <w:vAlign w:val="center"/>
          </w:tcPr>
          <w:p w14:paraId="3C07DD08"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Responders are trained on how to use technology for disaster response operations. </w:t>
            </w:r>
          </w:p>
        </w:tc>
        <w:tc>
          <w:tcPr>
            <w:tcW w:w="750" w:type="dxa"/>
            <w:tcBorders>
              <w:top w:val="nil"/>
              <w:left w:val="nil"/>
              <w:bottom w:val="nil"/>
              <w:right w:val="nil"/>
            </w:tcBorders>
            <w:vAlign w:val="center"/>
          </w:tcPr>
          <w:p w14:paraId="14B755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2.84</w:t>
            </w:r>
          </w:p>
        </w:tc>
        <w:tc>
          <w:tcPr>
            <w:tcW w:w="1473" w:type="dxa"/>
            <w:tcBorders>
              <w:top w:val="nil"/>
              <w:left w:val="nil"/>
              <w:bottom w:val="nil"/>
              <w:right w:val="nil"/>
            </w:tcBorders>
            <w:vAlign w:val="center"/>
          </w:tcPr>
          <w:p w14:paraId="584A531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366293B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67CFB5D" w14:textId="77777777" w:rsidTr="00CA7043">
        <w:trPr>
          <w:trHeight w:val="70"/>
        </w:trPr>
        <w:tc>
          <w:tcPr>
            <w:tcW w:w="5584" w:type="dxa"/>
            <w:tcBorders>
              <w:top w:val="nil"/>
              <w:left w:val="nil"/>
              <w:bottom w:val="nil"/>
              <w:right w:val="nil"/>
            </w:tcBorders>
            <w:vAlign w:val="center"/>
          </w:tcPr>
          <w:p w14:paraId="17DA6DAF"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Communities have access to real-time information and updates during emergencies. </w:t>
            </w:r>
          </w:p>
        </w:tc>
        <w:tc>
          <w:tcPr>
            <w:tcW w:w="750" w:type="dxa"/>
            <w:tcBorders>
              <w:top w:val="nil"/>
              <w:left w:val="nil"/>
              <w:bottom w:val="nil"/>
              <w:right w:val="nil"/>
            </w:tcBorders>
            <w:vAlign w:val="center"/>
          </w:tcPr>
          <w:p w14:paraId="31AE83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73" w:type="dxa"/>
            <w:tcBorders>
              <w:top w:val="nil"/>
              <w:left w:val="nil"/>
              <w:bottom w:val="nil"/>
              <w:right w:val="nil"/>
            </w:tcBorders>
            <w:vAlign w:val="center"/>
          </w:tcPr>
          <w:p w14:paraId="0EFD768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2CB9299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FD05113" w14:textId="77777777" w:rsidTr="00CA7043">
        <w:trPr>
          <w:trHeight w:val="70"/>
        </w:trPr>
        <w:tc>
          <w:tcPr>
            <w:tcW w:w="5584" w:type="dxa"/>
            <w:tcBorders>
              <w:top w:val="nil"/>
              <w:left w:val="nil"/>
              <w:bottom w:val="nil"/>
              <w:right w:val="nil"/>
            </w:tcBorders>
            <w:vAlign w:val="center"/>
          </w:tcPr>
          <w:p w14:paraId="13C40E82"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Technology improves the overall effectiveness of disaster response efforts.</w:t>
            </w:r>
            <w:r w:rsidRPr="00CA7043">
              <w:rPr>
                <w:rFonts w:ascii="Times New Roman" w:hAnsi="Times New Roman" w:cs="Times New Roman"/>
                <w:sz w:val="24"/>
                <w:szCs w:val="24"/>
                <w:lang w:bidi="th-TH"/>
              </w:rPr>
              <w:t xml:space="preserve"> </w:t>
            </w:r>
          </w:p>
        </w:tc>
        <w:tc>
          <w:tcPr>
            <w:tcW w:w="750" w:type="dxa"/>
            <w:tcBorders>
              <w:top w:val="nil"/>
              <w:left w:val="nil"/>
              <w:bottom w:val="nil"/>
              <w:right w:val="nil"/>
            </w:tcBorders>
            <w:vAlign w:val="center"/>
          </w:tcPr>
          <w:p w14:paraId="636D3E0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3" w:type="dxa"/>
            <w:tcBorders>
              <w:top w:val="nil"/>
              <w:left w:val="nil"/>
              <w:bottom w:val="nil"/>
              <w:right w:val="nil"/>
            </w:tcBorders>
            <w:vAlign w:val="center"/>
          </w:tcPr>
          <w:p w14:paraId="70F1AA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22991F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28723DF" w14:textId="77777777" w:rsidTr="00CA7043">
        <w:tc>
          <w:tcPr>
            <w:tcW w:w="5584" w:type="dxa"/>
            <w:tcBorders>
              <w:top w:val="single" w:sz="4" w:space="0" w:color="000000"/>
              <w:left w:val="nil"/>
              <w:bottom w:val="double" w:sz="4" w:space="0" w:color="auto"/>
              <w:right w:val="nil"/>
            </w:tcBorders>
            <w:vAlign w:val="center"/>
            <w:hideMark/>
          </w:tcPr>
          <w:p w14:paraId="45C2F1D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62C393F9"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2.91</w:t>
            </w:r>
          </w:p>
        </w:tc>
        <w:tc>
          <w:tcPr>
            <w:tcW w:w="1473" w:type="dxa"/>
            <w:tcBorders>
              <w:top w:val="single" w:sz="4" w:space="0" w:color="000000"/>
              <w:left w:val="nil"/>
              <w:bottom w:val="double" w:sz="4" w:space="0" w:color="auto"/>
              <w:right w:val="nil"/>
            </w:tcBorders>
            <w:vAlign w:val="center"/>
          </w:tcPr>
          <w:p w14:paraId="0410A861"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0E183A7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2577F08A" w14:textId="77777777" w:rsidR="00B7621A" w:rsidRPr="00CA7043" w:rsidRDefault="00B7621A" w:rsidP="00FD142E">
      <w:pPr>
        <w:spacing w:after="0" w:line="240" w:lineRule="auto"/>
        <w:ind w:right="72" w:firstLine="715"/>
        <w:jc w:val="both"/>
        <w:rPr>
          <w:rFonts w:ascii="Times New Roman" w:hAnsi="Times New Roman" w:cs="Times New Roman"/>
          <w:sz w:val="24"/>
          <w:szCs w:val="24"/>
        </w:rPr>
      </w:pPr>
    </w:p>
    <w:p w14:paraId="05539F66" w14:textId="77777777" w:rsidR="00B7621A" w:rsidRPr="00CA7043" w:rsidRDefault="00B7621A" w:rsidP="00FD142E">
      <w:pPr>
        <w:tabs>
          <w:tab w:val="left" w:pos="1080"/>
        </w:tabs>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reveal that MDRRMO responders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recognize the importance of technology to increase the effectiveness of disaster response efforts. However, there are significant weaknesses in how they can effectively use advanced assessment tools, share real-time information with communities, and offer exhaustive training on new technologies. These limitations are important to be addressed to take the most benefit of technological advancements that increase disaster preparedness, coordination of better response, and community resilience.</w:t>
      </w:r>
    </w:p>
    <w:p w14:paraId="7416C78B"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28F2283E"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b/>
          <w:bCs/>
          <w:sz w:val="24"/>
          <w:szCs w:val="24"/>
        </w:rPr>
        <w:t>Summary of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6CFE9907" w14:textId="77777777" w:rsidR="00B7621A" w:rsidRPr="00CA7043" w:rsidRDefault="00B7621A" w:rsidP="00FD142E">
      <w:pPr>
        <w:spacing w:after="0" w:line="240" w:lineRule="auto"/>
        <w:ind w:right="72"/>
        <w:jc w:val="both"/>
        <w:rPr>
          <w:rFonts w:ascii="Times New Roman" w:hAnsi="Times New Roman" w:cs="Times New Roman"/>
          <w:sz w:val="24"/>
          <w:szCs w:val="24"/>
        </w:rPr>
      </w:pPr>
    </w:p>
    <w:p w14:paraId="7E419ED2"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Table 16 shows a summary of the disaster response mechanism to hydrometeorological hazards, as reported by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examining all eight evaluated dimensions. The general weighted mean of 2.89, which can be defined as agree, shows that the overall opinion of most people is that the system in </w:t>
      </w:r>
      <w:r w:rsidRPr="00CA7043">
        <w:rPr>
          <w:rFonts w:ascii="Times New Roman" w:hAnsi="Times New Roman" w:cs="Times New Roman"/>
          <w:sz w:val="24"/>
          <w:szCs w:val="24"/>
        </w:rPr>
        <w:lastRenderedPageBreak/>
        <w:t>place at the municipality in responding to disasters is working. However, some of the areas of operation can be enhanced.</w:t>
      </w:r>
    </w:p>
    <w:p w14:paraId="3676D31A"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sz w:val="24"/>
          <w:szCs w:val="24"/>
        </w:rPr>
        <w:t>Community-Related Concerns was the highest-rated dimension out of the eight (WM = 3.19, Rank 1). Leadership and Decision-Making (concept of ICS)</w:t>
      </w:r>
    </w:p>
    <w:p w14:paraId="078D6D2E"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b/>
          <w:sz w:val="24"/>
          <w:szCs w:val="24"/>
        </w:rPr>
        <w:t xml:space="preserve">Table 16. </w:t>
      </w:r>
      <w:r w:rsidRPr="00CA7043">
        <w:rPr>
          <w:rFonts w:ascii="Times New Roman" w:hAnsi="Times New Roman" w:cs="Times New Roman"/>
          <w:b/>
          <w:bCs/>
          <w:sz w:val="24"/>
          <w:szCs w:val="24"/>
        </w:rPr>
        <w:t>Summary of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w:t>
      </w:r>
    </w:p>
    <w:p w14:paraId="57A2444B"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b/>
          <w:bCs/>
          <w:sz w:val="24"/>
          <w:szCs w:val="24"/>
        </w:rPr>
        <w:t xml:space="preserve">Respondents in </w:t>
      </w:r>
      <w:proofErr w:type="spellStart"/>
      <w:r w:rsidRPr="00CA7043">
        <w:rPr>
          <w:rFonts w:ascii="Times New Roman" w:hAnsi="Times New Roman" w:cs="Times New Roman"/>
          <w:b/>
          <w:bCs/>
          <w:sz w:val="24"/>
          <w:szCs w:val="24"/>
        </w:rPr>
        <w:t>Balatan</w:t>
      </w:r>
      <w:proofErr w:type="spellEnd"/>
    </w:p>
    <w:p w14:paraId="0722CF23" w14:textId="77777777" w:rsidR="00B7621A" w:rsidRPr="00CA7043" w:rsidRDefault="00B7621A" w:rsidP="00FD142E">
      <w:pPr>
        <w:spacing w:after="0" w:line="240" w:lineRule="auto"/>
        <w:jc w:val="both"/>
        <w:rPr>
          <w:rFonts w:ascii="Times New Roman" w:hAnsi="Times New Roman" w:cs="Times New Roman"/>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584"/>
        <w:gridCol w:w="750"/>
        <w:gridCol w:w="1473"/>
        <w:gridCol w:w="833"/>
      </w:tblGrid>
      <w:tr w:rsidR="00B7621A" w:rsidRPr="00CA7043" w14:paraId="6A3C3D51" w14:textId="77777777" w:rsidTr="00CA7043">
        <w:trPr>
          <w:trHeight w:val="213"/>
        </w:trPr>
        <w:tc>
          <w:tcPr>
            <w:tcW w:w="5584" w:type="dxa"/>
            <w:tcBorders>
              <w:top w:val="double" w:sz="4" w:space="0" w:color="auto"/>
              <w:left w:val="nil"/>
              <w:bottom w:val="single" w:sz="4" w:space="0" w:color="000000"/>
              <w:right w:val="nil"/>
            </w:tcBorders>
            <w:vAlign w:val="center"/>
            <w:hideMark/>
          </w:tcPr>
          <w:p w14:paraId="5D7115A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Disaster Response Mechanism</w:t>
            </w:r>
          </w:p>
        </w:tc>
        <w:tc>
          <w:tcPr>
            <w:tcW w:w="750" w:type="dxa"/>
            <w:tcBorders>
              <w:top w:val="double" w:sz="4" w:space="0" w:color="auto"/>
              <w:left w:val="nil"/>
              <w:bottom w:val="single" w:sz="4" w:space="0" w:color="000000"/>
              <w:right w:val="nil"/>
            </w:tcBorders>
            <w:vAlign w:val="center"/>
            <w:hideMark/>
          </w:tcPr>
          <w:p w14:paraId="5659953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3" w:type="dxa"/>
            <w:tcBorders>
              <w:top w:val="double" w:sz="4" w:space="0" w:color="auto"/>
              <w:left w:val="nil"/>
              <w:bottom w:val="single" w:sz="4" w:space="0" w:color="000000"/>
              <w:right w:val="nil"/>
            </w:tcBorders>
            <w:vAlign w:val="center"/>
            <w:hideMark/>
          </w:tcPr>
          <w:p w14:paraId="45BF4DF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33" w:type="dxa"/>
            <w:tcBorders>
              <w:top w:val="double" w:sz="4" w:space="0" w:color="auto"/>
              <w:left w:val="nil"/>
              <w:bottom w:val="single" w:sz="4" w:space="0" w:color="000000"/>
              <w:right w:val="nil"/>
            </w:tcBorders>
            <w:vAlign w:val="center"/>
            <w:hideMark/>
          </w:tcPr>
          <w:p w14:paraId="571F639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4933F31" w14:textId="77777777" w:rsidTr="00CA7043">
        <w:trPr>
          <w:trHeight w:val="70"/>
        </w:trPr>
        <w:tc>
          <w:tcPr>
            <w:tcW w:w="5584" w:type="dxa"/>
            <w:tcBorders>
              <w:top w:val="single" w:sz="4" w:space="0" w:color="000000"/>
              <w:left w:val="nil"/>
              <w:bottom w:val="nil"/>
              <w:right w:val="nil"/>
            </w:tcBorders>
            <w:vAlign w:val="center"/>
          </w:tcPr>
          <w:p w14:paraId="240945BD" w14:textId="77777777" w:rsidR="00B7621A" w:rsidRPr="00CA7043" w:rsidRDefault="00B7621A" w:rsidP="00FD142E">
            <w:pPr>
              <w:pStyle w:val="NoSpacing"/>
              <w:numPr>
                <w:ilvl w:val="0"/>
                <w:numId w:val="35"/>
              </w:numPr>
              <w:ind w:left="341"/>
              <w:jc w:val="both"/>
              <w:rPr>
                <w:rFonts w:ascii="Times New Roman" w:hAnsi="Times New Roman" w:cs="Times New Roman"/>
                <w:sz w:val="24"/>
                <w:szCs w:val="24"/>
              </w:rPr>
            </w:pPr>
            <w:r w:rsidRPr="00CA7043">
              <w:rPr>
                <w:rFonts w:ascii="Times New Roman" w:hAnsi="Times New Roman" w:cs="Times New Roman"/>
                <w:sz w:val="24"/>
                <w:szCs w:val="24"/>
                <w:lang w:bidi="th-TH"/>
              </w:rPr>
              <w:t>Community-Related Concerns</w:t>
            </w:r>
          </w:p>
        </w:tc>
        <w:tc>
          <w:tcPr>
            <w:tcW w:w="750" w:type="dxa"/>
            <w:tcBorders>
              <w:top w:val="single" w:sz="4" w:space="0" w:color="000000"/>
              <w:left w:val="nil"/>
              <w:bottom w:val="nil"/>
              <w:right w:val="nil"/>
            </w:tcBorders>
            <w:vAlign w:val="center"/>
          </w:tcPr>
          <w:p w14:paraId="12C51A1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3.19</w:t>
            </w:r>
          </w:p>
        </w:tc>
        <w:tc>
          <w:tcPr>
            <w:tcW w:w="1473" w:type="dxa"/>
            <w:tcBorders>
              <w:top w:val="single" w:sz="4" w:space="0" w:color="000000"/>
              <w:left w:val="nil"/>
              <w:bottom w:val="nil"/>
              <w:right w:val="nil"/>
            </w:tcBorders>
            <w:vAlign w:val="center"/>
          </w:tcPr>
          <w:p w14:paraId="2E8586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537FB0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41C4570" w14:textId="77777777" w:rsidTr="00CA7043">
        <w:trPr>
          <w:trHeight w:val="70"/>
        </w:trPr>
        <w:tc>
          <w:tcPr>
            <w:tcW w:w="5584" w:type="dxa"/>
            <w:tcBorders>
              <w:top w:val="nil"/>
              <w:left w:val="nil"/>
              <w:bottom w:val="nil"/>
              <w:right w:val="nil"/>
            </w:tcBorders>
            <w:vAlign w:val="center"/>
          </w:tcPr>
          <w:p w14:paraId="7FEC16A9"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Leadership and Decision-Making (concept of ICS)</w:t>
            </w:r>
          </w:p>
        </w:tc>
        <w:tc>
          <w:tcPr>
            <w:tcW w:w="750" w:type="dxa"/>
            <w:tcBorders>
              <w:top w:val="nil"/>
              <w:left w:val="nil"/>
              <w:bottom w:val="nil"/>
              <w:right w:val="nil"/>
            </w:tcBorders>
            <w:vAlign w:val="center"/>
          </w:tcPr>
          <w:p w14:paraId="1F2E45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2.97</w:t>
            </w:r>
          </w:p>
        </w:tc>
        <w:tc>
          <w:tcPr>
            <w:tcW w:w="1473" w:type="dxa"/>
            <w:tcBorders>
              <w:top w:val="nil"/>
              <w:left w:val="nil"/>
              <w:bottom w:val="nil"/>
              <w:right w:val="nil"/>
            </w:tcBorders>
            <w:vAlign w:val="center"/>
          </w:tcPr>
          <w:p w14:paraId="4D3700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22518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ACF10F6" w14:textId="77777777" w:rsidTr="00CA7043">
        <w:trPr>
          <w:trHeight w:val="70"/>
        </w:trPr>
        <w:tc>
          <w:tcPr>
            <w:tcW w:w="5584" w:type="dxa"/>
            <w:tcBorders>
              <w:top w:val="nil"/>
              <w:left w:val="nil"/>
              <w:bottom w:val="nil"/>
              <w:right w:val="nil"/>
            </w:tcBorders>
            <w:vAlign w:val="center"/>
          </w:tcPr>
          <w:p w14:paraId="7BA0DF82"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Technology Utilization</w:t>
            </w:r>
          </w:p>
        </w:tc>
        <w:tc>
          <w:tcPr>
            <w:tcW w:w="750" w:type="dxa"/>
            <w:tcBorders>
              <w:top w:val="nil"/>
              <w:left w:val="nil"/>
              <w:bottom w:val="nil"/>
              <w:right w:val="nil"/>
            </w:tcBorders>
            <w:vAlign w:val="center"/>
          </w:tcPr>
          <w:p w14:paraId="65AB67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2.91</w:t>
            </w:r>
          </w:p>
        </w:tc>
        <w:tc>
          <w:tcPr>
            <w:tcW w:w="1473" w:type="dxa"/>
            <w:tcBorders>
              <w:top w:val="nil"/>
              <w:left w:val="nil"/>
              <w:bottom w:val="nil"/>
              <w:right w:val="nil"/>
            </w:tcBorders>
          </w:tcPr>
          <w:p w14:paraId="7BBFBA8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562CFE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26CEFEFE" w14:textId="77777777" w:rsidTr="00CA7043">
        <w:trPr>
          <w:trHeight w:val="70"/>
        </w:trPr>
        <w:tc>
          <w:tcPr>
            <w:tcW w:w="5584" w:type="dxa"/>
            <w:tcBorders>
              <w:top w:val="nil"/>
              <w:left w:val="nil"/>
              <w:bottom w:val="nil"/>
              <w:right w:val="nil"/>
            </w:tcBorders>
            <w:vAlign w:val="center"/>
          </w:tcPr>
          <w:p w14:paraId="34CA75C0"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Training and Capacity Building</w:t>
            </w:r>
          </w:p>
        </w:tc>
        <w:tc>
          <w:tcPr>
            <w:tcW w:w="750" w:type="dxa"/>
            <w:tcBorders>
              <w:top w:val="nil"/>
              <w:left w:val="nil"/>
              <w:bottom w:val="nil"/>
              <w:right w:val="nil"/>
            </w:tcBorders>
            <w:vAlign w:val="center"/>
          </w:tcPr>
          <w:p w14:paraId="56140C0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2.88</w:t>
            </w:r>
          </w:p>
        </w:tc>
        <w:tc>
          <w:tcPr>
            <w:tcW w:w="1473" w:type="dxa"/>
            <w:tcBorders>
              <w:top w:val="nil"/>
              <w:left w:val="nil"/>
              <w:bottom w:val="nil"/>
              <w:right w:val="nil"/>
            </w:tcBorders>
          </w:tcPr>
          <w:p w14:paraId="5A1F75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3FD48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1643B6F0" w14:textId="77777777" w:rsidTr="00CA7043">
        <w:trPr>
          <w:trHeight w:val="70"/>
        </w:trPr>
        <w:tc>
          <w:tcPr>
            <w:tcW w:w="5584" w:type="dxa"/>
            <w:tcBorders>
              <w:top w:val="nil"/>
              <w:left w:val="nil"/>
              <w:bottom w:val="nil"/>
              <w:right w:val="nil"/>
            </w:tcBorders>
            <w:vAlign w:val="center"/>
          </w:tcPr>
          <w:p w14:paraId="6E1927DE"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Infrastructure and Development</w:t>
            </w:r>
          </w:p>
        </w:tc>
        <w:tc>
          <w:tcPr>
            <w:tcW w:w="750" w:type="dxa"/>
            <w:tcBorders>
              <w:top w:val="nil"/>
              <w:left w:val="nil"/>
              <w:bottom w:val="nil"/>
              <w:right w:val="nil"/>
            </w:tcBorders>
            <w:vAlign w:val="center"/>
          </w:tcPr>
          <w:p w14:paraId="561B68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2.84</w:t>
            </w:r>
          </w:p>
        </w:tc>
        <w:tc>
          <w:tcPr>
            <w:tcW w:w="1473" w:type="dxa"/>
            <w:tcBorders>
              <w:top w:val="nil"/>
              <w:left w:val="nil"/>
              <w:bottom w:val="nil"/>
              <w:right w:val="nil"/>
            </w:tcBorders>
            <w:vAlign w:val="center"/>
          </w:tcPr>
          <w:p w14:paraId="74823CA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35E5DD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2955B45B" w14:textId="77777777" w:rsidTr="00CA7043">
        <w:trPr>
          <w:trHeight w:val="70"/>
        </w:trPr>
        <w:tc>
          <w:tcPr>
            <w:tcW w:w="5584" w:type="dxa"/>
            <w:tcBorders>
              <w:top w:val="nil"/>
              <w:left w:val="nil"/>
              <w:bottom w:val="nil"/>
              <w:right w:val="nil"/>
            </w:tcBorders>
            <w:vAlign w:val="center"/>
          </w:tcPr>
          <w:p w14:paraId="3ECDCBE3"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Logistics</w:t>
            </w:r>
          </w:p>
        </w:tc>
        <w:tc>
          <w:tcPr>
            <w:tcW w:w="750" w:type="dxa"/>
            <w:tcBorders>
              <w:top w:val="nil"/>
              <w:left w:val="nil"/>
              <w:bottom w:val="nil"/>
              <w:right w:val="nil"/>
            </w:tcBorders>
            <w:vAlign w:val="center"/>
          </w:tcPr>
          <w:p w14:paraId="78138DD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2.83</w:t>
            </w:r>
          </w:p>
        </w:tc>
        <w:tc>
          <w:tcPr>
            <w:tcW w:w="1473" w:type="dxa"/>
            <w:tcBorders>
              <w:top w:val="nil"/>
              <w:left w:val="nil"/>
              <w:bottom w:val="nil"/>
              <w:right w:val="nil"/>
            </w:tcBorders>
            <w:vAlign w:val="center"/>
          </w:tcPr>
          <w:p w14:paraId="213665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3EE66FA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06779821" w14:textId="77777777" w:rsidTr="00CA7043">
        <w:trPr>
          <w:trHeight w:val="70"/>
        </w:trPr>
        <w:tc>
          <w:tcPr>
            <w:tcW w:w="5584" w:type="dxa"/>
            <w:tcBorders>
              <w:top w:val="nil"/>
              <w:left w:val="nil"/>
              <w:bottom w:val="nil"/>
              <w:right w:val="nil"/>
            </w:tcBorders>
            <w:vAlign w:val="center"/>
          </w:tcPr>
          <w:p w14:paraId="57F4CF5D"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Coordination and Organization</w:t>
            </w:r>
          </w:p>
        </w:tc>
        <w:tc>
          <w:tcPr>
            <w:tcW w:w="750" w:type="dxa"/>
            <w:tcBorders>
              <w:top w:val="nil"/>
              <w:left w:val="nil"/>
              <w:bottom w:val="nil"/>
              <w:right w:val="nil"/>
            </w:tcBorders>
            <w:vAlign w:val="center"/>
          </w:tcPr>
          <w:p w14:paraId="65C4077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73" w:type="dxa"/>
            <w:tcBorders>
              <w:top w:val="nil"/>
              <w:left w:val="nil"/>
              <w:bottom w:val="nil"/>
              <w:right w:val="nil"/>
            </w:tcBorders>
            <w:vAlign w:val="center"/>
          </w:tcPr>
          <w:p w14:paraId="2C60250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7F7A00A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5252A51A" w14:textId="77777777" w:rsidTr="00CA7043">
        <w:trPr>
          <w:trHeight w:val="70"/>
        </w:trPr>
        <w:tc>
          <w:tcPr>
            <w:tcW w:w="5584" w:type="dxa"/>
            <w:tcBorders>
              <w:top w:val="nil"/>
              <w:left w:val="nil"/>
              <w:bottom w:val="nil"/>
              <w:right w:val="nil"/>
            </w:tcBorders>
            <w:vAlign w:val="center"/>
          </w:tcPr>
          <w:p w14:paraId="3513E9E7"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Resources</w:t>
            </w:r>
          </w:p>
        </w:tc>
        <w:tc>
          <w:tcPr>
            <w:tcW w:w="750" w:type="dxa"/>
            <w:tcBorders>
              <w:top w:val="nil"/>
              <w:left w:val="nil"/>
              <w:bottom w:val="nil"/>
              <w:right w:val="nil"/>
            </w:tcBorders>
            <w:vAlign w:val="center"/>
          </w:tcPr>
          <w:p w14:paraId="58011A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2.70</w:t>
            </w:r>
          </w:p>
        </w:tc>
        <w:tc>
          <w:tcPr>
            <w:tcW w:w="1473" w:type="dxa"/>
            <w:tcBorders>
              <w:top w:val="nil"/>
              <w:left w:val="nil"/>
              <w:bottom w:val="nil"/>
              <w:right w:val="nil"/>
            </w:tcBorders>
            <w:vAlign w:val="center"/>
          </w:tcPr>
          <w:p w14:paraId="3D5FF4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252688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4133B6B3" w14:textId="77777777" w:rsidTr="00CA7043">
        <w:tc>
          <w:tcPr>
            <w:tcW w:w="5584" w:type="dxa"/>
            <w:tcBorders>
              <w:top w:val="single" w:sz="4" w:space="0" w:color="000000"/>
              <w:left w:val="nil"/>
              <w:bottom w:val="double" w:sz="4" w:space="0" w:color="auto"/>
              <w:right w:val="nil"/>
            </w:tcBorders>
            <w:vAlign w:val="center"/>
            <w:hideMark/>
          </w:tcPr>
          <w:p w14:paraId="4794C2A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30FBF28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2.89</w:t>
            </w:r>
          </w:p>
        </w:tc>
        <w:tc>
          <w:tcPr>
            <w:tcW w:w="1473" w:type="dxa"/>
            <w:tcBorders>
              <w:top w:val="single" w:sz="4" w:space="0" w:color="000000"/>
              <w:left w:val="nil"/>
              <w:bottom w:val="double" w:sz="4" w:space="0" w:color="auto"/>
              <w:right w:val="nil"/>
            </w:tcBorders>
            <w:vAlign w:val="center"/>
          </w:tcPr>
          <w:p w14:paraId="4C933267"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460176B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7F4CCA9"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p>
    <w:p w14:paraId="055C7538"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(WM = 2.97, Rank 2), Technology Utilization ranked third (WM = 2.91, Rank 3), Training and Capacity Building (WM = 2.88, Rank 4), Infrastructure and Environment (WM = 2.84, Rank 5), Logistics (WM = 2.83, Rank 6), Coordination and Organization (WM = 2.81, Rank 7), and Resources ranked lowest among all dimensions (WM = 2.70, Rank 8).</w:t>
      </w:r>
    </w:p>
    <w:p w14:paraId="4709A8B4"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5899E68B"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b/>
          <w:bCs/>
          <w:sz w:val="24"/>
          <w:szCs w:val="24"/>
        </w:rPr>
        <w:t xml:space="preserve">3. Factors Affecting the Disaster Response Mechanism </w:t>
      </w:r>
      <w:bookmarkStart w:id="3" w:name="_Hlk215781256"/>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bookmarkEnd w:id="3"/>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232E4494"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4109B2B0" w14:textId="77777777" w:rsidR="00B7621A" w:rsidRPr="00CA7043" w:rsidRDefault="00B7621A" w:rsidP="00FD142E">
      <w:pPr>
        <w:pStyle w:val="ListParagraph"/>
        <w:numPr>
          <w:ilvl w:val="0"/>
          <w:numId w:val="33"/>
        </w:numPr>
        <w:tabs>
          <w:tab w:val="left" w:pos="1080"/>
        </w:tabs>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 xml:space="preserve">Social Factors. </w:t>
      </w:r>
      <w:r w:rsidRPr="00CA7043">
        <w:rPr>
          <w:rFonts w:ascii="Times New Roman" w:hAnsi="Times New Roman" w:cs="Times New Roman"/>
          <w:sz w:val="24"/>
          <w:szCs w:val="24"/>
        </w:rPr>
        <w:t xml:space="preserve">Table 17 shows the social factors affecting the disaster mechanism to hydrometeorological hazards of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reveal that responders recognize multiple social factors affecting disaster response mechanism, with an average weighted mean (WM = 3.20) categorized as "Affect". The top three rated indicators provide the most critical social factors. The deficit of trust between the community and disaster responder organizations (WM = 3.36, Rank 1), inadequate cooperation between various social groups and organizations (WM = 3.34, Rank 2), and political interference in disaster management activities (WM = 3.33, Rank 3).</w:t>
      </w:r>
    </w:p>
    <w:p w14:paraId="2C18EA5F" w14:textId="77777777" w:rsidR="00B7621A" w:rsidRPr="00CA7043" w:rsidRDefault="00B7621A" w:rsidP="00FD142E">
      <w:pPr>
        <w:pStyle w:val="ListParagraph"/>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sz w:val="24"/>
          <w:szCs w:val="24"/>
        </w:rPr>
        <w:t>On the other hand, the three weakest indicators show less significant, yet, still, significant factors. They are the insufficiency of community knowledge of disaster risks and response (WM = 3.12, Rank 6); gender issues of barriers to effective disaster response (WM = 3.10, Rank 8); differences in level of education that affect disaster preparedness knowledge (WM = 3.10, Rank 8); and</w:t>
      </w:r>
    </w:p>
    <w:p w14:paraId="52E40F95" w14:textId="77777777" w:rsidR="00B7621A" w:rsidRPr="00CA7043" w:rsidRDefault="00B7621A" w:rsidP="00FD142E">
      <w:pPr>
        <w:tabs>
          <w:tab w:val="left" w:pos="1080"/>
        </w:tabs>
        <w:spacing w:after="0" w:line="240" w:lineRule="auto"/>
        <w:ind w:right="72"/>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17. Social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1236B580"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6"/>
        <w:gridCol w:w="705"/>
        <w:gridCol w:w="1476"/>
        <w:gridCol w:w="803"/>
      </w:tblGrid>
      <w:tr w:rsidR="00B7621A" w:rsidRPr="00CA7043" w14:paraId="362E76B5" w14:textId="77777777" w:rsidTr="00CA7043">
        <w:trPr>
          <w:trHeight w:val="213"/>
        </w:trPr>
        <w:tc>
          <w:tcPr>
            <w:tcW w:w="5656" w:type="dxa"/>
            <w:tcBorders>
              <w:top w:val="double" w:sz="4" w:space="0" w:color="auto"/>
              <w:left w:val="nil"/>
              <w:bottom w:val="single" w:sz="4" w:space="0" w:color="000000"/>
              <w:right w:val="nil"/>
            </w:tcBorders>
            <w:vAlign w:val="center"/>
            <w:hideMark/>
          </w:tcPr>
          <w:p w14:paraId="57DDB85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6FF55DA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6" w:type="dxa"/>
            <w:tcBorders>
              <w:top w:val="double" w:sz="4" w:space="0" w:color="auto"/>
              <w:left w:val="nil"/>
              <w:bottom w:val="single" w:sz="4" w:space="0" w:color="000000"/>
              <w:right w:val="nil"/>
            </w:tcBorders>
            <w:vAlign w:val="center"/>
            <w:hideMark/>
          </w:tcPr>
          <w:p w14:paraId="3315F80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6CD8046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3772B4A" w14:textId="77777777" w:rsidTr="00CA7043">
        <w:trPr>
          <w:trHeight w:val="70"/>
        </w:trPr>
        <w:tc>
          <w:tcPr>
            <w:tcW w:w="5656" w:type="dxa"/>
            <w:tcBorders>
              <w:top w:val="single" w:sz="4" w:space="0" w:color="000000"/>
              <w:left w:val="nil"/>
              <w:bottom w:val="nil"/>
              <w:right w:val="nil"/>
            </w:tcBorders>
            <w:hideMark/>
          </w:tcPr>
          <w:p w14:paraId="2F8CBEB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lastRenderedPageBreak/>
              <w:t>Limited community participation in disaster preparedness activities</w:t>
            </w:r>
          </w:p>
        </w:tc>
        <w:tc>
          <w:tcPr>
            <w:tcW w:w="705" w:type="dxa"/>
            <w:tcBorders>
              <w:top w:val="single" w:sz="4" w:space="0" w:color="000000"/>
              <w:left w:val="nil"/>
              <w:bottom w:val="nil"/>
              <w:right w:val="nil"/>
            </w:tcBorders>
            <w:vAlign w:val="center"/>
          </w:tcPr>
          <w:p w14:paraId="457D5ED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3.24</w:t>
            </w:r>
          </w:p>
        </w:tc>
        <w:tc>
          <w:tcPr>
            <w:tcW w:w="1476" w:type="dxa"/>
            <w:tcBorders>
              <w:top w:val="single" w:sz="4" w:space="0" w:color="000000"/>
              <w:left w:val="nil"/>
              <w:bottom w:val="nil"/>
              <w:right w:val="nil"/>
            </w:tcBorders>
            <w:vAlign w:val="center"/>
          </w:tcPr>
          <w:p w14:paraId="75ABB78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57AC2E4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260AC0F" w14:textId="77777777" w:rsidTr="00CA7043">
        <w:trPr>
          <w:trHeight w:val="70"/>
        </w:trPr>
        <w:tc>
          <w:tcPr>
            <w:tcW w:w="5656" w:type="dxa"/>
            <w:tcBorders>
              <w:top w:val="nil"/>
              <w:left w:val="nil"/>
              <w:bottom w:val="nil"/>
              <w:right w:val="nil"/>
            </w:tcBorders>
            <w:hideMark/>
          </w:tcPr>
          <w:p w14:paraId="0DC467CA"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Lack of community awareness about disaster risks and response procedures</w:t>
            </w:r>
          </w:p>
        </w:tc>
        <w:tc>
          <w:tcPr>
            <w:tcW w:w="705" w:type="dxa"/>
            <w:tcBorders>
              <w:top w:val="nil"/>
              <w:left w:val="nil"/>
              <w:bottom w:val="nil"/>
              <w:right w:val="nil"/>
            </w:tcBorders>
            <w:vAlign w:val="center"/>
          </w:tcPr>
          <w:p w14:paraId="42CE62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3.12</w:t>
            </w:r>
          </w:p>
        </w:tc>
        <w:tc>
          <w:tcPr>
            <w:tcW w:w="1476" w:type="dxa"/>
            <w:tcBorders>
              <w:top w:val="nil"/>
              <w:left w:val="nil"/>
              <w:bottom w:val="nil"/>
              <w:right w:val="nil"/>
            </w:tcBorders>
          </w:tcPr>
          <w:p w14:paraId="02B1826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6EE4962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1603BE45" w14:textId="77777777" w:rsidTr="00CA7043">
        <w:trPr>
          <w:trHeight w:val="70"/>
        </w:trPr>
        <w:tc>
          <w:tcPr>
            <w:tcW w:w="5656" w:type="dxa"/>
            <w:tcBorders>
              <w:top w:val="nil"/>
              <w:left w:val="nil"/>
              <w:bottom w:val="nil"/>
              <w:right w:val="nil"/>
            </w:tcBorders>
          </w:tcPr>
          <w:p w14:paraId="61B5A93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Poor coordination between different social groups and organizations</w:t>
            </w:r>
          </w:p>
        </w:tc>
        <w:tc>
          <w:tcPr>
            <w:tcW w:w="705" w:type="dxa"/>
            <w:tcBorders>
              <w:top w:val="nil"/>
              <w:left w:val="nil"/>
              <w:bottom w:val="nil"/>
              <w:right w:val="nil"/>
            </w:tcBorders>
            <w:vAlign w:val="center"/>
          </w:tcPr>
          <w:p w14:paraId="1129A7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05FE6CE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CA44B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27CA044" w14:textId="77777777" w:rsidTr="00CA7043">
        <w:trPr>
          <w:trHeight w:val="70"/>
        </w:trPr>
        <w:tc>
          <w:tcPr>
            <w:tcW w:w="5656" w:type="dxa"/>
            <w:tcBorders>
              <w:top w:val="nil"/>
              <w:left w:val="nil"/>
              <w:bottom w:val="nil"/>
              <w:right w:val="nil"/>
            </w:tcBorders>
          </w:tcPr>
          <w:p w14:paraId="28A707A1"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Cultural barriers that prevent effective disaster response</w:t>
            </w:r>
          </w:p>
        </w:tc>
        <w:tc>
          <w:tcPr>
            <w:tcW w:w="705" w:type="dxa"/>
            <w:tcBorders>
              <w:top w:val="nil"/>
              <w:left w:val="nil"/>
              <w:bottom w:val="nil"/>
              <w:right w:val="nil"/>
            </w:tcBorders>
            <w:vAlign w:val="center"/>
          </w:tcPr>
          <w:p w14:paraId="2ADC658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3.21</w:t>
            </w:r>
          </w:p>
        </w:tc>
        <w:tc>
          <w:tcPr>
            <w:tcW w:w="1476" w:type="dxa"/>
            <w:tcBorders>
              <w:top w:val="nil"/>
              <w:left w:val="nil"/>
              <w:bottom w:val="nil"/>
              <w:right w:val="nil"/>
            </w:tcBorders>
          </w:tcPr>
          <w:p w14:paraId="6430F00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474DE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F90E3FA" w14:textId="77777777" w:rsidTr="00CA7043">
        <w:trPr>
          <w:trHeight w:val="70"/>
        </w:trPr>
        <w:tc>
          <w:tcPr>
            <w:tcW w:w="5656" w:type="dxa"/>
            <w:tcBorders>
              <w:top w:val="nil"/>
              <w:left w:val="nil"/>
              <w:bottom w:val="nil"/>
              <w:right w:val="nil"/>
            </w:tcBorders>
          </w:tcPr>
          <w:p w14:paraId="121D3FD3"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Political interference in disaster management operations</w:t>
            </w:r>
          </w:p>
        </w:tc>
        <w:tc>
          <w:tcPr>
            <w:tcW w:w="705" w:type="dxa"/>
            <w:tcBorders>
              <w:top w:val="nil"/>
              <w:left w:val="nil"/>
              <w:bottom w:val="nil"/>
              <w:right w:val="nil"/>
            </w:tcBorders>
            <w:vAlign w:val="center"/>
          </w:tcPr>
          <w:p w14:paraId="072643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3.33</w:t>
            </w:r>
          </w:p>
        </w:tc>
        <w:tc>
          <w:tcPr>
            <w:tcW w:w="1476" w:type="dxa"/>
            <w:tcBorders>
              <w:top w:val="nil"/>
              <w:left w:val="nil"/>
              <w:bottom w:val="nil"/>
              <w:right w:val="nil"/>
            </w:tcBorders>
          </w:tcPr>
          <w:p w14:paraId="61F60BF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735A1E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EAE7990" w14:textId="77777777" w:rsidTr="00CA7043">
        <w:trPr>
          <w:trHeight w:val="70"/>
        </w:trPr>
        <w:tc>
          <w:tcPr>
            <w:tcW w:w="5656" w:type="dxa"/>
            <w:tcBorders>
              <w:top w:val="nil"/>
              <w:left w:val="nil"/>
              <w:bottom w:val="nil"/>
              <w:right w:val="nil"/>
            </w:tcBorders>
          </w:tcPr>
          <w:p w14:paraId="1486A51F"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Inadequate social cohesion within vulnerable communities</w:t>
            </w:r>
          </w:p>
        </w:tc>
        <w:tc>
          <w:tcPr>
            <w:tcW w:w="705" w:type="dxa"/>
            <w:tcBorders>
              <w:top w:val="nil"/>
              <w:left w:val="nil"/>
              <w:bottom w:val="nil"/>
              <w:right w:val="nil"/>
            </w:tcBorders>
            <w:vAlign w:val="center"/>
          </w:tcPr>
          <w:p w14:paraId="0C794B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245965F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4A9BC6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1BB0D2E8" w14:textId="77777777" w:rsidTr="00CA7043">
        <w:trPr>
          <w:trHeight w:val="70"/>
        </w:trPr>
        <w:tc>
          <w:tcPr>
            <w:tcW w:w="5656" w:type="dxa"/>
            <w:tcBorders>
              <w:top w:val="nil"/>
              <w:left w:val="nil"/>
              <w:bottom w:val="nil"/>
              <w:right w:val="nil"/>
            </w:tcBorders>
          </w:tcPr>
          <w:p w14:paraId="167A6C9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Language barriers affecting communication during disasters</w:t>
            </w:r>
          </w:p>
        </w:tc>
        <w:tc>
          <w:tcPr>
            <w:tcW w:w="705" w:type="dxa"/>
            <w:tcBorders>
              <w:top w:val="nil"/>
              <w:left w:val="nil"/>
              <w:bottom w:val="nil"/>
              <w:right w:val="nil"/>
            </w:tcBorders>
            <w:vAlign w:val="center"/>
          </w:tcPr>
          <w:p w14:paraId="71A4D08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3.07</w:t>
            </w:r>
          </w:p>
        </w:tc>
        <w:tc>
          <w:tcPr>
            <w:tcW w:w="1476" w:type="dxa"/>
            <w:tcBorders>
              <w:top w:val="nil"/>
              <w:left w:val="nil"/>
              <w:bottom w:val="nil"/>
              <w:right w:val="nil"/>
            </w:tcBorders>
          </w:tcPr>
          <w:p w14:paraId="5AE14FB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0BC1C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B7621A" w:rsidRPr="00CA7043" w14:paraId="42F32AA5" w14:textId="77777777" w:rsidTr="00CA7043">
        <w:trPr>
          <w:trHeight w:val="70"/>
        </w:trPr>
        <w:tc>
          <w:tcPr>
            <w:tcW w:w="5656" w:type="dxa"/>
            <w:tcBorders>
              <w:top w:val="nil"/>
              <w:left w:val="nil"/>
              <w:bottom w:val="nil"/>
              <w:right w:val="nil"/>
            </w:tcBorders>
          </w:tcPr>
          <w:p w14:paraId="6997BC36"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Lack of trust between the community and disaster response agencies</w:t>
            </w:r>
          </w:p>
        </w:tc>
        <w:tc>
          <w:tcPr>
            <w:tcW w:w="705" w:type="dxa"/>
            <w:tcBorders>
              <w:top w:val="nil"/>
              <w:left w:val="nil"/>
              <w:bottom w:val="nil"/>
              <w:right w:val="nil"/>
            </w:tcBorders>
            <w:vAlign w:val="center"/>
          </w:tcPr>
          <w:p w14:paraId="7D1C4AB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3.36</w:t>
            </w:r>
          </w:p>
        </w:tc>
        <w:tc>
          <w:tcPr>
            <w:tcW w:w="1476" w:type="dxa"/>
            <w:tcBorders>
              <w:top w:val="nil"/>
              <w:left w:val="nil"/>
              <w:bottom w:val="nil"/>
              <w:right w:val="nil"/>
            </w:tcBorders>
          </w:tcPr>
          <w:p w14:paraId="416B4C4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C5A657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4CA7A53F" w14:textId="77777777" w:rsidTr="00CA7043">
        <w:trPr>
          <w:trHeight w:val="70"/>
        </w:trPr>
        <w:tc>
          <w:tcPr>
            <w:tcW w:w="5656" w:type="dxa"/>
            <w:tcBorders>
              <w:top w:val="nil"/>
              <w:left w:val="nil"/>
              <w:bottom w:val="nil"/>
              <w:right w:val="nil"/>
            </w:tcBorders>
          </w:tcPr>
          <w:p w14:paraId="05B7E06D"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Gender-related barriers affecting disaster response effectiveness</w:t>
            </w:r>
          </w:p>
        </w:tc>
        <w:tc>
          <w:tcPr>
            <w:tcW w:w="705" w:type="dxa"/>
            <w:tcBorders>
              <w:top w:val="nil"/>
              <w:left w:val="nil"/>
              <w:bottom w:val="nil"/>
              <w:right w:val="nil"/>
            </w:tcBorders>
            <w:vAlign w:val="center"/>
          </w:tcPr>
          <w:p w14:paraId="7A2958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1F46CB6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9F5255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19AA51BC" w14:textId="77777777" w:rsidTr="00CA7043">
        <w:trPr>
          <w:trHeight w:val="70"/>
        </w:trPr>
        <w:tc>
          <w:tcPr>
            <w:tcW w:w="5656" w:type="dxa"/>
            <w:tcBorders>
              <w:top w:val="nil"/>
              <w:left w:val="nil"/>
              <w:bottom w:val="nil"/>
              <w:right w:val="nil"/>
            </w:tcBorders>
          </w:tcPr>
          <w:p w14:paraId="567B45EA"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Educational level disparities affecting disaster preparedness understanding</w:t>
            </w:r>
          </w:p>
        </w:tc>
        <w:tc>
          <w:tcPr>
            <w:tcW w:w="705" w:type="dxa"/>
            <w:tcBorders>
              <w:top w:val="nil"/>
              <w:left w:val="nil"/>
              <w:bottom w:val="nil"/>
              <w:right w:val="nil"/>
            </w:tcBorders>
            <w:vAlign w:val="center"/>
          </w:tcPr>
          <w:p w14:paraId="52360E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7EDD050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01751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44860DA3" w14:textId="77777777" w:rsidTr="00CA7043">
        <w:tc>
          <w:tcPr>
            <w:tcW w:w="5656" w:type="dxa"/>
            <w:tcBorders>
              <w:top w:val="single" w:sz="4" w:space="0" w:color="000000"/>
              <w:left w:val="nil"/>
              <w:bottom w:val="double" w:sz="4" w:space="0" w:color="auto"/>
              <w:right w:val="nil"/>
            </w:tcBorders>
            <w:vAlign w:val="center"/>
            <w:hideMark/>
          </w:tcPr>
          <w:p w14:paraId="360E637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610B201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3.20</w:t>
            </w:r>
          </w:p>
        </w:tc>
        <w:tc>
          <w:tcPr>
            <w:tcW w:w="1476" w:type="dxa"/>
            <w:tcBorders>
              <w:top w:val="single" w:sz="4" w:space="0" w:color="000000"/>
              <w:left w:val="nil"/>
              <w:bottom w:val="double" w:sz="4" w:space="0" w:color="auto"/>
              <w:right w:val="nil"/>
            </w:tcBorders>
          </w:tcPr>
          <w:p w14:paraId="02DA379F"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0894838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5C5F6E7"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ab/>
      </w:r>
    </w:p>
    <w:p w14:paraId="769DDE85"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sz w:val="24"/>
          <w:szCs w:val="24"/>
        </w:rPr>
        <w:t>insufficient social cohesion of vulnerable communities (WM = 3.10, Rank 8). Finally, Communication barriers in disasters due to language barrier (WM = 3.07, Rank 10).</w:t>
      </w:r>
    </w:p>
    <w:p w14:paraId="216E9605" w14:textId="77777777" w:rsidR="00B7621A" w:rsidRDefault="00B7621A" w:rsidP="00FD142E">
      <w:pPr>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 that the disaster response system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w:t>
      </w:r>
      <w:proofErr w:type="gramStart"/>
      <w:r w:rsidRPr="00CA7043">
        <w:rPr>
          <w:rFonts w:ascii="Times New Roman" w:hAnsi="Times New Roman" w:cs="Times New Roman"/>
          <w:sz w:val="24"/>
          <w:szCs w:val="24"/>
        </w:rPr>
        <w:t>takes into account</w:t>
      </w:r>
      <w:proofErr w:type="gramEnd"/>
      <w:r w:rsidRPr="00CA7043">
        <w:rPr>
          <w:rFonts w:ascii="Times New Roman" w:hAnsi="Times New Roman" w:cs="Times New Roman"/>
          <w:sz w:val="24"/>
          <w:szCs w:val="24"/>
        </w:rPr>
        <w:t xml:space="preserve"> several social factors that affect its functioning, however, the main issues are to regain trust in disaster response agencies, to increase collaboration among different social stakeholders, and to reduce the influence of political factors on disaster management decisions. It is important to address these social determinants to increase the credibility, effectiveness, and social support of disaster response mechanisms.</w:t>
      </w:r>
    </w:p>
    <w:p w14:paraId="2A7E017A" w14:textId="77777777" w:rsidR="00A67C74" w:rsidRPr="00CA7043" w:rsidRDefault="00A67C74" w:rsidP="00FD142E">
      <w:pPr>
        <w:spacing w:after="0" w:line="240" w:lineRule="auto"/>
        <w:ind w:right="72" w:firstLine="710"/>
        <w:jc w:val="both"/>
        <w:rPr>
          <w:rFonts w:ascii="Times New Roman" w:hAnsi="Times New Roman" w:cs="Times New Roman"/>
          <w:sz w:val="24"/>
          <w:szCs w:val="24"/>
        </w:rPr>
      </w:pPr>
    </w:p>
    <w:p w14:paraId="3F0B7FFC" w14:textId="77777777" w:rsidR="00B7621A" w:rsidRDefault="00B7621A" w:rsidP="00FD142E">
      <w:pPr>
        <w:pStyle w:val="ListParagraph"/>
        <w:numPr>
          <w:ilvl w:val="0"/>
          <w:numId w:val="33"/>
        </w:numPr>
        <w:tabs>
          <w:tab w:val="left" w:pos="1080"/>
        </w:tabs>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Environmental Factors.</w:t>
      </w:r>
      <w:r w:rsidRPr="00CA7043">
        <w:rPr>
          <w:rFonts w:ascii="Times New Roman" w:hAnsi="Times New Roman" w:cs="Times New Roman"/>
          <w:sz w:val="24"/>
          <w:szCs w:val="24"/>
        </w:rPr>
        <w:t xml:space="preserve"> Table 18 illustrates the environmental factors that influence the disaster response mechanism to hydrometeorological hazards as reported by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indicate that respondents acknowledge various environmental factors that significantly influence the disaster response mechanism, with an average weighted mean (WM = 3.39) classified as "Affect." The top 3 ranked environmental factors display strong impediments: geographical isolation due to the complexity of accessibility in case of emergencies, lack of proper early warning systems against weather disturbances, and ineffective drainage systems that cause serious flooding effects. These factors have a weighted mean (W = 3.69), meaning “Strongly Affect”, and ranked together as the second. Environmental degradation, which makes disasters more likely to happen, is ranked fourth (WM = 3.56, Strongly Affect), and the effects of climate change that make hydrometeorological hazards worse are ranked fifth (WM = 3.44, Affect).</w:t>
      </w:r>
    </w:p>
    <w:p w14:paraId="3739B825" w14:textId="77777777" w:rsidR="00A67C74" w:rsidRPr="00A67C74" w:rsidRDefault="00A67C74" w:rsidP="00A67C74">
      <w:pPr>
        <w:pStyle w:val="ListParagraph"/>
        <w:tabs>
          <w:tab w:val="left" w:pos="1080"/>
        </w:tabs>
        <w:spacing w:after="0" w:line="240" w:lineRule="auto"/>
        <w:ind w:left="715" w:right="72"/>
        <w:jc w:val="both"/>
        <w:rPr>
          <w:rFonts w:ascii="Times New Roman" w:hAnsi="Times New Roman" w:cs="Times New Roman"/>
          <w:sz w:val="24"/>
          <w:szCs w:val="24"/>
        </w:rPr>
      </w:pPr>
    </w:p>
    <w:p w14:paraId="3C5A35D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sz w:val="24"/>
          <w:szCs w:val="24"/>
        </w:rPr>
        <w:lastRenderedPageBreak/>
        <w:t xml:space="preserve">Table 18. Environmental Factors </w:t>
      </w:r>
      <w:r w:rsidRPr="00CA7043">
        <w:rPr>
          <w:rFonts w:ascii="Times New Roman" w:hAnsi="Times New Roman" w:cs="Times New Roman"/>
          <w:b/>
          <w:bCs/>
          <w:sz w:val="24"/>
          <w:szCs w:val="24"/>
        </w:rPr>
        <w:t>Affecting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w:t>
      </w:r>
    </w:p>
    <w:p w14:paraId="6BD131A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bCs/>
          <w:sz w:val="24"/>
          <w:szCs w:val="24"/>
        </w:rPr>
        <w:t xml:space="preserve">Respondents in </w:t>
      </w:r>
      <w:proofErr w:type="spellStart"/>
      <w:r w:rsidRPr="00CA7043">
        <w:rPr>
          <w:rFonts w:ascii="Times New Roman" w:hAnsi="Times New Roman" w:cs="Times New Roman"/>
          <w:b/>
          <w:bCs/>
          <w:sz w:val="24"/>
          <w:szCs w:val="24"/>
        </w:rPr>
        <w:t>Balatan</w:t>
      </w:r>
      <w:proofErr w:type="spellEnd"/>
    </w:p>
    <w:p w14:paraId="5369DF3B"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8"/>
        <w:gridCol w:w="705"/>
        <w:gridCol w:w="1474"/>
        <w:gridCol w:w="803"/>
      </w:tblGrid>
      <w:tr w:rsidR="00B7621A" w:rsidRPr="00CA7043" w14:paraId="58723BA9" w14:textId="77777777" w:rsidTr="00CA7043">
        <w:trPr>
          <w:trHeight w:val="213"/>
        </w:trPr>
        <w:tc>
          <w:tcPr>
            <w:tcW w:w="5658" w:type="dxa"/>
            <w:tcBorders>
              <w:top w:val="double" w:sz="4" w:space="0" w:color="auto"/>
              <w:left w:val="nil"/>
              <w:bottom w:val="single" w:sz="4" w:space="0" w:color="000000"/>
              <w:right w:val="nil"/>
            </w:tcBorders>
            <w:vAlign w:val="center"/>
            <w:hideMark/>
          </w:tcPr>
          <w:p w14:paraId="1FA5AA1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317AC4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4" w:type="dxa"/>
            <w:tcBorders>
              <w:top w:val="double" w:sz="4" w:space="0" w:color="auto"/>
              <w:left w:val="nil"/>
              <w:bottom w:val="single" w:sz="4" w:space="0" w:color="000000"/>
              <w:right w:val="nil"/>
            </w:tcBorders>
            <w:vAlign w:val="center"/>
            <w:hideMark/>
          </w:tcPr>
          <w:p w14:paraId="4DD884B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0667D56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1CE4A34" w14:textId="77777777" w:rsidTr="00CA7043">
        <w:trPr>
          <w:trHeight w:val="70"/>
        </w:trPr>
        <w:tc>
          <w:tcPr>
            <w:tcW w:w="5658" w:type="dxa"/>
            <w:tcBorders>
              <w:top w:val="single" w:sz="4" w:space="0" w:color="000000"/>
              <w:left w:val="nil"/>
              <w:bottom w:val="nil"/>
              <w:right w:val="nil"/>
            </w:tcBorders>
            <w:hideMark/>
          </w:tcPr>
          <w:p w14:paraId="3167B689"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 w:name="_Hlk214541179"/>
            <w:r w:rsidRPr="00CA7043">
              <w:rPr>
                <w:rFonts w:ascii="Times New Roman" w:hAnsi="Times New Roman" w:cs="Times New Roman"/>
                <w:sz w:val="24"/>
                <w:szCs w:val="24"/>
              </w:rPr>
              <w:t>Climate change effects intensifying hydrometeorological hazards</w:t>
            </w:r>
            <w:bookmarkEnd w:id="4"/>
          </w:p>
        </w:tc>
        <w:tc>
          <w:tcPr>
            <w:tcW w:w="705" w:type="dxa"/>
            <w:tcBorders>
              <w:top w:val="single" w:sz="4" w:space="0" w:color="000000"/>
              <w:left w:val="nil"/>
              <w:bottom w:val="nil"/>
              <w:right w:val="nil"/>
            </w:tcBorders>
            <w:vAlign w:val="center"/>
          </w:tcPr>
          <w:p w14:paraId="72D26E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3.44</w:t>
            </w:r>
          </w:p>
        </w:tc>
        <w:tc>
          <w:tcPr>
            <w:tcW w:w="1474" w:type="dxa"/>
            <w:tcBorders>
              <w:top w:val="single" w:sz="4" w:space="0" w:color="000000"/>
              <w:left w:val="nil"/>
              <w:bottom w:val="nil"/>
              <w:right w:val="nil"/>
            </w:tcBorders>
            <w:vAlign w:val="center"/>
          </w:tcPr>
          <w:p w14:paraId="0DD5B39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5A581FF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ADB9546" w14:textId="77777777" w:rsidTr="00CA7043">
        <w:trPr>
          <w:trHeight w:val="70"/>
        </w:trPr>
        <w:tc>
          <w:tcPr>
            <w:tcW w:w="5658" w:type="dxa"/>
            <w:tcBorders>
              <w:top w:val="nil"/>
              <w:left w:val="nil"/>
              <w:bottom w:val="nil"/>
              <w:right w:val="nil"/>
            </w:tcBorders>
            <w:hideMark/>
          </w:tcPr>
          <w:p w14:paraId="620164B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Environmental degradation increasing disaster vulnerability</w:t>
            </w:r>
          </w:p>
        </w:tc>
        <w:tc>
          <w:tcPr>
            <w:tcW w:w="705" w:type="dxa"/>
            <w:tcBorders>
              <w:top w:val="nil"/>
              <w:left w:val="nil"/>
              <w:bottom w:val="nil"/>
              <w:right w:val="nil"/>
            </w:tcBorders>
            <w:vAlign w:val="center"/>
          </w:tcPr>
          <w:p w14:paraId="6A81805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3.56</w:t>
            </w:r>
          </w:p>
        </w:tc>
        <w:tc>
          <w:tcPr>
            <w:tcW w:w="1474" w:type="dxa"/>
            <w:tcBorders>
              <w:top w:val="nil"/>
              <w:left w:val="nil"/>
              <w:bottom w:val="nil"/>
              <w:right w:val="nil"/>
            </w:tcBorders>
          </w:tcPr>
          <w:p w14:paraId="0524B1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BB431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97135BE" w14:textId="77777777" w:rsidTr="00CA7043">
        <w:trPr>
          <w:trHeight w:val="70"/>
        </w:trPr>
        <w:tc>
          <w:tcPr>
            <w:tcW w:w="5658" w:type="dxa"/>
            <w:tcBorders>
              <w:top w:val="nil"/>
              <w:left w:val="nil"/>
              <w:bottom w:val="nil"/>
              <w:right w:val="nil"/>
            </w:tcBorders>
          </w:tcPr>
          <w:p w14:paraId="54FA8ADA"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5" w:name="_Hlk214539819"/>
            <w:r w:rsidRPr="00CA7043">
              <w:rPr>
                <w:rFonts w:ascii="Times New Roman" w:hAnsi="Times New Roman" w:cs="Times New Roman"/>
                <w:sz w:val="24"/>
                <w:szCs w:val="24"/>
              </w:rPr>
              <w:t>Geographical isolation making areas difficult to access during emergencies</w:t>
            </w:r>
            <w:bookmarkEnd w:id="5"/>
          </w:p>
        </w:tc>
        <w:tc>
          <w:tcPr>
            <w:tcW w:w="705" w:type="dxa"/>
            <w:tcBorders>
              <w:top w:val="nil"/>
              <w:left w:val="nil"/>
              <w:bottom w:val="nil"/>
              <w:right w:val="nil"/>
            </w:tcBorders>
            <w:vAlign w:val="center"/>
          </w:tcPr>
          <w:p w14:paraId="2AADA0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61FC60C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2A1A992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74D8E202" w14:textId="77777777" w:rsidTr="00CA7043">
        <w:trPr>
          <w:trHeight w:val="70"/>
        </w:trPr>
        <w:tc>
          <w:tcPr>
            <w:tcW w:w="5658" w:type="dxa"/>
            <w:tcBorders>
              <w:top w:val="nil"/>
              <w:left w:val="nil"/>
              <w:bottom w:val="nil"/>
              <w:right w:val="nil"/>
            </w:tcBorders>
          </w:tcPr>
          <w:p w14:paraId="6727A10C"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6" w:name="_Hlk214539844"/>
            <w:r w:rsidRPr="00CA7043">
              <w:rPr>
                <w:rFonts w:ascii="Times New Roman" w:hAnsi="Times New Roman" w:cs="Times New Roman"/>
                <w:sz w:val="24"/>
                <w:szCs w:val="24"/>
              </w:rPr>
              <w:t>Inadequate early warning systems for weather disturbances</w:t>
            </w:r>
            <w:bookmarkEnd w:id="6"/>
          </w:p>
        </w:tc>
        <w:tc>
          <w:tcPr>
            <w:tcW w:w="705" w:type="dxa"/>
            <w:tcBorders>
              <w:top w:val="nil"/>
              <w:left w:val="nil"/>
              <w:bottom w:val="nil"/>
              <w:right w:val="nil"/>
            </w:tcBorders>
            <w:vAlign w:val="center"/>
          </w:tcPr>
          <w:p w14:paraId="765A403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7F5D9B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4515EAA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C135664" w14:textId="77777777" w:rsidTr="00CA7043">
        <w:trPr>
          <w:trHeight w:val="70"/>
        </w:trPr>
        <w:tc>
          <w:tcPr>
            <w:tcW w:w="5658" w:type="dxa"/>
            <w:tcBorders>
              <w:top w:val="nil"/>
              <w:left w:val="nil"/>
              <w:bottom w:val="nil"/>
              <w:right w:val="nil"/>
            </w:tcBorders>
            <w:vAlign w:val="center"/>
          </w:tcPr>
          <w:p w14:paraId="3F636DE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7" w:name="_Hlk214539867"/>
            <w:r w:rsidRPr="00CA7043">
              <w:rPr>
                <w:rFonts w:ascii="Times New Roman" w:hAnsi="Times New Roman" w:cs="Times New Roman"/>
                <w:sz w:val="24"/>
                <w:szCs w:val="24"/>
              </w:rPr>
              <w:t>Poor drainage systems causing severe flooding</w:t>
            </w:r>
            <w:bookmarkEnd w:id="7"/>
          </w:p>
        </w:tc>
        <w:tc>
          <w:tcPr>
            <w:tcW w:w="705" w:type="dxa"/>
            <w:tcBorders>
              <w:top w:val="nil"/>
              <w:left w:val="nil"/>
              <w:bottom w:val="nil"/>
              <w:right w:val="nil"/>
            </w:tcBorders>
            <w:vAlign w:val="center"/>
          </w:tcPr>
          <w:p w14:paraId="647BDE1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7F048B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C6B51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1CAB9995" w14:textId="77777777" w:rsidTr="00CA7043">
        <w:trPr>
          <w:trHeight w:val="70"/>
        </w:trPr>
        <w:tc>
          <w:tcPr>
            <w:tcW w:w="5658" w:type="dxa"/>
            <w:tcBorders>
              <w:top w:val="nil"/>
              <w:left w:val="nil"/>
              <w:bottom w:val="nil"/>
              <w:right w:val="nil"/>
            </w:tcBorders>
          </w:tcPr>
          <w:p w14:paraId="3CE6359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Unstable slopes and landslide-prone areas</w:t>
            </w:r>
          </w:p>
        </w:tc>
        <w:tc>
          <w:tcPr>
            <w:tcW w:w="705" w:type="dxa"/>
            <w:tcBorders>
              <w:top w:val="nil"/>
              <w:left w:val="nil"/>
              <w:bottom w:val="nil"/>
              <w:right w:val="nil"/>
            </w:tcBorders>
            <w:vAlign w:val="center"/>
          </w:tcPr>
          <w:p w14:paraId="66A28D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2.98</w:t>
            </w:r>
          </w:p>
        </w:tc>
        <w:tc>
          <w:tcPr>
            <w:tcW w:w="1474" w:type="dxa"/>
            <w:tcBorders>
              <w:top w:val="nil"/>
              <w:left w:val="nil"/>
              <w:bottom w:val="nil"/>
              <w:right w:val="nil"/>
            </w:tcBorders>
          </w:tcPr>
          <w:p w14:paraId="05227CB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7185CC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B7621A" w:rsidRPr="00CA7043" w14:paraId="28D3D781" w14:textId="77777777" w:rsidTr="00CA7043">
        <w:trPr>
          <w:trHeight w:val="70"/>
        </w:trPr>
        <w:tc>
          <w:tcPr>
            <w:tcW w:w="5658" w:type="dxa"/>
            <w:tcBorders>
              <w:top w:val="nil"/>
              <w:left w:val="nil"/>
              <w:bottom w:val="nil"/>
              <w:right w:val="nil"/>
            </w:tcBorders>
          </w:tcPr>
          <w:p w14:paraId="7E2F9C74"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8" w:name="_Hlk214541485"/>
            <w:r w:rsidRPr="00CA7043">
              <w:rPr>
                <w:rFonts w:ascii="Times New Roman" w:hAnsi="Times New Roman" w:cs="Times New Roman"/>
                <w:sz w:val="24"/>
                <w:szCs w:val="24"/>
              </w:rPr>
              <w:t>Limited natural resources affecting disaster response capacity</w:t>
            </w:r>
            <w:bookmarkEnd w:id="8"/>
          </w:p>
        </w:tc>
        <w:tc>
          <w:tcPr>
            <w:tcW w:w="705" w:type="dxa"/>
            <w:tcBorders>
              <w:top w:val="nil"/>
              <w:left w:val="nil"/>
              <w:bottom w:val="nil"/>
              <w:right w:val="nil"/>
            </w:tcBorders>
            <w:vAlign w:val="center"/>
          </w:tcPr>
          <w:p w14:paraId="0391F83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3.31</w:t>
            </w:r>
          </w:p>
        </w:tc>
        <w:tc>
          <w:tcPr>
            <w:tcW w:w="1474" w:type="dxa"/>
            <w:tcBorders>
              <w:top w:val="nil"/>
              <w:left w:val="nil"/>
              <w:bottom w:val="nil"/>
              <w:right w:val="nil"/>
            </w:tcBorders>
          </w:tcPr>
          <w:p w14:paraId="11ED1D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509CC23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7A8B3B7B" w14:textId="77777777" w:rsidTr="00CA7043">
        <w:trPr>
          <w:trHeight w:val="70"/>
        </w:trPr>
        <w:tc>
          <w:tcPr>
            <w:tcW w:w="5658" w:type="dxa"/>
            <w:tcBorders>
              <w:top w:val="nil"/>
              <w:left w:val="nil"/>
              <w:bottom w:val="nil"/>
              <w:right w:val="nil"/>
            </w:tcBorders>
          </w:tcPr>
          <w:p w14:paraId="61FF3EB0"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Coastal exposure to storm surges and sea level rise</w:t>
            </w:r>
          </w:p>
        </w:tc>
        <w:tc>
          <w:tcPr>
            <w:tcW w:w="705" w:type="dxa"/>
            <w:tcBorders>
              <w:top w:val="nil"/>
              <w:left w:val="nil"/>
              <w:bottom w:val="nil"/>
              <w:right w:val="nil"/>
            </w:tcBorders>
            <w:vAlign w:val="center"/>
          </w:tcPr>
          <w:p w14:paraId="1814C3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3.32</w:t>
            </w:r>
          </w:p>
        </w:tc>
        <w:tc>
          <w:tcPr>
            <w:tcW w:w="1474" w:type="dxa"/>
            <w:tcBorders>
              <w:top w:val="nil"/>
              <w:left w:val="nil"/>
              <w:bottom w:val="nil"/>
              <w:right w:val="nil"/>
            </w:tcBorders>
          </w:tcPr>
          <w:p w14:paraId="6F8C814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C483E4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5C613228" w14:textId="77777777" w:rsidTr="00CA7043">
        <w:trPr>
          <w:trHeight w:val="70"/>
        </w:trPr>
        <w:tc>
          <w:tcPr>
            <w:tcW w:w="5658" w:type="dxa"/>
            <w:tcBorders>
              <w:top w:val="nil"/>
              <w:left w:val="nil"/>
              <w:bottom w:val="nil"/>
              <w:right w:val="nil"/>
            </w:tcBorders>
          </w:tcPr>
          <w:p w14:paraId="4A75D558"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Unpredictable weather patterns affecting disaster preparedness</w:t>
            </w:r>
          </w:p>
        </w:tc>
        <w:tc>
          <w:tcPr>
            <w:tcW w:w="705" w:type="dxa"/>
            <w:tcBorders>
              <w:top w:val="nil"/>
              <w:left w:val="nil"/>
              <w:bottom w:val="nil"/>
              <w:right w:val="nil"/>
            </w:tcBorders>
            <w:vAlign w:val="center"/>
          </w:tcPr>
          <w:p w14:paraId="25866DF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4" w:type="dxa"/>
            <w:tcBorders>
              <w:top w:val="nil"/>
              <w:left w:val="nil"/>
              <w:bottom w:val="nil"/>
              <w:right w:val="nil"/>
            </w:tcBorders>
          </w:tcPr>
          <w:p w14:paraId="313513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5C379B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B7621A" w:rsidRPr="00CA7043" w14:paraId="23E74C1E" w14:textId="77777777" w:rsidTr="00CA7043">
        <w:trPr>
          <w:trHeight w:val="70"/>
        </w:trPr>
        <w:tc>
          <w:tcPr>
            <w:tcW w:w="5658" w:type="dxa"/>
            <w:tcBorders>
              <w:top w:val="nil"/>
              <w:left w:val="nil"/>
              <w:bottom w:val="nil"/>
              <w:right w:val="nil"/>
            </w:tcBorders>
          </w:tcPr>
          <w:p w14:paraId="17CE2032"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Ecosystem disruption affecting natural disaster mitigation</w:t>
            </w:r>
          </w:p>
        </w:tc>
        <w:tc>
          <w:tcPr>
            <w:tcW w:w="705" w:type="dxa"/>
            <w:tcBorders>
              <w:top w:val="nil"/>
              <w:left w:val="nil"/>
              <w:bottom w:val="nil"/>
              <w:right w:val="nil"/>
            </w:tcBorders>
            <w:vAlign w:val="center"/>
          </w:tcPr>
          <w:p w14:paraId="59B5D4B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4" w:type="dxa"/>
            <w:tcBorders>
              <w:top w:val="nil"/>
              <w:left w:val="nil"/>
              <w:bottom w:val="nil"/>
              <w:right w:val="nil"/>
            </w:tcBorders>
          </w:tcPr>
          <w:p w14:paraId="2FAE2C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7FF30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B7621A" w:rsidRPr="00CA7043" w14:paraId="55713451" w14:textId="77777777" w:rsidTr="00CA7043">
        <w:tc>
          <w:tcPr>
            <w:tcW w:w="5658" w:type="dxa"/>
            <w:tcBorders>
              <w:top w:val="single" w:sz="4" w:space="0" w:color="000000"/>
              <w:left w:val="nil"/>
              <w:bottom w:val="double" w:sz="4" w:space="0" w:color="auto"/>
              <w:right w:val="nil"/>
            </w:tcBorders>
            <w:vAlign w:val="center"/>
            <w:hideMark/>
          </w:tcPr>
          <w:p w14:paraId="7B5FEFB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2A7C3100"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3.39</w:t>
            </w:r>
          </w:p>
        </w:tc>
        <w:tc>
          <w:tcPr>
            <w:tcW w:w="1474" w:type="dxa"/>
            <w:tcBorders>
              <w:top w:val="single" w:sz="4" w:space="0" w:color="000000"/>
              <w:left w:val="nil"/>
              <w:bottom w:val="double" w:sz="4" w:space="0" w:color="auto"/>
              <w:right w:val="nil"/>
            </w:tcBorders>
          </w:tcPr>
          <w:p w14:paraId="797087A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D118D93"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2F0E143"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p>
    <w:p w14:paraId="1DFEBF61" w14:textId="77777777" w:rsidR="00CA7043" w:rsidRPr="00CA7043" w:rsidRDefault="00CA7043" w:rsidP="00FD142E">
      <w:pPr>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sz w:val="24"/>
          <w:szCs w:val="24"/>
        </w:rPr>
        <w:t>On the contrary, the three lowest-rated environmental factors present less evident, though, significant issues. Limited natural resources that impact the capacity to respond to disasters rank seventh (WM = 3.31, Affect). Unpredictable weather patterns on disaster preparedness and ecosystem disruption on natural disaster mitigation is ranked 8th (WM = 3.10, Affect). Finally, unstable slopes and landslide-prone areas is ranked 10th (WM = 2.98, Affect).</w:t>
      </w:r>
    </w:p>
    <w:p w14:paraId="51009F6A" w14:textId="77777777" w:rsidR="00A67C74" w:rsidRDefault="00A67C74" w:rsidP="00FD142E">
      <w:pPr>
        <w:tabs>
          <w:tab w:val="left" w:pos="1080"/>
        </w:tabs>
        <w:spacing w:after="0" w:line="240" w:lineRule="auto"/>
        <w:ind w:right="72" w:firstLine="710"/>
        <w:jc w:val="both"/>
        <w:rPr>
          <w:rFonts w:ascii="Times New Roman" w:hAnsi="Times New Roman" w:cs="Times New Roman"/>
          <w:sz w:val="24"/>
          <w:szCs w:val="24"/>
        </w:rPr>
      </w:pPr>
    </w:p>
    <w:p w14:paraId="1FF081AC" w14:textId="77777777" w:rsidR="00CA7043" w:rsidRPr="00CA7043" w:rsidRDefault="00CA7043" w:rsidP="00FD142E">
      <w:pPr>
        <w:tabs>
          <w:tab w:val="left" w:pos="1080"/>
        </w:tabs>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b/>
          <w:bCs/>
          <w:sz w:val="24"/>
          <w:szCs w:val="24"/>
        </w:rPr>
        <w:t>c.</w:t>
      </w:r>
      <w:r w:rsidRPr="00CA7043">
        <w:rPr>
          <w:rFonts w:ascii="Times New Roman" w:hAnsi="Times New Roman" w:cs="Times New Roman"/>
          <w:b/>
          <w:bCs/>
          <w:sz w:val="24"/>
          <w:szCs w:val="24"/>
        </w:rPr>
        <w:tab/>
        <w:t xml:space="preserve">Economic Factors. </w:t>
      </w:r>
      <w:r w:rsidRPr="00CA7043">
        <w:rPr>
          <w:rFonts w:ascii="Times New Roman" w:hAnsi="Times New Roman" w:cs="Times New Roman"/>
          <w:sz w:val="24"/>
          <w:szCs w:val="24"/>
        </w:rPr>
        <w:t xml:space="preserve">Table 19 presents the economic factors affecting the disaster response mechanism to hydrometeorological hazards of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indicates that respondents to the survey possess knowledge of significant economic factors influencing disaster response mechanisms. The average weighted mean (WM = 3.24) falls within the "Affect" category. The three top-rated economic aspects highlight the most significant financial constraints. The most significant one is the high cost of infrastructure that can endure disasters (WM = 3.64, Strongly Affect), followed by the necessity of outside financing of disaster response operations (WM = 3.56, Strongly Affect), and the shortage of funds to finance equipment and supplies (WM = 3.55, Strongly Affect). Three factors are tied (WM = 3.55, Strongly Affect): there is not enough money saved to do disaster risk reduction activities, disaster management funding is not issued in a timely manner, and equipment and supplies are limited.</w:t>
      </w:r>
    </w:p>
    <w:p w14:paraId="68AB66FE" w14:textId="77777777" w:rsidR="00A67C74" w:rsidRPr="00CA7043" w:rsidRDefault="00A67C74" w:rsidP="00FD142E">
      <w:pPr>
        <w:tabs>
          <w:tab w:val="left" w:pos="1080"/>
        </w:tabs>
        <w:spacing w:after="0" w:line="240" w:lineRule="auto"/>
        <w:ind w:right="72" w:firstLine="710"/>
        <w:jc w:val="both"/>
        <w:rPr>
          <w:rFonts w:ascii="Times New Roman" w:hAnsi="Times New Roman" w:cs="Times New Roman"/>
          <w:sz w:val="24"/>
          <w:szCs w:val="24"/>
        </w:rPr>
      </w:pPr>
    </w:p>
    <w:p w14:paraId="129B115E"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lastRenderedPageBreak/>
        <w:t xml:space="preserve">Table 19. Economic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61F5F69F" w14:textId="77777777" w:rsidR="00CA7043" w:rsidRPr="00CA7043" w:rsidRDefault="00CA7043"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7"/>
        <w:gridCol w:w="705"/>
        <w:gridCol w:w="1475"/>
        <w:gridCol w:w="803"/>
      </w:tblGrid>
      <w:tr w:rsidR="00CA7043" w:rsidRPr="00CA7043" w14:paraId="6FEEC721" w14:textId="77777777" w:rsidTr="00CA7043">
        <w:trPr>
          <w:trHeight w:val="213"/>
        </w:trPr>
        <w:tc>
          <w:tcPr>
            <w:tcW w:w="5657" w:type="dxa"/>
            <w:tcBorders>
              <w:top w:val="double" w:sz="4" w:space="0" w:color="auto"/>
              <w:left w:val="nil"/>
              <w:bottom w:val="single" w:sz="4" w:space="0" w:color="000000"/>
              <w:right w:val="nil"/>
            </w:tcBorders>
            <w:vAlign w:val="center"/>
            <w:hideMark/>
          </w:tcPr>
          <w:p w14:paraId="340329CC"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7867507F"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5" w:type="dxa"/>
            <w:tcBorders>
              <w:top w:val="double" w:sz="4" w:space="0" w:color="auto"/>
              <w:left w:val="nil"/>
              <w:bottom w:val="single" w:sz="4" w:space="0" w:color="000000"/>
              <w:right w:val="nil"/>
            </w:tcBorders>
            <w:vAlign w:val="center"/>
            <w:hideMark/>
          </w:tcPr>
          <w:p w14:paraId="2E880CB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345D0753"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CA7043" w:rsidRPr="00CA7043" w14:paraId="55EBA2AA" w14:textId="77777777" w:rsidTr="00CA7043">
        <w:trPr>
          <w:trHeight w:val="70"/>
        </w:trPr>
        <w:tc>
          <w:tcPr>
            <w:tcW w:w="5657" w:type="dxa"/>
            <w:tcBorders>
              <w:top w:val="single" w:sz="4" w:space="0" w:color="000000"/>
              <w:left w:val="nil"/>
              <w:bottom w:val="nil"/>
              <w:right w:val="nil"/>
            </w:tcBorders>
            <w:hideMark/>
          </w:tcPr>
          <w:p w14:paraId="365A1DDF"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Insufficient budget allocation for disaster risk reduction activities</w:t>
            </w:r>
            <w:r w:rsidRPr="00CA7043">
              <w:rPr>
                <w:rFonts w:ascii="Times New Roman" w:hAnsi="Times New Roman" w:cs="Times New Roman"/>
                <w:i/>
                <w:iCs/>
                <w:sz w:val="24"/>
                <w:szCs w:val="24"/>
              </w:rPr>
              <w:t xml:space="preserve"> </w:t>
            </w:r>
          </w:p>
        </w:tc>
        <w:tc>
          <w:tcPr>
            <w:tcW w:w="705" w:type="dxa"/>
            <w:tcBorders>
              <w:top w:val="single" w:sz="4" w:space="0" w:color="000000"/>
              <w:left w:val="nil"/>
              <w:bottom w:val="nil"/>
              <w:right w:val="nil"/>
            </w:tcBorders>
            <w:vAlign w:val="center"/>
          </w:tcPr>
          <w:p w14:paraId="3A38C89B"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single" w:sz="4" w:space="0" w:color="000000"/>
              <w:left w:val="nil"/>
              <w:bottom w:val="nil"/>
              <w:right w:val="nil"/>
            </w:tcBorders>
          </w:tcPr>
          <w:p w14:paraId="2F74BEE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single" w:sz="4" w:space="0" w:color="000000"/>
              <w:left w:val="nil"/>
              <w:bottom w:val="nil"/>
              <w:right w:val="nil"/>
            </w:tcBorders>
            <w:vAlign w:val="center"/>
          </w:tcPr>
          <w:p w14:paraId="2CCD2AB1"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46DA348C" w14:textId="77777777" w:rsidTr="00CA7043">
        <w:trPr>
          <w:trHeight w:val="70"/>
        </w:trPr>
        <w:tc>
          <w:tcPr>
            <w:tcW w:w="5657" w:type="dxa"/>
            <w:tcBorders>
              <w:top w:val="nil"/>
              <w:left w:val="nil"/>
              <w:bottom w:val="nil"/>
              <w:right w:val="nil"/>
            </w:tcBorders>
            <w:vAlign w:val="center"/>
            <w:hideMark/>
          </w:tcPr>
          <w:p w14:paraId="4BCC2FD8"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Delayed release of disaster management funds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7354545F"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nil"/>
              <w:left w:val="nil"/>
              <w:bottom w:val="nil"/>
              <w:right w:val="nil"/>
            </w:tcBorders>
          </w:tcPr>
          <w:p w14:paraId="0535B7B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78D60DB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614ED589" w14:textId="77777777" w:rsidTr="00CA7043">
        <w:trPr>
          <w:trHeight w:val="70"/>
        </w:trPr>
        <w:tc>
          <w:tcPr>
            <w:tcW w:w="5657" w:type="dxa"/>
            <w:tcBorders>
              <w:top w:val="nil"/>
              <w:left w:val="nil"/>
              <w:bottom w:val="nil"/>
              <w:right w:val="nil"/>
            </w:tcBorders>
          </w:tcPr>
          <w:p w14:paraId="3C1EC8E2"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Limited financial resources for equipment and supplies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040D60C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nil"/>
              <w:left w:val="nil"/>
              <w:bottom w:val="nil"/>
              <w:right w:val="nil"/>
            </w:tcBorders>
          </w:tcPr>
          <w:p w14:paraId="104610C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AFF5AE4"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5FD20A01" w14:textId="77777777" w:rsidTr="00CA7043">
        <w:trPr>
          <w:trHeight w:val="70"/>
        </w:trPr>
        <w:tc>
          <w:tcPr>
            <w:tcW w:w="5657" w:type="dxa"/>
            <w:tcBorders>
              <w:top w:val="nil"/>
              <w:left w:val="nil"/>
              <w:bottom w:val="nil"/>
              <w:right w:val="nil"/>
            </w:tcBorders>
          </w:tcPr>
          <w:p w14:paraId="2862DA96"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High cost of disaster-resilient infrastructure development</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736882F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3.64</w:t>
            </w:r>
          </w:p>
        </w:tc>
        <w:tc>
          <w:tcPr>
            <w:tcW w:w="1475" w:type="dxa"/>
            <w:tcBorders>
              <w:top w:val="nil"/>
              <w:left w:val="nil"/>
              <w:bottom w:val="nil"/>
              <w:right w:val="nil"/>
            </w:tcBorders>
          </w:tcPr>
          <w:p w14:paraId="0B74E26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1E1D299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CA7043" w:rsidRPr="00CA7043" w14:paraId="656C5322" w14:textId="77777777" w:rsidTr="00CA7043">
        <w:trPr>
          <w:trHeight w:val="70"/>
        </w:trPr>
        <w:tc>
          <w:tcPr>
            <w:tcW w:w="5657" w:type="dxa"/>
            <w:tcBorders>
              <w:top w:val="nil"/>
              <w:left w:val="nil"/>
              <w:bottom w:val="nil"/>
              <w:right w:val="nil"/>
            </w:tcBorders>
          </w:tcPr>
          <w:p w14:paraId="17D6BB62"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Dependence on external funding for disaster response operations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23DF4B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3.56</w:t>
            </w:r>
          </w:p>
        </w:tc>
        <w:tc>
          <w:tcPr>
            <w:tcW w:w="1475" w:type="dxa"/>
            <w:tcBorders>
              <w:top w:val="nil"/>
              <w:left w:val="nil"/>
              <w:bottom w:val="nil"/>
              <w:right w:val="nil"/>
            </w:tcBorders>
          </w:tcPr>
          <w:p w14:paraId="485146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711C4AB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CA7043" w:rsidRPr="00CA7043" w14:paraId="0C939F2D" w14:textId="77777777" w:rsidTr="00CA7043">
        <w:trPr>
          <w:trHeight w:val="70"/>
        </w:trPr>
        <w:tc>
          <w:tcPr>
            <w:tcW w:w="5657" w:type="dxa"/>
            <w:tcBorders>
              <w:top w:val="nil"/>
              <w:left w:val="nil"/>
              <w:bottom w:val="nil"/>
              <w:right w:val="nil"/>
            </w:tcBorders>
          </w:tcPr>
          <w:p w14:paraId="07BE1FCA"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Poverty levels affecting community resilience to disasters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23D6331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2.90</w:t>
            </w:r>
          </w:p>
        </w:tc>
        <w:tc>
          <w:tcPr>
            <w:tcW w:w="1475" w:type="dxa"/>
            <w:tcBorders>
              <w:top w:val="nil"/>
              <w:left w:val="nil"/>
              <w:bottom w:val="nil"/>
              <w:right w:val="nil"/>
            </w:tcBorders>
          </w:tcPr>
          <w:p w14:paraId="6B72E7B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230936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CA7043" w:rsidRPr="00CA7043" w14:paraId="0B4F0371" w14:textId="77777777" w:rsidTr="00CA7043">
        <w:trPr>
          <w:trHeight w:val="70"/>
        </w:trPr>
        <w:tc>
          <w:tcPr>
            <w:tcW w:w="5657" w:type="dxa"/>
            <w:tcBorders>
              <w:top w:val="nil"/>
              <w:left w:val="nil"/>
              <w:bottom w:val="nil"/>
              <w:right w:val="nil"/>
            </w:tcBorders>
          </w:tcPr>
          <w:p w14:paraId="164E4323"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Lack of disaster insurance and risk financing mechanisms </w:t>
            </w:r>
          </w:p>
        </w:tc>
        <w:tc>
          <w:tcPr>
            <w:tcW w:w="705" w:type="dxa"/>
            <w:tcBorders>
              <w:top w:val="nil"/>
              <w:left w:val="nil"/>
              <w:bottom w:val="nil"/>
              <w:right w:val="nil"/>
            </w:tcBorders>
            <w:vAlign w:val="center"/>
          </w:tcPr>
          <w:p w14:paraId="53725B9F"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2.82</w:t>
            </w:r>
          </w:p>
        </w:tc>
        <w:tc>
          <w:tcPr>
            <w:tcW w:w="1475" w:type="dxa"/>
            <w:tcBorders>
              <w:top w:val="nil"/>
              <w:left w:val="nil"/>
              <w:bottom w:val="nil"/>
              <w:right w:val="nil"/>
            </w:tcBorders>
          </w:tcPr>
          <w:p w14:paraId="6531CEA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2D1F27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CA7043" w:rsidRPr="00CA7043" w14:paraId="20F9F682" w14:textId="77777777" w:rsidTr="00CA7043">
        <w:trPr>
          <w:trHeight w:val="70"/>
        </w:trPr>
        <w:tc>
          <w:tcPr>
            <w:tcW w:w="5657" w:type="dxa"/>
            <w:tcBorders>
              <w:top w:val="nil"/>
              <w:left w:val="nil"/>
              <w:bottom w:val="nil"/>
              <w:right w:val="nil"/>
            </w:tcBorders>
          </w:tcPr>
          <w:p w14:paraId="7143BB79"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Economic recovery challenges after disasters </w:t>
            </w:r>
          </w:p>
        </w:tc>
        <w:tc>
          <w:tcPr>
            <w:tcW w:w="705" w:type="dxa"/>
            <w:tcBorders>
              <w:top w:val="nil"/>
              <w:left w:val="nil"/>
              <w:bottom w:val="nil"/>
              <w:right w:val="nil"/>
            </w:tcBorders>
            <w:vAlign w:val="center"/>
          </w:tcPr>
          <w:p w14:paraId="4E7BFE5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2.98</w:t>
            </w:r>
          </w:p>
        </w:tc>
        <w:tc>
          <w:tcPr>
            <w:tcW w:w="1475" w:type="dxa"/>
            <w:tcBorders>
              <w:top w:val="nil"/>
              <w:left w:val="nil"/>
              <w:bottom w:val="nil"/>
              <w:right w:val="nil"/>
            </w:tcBorders>
          </w:tcPr>
          <w:p w14:paraId="05D9A40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976788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CA7043" w:rsidRPr="00CA7043" w14:paraId="03B7D7F5" w14:textId="77777777" w:rsidTr="00CA7043">
        <w:trPr>
          <w:trHeight w:val="70"/>
        </w:trPr>
        <w:tc>
          <w:tcPr>
            <w:tcW w:w="5657" w:type="dxa"/>
            <w:tcBorders>
              <w:top w:val="nil"/>
              <w:left w:val="nil"/>
              <w:bottom w:val="nil"/>
              <w:right w:val="nil"/>
            </w:tcBorders>
          </w:tcPr>
          <w:p w14:paraId="3072A68E"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Limited livelihood opportunities affecting disaster preparedness </w:t>
            </w:r>
          </w:p>
        </w:tc>
        <w:tc>
          <w:tcPr>
            <w:tcW w:w="705" w:type="dxa"/>
            <w:tcBorders>
              <w:top w:val="nil"/>
              <w:left w:val="nil"/>
              <w:bottom w:val="nil"/>
              <w:right w:val="nil"/>
            </w:tcBorders>
            <w:vAlign w:val="center"/>
          </w:tcPr>
          <w:p w14:paraId="396C5A7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2.90</w:t>
            </w:r>
          </w:p>
        </w:tc>
        <w:tc>
          <w:tcPr>
            <w:tcW w:w="1475" w:type="dxa"/>
            <w:tcBorders>
              <w:top w:val="nil"/>
              <w:left w:val="nil"/>
              <w:bottom w:val="nil"/>
              <w:right w:val="nil"/>
            </w:tcBorders>
          </w:tcPr>
          <w:p w14:paraId="0CD69E7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208AB11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CA7043" w:rsidRPr="00CA7043" w14:paraId="538A7896" w14:textId="77777777" w:rsidTr="00CA7043">
        <w:trPr>
          <w:trHeight w:val="70"/>
        </w:trPr>
        <w:tc>
          <w:tcPr>
            <w:tcW w:w="5657" w:type="dxa"/>
            <w:tcBorders>
              <w:top w:val="nil"/>
              <w:left w:val="nil"/>
              <w:bottom w:val="nil"/>
              <w:right w:val="nil"/>
            </w:tcBorders>
          </w:tcPr>
          <w:p w14:paraId="3EE4925E"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Budget constraints limiting training and capacity building programs </w:t>
            </w:r>
          </w:p>
        </w:tc>
        <w:tc>
          <w:tcPr>
            <w:tcW w:w="705" w:type="dxa"/>
            <w:tcBorders>
              <w:top w:val="nil"/>
              <w:left w:val="nil"/>
              <w:bottom w:val="nil"/>
              <w:right w:val="nil"/>
            </w:tcBorders>
            <w:vAlign w:val="center"/>
          </w:tcPr>
          <w:p w14:paraId="61CFFB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2.99</w:t>
            </w:r>
          </w:p>
        </w:tc>
        <w:tc>
          <w:tcPr>
            <w:tcW w:w="1475" w:type="dxa"/>
            <w:tcBorders>
              <w:top w:val="nil"/>
              <w:left w:val="nil"/>
              <w:bottom w:val="nil"/>
              <w:right w:val="nil"/>
            </w:tcBorders>
          </w:tcPr>
          <w:p w14:paraId="02E14EA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892D1E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CA7043" w:rsidRPr="00CA7043" w14:paraId="5C7FAA15" w14:textId="77777777" w:rsidTr="00CA7043">
        <w:tc>
          <w:tcPr>
            <w:tcW w:w="5657" w:type="dxa"/>
            <w:tcBorders>
              <w:top w:val="single" w:sz="4" w:space="0" w:color="000000"/>
              <w:left w:val="nil"/>
              <w:bottom w:val="double" w:sz="4" w:space="0" w:color="auto"/>
              <w:right w:val="nil"/>
            </w:tcBorders>
            <w:vAlign w:val="center"/>
            <w:hideMark/>
          </w:tcPr>
          <w:p w14:paraId="0240E6C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0EE29420"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3.24</w:t>
            </w:r>
          </w:p>
        </w:tc>
        <w:tc>
          <w:tcPr>
            <w:tcW w:w="1475" w:type="dxa"/>
            <w:tcBorders>
              <w:top w:val="single" w:sz="4" w:space="0" w:color="000000"/>
              <w:left w:val="nil"/>
              <w:bottom w:val="double" w:sz="4" w:space="0" w:color="auto"/>
              <w:right w:val="nil"/>
            </w:tcBorders>
          </w:tcPr>
          <w:p w14:paraId="255940B5"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C142942" w14:textId="77777777" w:rsidR="00CA7043" w:rsidRPr="00CA7043" w:rsidRDefault="00CA7043" w:rsidP="00FD142E">
            <w:pPr>
              <w:spacing w:after="0" w:line="240" w:lineRule="auto"/>
              <w:jc w:val="both"/>
              <w:rPr>
                <w:rFonts w:ascii="Times New Roman" w:hAnsi="Times New Roman" w:cs="Times New Roman"/>
                <w:sz w:val="24"/>
                <w:szCs w:val="24"/>
              </w:rPr>
            </w:pPr>
          </w:p>
        </w:tc>
      </w:tr>
    </w:tbl>
    <w:p w14:paraId="28ACD10E" w14:textId="77777777" w:rsidR="00CA7043" w:rsidRPr="00CA7043" w:rsidRDefault="00CA7043" w:rsidP="00FD142E">
      <w:pPr>
        <w:spacing w:after="0" w:line="240" w:lineRule="auto"/>
        <w:ind w:right="72"/>
        <w:jc w:val="both"/>
        <w:rPr>
          <w:rFonts w:ascii="Times New Roman" w:hAnsi="Times New Roman" w:cs="Times New Roman"/>
          <w:sz w:val="24"/>
          <w:szCs w:val="24"/>
        </w:rPr>
      </w:pPr>
    </w:p>
    <w:p w14:paraId="08DCCF5F" w14:textId="77777777" w:rsidR="00CA7043" w:rsidRPr="00CA7043" w:rsidRDefault="00CA7043" w:rsidP="00FD142E">
      <w:pPr>
        <w:spacing w:after="0" w:line="240" w:lineRule="auto"/>
        <w:ind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 xml:space="preserve">d. Personal Factors. </w:t>
      </w:r>
      <w:r w:rsidRPr="00CA7043">
        <w:rPr>
          <w:rFonts w:ascii="Times New Roman" w:hAnsi="Times New Roman" w:cs="Times New Roman"/>
          <w:sz w:val="24"/>
          <w:szCs w:val="24"/>
        </w:rPr>
        <w:t xml:space="preserve">Table 20 illustrates the personal factors that influence the disaster response mechanism to hydrometeorological hazards among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evidence shows that the respondents are aware of the presence of significant personal and professional limitations affecting disaster response systems, and an average weighted mean (WM = 3.24) scores fall under the category of “Affect”. The three highest-ranked individual factors depict the greatest individual-level barriers. The least weighted mean (WM = 3.34, Rank 1.5) is the insufficient training and expertise in disaster management and lack of motivation and job satisfaction among the responders, the family commitments to preventing emergency response take third place (WM = 3.30, Rank 3), and the work-related stress and burnout among the disaster responders, and the personal safety consideration during operations and</w:t>
      </w:r>
    </w:p>
    <w:p w14:paraId="1A0C155A" w14:textId="77777777" w:rsidR="00CA7043" w:rsidRPr="00CA7043" w:rsidRDefault="00CA7043"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physical/mental well-being issues (WM = 3.25, Rank 5).</w:t>
      </w:r>
    </w:p>
    <w:p w14:paraId="5C9BED1E" w14:textId="77777777" w:rsidR="00CA7043" w:rsidRPr="00CA7043" w:rsidRDefault="00CA7043" w:rsidP="00FD142E">
      <w:pPr>
        <w:spacing w:after="0" w:line="240" w:lineRule="auto"/>
        <w:jc w:val="both"/>
        <w:rPr>
          <w:rFonts w:ascii="Times New Roman" w:hAnsi="Times New Roman" w:cs="Times New Roman"/>
          <w:b/>
          <w:sz w:val="24"/>
          <w:szCs w:val="24"/>
        </w:rPr>
      </w:pPr>
    </w:p>
    <w:p w14:paraId="64E4866A" w14:textId="77777777" w:rsidR="00CA7043" w:rsidRPr="00CA7043" w:rsidRDefault="00CA7043" w:rsidP="00FD142E">
      <w:pPr>
        <w:spacing w:after="0" w:line="240" w:lineRule="auto"/>
        <w:jc w:val="both"/>
        <w:rPr>
          <w:rFonts w:ascii="Times New Roman" w:hAnsi="Times New Roman" w:cs="Times New Roman"/>
          <w:b/>
          <w:sz w:val="24"/>
          <w:szCs w:val="24"/>
        </w:rPr>
      </w:pPr>
    </w:p>
    <w:p w14:paraId="2E058DA4"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20. Personal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26178D18" w14:textId="77777777" w:rsidR="00CA7043" w:rsidRPr="00CA7043" w:rsidRDefault="00CA7043"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77"/>
        <w:gridCol w:w="684"/>
        <w:gridCol w:w="1476"/>
        <w:gridCol w:w="803"/>
      </w:tblGrid>
      <w:tr w:rsidR="00CA7043" w:rsidRPr="00CA7043" w14:paraId="1E73AD94" w14:textId="77777777" w:rsidTr="00CA7043">
        <w:trPr>
          <w:trHeight w:val="213"/>
        </w:trPr>
        <w:tc>
          <w:tcPr>
            <w:tcW w:w="5677" w:type="dxa"/>
            <w:tcBorders>
              <w:top w:val="double" w:sz="4" w:space="0" w:color="auto"/>
              <w:left w:val="nil"/>
              <w:bottom w:val="single" w:sz="4" w:space="0" w:color="000000"/>
              <w:right w:val="nil"/>
            </w:tcBorders>
            <w:vAlign w:val="center"/>
            <w:hideMark/>
          </w:tcPr>
          <w:p w14:paraId="708C9441"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5C2066D7"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6" w:type="dxa"/>
            <w:tcBorders>
              <w:top w:val="double" w:sz="4" w:space="0" w:color="auto"/>
              <w:left w:val="nil"/>
              <w:bottom w:val="single" w:sz="4" w:space="0" w:color="000000"/>
              <w:right w:val="nil"/>
            </w:tcBorders>
            <w:vAlign w:val="center"/>
            <w:hideMark/>
          </w:tcPr>
          <w:p w14:paraId="62162F3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081EBE35"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CA7043" w:rsidRPr="00CA7043" w14:paraId="451A4692" w14:textId="77777777" w:rsidTr="00CA7043">
        <w:trPr>
          <w:trHeight w:val="70"/>
        </w:trPr>
        <w:tc>
          <w:tcPr>
            <w:tcW w:w="5677" w:type="dxa"/>
            <w:tcBorders>
              <w:top w:val="single" w:sz="4" w:space="0" w:color="000000"/>
              <w:left w:val="nil"/>
              <w:bottom w:val="nil"/>
              <w:right w:val="nil"/>
            </w:tcBorders>
            <w:hideMark/>
          </w:tcPr>
          <w:p w14:paraId="56D6D4B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Work-related stress and burnout among disaster responders</w:t>
            </w:r>
            <w:r w:rsidRPr="00CA7043">
              <w:rPr>
                <w:rFonts w:ascii="Times New Roman" w:hAnsi="Times New Roman" w:cs="Times New Roman"/>
                <w:i/>
                <w:iCs/>
                <w:sz w:val="24"/>
                <w:szCs w:val="24"/>
              </w:rPr>
              <w:t xml:space="preserve"> </w:t>
            </w:r>
          </w:p>
        </w:tc>
        <w:tc>
          <w:tcPr>
            <w:tcW w:w="684" w:type="dxa"/>
            <w:tcBorders>
              <w:top w:val="single" w:sz="4" w:space="0" w:color="000000"/>
              <w:left w:val="nil"/>
              <w:bottom w:val="nil"/>
              <w:right w:val="nil"/>
            </w:tcBorders>
            <w:vAlign w:val="center"/>
          </w:tcPr>
          <w:p w14:paraId="0AAA608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single" w:sz="4" w:space="0" w:color="000000"/>
              <w:left w:val="nil"/>
              <w:bottom w:val="nil"/>
              <w:right w:val="nil"/>
            </w:tcBorders>
          </w:tcPr>
          <w:p w14:paraId="454690F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3F33E66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02CDE8A5" w14:textId="77777777" w:rsidTr="00CA7043">
        <w:trPr>
          <w:trHeight w:val="70"/>
        </w:trPr>
        <w:tc>
          <w:tcPr>
            <w:tcW w:w="5677" w:type="dxa"/>
            <w:tcBorders>
              <w:top w:val="nil"/>
              <w:left w:val="nil"/>
              <w:bottom w:val="nil"/>
              <w:right w:val="nil"/>
            </w:tcBorders>
            <w:hideMark/>
          </w:tcPr>
          <w:p w14:paraId="1C122A6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lastRenderedPageBreak/>
              <w:t>Insufficient training and expertise in disaster management</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7FF08ED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4AA4085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1E11421"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r>
      <w:tr w:rsidR="00CA7043" w:rsidRPr="00CA7043" w14:paraId="355E98A3" w14:textId="77777777" w:rsidTr="00CA7043">
        <w:trPr>
          <w:trHeight w:val="70"/>
        </w:trPr>
        <w:tc>
          <w:tcPr>
            <w:tcW w:w="5677" w:type="dxa"/>
            <w:tcBorders>
              <w:top w:val="nil"/>
              <w:left w:val="nil"/>
              <w:bottom w:val="nil"/>
              <w:right w:val="nil"/>
            </w:tcBorders>
          </w:tcPr>
          <w:p w14:paraId="3062AD53"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Personal safety concerns during disaster response operations</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54A0298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nil"/>
              <w:left w:val="nil"/>
              <w:bottom w:val="nil"/>
              <w:right w:val="nil"/>
            </w:tcBorders>
          </w:tcPr>
          <w:p w14:paraId="1F6567B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048011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7BF38DF8" w14:textId="77777777" w:rsidTr="00CA7043">
        <w:trPr>
          <w:trHeight w:val="70"/>
        </w:trPr>
        <w:tc>
          <w:tcPr>
            <w:tcW w:w="5677" w:type="dxa"/>
            <w:tcBorders>
              <w:top w:val="nil"/>
              <w:left w:val="nil"/>
              <w:bottom w:val="nil"/>
              <w:right w:val="nil"/>
            </w:tcBorders>
          </w:tcPr>
          <w:p w14:paraId="0912716C"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Lack of motivation and job satisfaction among responders</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2395E54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488A5CC4"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F15A1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r>
      <w:tr w:rsidR="00CA7043" w:rsidRPr="00CA7043" w14:paraId="015A7790" w14:textId="77777777" w:rsidTr="00CA7043">
        <w:trPr>
          <w:trHeight w:val="70"/>
        </w:trPr>
        <w:tc>
          <w:tcPr>
            <w:tcW w:w="5677" w:type="dxa"/>
            <w:tcBorders>
              <w:top w:val="nil"/>
              <w:left w:val="nil"/>
              <w:bottom w:val="nil"/>
              <w:right w:val="nil"/>
            </w:tcBorders>
          </w:tcPr>
          <w:p w14:paraId="499A4C1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Physical and mental health challenges of disaster personnel</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F65147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nil"/>
              <w:left w:val="nil"/>
              <w:bottom w:val="nil"/>
              <w:right w:val="nil"/>
            </w:tcBorders>
          </w:tcPr>
          <w:p w14:paraId="23CE455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B45D71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3740C8DE" w14:textId="77777777" w:rsidTr="00CA7043">
        <w:trPr>
          <w:trHeight w:val="70"/>
        </w:trPr>
        <w:tc>
          <w:tcPr>
            <w:tcW w:w="5677" w:type="dxa"/>
            <w:tcBorders>
              <w:top w:val="nil"/>
              <w:left w:val="nil"/>
              <w:bottom w:val="nil"/>
              <w:right w:val="nil"/>
            </w:tcBorders>
          </w:tcPr>
          <w:p w14:paraId="06A984BD"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bookmarkStart w:id="9" w:name="_Hlk214558626"/>
            <w:r w:rsidRPr="00CA7043">
              <w:rPr>
                <w:rFonts w:ascii="Times New Roman" w:hAnsi="Times New Roman" w:cs="Times New Roman"/>
                <w:sz w:val="24"/>
                <w:szCs w:val="24"/>
              </w:rPr>
              <w:t>Family obligations affecting availability for emergency response</w:t>
            </w:r>
            <w:r w:rsidRPr="00CA7043">
              <w:rPr>
                <w:rFonts w:ascii="Times New Roman" w:hAnsi="Times New Roman" w:cs="Times New Roman"/>
                <w:i/>
                <w:iCs/>
                <w:sz w:val="24"/>
                <w:szCs w:val="24"/>
              </w:rPr>
              <w:t xml:space="preserve"> </w:t>
            </w:r>
            <w:bookmarkEnd w:id="9"/>
          </w:p>
        </w:tc>
        <w:tc>
          <w:tcPr>
            <w:tcW w:w="684" w:type="dxa"/>
            <w:tcBorders>
              <w:top w:val="nil"/>
              <w:left w:val="nil"/>
              <w:bottom w:val="nil"/>
              <w:right w:val="nil"/>
            </w:tcBorders>
            <w:vAlign w:val="center"/>
          </w:tcPr>
          <w:p w14:paraId="30560DB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3.30</w:t>
            </w:r>
          </w:p>
        </w:tc>
        <w:tc>
          <w:tcPr>
            <w:tcW w:w="1476" w:type="dxa"/>
            <w:tcBorders>
              <w:top w:val="nil"/>
              <w:left w:val="nil"/>
              <w:bottom w:val="nil"/>
              <w:right w:val="nil"/>
            </w:tcBorders>
          </w:tcPr>
          <w:p w14:paraId="70582C2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1A1CC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CA7043" w:rsidRPr="00CA7043" w14:paraId="13FC4702" w14:textId="77777777" w:rsidTr="00CA7043">
        <w:trPr>
          <w:trHeight w:val="70"/>
        </w:trPr>
        <w:tc>
          <w:tcPr>
            <w:tcW w:w="5677" w:type="dxa"/>
            <w:tcBorders>
              <w:top w:val="nil"/>
              <w:left w:val="nil"/>
              <w:bottom w:val="nil"/>
              <w:right w:val="nil"/>
            </w:tcBorders>
          </w:tcPr>
          <w:p w14:paraId="4B66BBC6"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Limited career advancement opportunities in disaster management</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F3E790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5AB653D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FBC405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9.5</w:t>
            </w:r>
          </w:p>
        </w:tc>
      </w:tr>
      <w:tr w:rsidR="00CA7043" w:rsidRPr="00CA7043" w14:paraId="470496CC" w14:textId="77777777" w:rsidTr="00CA7043">
        <w:trPr>
          <w:trHeight w:val="70"/>
        </w:trPr>
        <w:tc>
          <w:tcPr>
            <w:tcW w:w="5677" w:type="dxa"/>
            <w:tcBorders>
              <w:top w:val="nil"/>
              <w:left w:val="nil"/>
              <w:bottom w:val="nil"/>
              <w:right w:val="nil"/>
            </w:tcBorders>
          </w:tcPr>
          <w:p w14:paraId="503CDA90" w14:textId="77777777" w:rsidR="00CA7043" w:rsidRPr="00CA7043" w:rsidRDefault="00CA7043" w:rsidP="00FD142E">
            <w:pPr>
              <w:pStyle w:val="NoSpacing"/>
              <w:numPr>
                <w:ilvl w:val="0"/>
                <w:numId w:val="38"/>
              </w:numPr>
              <w:ind w:left="342"/>
              <w:jc w:val="both"/>
              <w:rPr>
                <w:rFonts w:ascii="Times New Roman" w:hAnsi="Times New Roman" w:cs="Times New Roman"/>
                <w:sz w:val="24"/>
                <w:szCs w:val="24"/>
              </w:rPr>
            </w:pPr>
            <w:r w:rsidRPr="00CA7043">
              <w:rPr>
                <w:rFonts w:ascii="Times New Roman" w:hAnsi="Times New Roman" w:cs="Times New Roman"/>
                <w:sz w:val="24"/>
                <w:szCs w:val="24"/>
              </w:rPr>
              <w:t>Psychological impact of exposure to disasters and trauma</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4999A10D"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25C4484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6160D2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9.5</w:t>
            </w:r>
          </w:p>
        </w:tc>
      </w:tr>
      <w:tr w:rsidR="00CA7043" w:rsidRPr="00CA7043" w14:paraId="61B60A65" w14:textId="77777777" w:rsidTr="00CA7043">
        <w:trPr>
          <w:trHeight w:val="70"/>
        </w:trPr>
        <w:tc>
          <w:tcPr>
            <w:tcW w:w="5677" w:type="dxa"/>
            <w:tcBorders>
              <w:top w:val="nil"/>
              <w:left w:val="nil"/>
              <w:bottom w:val="nil"/>
              <w:right w:val="nil"/>
            </w:tcBorders>
          </w:tcPr>
          <w:p w14:paraId="1619D7F8"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bookmarkStart w:id="10" w:name="_Hlk214559185"/>
            <w:r w:rsidRPr="00CA7043">
              <w:rPr>
                <w:rFonts w:ascii="Times New Roman" w:hAnsi="Times New Roman" w:cs="Times New Roman"/>
                <w:sz w:val="24"/>
                <w:szCs w:val="24"/>
              </w:rPr>
              <w:t>Age-related limitations affecting disaster response capabilities</w:t>
            </w:r>
            <w:r w:rsidRPr="00CA7043">
              <w:rPr>
                <w:rFonts w:ascii="Times New Roman" w:hAnsi="Times New Roman" w:cs="Times New Roman"/>
                <w:i/>
                <w:iCs/>
                <w:sz w:val="24"/>
                <w:szCs w:val="24"/>
              </w:rPr>
              <w:t xml:space="preserve"> </w:t>
            </w:r>
            <w:bookmarkEnd w:id="10"/>
          </w:p>
        </w:tc>
        <w:tc>
          <w:tcPr>
            <w:tcW w:w="684" w:type="dxa"/>
            <w:tcBorders>
              <w:top w:val="nil"/>
              <w:left w:val="nil"/>
              <w:bottom w:val="nil"/>
              <w:right w:val="nil"/>
            </w:tcBorders>
            <w:vAlign w:val="center"/>
          </w:tcPr>
          <w:p w14:paraId="787EFFF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3.22</w:t>
            </w:r>
          </w:p>
        </w:tc>
        <w:tc>
          <w:tcPr>
            <w:tcW w:w="1476" w:type="dxa"/>
            <w:tcBorders>
              <w:top w:val="nil"/>
              <w:left w:val="nil"/>
              <w:bottom w:val="nil"/>
              <w:right w:val="nil"/>
            </w:tcBorders>
          </w:tcPr>
          <w:p w14:paraId="3B2F5DE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233274C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7.5</w:t>
            </w:r>
          </w:p>
        </w:tc>
      </w:tr>
      <w:tr w:rsidR="00CA7043" w:rsidRPr="00CA7043" w14:paraId="5763E662" w14:textId="77777777" w:rsidTr="00CA7043">
        <w:trPr>
          <w:trHeight w:val="70"/>
        </w:trPr>
        <w:tc>
          <w:tcPr>
            <w:tcW w:w="5677" w:type="dxa"/>
            <w:tcBorders>
              <w:top w:val="nil"/>
              <w:left w:val="nil"/>
              <w:bottom w:val="nil"/>
              <w:right w:val="nil"/>
            </w:tcBorders>
          </w:tcPr>
          <w:p w14:paraId="1FB9AF51" w14:textId="77777777" w:rsidR="00CA7043" w:rsidRPr="00CA7043" w:rsidRDefault="00CA7043" w:rsidP="00FD142E">
            <w:pPr>
              <w:pStyle w:val="NoSpacing"/>
              <w:numPr>
                <w:ilvl w:val="0"/>
                <w:numId w:val="38"/>
              </w:numPr>
              <w:ind w:left="342"/>
              <w:jc w:val="both"/>
              <w:rPr>
                <w:rFonts w:ascii="Times New Roman" w:hAnsi="Times New Roman" w:cs="Times New Roman"/>
                <w:sz w:val="24"/>
                <w:szCs w:val="24"/>
              </w:rPr>
            </w:pPr>
            <w:r w:rsidRPr="00CA7043">
              <w:rPr>
                <w:rFonts w:ascii="Times New Roman" w:hAnsi="Times New Roman" w:cs="Times New Roman"/>
                <w:sz w:val="24"/>
                <w:szCs w:val="24"/>
              </w:rPr>
              <w:t>Personal financial constraints affecting commitment to disaster response work</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1877C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3.22</w:t>
            </w:r>
          </w:p>
        </w:tc>
        <w:tc>
          <w:tcPr>
            <w:tcW w:w="1476" w:type="dxa"/>
            <w:tcBorders>
              <w:top w:val="nil"/>
              <w:left w:val="nil"/>
              <w:bottom w:val="nil"/>
              <w:right w:val="nil"/>
            </w:tcBorders>
          </w:tcPr>
          <w:p w14:paraId="35B1152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6585C1AD"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7.5</w:t>
            </w:r>
          </w:p>
        </w:tc>
      </w:tr>
      <w:tr w:rsidR="00CA7043" w:rsidRPr="00CA7043" w14:paraId="400C67A6" w14:textId="77777777" w:rsidTr="00CA7043">
        <w:tc>
          <w:tcPr>
            <w:tcW w:w="5677" w:type="dxa"/>
            <w:tcBorders>
              <w:top w:val="single" w:sz="4" w:space="0" w:color="000000"/>
              <w:left w:val="nil"/>
              <w:bottom w:val="double" w:sz="4" w:space="0" w:color="auto"/>
              <w:right w:val="nil"/>
            </w:tcBorders>
            <w:vAlign w:val="center"/>
            <w:hideMark/>
          </w:tcPr>
          <w:p w14:paraId="2E8A23F4"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04922621"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3.24</w:t>
            </w:r>
          </w:p>
        </w:tc>
        <w:tc>
          <w:tcPr>
            <w:tcW w:w="1476" w:type="dxa"/>
            <w:tcBorders>
              <w:top w:val="single" w:sz="4" w:space="0" w:color="000000"/>
              <w:left w:val="nil"/>
              <w:bottom w:val="double" w:sz="4" w:space="0" w:color="auto"/>
              <w:right w:val="nil"/>
            </w:tcBorders>
          </w:tcPr>
          <w:p w14:paraId="75CD7556"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61B4AAB" w14:textId="77777777" w:rsidR="00CA7043" w:rsidRPr="00CA7043" w:rsidRDefault="00CA7043" w:rsidP="00FD142E">
            <w:pPr>
              <w:spacing w:after="0" w:line="240" w:lineRule="auto"/>
              <w:jc w:val="both"/>
              <w:rPr>
                <w:rFonts w:ascii="Times New Roman" w:hAnsi="Times New Roman" w:cs="Times New Roman"/>
                <w:sz w:val="24"/>
                <w:szCs w:val="24"/>
              </w:rPr>
            </w:pPr>
          </w:p>
        </w:tc>
      </w:tr>
    </w:tbl>
    <w:p w14:paraId="36F129DD" w14:textId="77777777" w:rsidR="00CA7043" w:rsidRPr="00CA7043" w:rsidRDefault="00CA7043" w:rsidP="00FD142E">
      <w:pPr>
        <w:spacing w:after="0" w:line="240" w:lineRule="auto"/>
        <w:ind w:right="72" w:firstLine="715"/>
        <w:jc w:val="both"/>
        <w:rPr>
          <w:rFonts w:ascii="Times New Roman" w:hAnsi="Times New Roman" w:cs="Times New Roman"/>
          <w:sz w:val="24"/>
          <w:szCs w:val="24"/>
        </w:rPr>
      </w:pPr>
    </w:p>
    <w:p w14:paraId="5CDFE5F7" w14:textId="77777777" w:rsidR="00CA7043" w:rsidRPr="00CA7043" w:rsidRDefault="00CA7043" w:rsidP="00FD142E">
      <w:pPr>
        <w:pStyle w:val="ListParagraph"/>
        <w:spacing w:after="0" w:line="240" w:lineRule="auto"/>
        <w:ind w:left="0"/>
        <w:jc w:val="both"/>
        <w:rPr>
          <w:rFonts w:ascii="Times New Roman" w:hAnsi="Times New Roman" w:cs="Times New Roman"/>
          <w:sz w:val="24"/>
          <w:szCs w:val="24"/>
        </w:rPr>
      </w:pPr>
    </w:p>
    <w:p w14:paraId="1486170A" w14:textId="77777777" w:rsidR="007108A5" w:rsidRPr="00CA7043" w:rsidRDefault="007108A5" w:rsidP="00FD142E">
      <w:pPr>
        <w:pStyle w:val="ListParagraph"/>
        <w:numPr>
          <w:ilvl w:val="0"/>
          <w:numId w:val="14"/>
        </w:numPr>
        <w:tabs>
          <w:tab w:val="left" w:pos="5280"/>
        </w:tabs>
        <w:spacing w:after="0" w:line="240" w:lineRule="auto"/>
        <w:ind w:left="0"/>
        <w:jc w:val="both"/>
        <w:rPr>
          <w:rFonts w:ascii="Times New Roman" w:hAnsi="Times New Roman" w:cs="Times New Roman"/>
          <w:b/>
          <w:bCs/>
          <w:sz w:val="24"/>
          <w:szCs w:val="24"/>
        </w:rPr>
      </w:pPr>
      <w:r w:rsidRPr="00CA7043">
        <w:rPr>
          <w:rFonts w:ascii="Times New Roman" w:hAnsi="Times New Roman" w:cs="Times New Roman"/>
          <w:b/>
          <w:bCs/>
          <w:sz w:val="24"/>
          <w:szCs w:val="24"/>
        </w:rPr>
        <w:t>CONCLUSIONS</w:t>
      </w:r>
    </w:p>
    <w:p w14:paraId="772E9A18" w14:textId="77777777" w:rsidR="00CA7043" w:rsidRPr="00CA7043" w:rsidRDefault="007108A5"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ab/>
      </w:r>
      <w:r w:rsidR="00CA7043" w:rsidRPr="00CA7043">
        <w:rPr>
          <w:rFonts w:ascii="Times New Roman" w:hAnsi="Times New Roman" w:cs="Times New Roman"/>
          <w:sz w:val="24"/>
          <w:szCs w:val="24"/>
        </w:rPr>
        <w:t xml:space="preserve">Most of the people who work in disaster response in </w:t>
      </w:r>
      <w:proofErr w:type="spellStart"/>
      <w:r w:rsidR="00CA7043" w:rsidRPr="00CA7043">
        <w:rPr>
          <w:rFonts w:ascii="Times New Roman" w:hAnsi="Times New Roman" w:cs="Times New Roman"/>
          <w:sz w:val="24"/>
          <w:szCs w:val="24"/>
        </w:rPr>
        <w:t>Balatan</w:t>
      </w:r>
      <w:proofErr w:type="spellEnd"/>
      <w:r w:rsidR="00CA7043" w:rsidRPr="00CA7043">
        <w:rPr>
          <w:rFonts w:ascii="Times New Roman" w:hAnsi="Times New Roman" w:cs="Times New Roman"/>
          <w:sz w:val="24"/>
          <w:szCs w:val="24"/>
        </w:rPr>
        <w:t xml:space="preserve"> are in their prime working years, between the ages of 31 and 40. The demographic profile of this target group mostly comprises of the males who are married and have a monthly income less than Php 30,000. Their levels of education are between vocational training and college education. Participation in disaster management training is low among all groups. This shows that access to opportunities for skill development is </w:t>
      </w:r>
      <w:proofErr w:type="gramStart"/>
      <w:r w:rsidR="00CA7043" w:rsidRPr="00CA7043">
        <w:rPr>
          <w:rFonts w:ascii="Times New Roman" w:hAnsi="Times New Roman" w:cs="Times New Roman"/>
          <w:sz w:val="24"/>
          <w:szCs w:val="24"/>
        </w:rPr>
        <w:t>unequal.​</w:t>
      </w:r>
      <w:proofErr w:type="gramEnd"/>
    </w:p>
    <w:p w14:paraId="51DA8527" w14:textId="77777777" w:rsidR="00CA7043" w:rsidRPr="00CA7043" w:rsidRDefault="00CA7043"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The people who work for </w:t>
      </w:r>
      <w:proofErr w:type="spellStart"/>
      <w:r w:rsidRPr="00CA7043">
        <w:rPr>
          <w:rFonts w:ascii="Times New Roman" w:hAnsi="Times New Roman" w:cs="Times New Roman"/>
          <w:sz w:val="24"/>
          <w:szCs w:val="24"/>
        </w:rPr>
        <w:t>Balatan's</w:t>
      </w:r>
      <w:proofErr w:type="spellEnd"/>
      <w:r w:rsidRPr="00CA7043">
        <w:rPr>
          <w:rFonts w:ascii="Times New Roman" w:hAnsi="Times New Roman" w:cs="Times New Roman"/>
          <w:sz w:val="24"/>
          <w:szCs w:val="24"/>
        </w:rPr>
        <w:t xml:space="preserve"> MDRRMO and other responders show that they know how to respond to disasters in areas like logistics, resource management, coordination, community engagement, infrastructure, training, leadership, and technology use. Nevertheless, the large issues persist to exist. There were large issues related to training special ICS command structures, real-time technology use, and collaborative work at all times during hydrometeorological </w:t>
      </w:r>
      <w:proofErr w:type="gramStart"/>
      <w:r w:rsidRPr="00CA7043">
        <w:rPr>
          <w:rFonts w:ascii="Times New Roman" w:hAnsi="Times New Roman" w:cs="Times New Roman"/>
          <w:sz w:val="24"/>
          <w:szCs w:val="24"/>
        </w:rPr>
        <w:t>events.​</w:t>
      </w:r>
      <w:proofErr w:type="gramEnd"/>
    </w:p>
    <w:p w14:paraId="4732FB84" w14:textId="77777777" w:rsidR="00CA7043" w:rsidRPr="00CA7043" w:rsidRDefault="00CA7043"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Social, environmental, economic and personal factors largely determine the effectiveness of responding to a disaster. The major obstacles include geographic isolation, lack of early warning mechanisms and infrastructures, lack of training and low motivation and job satisfaction amongst all the responders, high costs incurred in developing infrastructure that is resilient to disasters, and mistrust between the community and the </w:t>
      </w:r>
      <w:proofErr w:type="gramStart"/>
      <w:r w:rsidRPr="00CA7043">
        <w:rPr>
          <w:rFonts w:ascii="Times New Roman" w:hAnsi="Times New Roman" w:cs="Times New Roman"/>
          <w:sz w:val="24"/>
          <w:szCs w:val="24"/>
        </w:rPr>
        <w:t>responders.​</w:t>
      </w:r>
      <w:proofErr w:type="gramEnd"/>
    </w:p>
    <w:p w14:paraId="09E7C256" w14:textId="77777777" w:rsidR="007108A5" w:rsidRPr="00CA7043" w:rsidRDefault="007108A5" w:rsidP="00FD142E">
      <w:pPr>
        <w:pStyle w:val="ListParagraph"/>
        <w:tabs>
          <w:tab w:val="left" w:pos="5280"/>
        </w:tabs>
        <w:spacing w:after="0" w:line="240" w:lineRule="auto"/>
        <w:ind w:left="0"/>
        <w:jc w:val="both"/>
        <w:rPr>
          <w:rFonts w:ascii="Times New Roman" w:hAnsi="Times New Roman" w:cs="Times New Roman"/>
          <w:b/>
          <w:bCs/>
          <w:sz w:val="24"/>
          <w:szCs w:val="24"/>
        </w:rPr>
      </w:pPr>
    </w:p>
    <w:p w14:paraId="1B170661" w14:textId="77777777" w:rsidR="007108A5" w:rsidRPr="00CA7043" w:rsidRDefault="007108A5" w:rsidP="00FD142E">
      <w:pPr>
        <w:pStyle w:val="ListParagraph"/>
        <w:numPr>
          <w:ilvl w:val="0"/>
          <w:numId w:val="14"/>
        </w:numPr>
        <w:tabs>
          <w:tab w:val="left" w:pos="5280"/>
        </w:tabs>
        <w:spacing w:after="0" w:line="240" w:lineRule="auto"/>
        <w:ind w:left="0"/>
        <w:jc w:val="both"/>
        <w:rPr>
          <w:rFonts w:ascii="Times New Roman" w:hAnsi="Times New Roman" w:cs="Times New Roman"/>
          <w:b/>
          <w:bCs/>
          <w:sz w:val="24"/>
          <w:szCs w:val="24"/>
        </w:rPr>
      </w:pPr>
      <w:r w:rsidRPr="00CA7043">
        <w:rPr>
          <w:rFonts w:ascii="Times New Roman" w:hAnsi="Times New Roman" w:cs="Times New Roman"/>
          <w:b/>
          <w:bCs/>
          <w:sz w:val="24"/>
          <w:szCs w:val="24"/>
        </w:rPr>
        <w:t>RECOMMENDATIONS</w:t>
      </w:r>
    </w:p>
    <w:p w14:paraId="5D5C865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19B706E"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The MDRRMO together with other related organizations may embark on frequent and wholesome programs that would focus on capacity augmentation. Training sessions must be open to everyone, no matter their age, income, or gender. They may also </w:t>
      </w:r>
      <w:r w:rsidRPr="00CA7043">
        <w:rPr>
          <w:rFonts w:ascii="Times New Roman" w:hAnsi="Times New Roman" w:cs="Times New Roman"/>
          <w:sz w:val="24"/>
          <w:szCs w:val="24"/>
        </w:rPr>
        <w:lastRenderedPageBreak/>
        <w:t xml:space="preserve">cover the latest best practices in managing hydrometeorological disasters to make sure that everyone on the team has the same level of </w:t>
      </w:r>
      <w:proofErr w:type="gramStart"/>
      <w:r w:rsidRPr="00CA7043">
        <w:rPr>
          <w:rFonts w:ascii="Times New Roman" w:hAnsi="Times New Roman" w:cs="Times New Roman"/>
          <w:sz w:val="24"/>
          <w:szCs w:val="24"/>
        </w:rPr>
        <w:t>skill.​</w:t>
      </w:r>
      <w:proofErr w:type="gramEnd"/>
    </w:p>
    <w:p w14:paraId="03351337"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All disaster responders may have to get Incident Command System (ICS) certification. Logistics planning and supply chain management may also be improved, and new technologies may be used for real-time coordination and monitoring. Drills and scenario-based training can be done regularly to deal with </w:t>
      </w:r>
    </w:p>
    <w:p w14:paraId="262EE3FF" w14:textId="77777777" w:rsidR="00CA7043" w:rsidRPr="00CA7043" w:rsidRDefault="00CA7043" w:rsidP="00FD142E">
      <w:pPr>
        <w:tabs>
          <w:tab w:val="left" w:pos="1080"/>
        </w:tabs>
        <w:spacing w:after="0" w:line="240" w:lineRule="auto"/>
        <w:ind w:right="72"/>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the gaps in operational </w:t>
      </w:r>
      <w:proofErr w:type="gramStart"/>
      <w:r w:rsidRPr="00CA7043">
        <w:rPr>
          <w:rFonts w:ascii="Times New Roman" w:hAnsi="Times New Roman" w:cs="Times New Roman"/>
          <w:sz w:val="24"/>
          <w:szCs w:val="24"/>
        </w:rPr>
        <w:t>preparation.​</w:t>
      </w:r>
      <w:proofErr w:type="gramEnd"/>
    </w:p>
    <w:p w14:paraId="6FED7E42"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Establish credibility within a community and enhance social coordination through facilitating people to participate regularly, making the disaster response planning more transparent, and conducting specific communication campaigns. In order to fill the infrastructure and environmental gaps, invest in early warning systems, flood control systems and robust evacuation routes. Provide responders with economic help and incentives to encourage their general well-</w:t>
      </w:r>
      <w:proofErr w:type="gramStart"/>
      <w:r w:rsidRPr="00CA7043">
        <w:rPr>
          <w:rFonts w:ascii="Times New Roman" w:hAnsi="Times New Roman" w:cs="Times New Roman"/>
          <w:sz w:val="24"/>
          <w:szCs w:val="24"/>
        </w:rPr>
        <w:t>being.​</w:t>
      </w:r>
      <w:proofErr w:type="gramEnd"/>
    </w:p>
    <w:p w14:paraId="0511ABE8"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Periodically re-evaluate the competencies in line with the profile variables, have mentorship programs with experienced responders and less experienced employees, and provide training scholarships or allowances to those in the underrepresented income or education bracket. Adjust the professional development processes to the needs identified with the help of data </w:t>
      </w:r>
      <w:proofErr w:type="gramStart"/>
      <w:r w:rsidRPr="00CA7043">
        <w:rPr>
          <w:rFonts w:ascii="Times New Roman" w:hAnsi="Times New Roman" w:cs="Times New Roman"/>
          <w:sz w:val="24"/>
          <w:szCs w:val="24"/>
        </w:rPr>
        <w:t>analysis.​</w:t>
      </w:r>
      <w:proofErr w:type="gramEnd"/>
    </w:p>
    <w:p w14:paraId="11FC9590"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b/>
          <w:sz w:val="24"/>
          <w:szCs w:val="24"/>
          <w:lang w:eastAsia="en-PH"/>
        </w:rPr>
      </w:pPr>
      <w:r w:rsidRPr="00CA7043">
        <w:rPr>
          <w:rFonts w:ascii="Times New Roman" w:hAnsi="Times New Roman" w:cs="Times New Roman"/>
          <w:sz w:val="24"/>
          <w:szCs w:val="24"/>
        </w:rPr>
        <w:t xml:space="preserve">The Local Government Unit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in conjunction with the Municipal Disaster Risk Reduction and Management Office, has the capacity to systematically implement and institutionalize the proposed enhancement plan. This plan needs to focus on building capacity through the Incident Command System, good logistics and resource management, technology-enhanced early warning systems, and getting people in the community involved. Moreover, it is important to put up monitoring and evaluation systems that will enhance the continuity and sustainability of these interventions in the long-term.</w:t>
      </w:r>
    </w:p>
    <w:p w14:paraId="22026438" w14:textId="77777777" w:rsidR="007108A5" w:rsidRPr="00CA7043" w:rsidRDefault="007108A5" w:rsidP="00FD142E">
      <w:pPr>
        <w:spacing w:after="0" w:line="240" w:lineRule="auto"/>
        <w:ind w:firstLine="720"/>
        <w:jc w:val="both"/>
        <w:rPr>
          <w:rFonts w:ascii="Times New Roman" w:hAnsi="Times New Roman" w:cs="Times New Roman"/>
          <w:sz w:val="24"/>
          <w:szCs w:val="24"/>
        </w:rPr>
      </w:pPr>
    </w:p>
    <w:p w14:paraId="50CB86F1" w14:textId="77777777" w:rsidR="007108A5" w:rsidRPr="00CA7043" w:rsidRDefault="007108A5"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w:t>
      </w:r>
    </w:p>
    <w:p w14:paraId="2B04BA26" w14:textId="77777777" w:rsidR="007108A5" w:rsidRPr="00CA7043" w:rsidRDefault="007108A5" w:rsidP="00FD142E">
      <w:pPr>
        <w:widowControl w:val="0"/>
        <w:spacing w:after="0" w:line="240" w:lineRule="auto"/>
        <w:jc w:val="both"/>
        <w:rPr>
          <w:rFonts w:ascii="Times New Roman" w:hAnsi="Times New Roman" w:cs="Times New Roman"/>
          <w:color w:val="000000" w:themeColor="text1"/>
          <w:sz w:val="24"/>
          <w:szCs w:val="24"/>
          <w:lang w:bidi="he-IL"/>
        </w:rPr>
      </w:pPr>
    </w:p>
    <w:p w14:paraId="6F65FB2D"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3661D01B"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61795EDE"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08395A4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1B49BB7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76A8FA3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B93650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7098543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1EE31660"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C68FF3A" w14:textId="6211A83B" w:rsidR="00CA7043" w:rsidRPr="00CA7043" w:rsidRDefault="002C5AB1" w:rsidP="00A67C74">
      <w:pPr>
        <w:spacing w:after="0" w:line="240" w:lineRule="auto"/>
        <w:ind w:right="72"/>
        <w:contextualSpacing/>
        <w:jc w:val="both"/>
        <w:rPr>
          <w:rFonts w:ascii="Times New Roman" w:hAnsi="Times New Roman" w:cs="Times New Roman"/>
          <w:sz w:val="24"/>
          <w:szCs w:val="24"/>
        </w:rPr>
      </w:pPr>
      <w:r>
        <w:rPr>
          <w:rFonts w:ascii="Times New Roman" w:hAnsi="Times New Roman" w:cs="Times New Roman"/>
          <w:b/>
          <w:bCs/>
          <w:sz w:val="24"/>
          <w:szCs w:val="24"/>
        </w:rPr>
        <w:t>REFERENCES</w:t>
      </w:r>
    </w:p>
    <w:p w14:paraId="7314315A"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AlHinai</w:t>
      </w:r>
      <w:proofErr w:type="spellEnd"/>
      <w:r w:rsidRPr="00CA7043">
        <w:rPr>
          <w:rFonts w:ascii="Times New Roman" w:hAnsi="Times New Roman" w:cs="Times New Roman"/>
          <w:sz w:val="24"/>
          <w:szCs w:val="24"/>
        </w:rPr>
        <w:t xml:space="preserve"> Y. S. (2020). </w:t>
      </w:r>
      <w:r w:rsidRPr="00CA7043">
        <w:rPr>
          <w:rFonts w:ascii="Times New Roman" w:hAnsi="Times New Roman" w:cs="Times New Roman"/>
          <w:b/>
          <w:bCs/>
          <w:sz w:val="24"/>
          <w:szCs w:val="24"/>
        </w:rPr>
        <w:t>Disaster management digitally transformed: Exploring the impact and key determinants from the UK national disaster management experience.</w:t>
      </w:r>
      <w:r w:rsidRPr="00CA7043">
        <w:rPr>
          <w:rFonts w:ascii="Times New Roman" w:hAnsi="Times New Roman" w:cs="Times New Roman"/>
          <w:sz w:val="24"/>
          <w:szCs w:val="24"/>
        </w:rPr>
        <w:t> </w:t>
      </w:r>
      <w:r w:rsidRPr="00CA7043">
        <w:rPr>
          <w:rFonts w:ascii="Times New Roman" w:hAnsi="Times New Roman" w:cs="Times New Roman"/>
          <w:i/>
          <w:iCs/>
          <w:sz w:val="24"/>
          <w:szCs w:val="24"/>
        </w:rPr>
        <w:t>International journal of disaster risk reduction: IJDRR</w:t>
      </w:r>
      <w:r w:rsidRPr="00CA7043">
        <w:rPr>
          <w:rFonts w:ascii="Times New Roman" w:hAnsi="Times New Roman" w:cs="Times New Roman"/>
          <w:sz w:val="24"/>
          <w:szCs w:val="24"/>
        </w:rPr>
        <w:t>, </w:t>
      </w:r>
      <w:r w:rsidRPr="00CA7043">
        <w:rPr>
          <w:rFonts w:ascii="Times New Roman" w:hAnsi="Times New Roman" w:cs="Times New Roman"/>
          <w:i/>
          <w:iCs/>
          <w:sz w:val="24"/>
          <w:szCs w:val="24"/>
        </w:rPr>
        <w:t>51</w:t>
      </w:r>
      <w:r w:rsidRPr="00CA7043">
        <w:rPr>
          <w:rFonts w:ascii="Times New Roman" w:hAnsi="Times New Roman" w:cs="Times New Roman"/>
          <w:sz w:val="24"/>
          <w:szCs w:val="24"/>
        </w:rPr>
        <w:t>, 101851. https://doi.org/10.1016/j.ijdrr.2020.101851</w:t>
      </w:r>
    </w:p>
    <w:p w14:paraId="68B64F5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350FA4C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Andaya, E. J., </w:t>
      </w:r>
      <w:proofErr w:type="spellStart"/>
      <w:r w:rsidRPr="00CA7043">
        <w:rPr>
          <w:rFonts w:ascii="Times New Roman" w:hAnsi="Times New Roman" w:cs="Times New Roman"/>
          <w:sz w:val="24"/>
          <w:szCs w:val="24"/>
        </w:rPr>
        <w:t>Eleorda</w:t>
      </w:r>
      <w:proofErr w:type="spellEnd"/>
      <w:r w:rsidRPr="00CA7043">
        <w:rPr>
          <w:rFonts w:ascii="Times New Roman" w:hAnsi="Times New Roman" w:cs="Times New Roman"/>
          <w:sz w:val="24"/>
          <w:szCs w:val="24"/>
        </w:rPr>
        <w:t xml:space="preserve">, A. D., </w:t>
      </w:r>
      <w:proofErr w:type="spellStart"/>
      <w:r w:rsidRPr="00CA7043">
        <w:rPr>
          <w:rFonts w:ascii="Times New Roman" w:hAnsi="Times New Roman" w:cs="Times New Roman"/>
          <w:sz w:val="24"/>
          <w:szCs w:val="24"/>
        </w:rPr>
        <w:t>Villete</w:t>
      </w:r>
      <w:proofErr w:type="spellEnd"/>
      <w:r w:rsidRPr="00CA7043">
        <w:rPr>
          <w:rFonts w:ascii="Times New Roman" w:hAnsi="Times New Roman" w:cs="Times New Roman"/>
          <w:sz w:val="24"/>
          <w:szCs w:val="24"/>
        </w:rPr>
        <w:t xml:space="preserve">, S., &amp; </w:t>
      </w:r>
      <w:proofErr w:type="spellStart"/>
      <w:r w:rsidRPr="00CA7043">
        <w:rPr>
          <w:rFonts w:ascii="Times New Roman" w:hAnsi="Times New Roman" w:cs="Times New Roman"/>
          <w:sz w:val="24"/>
          <w:szCs w:val="24"/>
        </w:rPr>
        <w:t>Castañar-Alano</w:t>
      </w:r>
      <w:proofErr w:type="spellEnd"/>
      <w:r w:rsidRPr="00CA7043">
        <w:rPr>
          <w:rFonts w:ascii="Times New Roman" w:hAnsi="Times New Roman" w:cs="Times New Roman"/>
          <w:sz w:val="24"/>
          <w:szCs w:val="24"/>
        </w:rPr>
        <w:t xml:space="preserve">, F. (2025). </w:t>
      </w:r>
      <w:r w:rsidRPr="00CA7043">
        <w:rPr>
          <w:rFonts w:ascii="Times New Roman" w:hAnsi="Times New Roman" w:cs="Times New Roman"/>
          <w:b/>
          <w:bCs/>
          <w:sz w:val="24"/>
          <w:szCs w:val="24"/>
        </w:rPr>
        <w:t>Understanding disaster mitigation in the Philippines: A review</w:t>
      </w:r>
      <w:r w:rsidRPr="00CA7043">
        <w:rPr>
          <w:rFonts w:ascii="Times New Roman" w:hAnsi="Times New Roman" w:cs="Times New Roman"/>
          <w:i/>
          <w:iCs/>
          <w:sz w:val="24"/>
          <w:szCs w:val="24"/>
        </w:rPr>
        <w:t>. </w:t>
      </w:r>
      <w:proofErr w:type="spellStart"/>
      <w:r w:rsidRPr="00CA7043">
        <w:rPr>
          <w:rFonts w:ascii="Times New Roman" w:hAnsi="Times New Roman" w:cs="Times New Roman"/>
          <w:i/>
          <w:iCs/>
          <w:sz w:val="24"/>
          <w:szCs w:val="24"/>
        </w:rPr>
        <w:t>Pantao</w:t>
      </w:r>
      <w:proofErr w:type="spellEnd"/>
      <w:r w:rsidRPr="00CA7043">
        <w:rPr>
          <w:rFonts w:ascii="Times New Roman" w:hAnsi="Times New Roman" w:cs="Times New Roman"/>
          <w:i/>
          <w:iCs/>
          <w:sz w:val="24"/>
          <w:szCs w:val="24"/>
        </w:rPr>
        <w:t xml:space="preserve"> (The International Journal of the Humanities and Social Sciences)</w:t>
      </w:r>
      <w:r w:rsidRPr="00CA7043">
        <w:rPr>
          <w:rFonts w:ascii="Times New Roman" w:hAnsi="Times New Roman" w:cs="Times New Roman"/>
          <w:sz w:val="24"/>
          <w:szCs w:val="24"/>
        </w:rPr>
        <w:t>, 4(2), 1266-1271.</w:t>
      </w:r>
    </w:p>
    <w:p w14:paraId="3431927B"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CCD3BE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Biswal, A. (2025, August 23). </w:t>
      </w:r>
      <w:r w:rsidRPr="00CA7043">
        <w:rPr>
          <w:rFonts w:ascii="Times New Roman" w:hAnsi="Times New Roman" w:cs="Times New Roman"/>
          <w:b/>
          <w:bCs/>
          <w:sz w:val="24"/>
          <w:szCs w:val="24"/>
        </w:rPr>
        <w:t>Chi-Square test: Formula, types, &amp; examples.</w:t>
      </w:r>
      <w:r w:rsidRPr="00CA7043">
        <w:rPr>
          <w:rFonts w:ascii="Times New Roman" w:hAnsi="Times New Roman" w:cs="Times New Roman"/>
          <w:sz w:val="24"/>
          <w:szCs w:val="24"/>
        </w:rPr>
        <w:t> Simplilearn. </w:t>
      </w:r>
      <w:proofErr w:type="gramStart"/>
      <w:r w:rsidRPr="00CA7043">
        <w:rPr>
          <w:rFonts w:ascii="Times New Roman" w:hAnsi="Times New Roman" w:cs="Times New Roman"/>
          <w:sz w:val="24"/>
          <w:szCs w:val="24"/>
        </w:rPr>
        <w:t>ttps://www.simplilearn.com/tutorials/statistics-tutorial/chi-square-test[</w:t>
      </w:r>
      <w:proofErr w:type="gramEnd"/>
      <w:r w:rsidRPr="00CA7043">
        <w:rPr>
          <w:rFonts w:ascii="Times New Roman" w:hAnsi="Times New Roman" w:cs="Times New Roman"/>
          <w:sz w:val="24"/>
          <w:szCs w:val="24"/>
        </w:rPr>
        <w:t>]</w:t>
      </w:r>
    </w:p>
    <w:p w14:paraId="187F976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1E05B1A"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Brucal</w:t>
      </w:r>
      <w:proofErr w:type="spellEnd"/>
      <w:r w:rsidRPr="00CA7043">
        <w:rPr>
          <w:rFonts w:ascii="Times New Roman" w:hAnsi="Times New Roman" w:cs="Times New Roman"/>
          <w:sz w:val="24"/>
          <w:szCs w:val="24"/>
        </w:rPr>
        <w:t xml:space="preserve">, A., </w:t>
      </w:r>
      <w:proofErr w:type="spellStart"/>
      <w:r w:rsidRPr="00CA7043">
        <w:rPr>
          <w:rFonts w:ascii="Times New Roman" w:hAnsi="Times New Roman" w:cs="Times New Roman"/>
          <w:sz w:val="24"/>
          <w:szCs w:val="24"/>
        </w:rPr>
        <w:t>Roezer</w:t>
      </w:r>
      <w:proofErr w:type="spellEnd"/>
      <w:r w:rsidRPr="00CA7043">
        <w:rPr>
          <w:rFonts w:ascii="Times New Roman" w:hAnsi="Times New Roman" w:cs="Times New Roman"/>
          <w:sz w:val="24"/>
          <w:szCs w:val="24"/>
        </w:rPr>
        <w:t xml:space="preserve">, V., </w:t>
      </w:r>
      <w:proofErr w:type="spellStart"/>
      <w:r w:rsidRPr="00CA7043">
        <w:rPr>
          <w:rFonts w:ascii="Times New Roman" w:hAnsi="Times New Roman" w:cs="Times New Roman"/>
          <w:sz w:val="24"/>
          <w:szCs w:val="24"/>
        </w:rPr>
        <w:t>Dookie</w:t>
      </w:r>
      <w:proofErr w:type="spellEnd"/>
      <w:r w:rsidRPr="00CA7043">
        <w:rPr>
          <w:rFonts w:ascii="Times New Roman" w:hAnsi="Times New Roman" w:cs="Times New Roman"/>
          <w:sz w:val="24"/>
          <w:szCs w:val="24"/>
        </w:rPr>
        <w:t xml:space="preserve">, D. S., Byrnes, R., Ravago, M.-L. V., Cruz, F., &amp; </w:t>
      </w:r>
      <w:proofErr w:type="spellStart"/>
      <w:r w:rsidRPr="00CA7043">
        <w:rPr>
          <w:rFonts w:ascii="Times New Roman" w:hAnsi="Times New Roman" w:cs="Times New Roman"/>
          <w:sz w:val="24"/>
          <w:szCs w:val="24"/>
        </w:rPr>
        <w:t>Narisma</w:t>
      </w:r>
      <w:proofErr w:type="spellEnd"/>
      <w:r w:rsidRPr="00CA7043">
        <w:rPr>
          <w:rFonts w:ascii="Times New Roman" w:hAnsi="Times New Roman" w:cs="Times New Roman"/>
          <w:sz w:val="24"/>
          <w:szCs w:val="24"/>
        </w:rPr>
        <w:t xml:space="preserve">, G. (2020). </w:t>
      </w:r>
      <w:r w:rsidRPr="00CA7043">
        <w:rPr>
          <w:rFonts w:ascii="Times New Roman" w:hAnsi="Times New Roman" w:cs="Times New Roman"/>
          <w:b/>
          <w:bCs/>
          <w:sz w:val="24"/>
          <w:szCs w:val="24"/>
        </w:rPr>
        <w:t xml:space="preserve">Disaster impacts and financing: Local insights from the Philippines (Policy report). </w:t>
      </w:r>
      <w:r w:rsidRPr="00CA7043">
        <w:rPr>
          <w:rFonts w:ascii="Times New Roman" w:hAnsi="Times New Roman" w:cs="Times New Roman"/>
          <w:sz w:val="24"/>
          <w:szCs w:val="24"/>
        </w:rPr>
        <w:t>Grantham Research Institute on Climate Change and the Environment, London School of Economics and Political Science. https://www.lse.ac.uk/granthaminstitute/wp-content/uploads/2020/06/GRI_policy_report_Disaster-impacts-and-financing_Local-insights-from-the-Philippines.pdf</w:t>
      </w:r>
    </w:p>
    <w:p w14:paraId="4713EAF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622A86C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Budiman</w:t>
      </w:r>
      <w:proofErr w:type="spellEnd"/>
      <w:r w:rsidRPr="00CA7043">
        <w:rPr>
          <w:rFonts w:ascii="Times New Roman" w:hAnsi="Times New Roman" w:cs="Times New Roman"/>
          <w:sz w:val="24"/>
          <w:szCs w:val="24"/>
        </w:rPr>
        <w:t xml:space="preserve">, &amp; </w:t>
      </w:r>
      <w:proofErr w:type="spellStart"/>
      <w:r w:rsidRPr="00CA7043">
        <w:rPr>
          <w:rFonts w:ascii="Times New Roman" w:hAnsi="Times New Roman" w:cs="Times New Roman"/>
          <w:sz w:val="24"/>
          <w:szCs w:val="24"/>
        </w:rPr>
        <w:t>Amalinda</w:t>
      </w:r>
      <w:proofErr w:type="spellEnd"/>
      <w:r w:rsidRPr="00CA7043">
        <w:rPr>
          <w:rFonts w:ascii="Times New Roman" w:hAnsi="Times New Roman" w:cs="Times New Roman"/>
          <w:sz w:val="24"/>
          <w:szCs w:val="24"/>
        </w:rPr>
        <w:t>, F. (2025). Strengthening Community-Based Disaster Preparedness: Strategies, Barriers, and Policy Implications. </w:t>
      </w:r>
      <w:proofErr w:type="spellStart"/>
      <w:proofErr w:type="gramStart"/>
      <w:r w:rsidRPr="00CA7043">
        <w:rPr>
          <w:rFonts w:ascii="Times New Roman" w:hAnsi="Times New Roman" w:cs="Times New Roman"/>
          <w:sz w:val="24"/>
          <w:szCs w:val="24"/>
        </w:rPr>
        <w:t>Resiliensi</w:t>
      </w:r>
      <w:proofErr w:type="spellEnd"/>
      <w:r w:rsidRPr="00CA7043">
        <w:rPr>
          <w:rFonts w:ascii="Times New Roman" w:hAnsi="Times New Roman" w:cs="Times New Roman"/>
          <w:sz w:val="24"/>
          <w:szCs w:val="24"/>
        </w:rPr>
        <w:t xml:space="preserve"> :</w:t>
      </w:r>
      <w:proofErr w:type="gram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Jurnal</w:t>
      </w:r>
      <w:proofErr w:type="spell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Mitigasi</w:t>
      </w:r>
      <w:proofErr w:type="spellEnd"/>
      <w:r w:rsidRPr="00CA7043">
        <w:rPr>
          <w:rFonts w:ascii="Times New Roman" w:hAnsi="Times New Roman" w:cs="Times New Roman"/>
          <w:sz w:val="24"/>
          <w:szCs w:val="24"/>
        </w:rPr>
        <w:t xml:space="preserve"> Dan </w:t>
      </w:r>
      <w:proofErr w:type="spellStart"/>
      <w:r w:rsidRPr="00CA7043">
        <w:rPr>
          <w:rFonts w:ascii="Times New Roman" w:hAnsi="Times New Roman" w:cs="Times New Roman"/>
          <w:sz w:val="24"/>
          <w:szCs w:val="24"/>
        </w:rPr>
        <w:t>Adaptasi</w:t>
      </w:r>
      <w:proofErr w:type="spell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Bencana</w:t>
      </w:r>
      <w:proofErr w:type="spellEnd"/>
      <w:r w:rsidRPr="00CA7043">
        <w:rPr>
          <w:rFonts w:ascii="Times New Roman" w:hAnsi="Times New Roman" w:cs="Times New Roman"/>
          <w:sz w:val="24"/>
          <w:szCs w:val="24"/>
        </w:rPr>
        <w:t>, 1(1), 1–15. Retrieved from https://journal.idscipub.com/index.php/resiliensi/article/view/580</w:t>
      </w:r>
    </w:p>
    <w:p w14:paraId="1482950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09D1C7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Butler, P. C., </w:t>
      </w:r>
      <w:proofErr w:type="spellStart"/>
      <w:r w:rsidRPr="00CA7043">
        <w:rPr>
          <w:rFonts w:ascii="Times New Roman" w:hAnsi="Times New Roman" w:cs="Times New Roman"/>
          <w:sz w:val="24"/>
          <w:szCs w:val="24"/>
        </w:rPr>
        <w:t>Flin</w:t>
      </w:r>
      <w:proofErr w:type="spellEnd"/>
      <w:r w:rsidRPr="00CA7043">
        <w:rPr>
          <w:rFonts w:ascii="Times New Roman" w:hAnsi="Times New Roman" w:cs="Times New Roman"/>
          <w:sz w:val="24"/>
          <w:szCs w:val="24"/>
        </w:rPr>
        <w:t xml:space="preserve">, R., Bearman, C., Hayes, P., Penney, G., &amp; McLennan, J. (2024). </w:t>
      </w:r>
      <w:r w:rsidRPr="00CA7043">
        <w:rPr>
          <w:rFonts w:ascii="Times New Roman" w:hAnsi="Times New Roman" w:cs="Times New Roman"/>
          <w:b/>
          <w:bCs/>
          <w:sz w:val="24"/>
          <w:szCs w:val="24"/>
        </w:rPr>
        <w:t>Emergency management decision-making in a changing world: 3 key challenges</w:t>
      </w:r>
      <w:r w:rsidRPr="00CA7043">
        <w:rPr>
          <w:rFonts w:ascii="Times New Roman" w:hAnsi="Times New Roman" w:cs="Times New Roman"/>
          <w:sz w:val="24"/>
          <w:szCs w:val="24"/>
        </w:rPr>
        <w:t>. </w:t>
      </w:r>
      <w:r w:rsidRPr="00CA7043">
        <w:rPr>
          <w:rFonts w:ascii="Times New Roman" w:hAnsi="Times New Roman" w:cs="Times New Roman"/>
          <w:i/>
          <w:iCs/>
          <w:sz w:val="24"/>
          <w:szCs w:val="24"/>
        </w:rPr>
        <w:t>Australian Journal of Emergency Management, 39</w:t>
      </w:r>
      <w:r w:rsidRPr="00CA7043">
        <w:rPr>
          <w:rFonts w:ascii="Times New Roman" w:hAnsi="Times New Roman" w:cs="Times New Roman"/>
          <w:sz w:val="24"/>
          <w:szCs w:val="24"/>
        </w:rPr>
        <w:t>(4), 23–32. https://doi.org/10.47389/39.4.23</w:t>
      </w:r>
    </w:p>
    <w:p w14:paraId="5659EE0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Clark-Ginsberg, A., Fisher, H., Awan, J., Rico, A., Thomas, T., Rose, D., </w:t>
      </w:r>
      <w:proofErr w:type="spellStart"/>
      <w:r w:rsidRPr="00CA7043">
        <w:rPr>
          <w:rFonts w:ascii="Times New Roman" w:hAnsi="Times New Roman" w:cs="Times New Roman"/>
          <w:sz w:val="24"/>
          <w:szCs w:val="24"/>
        </w:rPr>
        <w:t>Vagi</w:t>
      </w:r>
      <w:proofErr w:type="spellEnd"/>
      <w:r w:rsidRPr="00CA7043">
        <w:rPr>
          <w:rFonts w:ascii="Times New Roman" w:hAnsi="Times New Roman" w:cs="Times New Roman"/>
          <w:sz w:val="24"/>
          <w:szCs w:val="24"/>
        </w:rPr>
        <w:t xml:space="preserve">, S., Jenkins, L., &amp; Nelson, C. (2022). </w:t>
      </w:r>
      <w:r w:rsidRPr="00CA7043">
        <w:rPr>
          <w:rFonts w:ascii="Times New Roman" w:hAnsi="Times New Roman" w:cs="Times New Roman"/>
          <w:b/>
          <w:bCs/>
          <w:sz w:val="24"/>
          <w:szCs w:val="24"/>
        </w:rPr>
        <w:t>Conceptual Framework for Understanding Incident Management Systems During Public Health Emergencies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Disaster medicine and public health preparedness</w:t>
      </w:r>
      <w:r w:rsidRPr="00CA7043">
        <w:rPr>
          <w:rFonts w:ascii="Times New Roman" w:hAnsi="Times New Roman" w:cs="Times New Roman"/>
          <w:sz w:val="24"/>
          <w:szCs w:val="24"/>
        </w:rPr>
        <w:t>, 17, e158. https://doi.org/10.1017/dmp.2022.77</w:t>
      </w:r>
    </w:p>
    <w:p w14:paraId="530D527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1227E58"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lang w:val="nl-NL"/>
        </w:rPr>
        <w:t xml:space="preserve">Coetzee, C., &amp; Van Niekerk, D. (2012). </w:t>
      </w:r>
      <w:r w:rsidRPr="00CA7043">
        <w:rPr>
          <w:rFonts w:ascii="Times New Roman" w:hAnsi="Times New Roman" w:cs="Times New Roman"/>
          <w:b/>
          <w:bCs/>
          <w:sz w:val="24"/>
          <w:szCs w:val="24"/>
        </w:rPr>
        <w:t>Tracking the evolution of the disaster management cycle: A general system theory approach.</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i/>
          <w:iCs/>
          <w:sz w:val="24"/>
          <w:szCs w:val="24"/>
        </w:rPr>
        <w:t>Jàmbá</w:t>
      </w:r>
      <w:proofErr w:type="spellEnd"/>
      <w:r w:rsidRPr="00CA7043">
        <w:rPr>
          <w:rFonts w:ascii="Times New Roman" w:hAnsi="Times New Roman" w:cs="Times New Roman"/>
          <w:i/>
          <w:iCs/>
          <w:sz w:val="24"/>
          <w:szCs w:val="24"/>
        </w:rPr>
        <w:t>: Journal of Disaster Risk Studies, 4(1), Article 54.</w:t>
      </w:r>
      <w:r w:rsidRPr="00CA7043">
        <w:rPr>
          <w:rFonts w:ascii="Times New Roman" w:hAnsi="Times New Roman" w:cs="Times New Roman"/>
          <w:sz w:val="24"/>
          <w:szCs w:val="24"/>
        </w:rPr>
        <w:t xml:space="preserve"> https://doi.org/10.4102/jamba.v4i1.54</w:t>
      </w:r>
    </w:p>
    <w:p w14:paraId="6355D640"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F093EB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Dariagan</w:t>
      </w:r>
      <w:proofErr w:type="spellEnd"/>
      <w:r w:rsidRPr="00CA7043">
        <w:rPr>
          <w:rFonts w:ascii="Times New Roman" w:hAnsi="Times New Roman" w:cs="Times New Roman"/>
          <w:sz w:val="24"/>
          <w:szCs w:val="24"/>
        </w:rPr>
        <w:t xml:space="preserve">, J. D., </w:t>
      </w:r>
      <w:proofErr w:type="spellStart"/>
      <w:r w:rsidRPr="00CA7043">
        <w:rPr>
          <w:rFonts w:ascii="Times New Roman" w:hAnsi="Times New Roman" w:cs="Times New Roman"/>
          <w:sz w:val="24"/>
          <w:szCs w:val="24"/>
        </w:rPr>
        <w:t>Atando</w:t>
      </w:r>
      <w:proofErr w:type="spellEnd"/>
      <w:r w:rsidRPr="00CA7043">
        <w:rPr>
          <w:rFonts w:ascii="Times New Roman" w:hAnsi="Times New Roman" w:cs="Times New Roman"/>
          <w:sz w:val="24"/>
          <w:szCs w:val="24"/>
        </w:rPr>
        <w:t xml:space="preserve">, R. B., &amp; </w:t>
      </w:r>
      <w:proofErr w:type="spellStart"/>
      <w:r w:rsidRPr="00CA7043">
        <w:rPr>
          <w:rFonts w:ascii="Times New Roman" w:hAnsi="Times New Roman" w:cs="Times New Roman"/>
          <w:sz w:val="24"/>
          <w:szCs w:val="24"/>
        </w:rPr>
        <w:t>Asis</w:t>
      </w:r>
      <w:proofErr w:type="spellEnd"/>
      <w:r w:rsidRPr="00CA7043">
        <w:rPr>
          <w:rFonts w:ascii="Times New Roman" w:hAnsi="Times New Roman" w:cs="Times New Roman"/>
          <w:sz w:val="24"/>
          <w:szCs w:val="24"/>
        </w:rPr>
        <w:t xml:space="preserve">, J. L. B. (2021). </w:t>
      </w:r>
      <w:r w:rsidRPr="00CA7043">
        <w:rPr>
          <w:rFonts w:ascii="Times New Roman" w:hAnsi="Times New Roman" w:cs="Times New Roman"/>
          <w:b/>
          <w:bCs/>
          <w:sz w:val="24"/>
          <w:szCs w:val="24"/>
        </w:rPr>
        <w:t>Disaster preparedness of local governments in Panay Island, Philippines.</w:t>
      </w:r>
      <w:r w:rsidRPr="00CA7043">
        <w:rPr>
          <w:rFonts w:ascii="Times New Roman" w:hAnsi="Times New Roman" w:cs="Times New Roman"/>
          <w:sz w:val="24"/>
          <w:szCs w:val="24"/>
        </w:rPr>
        <w:t xml:space="preserve"> Natural hazards (Dordrecht, Netherlands), 105(2), 1923–1944. https://doi.org/10.1007/s11069-020-04383-0</w:t>
      </w:r>
    </w:p>
    <w:p w14:paraId="50B91BF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David, E. (2025, April 21). </w:t>
      </w:r>
      <w:r w:rsidRPr="00CA7043">
        <w:rPr>
          <w:rFonts w:ascii="Times New Roman" w:hAnsi="Times New Roman" w:cs="Times New Roman"/>
          <w:b/>
          <w:bCs/>
          <w:sz w:val="24"/>
          <w:szCs w:val="24"/>
        </w:rPr>
        <w:t xml:space="preserve">What is a Likert scale: Definition, types, examples &amp; questions [Blog </w:t>
      </w:r>
      <w:proofErr w:type="gramStart"/>
      <w:r w:rsidRPr="00CA7043">
        <w:rPr>
          <w:rFonts w:ascii="Times New Roman" w:hAnsi="Times New Roman" w:cs="Times New Roman"/>
          <w:b/>
          <w:bCs/>
          <w:sz w:val="24"/>
          <w:szCs w:val="24"/>
        </w:rPr>
        <w:t>post].</w:t>
      </w:r>
      <w:proofErr w:type="gram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ProProf</w:t>
      </w:r>
      <w:proofErr w:type="spellEnd"/>
      <w:r w:rsidRPr="00CA7043">
        <w:rPr>
          <w:rFonts w:ascii="Times New Roman" w:hAnsi="Times New Roman" w:cs="Times New Roman"/>
          <w:sz w:val="24"/>
          <w:szCs w:val="24"/>
        </w:rPr>
        <w:t xml:space="preserve"> Survey. https://www.proprofssurvey.com/blog/likert-scale/</w:t>
      </w:r>
    </w:p>
    <w:p w14:paraId="6873F42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36A794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Davidsson</w:t>
      </w:r>
      <w:proofErr w:type="spellEnd"/>
      <w:r w:rsidRPr="00CA7043">
        <w:rPr>
          <w:rFonts w:ascii="Times New Roman" w:hAnsi="Times New Roman" w:cs="Times New Roman"/>
          <w:sz w:val="24"/>
          <w:szCs w:val="24"/>
        </w:rPr>
        <w:t xml:space="preserve">, Å. (2020). </w:t>
      </w:r>
      <w:r w:rsidRPr="00CA7043">
        <w:rPr>
          <w:rFonts w:ascii="Times New Roman" w:hAnsi="Times New Roman" w:cs="Times New Roman"/>
          <w:b/>
          <w:bCs/>
          <w:sz w:val="24"/>
          <w:szCs w:val="24"/>
        </w:rPr>
        <w:t>Disasters as an opportunity for improved environmental conditions.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48, Article 101590. https://doi.org/10.1016/j.ijdrr.2020.101590</w:t>
      </w:r>
    </w:p>
    <w:p w14:paraId="66BC3F7C"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EDC60F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Delgado, R.C., </w:t>
      </w:r>
      <w:proofErr w:type="spellStart"/>
      <w:r w:rsidRPr="00CA7043">
        <w:rPr>
          <w:rFonts w:ascii="Times New Roman" w:hAnsi="Times New Roman" w:cs="Times New Roman"/>
          <w:sz w:val="24"/>
          <w:szCs w:val="24"/>
        </w:rPr>
        <w:t>Nillas</w:t>
      </w:r>
      <w:proofErr w:type="spellEnd"/>
      <w:r w:rsidRPr="00CA7043">
        <w:rPr>
          <w:rFonts w:ascii="Times New Roman" w:hAnsi="Times New Roman" w:cs="Times New Roman"/>
          <w:sz w:val="24"/>
          <w:szCs w:val="24"/>
        </w:rPr>
        <w:t xml:space="preserve">, A., Bustamante, H.S., </w:t>
      </w:r>
      <w:proofErr w:type="spellStart"/>
      <w:r w:rsidRPr="00CA7043">
        <w:rPr>
          <w:rFonts w:ascii="Times New Roman" w:hAnsi="Times New Roman" w:cs="Times New Roman"/>
          <w:sz w:val="24"/>
          <w:szCs w:val="24"/>
        </w:rPr>
        <w:t>Tracio</w:t>
      </w:r>
      <w:proofErr w:type="spellEnd"/>
      <w:r w:rsidRPr="00CA7043">
        <w:rPr>
          <w:rFonts w:ascii="Times New Roman" w:hAnsi="Times New Roman" w:cs="Times New Roman"/>
          <w:sz w:val="24"/>
          <w:szCs w:val="24"/>
        </w:rPr>
        <w:t xml:space="preserve">, J.A.W., &amp; </w:t>
      </w:r>
      <w:proofErr w:type="spellStart"/>
      <w:r w:rsidRPr="00CA7043">
        <w:rPr>
          <w:rFonts w:ascii="Times New Roman" w:hAnsi="Times New Roman" w:cs="Times New Roman"/>
          <w:sz w:val="24"/>
          <w:szCs w:val="24"/>
        </w:rPr>
        <w:t>Salindo</w:t>
      </w:r>
      <w:proofErr w:type="spellEnd"/>
      <w:r w:rsidRPr="00CA7043">
        <w:rPr>
          <w:rFonts w:ascii="Times New Roman" w:hAnsi="Times New Roman" w:cs="Times New Roman"/>
          <w:sz w:val="24"/>
          <w:szCs w:val="24"/>
        </w:rPr>
        <w:t xml:space="preserve">, P.P. (2024). </w:t>
      </w:r>
      <w:r w:rsidRPr="00CA7043">
        <w:rPr>
          <w:rFonts w:ascii="Times New Roman" w:hAnsi="Times New Roman" w:cs="Times New Roman"/>
          <w:b/>
          <w:bCs/>
          <w:sz w:val="24"/>
          <w:szCs w:val="24"/>
        </w:rPr>
        <w:t>Demographic profile and disaster readiness in the Philippines: Inputs for development strategies.</w:t>
      </w:r>
      <w:r w:rsidRPr="00CA7043">
        <w:rPr>
          <w:rFonts w:ascii="Times New Roman" w:hAnsi="Times New Roman" w:cs="Times New Roman"/>
          <w:sz w:val="24"/>
          <w:szCs w:val="24"/>
        </w:rPr>
        <w:t xml:space="preserve"> Asia Pacific Higher Education Research Journal, 12(1), 1-17.</w:t>
      </w:r>
    </w:p>
    <w:p w14:paraId="4780092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15EB9321"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97825C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614E9730"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Gandhi, R. (2024, April 26). </w:t>
      </w:r>
      <w:r w:rsidRPr="00CA7043">
        <w:rPr>
          <w:rFonts w:ascii="Times New Roman" w:hAnsi="Times New Roman" w:cs="Times New Roman"/>
          <w:b/>
          <w:bCs/>
          <w:sz w:val="24"/>
          <w:szCs w:val="24"/>
        </w:rPr>
        <w:t xml:space="preserve">Unlocking the secrets of the 4-point Likert scale: A comprehensive guide. </w:t>
      </w:r>
      <w:r w:rsidRPr="00CA7043">
        <w:rPr>
          <w:rFonts w:ascii="Times New Roman" w:hAnsi="Times New Roman" w:cs="Times New Roman"/>
          <w:sz w:val="24"/>
          <w:szCs w:val="24"/>
        </w:rPr>
        <w:t>Centilio. https://centilio.com/resources/unlocking-the-secrets-of-the-4-point-likert-scale-a-comprehensive-guide/</w:t>
      </w:r>
    </w:p>
    <w:p w14:paraId="1F0B005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419567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Goniewicz</w:t>
      </w:r>
      <w:proofErr w:type="spellEnd"/>
      <w:r w:rsidRPr="00CA7043">
        <w:rPr>
          <w:rFonts w:ascii="Times New Roman" w:hAnsi="Times New Roman" w:cs="Times New Roman"/>
          <w:sz w:val="24"/>
          <w:szCs w:val="24"/>
        </w:rPr>
        <w:t xml:space="preserve">, K., </w:t>
      </w:r>
      <w:proofErr w:type="spellStart"/>
      <w:r w:rsidRPr="00CA7043">
        <w:rPr>
          <w:rFonts w:ascii="Times New Roman" w:hAnsi="Times New Roman" w:cs="Times New Roman"/>
          <w:sz w:val="24"/>
          <w:szCs w:val="24"/>
        </w:rPr>
        <w:t>Goniewicz</w:t>
      </w:r>
      <w:proofErr w:type="spellEnd"/>
      <w:r w:rsidRPr="00CA7043">
        <w:rPr>
          <w:rFonts w:ascii="Times New Roman" w:hAnsi="Times New Roman" w:cs="Times New Roman"/>
          <w:sz w:val="24"/>
          <w:szCs w:val="24"/>
        </w:rPr>
        <w:t xml:space="preserve">, M., </w:t>
      </w:r>
      <w:proofErr w:type="spellStart"/>
      <w:r w:rsidRPr="00CA7043">
        <w:rPr>
          <w:rFonts w:ascii="Times New Roman" w:hAnsi="Times New Roman" w:cs="Times New Roman"/>
          <w:sz w:val="24"/>
          <w:szCs w:val="24"/>
        </w:rPr>
        <w:t>Burkle</w:t>
      </w:r>
      <w:proofErr w:type="spellEnd"/>
      <w:r w:rsidRPr="00CA7043">
        <w:rPr>
          <w:rFonts w:ascii="Times New Roman" w:hAnsi="Times New Roman" w:cs="Times New Roman"/>
          <w:sz w:val="24"/>
          <w:szCs w:val="24"/>
        </w:rPr>
        <w:t xml:space="preserve">, F. M., &amp; </w:t>
      </w:r>
      <w:proofErr w:type="spellStart"/>
      <w:r w:rsidRPr="00CA7043">
        <w:rPr>
          <w:rFonts w:ascii="Times New Roman" w:hAnsi="Times New Roman" w:cs="Times New Roman"/>
          <w:sz w:val="24"/>
          <w:szCs w:val="24"/>
        </w:rPr>
        <w:t>Khorram-Manesh</w:t>
      </w:r>
      <w:proofErr w:type="spellEnd"/>
      <w:r w:rsidRPr="00CA7043">
        <w:rPr>
          <w:rFonts w:ascii="Times New Roman" w:hAnsi="Times New Roman" w:cs="Times New Roman"/>
          <w:sz w:val="24"/>
          <w:szCs w:val="24"/>
        </w:rPr>
        <w:t xml:space="preserve">, A. (2020). </w:t>
      </w:r>
      <w:r w:rsidRPr="00CA7043">
        <w:rPr>
          <w:rFonts w:ascii="Times New Roman" w:hAnsi="Times New Roman" w:cs="Times New Roman"/>
          <w:b/>
          <w:bCs/>
          <w:sz w:val="24"/>
          <w:szCs w:val="24"/>
        </w:rPr>
        <w:t>The Impact of Experience, Length of Service, and Workplace Preparedness in Physicians' Readiness in the Response to Disasters.</w:t>
      </w:r>
      <w:r w:rsidRPr="00CA7043">
        <w:rPr>
          <w:rFonts w:ascii="Times New Roman" w:hAnsi="Times New Roman" w:cs="Times New Roman"/>
          <w:sz w:val="24"/>
          <w:szCs w:val="24"/>
        </w:rPr>
        <w:t> </w:t>
      </w:r>
      <w:r w:rsidRPr="00CA7043">
        <w:rPr>
          <w:rFonts w:ascii="Times New Roman" w:hAnsi="Times New Roman" w:cs="Times New Roman"/>
          <w:i/>
          <w:iCs/>
          <w:sz w:val="24"/>
          <w:szCs w:val="24"/>
        </w:rPr>
        <w:t>Journal of clinical medicine</w:t>
      </w:r>
      <w:r w:rsidRPr="00CA7043">
        <w:rPr>
          <w:rFonts w:ascii="Times New Roman" w:hAnsi="Times New Roman" w:cs="Times New Roman"/>
          <w:sz w:val="24"/>
          <w:szCs w:val="24"/>
        </w:rPr>
        <w:t>, </w:t>
      </w:r>
      <w:r w:rsidRPr="00CA7043">
        <w:rPr>
          <w:rFonts w:ascii="Times New Roman" w:hAnsi="Times New Roman" w:cs="Times New Roman"/>
          <w:i/>
          <w:iCs/>
          <w:sz w:val="24"/>
          <w:szCs w:val="24"/>
        </w:rPr>
        <w:t>9</w:t>
      </w:r>
      <w:r w:rsidRPr="00CA7043">
        <w:rPr>
          <w:rFonts w:ascii="Times New Roman" w:hAnsi="Times New Roman" w:cs="Times New Roman"/>
          <w:sz w:val="24"/>
          <w:szCs w:val="24"/>
        </w:rPr>
        <w:t>(10), 3328. https://doi.org/10.3390/jcm9103328</w:t>
      </w:r>
    </w:p>
    <w:p w14:paraId="5B16B79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18D398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Government of the Philippines. (2024, January 4). </w:t>
      </w:r>
      <w:r w:rsidRPr="00CA7043">
        <w:rPr>
          <w:rFonts w:ascii="Times New Roman" w:hAnsi="Times New Roman" w:cs="Times New Roman"/>
          <w:b/>
          <w:bCs/>
          <w:sz w:val="24"/>
          <w:szCs w:val="24"/>
        </w:rPr>
        <w:t xml:space="preserve">Philippines national disaster risk reduction and management plan 2020-2030 [Manual and guideline]. </w:t>
      </w:r>
      <w:r w:rsidRPr="00CA7043">
        <w:rPr>
          <w:rFonts w:ascii="Times New Roman" w:hAnsi="Times New Roman" w:cs="Times New Roman"/>
          <w:sz w:val="24"/>
          <w:szCs w:val="24"/>
        </w:rPr>
        <w:t>ReliefWeb. </w:t>
      </w:r>
      <w:hyperlink r:id="rId7" w:tgtFrame="_blank" w:history="1">
        <w:r w:rsidRPr="00CA7043">
          <w:rPr>
            <w:rFonts w:ascii="Times New Roman" w:hAnsi="Times New Roman" w:cs="Times New Roman"/>
            <w:sz w:val="24"/>
            <w:szCs w:val="24"/>
          </w:rPr>
          <w:t>https://reliefweb.int/report/philippines/philippines-national-disaster-risk-reduction-and-management-plan-2020-2030</w:t>
        </w:r>
      </w:hyperlink>
    </w:p>
    <w:p w14:paraId="71E5A41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1D43C2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Guimaraes, R., </w:t>
      </w:r>
      <w:proofErr w:type="spellStart"/>
      <w:r w:rsidRPr="00CA7043">
        <w:rPr>
          <w:rFonts w:ascii="Times New Roman" w:hAnsi="Times New Roman" w:cs="Times New Roman"/>
          <w:sz w:val="24"/>
          <w:szCs w:val="24"/>
        </w:rPr>
        <w:t>Mechler</w:t>
      </w:r>
      <w:proofErr w:type="spellEnd"/>
      <w:r w:rsidRPr="00CA7043">
        <w:rPr>
          <w:rFonts w:ascii="Times New Roman" w:hAnsi="Times New Roman" w:cs="Times New Roman"/>
          <w:sz w:val="24"/>
          <w:szCs w:val="24"/>
        </w:rPr>
        <w:t xml:space="preserve">, R., </w:t>
      </w:r>
      <w:proofErr w:type="spellStart"/>
      <w:r w:rsidRPr="00CA7043">
        <w:rPr>
          <w:rFonts w:ascii="Times New Roman" w:hAnsi="Times New Roman" w:cs="Times New Roman"/>
          <w:sz w:val="24"/>
          <w:szCs w:val="24"/>
        </w:rPr>
        <w:t>Velev</w:t>
      </w:r>
      <w:proofErr w:type="spellEnd"/>
      <w:r w:rsidRPr="00CA7043">
        <w:rPr>
          <w:rFonts w:ascii="Times New Roman" w:hAnsi="Times New Roman" w:cs="Times New Roman"/>
          <w:sz w:val="24"/>
          <w:szCs w:val="24"/>
        </w:rPr>
        <w:t xml:space="preserve">, S., and </w:t>
      </w:r>
      <w:proofErr w:type="spellStart"/>
      <w:r w:rsidRPr="00CA7043">
        <w:rPr>
          <w:rFonts w:ascii="Times New Roman" w:hAnsi="Times New Roman" w:cs="Times New Roman"/>
          <w:sz w:val="24"/>
          <w:szCs w:val="24"/>
        </w:rPr>
        <w:t>Chapagain</w:t>
      </w:r>
      <w:proofErr w:type="spellEnd"/>
      <w:r w:rsidRPr="00CA7043">
        <w:rPr>
          <w:rFonts w:ascii="Times New Roman" w:hAnsi="Times New Roman" w:cs="Times New Roman"/>
          <w:sz w:val="24"/>
          <w:szCs w:val="24"/>
        </w:rPr>
        <w:t xml:space="preserve">, D.: The effect of community resilience and disaster risk management cycle stages on </w:t>
      </w:r>
      <w:proofErr w:type="spellStart"/>
      <w:r w:rsidRPr="00CA7043">
        <w:rPr>
          <w:rFonts w:ascii="Times New Roman" w:hAnsi="Times New Roman" w:cs="Times New Roman"/>
          <w:sz w:val="24"/>
          <w:szCs w:val="24"/>
        </w:rPr>
        <w:t>morbi</w:t>
      </w:r>
      <w:proofErr w:type="spellEnd"/>
      <w:r w:rsidRPr="00CA7043">
        <w:rPr>
          <w:rFonts w:ascii="Times New Roman" w:hAnsi="Times New Roman" w:cs="Times New Roman"/>
          <w:sz w:val="24"/>
          <w:szCs w:val="24"/>
        </w:rPr>
        <w:t>-mortality following floods: an empirical assessment, Nat. Hazards Earth Syst. Sci., 25, 3803–3826, https://doi.org/10.5194/nhess-25-3803-2025, 2025.</w:t>
      </w:r>
    </w:p>
    <w:p w14:paraId="16156B15"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4EB9CB36"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Gundran</w:t>
      </w:r>
      <w:proofErr w:type="spellEnd"/>
      <w:r w:rsidRPr="00CA7043">
        <w:rPr>
          <w:rFonts w:ascii="Times New Roman" w:hAnsi="Times New Roman" w:cs="Times New Roman"/>
          <w:sz w:val="24"/>
          <w:szCs w:val="24"/>
        </w:rPr>
        <w:t xml:space="preserve">, C. P. D., </w:t>
      </w:r>
      <w:proofErr w:type="spellStart"/>
      <w:r w:rsidRPr="00CA7043">
        <w:rPr>
          <w:rFonts w:ascii="Times New Roman" w:hAnsi="Times New Roman" w:cs="Times New Roman"/>
          <w:sz w:val="24"/>
          <w:szCs w:val="24"/>
        </w:rPr>
        <w:t>Tinio</w:t>
      </w:r>
      <w:proofErr w:type="spellEnd"/>
      <w:r w:rsidRPr="00CA7043">
        <w:rPr>
          <w:rFonts w:ascii="Times New Roman" w:hAnsi="Times New Roman" w:cs="Times New Roman"/>
          <w:sz w:val="24"/>
          <w:szCs w:val="24"/>
        </w:rPr>
        <w:t xml:space="preserve">, P. M. M., Mendoza, M. L. M., &amp; Valerio, M. K. C. (2022). </w:t>
      </w:r>
      <w:r w:rsidRPr="00CA7043">
        <w:rPr>
          <w:rFonts w:ascii="Times New Roman" w:hAnsi="Times New Roman" w:cs="Times New Roman"/>
          <w:b/>
          <w:bCs/>
          <w:sz w:val="24"/>
          <w:szCs w:val="24"/>
        </w:rPr>
        <w:t>Enhancing mass casualty disaster management competencies through an integrated didactic and disaster simulation training approach.</w:t>
      </w:r>
      <w:r w:rsidRPr="00CA7043">
        <w:rPr>
          <w:rFonts w:ascii="Times New Roman" w:hAnsi="Times New Roman" w:cs="Times New Roman"/>
          <w:sz w:val="24"/>
          <w:szCs w:val="24"/>
        </w:rPr>
        <w:t>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w:t>
      </w:r>
      <w:r w:rsidRPr="00CA7043">
        <w:rPr>
          <w:rFonts w:ascii="Times New Roman" w:hAnsi="Times New Roman" w:cs="Times New Roman"/>
          <w:i/>
          <w:iCs/>
          <w:sz w:val="24"/>
          <w:szCs w:val="24"/>
        </w:rPr>
        <w:t>78</w:t>
      </w:r>
      <w:r w:rsidRPr="00CA7043">
        <w:rPr>
          <w:rFonts w:ascii="Times New Roman" w:hAnsi="Times New Roman" w:cs="Times New Roman"/>
          <w:sz w:val="24"/>
          <w:szCs w:val="24"/>
        </w:rPr>
        <w:t>, Article 103120. https://doi.org/10.1016/j.ijdrr.2022.103120</w:t>
      </w:r>
    </w:p>
    <w:p w14:paraId="48B5B481"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DDA8330"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Gundran</w:t>
      </w:r>
      <w:proofErr w:type="spellEnd"/>
      <w:r w:rsidRPr="00CA7043">
        <w:rPr>
          <w:rFonts w:ascii="Times New Roman" w:hAnsi="Times New Roman" w:cs="Times New Roman"/>
          <w:sz w:val="24"/>
          <w:szCs w:val="24"/>
        </w:rPr>
        <w:t xml:space="preserve">, C.P.D. (2023). </w:t>
      </w:r>
      <w:r w:rsidRPr="00CA7043">
        <w:rPr>
          <w:rFonts w:ascii="Times New Roman" w:hAnsi="Times New Roman" w:cs="Times New Roman"/>
          <w:b/>
          <w:bCs/>
          <w:sz w:val="24"/>
          <w:szCs w:val="24"/>
        </w:rPr>
        <w:t>Simulation Training Needs Assessment for Disaster Preparedness and Disaster Response Among Selected Agencies in National Capital Region,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DOI: 10.1016/j.ijdrr.2023.103824.</w:t>
      </w:r>
    </w:p>
    <w:p w14:paraId="42E7CFD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521D00E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Han, S., </w:t>
      </w:r>
      <w:proofErr w:type="spellStart"/>
      <w:r w:rsidRPr="00CA7043">
        <w:rPr>
          <w:rFonts w:ascii="Times New Roman" w:hAnsi="Times New Roman" w:cs="Times New Roman"/>
          <w:sz w:val="24"/>
          <w:szCs w:val="24"/>
        </w:rPr>
        <w:t>Jeong</w:t>
      </w:r>
      <w:proofErr w:type="spellEnd"/>
      <w:r w:rsidRPr="00CA7043">
        <w:rPr>
          <w:rFonts w:ascii="Times New Roman" w:hAnsi="Times New Roman" w:cs="Times New Roman"/>
          <w:sz w:val="24"/>
          <w:szCs w:val="24"/>
        </w:rPr>
        <w:t xml:space="preserve">, H. </w:t>
      </w:r>
      <w:r w:rsidRPr="00CA7043">
        <w:rPr>
          <w:rFonts w:ascii="Times New Roman" w:hAnsi="Times New Roman" w:cs="Times New Roman"/>
          <w:b/>
          <w:bCs/>
          <w:sz w:val="24"/>
          <w:szCs w:val="24"/>
        </w:rPr>
        <w:t>Research on efficient relief logistics planning under massive natural disasters</w:t>
      </w:r>
      <w:r w:rsidRPr="00CA7043">
        <w:rPr>
          <w:rFonts w:ascii="Times New Roman" w:hAnsi="Times New Roman" w:cs="Times New Roman"/>
          <w:sz w:val="24"/>
          <w:szCs w:val="24"/>
        </w:rPr>
        <w:t>. Sci Rep 15, 11595 (2025). https://doi.org/10.1038/s41598-025-91024-w</w:t>
      </w:r>
    </w:p>
    <w:p w14:paraId="3DB8BF04"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384C428"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Hermosura</w:t>
      </w:r>
      <w:proofErr w:type="spellEnd"/>
      <w:r w:rsidRPr="00CA7043">
        <w:rPr>
          <w:rFonts w:ascii="Times New Roman" w:hAnsi="Times New Roman" w:cs="Times New Roman"/>
          <w:sz w:val="24"/>
          <w:szCs w:val="24"/>
        </w:rPr>
        <w:t xml:space="preserve">, M. J. E., </w:t>
      </w:r>
      <w:proofErr w:type="spellStart"/>
      <w:r w:rsidRPr="00CA7043">
        <w:rPr>
          <w:rFonts w:ascii="Times New Roman" w:hAnsi="Times New Roman" w:cs="Times New Roman"/>
          <w:sz w:val="24"/>
          <w:szCs w:val="24"/>
        </w:rPr>
        <w:t>Decendario</w:t>
      </w:r>
      <w:proofErr w:type="spellEnd"/>
      <w:r w:rsidRPr="00CA7043">
        <w:rPr>
          <w:rFonts w:ascii="Times New Roman" w:hAnsi="Times New Roman" w:cs="Times New Roman"/>
          <w:sz w:val="24"/>
          <w:szCs w:val="24"/>
        </w:rPr>
        <w:t xml:space="preserve">, A. C. C., &amp; </w:t>
      </w:r>
      <w:proofErr w:type="spellStart"/>
      <w:r w:rsidRPr="00CA7043">
        <w:rPr>
          <w:rFonts w:ascii="Times New Roman" w:hAnsi="Times New Roman" w:cs="Times New Roman"/>
          <w:sz w:val="24"/>
          <w:szCs w:val="24"/>
        </w:rPr>
        <w:t>Chiong</w:t>
      </w:r>
      <w:proofErr w:type="spellEnd"/>
      <w:r w:rsidRPr="00CA7043">
        <w:rPr>
          <w:rFonts w:ascii="Times New Roman" w:hAnsi="Times New Roman" w:cs="Times New Roman"/>
          <w:sz w:val="24"/>
          <w:szCs w:val="24"/>
        </w:rPr>
        <w:t xml:space="preserve">, L. A. (2025). </w:t>
      </w:r>
      <w:r w:rsidRPr="00CA7043">
        <w:rPr>
          <w:rFonts w:ascii="Times New Roman" w:hAnsi="Times New Roman" w:cs="Times New Roman"/>
          <w:b/>
          <w:bCs/>
          <w:sz w:val="24"/>
          <w:szCs w:val="24"/>
        </w:rPr>
        <w:t>The Philippine disaster risk reduction and management in health: A sequential explanatory approach.</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Journal of Innovation and Practice</w:t>
      </w:r>
      <w:r w:rsidRPr="00CA7043">
        <w:rPr>
          <w:rFonts w:ascii="Times New Roman" w:hAnsi="Times New Roman" w:cs="Times New Roman"/>
          <w:sz w:val="24"/>
          <w:szCs w:val="24"/>
        </w:rPr>
        <w:t>, 4(4). https://doi.org/10.69569/jip.2025.404</w:t>
      </w:r>
    </w:p>
    <w:p w14:paraId="47662C3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35BB1339"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Huang, N., Che, Y., Hu, X., Liu, J., &amp; He, C. (2024). </w:t>
      </w:r>
      <w:r w:rsidRPr="00CA7043">
        <w:rPr>
          <w:rFonts w:ascii="Times New Roman" w:hAnsi="Times New Roman" w:cs="Times New Roman"/>
          <w:b/>
          <w:bCs/>
          <w:sz w:val="24"/>
          <w:szCs w:val="24"/>
        </w:rPr>
        <w:t>Current Status and Factors Influencing Emergency Response Capability of Shared Nurses in the Internet + Nursing Service Model: A Descriptive Cross-Sectional Study.</w:t>
      </w:r>
      <w:r w:rsidRPr="00CA7043">
        <w:rPr>
          <w:rFonts w:ascii="Times New Roman" w:hAnsi="Times New Roman" w:cs="Times New Roman"/>
          <w:sz w:val="24"/>
          <w:szCs w:val="24"/>
        </w:rPr>
        <w:t> </w:t>
      </w:r>
      <w:r w:rsidRPr="00CA7043">
        <w:rPr>
          <w:rFonts w:ascii="Times New Roman" w:hAnsi="Times New Roman" w:cs="Times New Roman"/>
          <w:i/>
          <w:iCs/>
          <w:sz w:val="24"/>
          <w:szCs w:val="24"/>
        </w:rPr>
        <w:t>Risk management and healthcare policy</w:t>
      </w:r>
      <w:r w:rsidRPr="00CA7043">
        <w:rPr>
          <w:rFonts w:ascii="Times New Roman" w:hAnsi="Times New Roman" w:cs="Times New Roman"/>
          <w:sz w:val="24"/>
          <w:szCs w:val="24"/>
        </w:rPr>
        <w:t>, </w:t>
      </w:r>
      <w:r w:rsidRPr="00CA7043">
        <w:rPr>
          <w:rFonts w:ascii="Times New Roman" w:hAnsi="Times New Roman" w:cs="Times New Roman"/>
          <w:i/>
          <w:iCs/>
          <w:sz w:val="24"/>
          <w:szCs w:val="24"/>
        </w:rPr>
        <w:t>17</w:t>
      </w:r>
      <w:r w:rsidRPr="00CA7043">
        <w:rPr>
          <w:rFonts w:ascii="Times New Roman" w:hAnsi="Times New Roman" w:cs="Times New Roman"/>
          <w:sz w:val="24"/>
          <w:szCs w:val="24"/>
        </w:rPr>
        <w:t>, 803–814. https://doi.org/10.2147/RMHP.S452053</w:t>
      </w:r>
    </w:p>
    <w:p w14:paraId="64DD31FE"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14D3D7A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Huber, E., Muñoz Nieves, C., Poole, N., &amp; Greaves, L. (2025). Gender and Emergency Management: A Framework </w:t>
      </w:r>
      <w:proofErr w:type="gramStart"/>
      <w:r w:rsidRPr="00CA7043">
        <w:rPr>
          <w:rFonts w:ascii="Times New Roman" w:hAnsi="Times New Roman" w:cs="Times New Roman"/>
          <w:sz w:val="24"/>
          <w:szCs w:val="24"/>
        </w:rPr>
        <w:t>For</w:t>
      </w:r>
      <w:proofErr w:type="gramEnd"/>
      <w:r w:rsidRPr="00CA7043">
        <w:rPr>
          <w:rFonts w:ascii="Times New Roman" w:hAnsi="Times New Roman" w:cs="Times New Roman"/>
          <w:sz w:val="24"/>
          <w:szCs w:val="24"/>
        </w:rPr>
        <w:t xml:space="preserve"> Action. Vancouver, BC Canada: Centre of Excellence for Women’s Health.</w:t>
      </w:r>
    </w:p>
    <w:p w14:paraId="1E042D1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142403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Idukunda</w:t>
      </w:r>
      <w:proofErr w:type="spellEnd"/>
      <w:r w:rsidRPr="00CA7043">
        <w:rPr>
          <w:rFonts w:ascii="Times New Roman" w:hAnsi="Times New Roman" w:cs="Times New Roman"/>
          <w:sz w:val="24"/>
          <w:szCs w:val="24"/>
        </w:rPr>
        <w:t xml:space="preserve">, C., Henry, S., </w:t>
      </w:r>
      <w:proofErr w:type="spellStart"/>
      <w:r w:rsidRPr="00CA7043">
        <w:rPr>
          <w:rFonts w:ascii="Times New Roman" w:hAnsi="Times New Roman" w:cs="Times New Roman"/>
          <w:sz w:val="24"/>
          <w:szCs w:val="24"/>
        </w:rPr>
        <w:t>Twarabamenye</w:t>
      </w:r>
      <w:proofErr w:type="spellEnd"/>
      <w:r w:rsidRPr="00CA7043">
        <w:rPr>
          <w:rFonts w:ascii="Times New Roman" w:hAnsi="Times New Roman" w:cs="Times New Roman"/>
          <w:sz w:val="24"/>
          <w:szCs w:val="24"/>
        </w:rPr>
        <w:t xml:space="preserve">, E., De </w:t>
      </w:r>
      <w:proofErr w:type="spellStart"/>
      <w:r w:rsidRPr="00CA7043">
        <w:rPr>
          <w:rFonts w:ascii="Times New Roman" w:hAnsi="Times New Roman" w:cs="Times New Roman"/>
          <w:sz w:val="24"/>
          <w:szCs w:val="24"/>
        </w:rPr>
        <w:t>Longueville</w:t>
      </w:r>
      <w:proofErr w:type="spellEnd"/>
      <w:r w:rsidRPr="00CA7043">
        <w:rPr>
          <w:rFonts w:ascii="Times New Roman" w:hAnsi="Times New Roman" w:cs="Times New Roman"/>
          <w:sz w:val="24"/>
          <w:szCs w:val="24"/>
        </w:rPr>
        <w:t xml:space="preserve">, F., and </w:t>
      </w:r>
      <w:proofErr w:type="spellStart"/>
      <w:r w:rsidRPr="00CA7043">
        <w:rPr>
          <w:rFonts w:ascii="Times New Roman" w:hAnsi="Times New Roman" w:cs="Times New Roman"/>
          <w:sz w:val="24"/>
          <w:szCs w:val="24"/>
        </w:rPr>
        <w:t>Michellier</w:t>
      </w:r>
      <w:proofErr w:type="spellEnd"/>
      <w:r w:rsidRPr="00CA7043">
        <w:rPr>
          <w:rFonts w:ascii="Times New Roman" w:hAnsi="Times New Roman" w:cs="Times New Roman"/>
          <w:sz w:val="24"/>
          <w:szCs w:val="24"/>
        </w:rPr>
        <w:t xml:space="preserve">, C. (2025). </w:t>
      </w:r>
      <w:r w:rsidRPr="00CA7043">
        <w:rPr>
          <w:rFonts w:ascii="Times New Roman" w:hAnsi="Times New Roman" w:cs="Times New Roman"/>
          <w:b/>
          <w:bCs/>
          <w:sz w:val="24"/>
          <w:szCs w:val="24"/>
        </w:rPr>
        <w:t>Evaluating Disaster Risk Management System: A Case Study of Rwanda's Response to the 2nd–3rd May 2023 disaster event</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EGUsphere</w:t>
      </w:r>
      <w:proofErr w:type="spellEnd"/>
      <w:r w:rsidRPr="00CA7043">
        <w:rPr>
          <w:rFonts w:ascii="Times New Roman" w:hAnsi="Times New Roman" w:cs="Times New Roman"/>
          <w:sz w:val="24"/>
          <w:szCs w:val="24"/>
        </w:rPr>
        <w:t xml:space="preserve"> [preprint], https://doi.org/10.5194/egusphere-2025-2112, 2025.</w:t>
      </w:r>
    </w:p>
    <w:p w14:paraId="05A56F2C" w14:textId="77777777" w:rsidR="00CA7043" w:rsidRPr="00CA7043" w:rsidRDefault="00CA7043" w:rsidP="00A67C74">
      <w:pPr>
        <w:spacing w:after="0" w:line="240" w:lineRule="auto"/>
        <w:ind w:right="72"/>
        <w:contextualSpacing/>
        <w:jc w:val="both"/>
        <w:rPr>
          <w:rFonts w:ascii="Times New Roman" w:hAnsi="Times New Roman" w:cs="Times New Roman"/>
          <w:sz w:val="24"/>
          <w:szCs w:val="24"/>
        </w:rPr>
      </w:pPr>
    </w:p>
    <w:p w14:paraId="36A69685"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Jacinto, J. W. V., </w:t>
      </w:r>
      <w:proofErr w:type="spellStart"/>
      <w:r w:rsidRPr="00CA7043">
        <w:rPr>
          <w:rFonts w:ascii="Times New Roman" w:hAnsi="Times New Roman" w:cs="Times New Roman"/>
          <w:sz w:val="24"/>
          <w:szCs w:val="24"/>
        </w:rPr>
        <w:t>Bernido</w:t>
      </w:r>
      <w:proofErr w:type="spellEnd"/>
      <w:r w:rsidRPr="00CA7043">
        <w:rPr>
          <w:rFonts w:ascii="Times New Roman" w:hAnsi="Times New Roman" w:cs="Times New Roman"/>
          <w:sz w:val="24"/>
          <w:szCs w:val="24"/>
        </w:rPr>
        <w:t xml:space="preserve">, V. B., &amp; Flores, B. C. (2025, Fall). </w:t>
      </w:r>
      <w:r w:rsidRPr="00CA7043">
        <w:rPr>
          <w:rFonts w:ascii="Times New Roman" w:hAnsi="Times New Roman" w:cs="Times New Roman"/>
          <w:b/>
          <w:bCs/>
          <w:sz w:val="24"/>
          <w:szCs w:val="24"/>
        </w:rPr>
        <w:t xml:space="preserve">Geographic and socioeconomic predictors of disaster preparedness among barangay health emergency responders and residents: Evidence from </w:t>
      </w:r>
      <w:proofErr w:type="spellStart"/>
      <w:r w:rsidRPr="00CA7043">
        <w:rPr>
          <w:rFonts w:ascii="Times New Roman" w:hAnsi="Times New Roman" w:cs="Times New Roman"/>
          <w:b/>
          <w:bCs/>
          <w:sz w:val="24"/>
          <w:szCs w:val="24"/>
        </w:rPr>
        <w:t>Dapitan</w:t>
      </w:r>
      <w:proofErr w:type="spellEnd"/>
      <w:r w:rsidRPr="00CA7043">
        <w:rPr>
          <w:rFonts w:ascii="Times New Roman" w:hAnsi="Times New Roman" w:cs="Times New Roman"/>
          <w:b/>
          <w:bCs/>
          <w:sz w:val="24"/>
          <w:szCs w:val="24"/>
        </w:rPr>
        <w:t xml:space="preserve"> City.</w:t>
      </w:r>
      <w:r w:rsidRPr="00CA7043">
        <w:rPr>
          <w:rFonts w:ascii="Times New Roman" w:hAnsi="Times New Roman" w:cs="Times New Roman"/>
          <w:sz w:val="24"/>
          <w:szCs w:val="24"/>
        </w:rPr>
        <w:t> </w:t>
      </w:r>
      <w:r w:rsidRPr="00CA7043">
        <w:rPr>
          <w:rFonts w:ascii="Times New Roman" w:hAnsi="Times New Roman" w:cs="Times New Roman"/>
          <w:i/>
          <w:iCs/>
          <w:sz w:val="24"/>
          <w:szCs w:val="24"/>
        </w:rPr>
        <w:t>FWU Journal of Social Sciences</w:t>
      </w:r>
      <w:r w:rsidRPr="00CA7043">
        <w:rPr>
          <w:rFonts w:ascii="Times New Roman" w:hAnsi="Times New Roman" w:cs="Times New Roman"/>
          <w:sz w:val="24"/>
          <w:szCs w:val="24"/>
        </w:rPr>
        <w:t>, </w:t>
      </w:r>
      <w:r w:rsidRPr="00CA7043">
        <w:rPr>
          <w:rFonts w:ascii="Times New Roman" w:hAnsi="Times New Roman" w:cs="Times New Roman"/>
          <w:i/>
          <w:iCs/>
          <w:sz w:val="24"/>
          <w:szCs w:val="24"/>
        </w:rPr>
        <w:t>19</w:t>
      </w:r>
      <w:r w:rsidRPr="00CA7043">
        <w:rPr>
          <w:rFonts w:ascii="Times New Roman" w:hAnsi="Times New Roman" w:cs="Times New Roman"/>
          <w:sz w:val="24"/>
          <w:szCs w:val="24"/>
        </w:rPr>
        <w:t>(3), 79–95. https://doi.org/10.51709/19951272/Fall2025/6</w:t>
      </w:r>
    </w:p>
    <w:p w14:paraId="2FE93440" w14:textId="77777777" w:rsidR="00CA7043" w:rsidRPr="00CA7043" w:rsidRDefault="00CA7043" w:rsidP="007B23C2">
      <w:pPr>
        <w:spacing w:after="0" w:line="240" w:lineRule="auto"/>
        <w:jc w:val="both"/>
        <w:rPr>
          <w:rFonts w:ascii="Times New Roman" w:hAnsi="Times New Roman" w:cs="Times New Roman"/>
          <w:sz w:val="24"/>
          <w:szCs w:val="24"/>
        </w:rPr>
      </w:pPr>
    </w:p>
    <w:p w14:paraId="20863D1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Kim, Y., Kim, H., &amp; Nam, S. (2022). </w:t>
      </w:r>
      <w:r w:rsidRPr="00CA7043">
        <w:rPr>
          <w:rFonts w:ascii="Times New Roman" w:hAnsi="Times New Roman" w:cs="Times New Roman"/>
          <w:b/>
          <w:bCs/>
          <w:sz w:val="24"/>
          <w:szCs w:val="24"/>
        </w:rPr>
        <w:t>Factors affecting household disaster preparedness in South Korea</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PLoS</w:t>
      </w:r>
      <w:proofErr w:type="spellEnd"/>
      <w:r w:rsidRPr="00CA7043">
        <w:rPr>
          <w:rFonts w:ascii="Times New Roman" w:hAnsi="Times New Roman" w:cs="Times New Roman"/>
          <w:sz w:val="24"/>
          <w:szCs w:val="24"/>
        </w:rPr>
        <w:t xml:space="preserve"> ONE, 17(10), Article e0275540. https://doi.org/10.1371/journal.pone.0275540</w:t>
      </w:r>
    </w:p>
    <w:p w14:paraId="58E34E6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343F9E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Klein TA, Williams J, Irizarry L. </w:t>
      </w:r>
      <w:r w:rsidRPr="00CA7043">
        <w:rPr>
          <w:rFonts w:ascii="Times New Roman" w:hAnsi="Times New Roman" w:cs="Times New Roman"/>
          <w:b/>
          <w:bCs/>
          <w:sz w:val="24"/>
          <w:szCs w:val="24"/>
        </w:rPr>
        <w:t>EMS Disaster Response</w:t>
      </w:r>
      <w:r w:rsidRPr="00CA7043">
        <w:rPr>
          <w:rFonts w:ascii="Times New Roman" w:hAnsi="Times New Roman" w:cs="Times New Roman"/>
          <w:sz w:val="24"/>
          <w:szCs w:val="24"/>
        </w:rPr>
        <w:t xml:space="preserve">. [Updated 2023 Jul 17]. In: </w:t>
      </w:r>
      <w:proofErr w:type="spellStart"/>
      <w:r w:rsidRPr="00CA7043">
        <w:rPr>
          <w:rFonts w:ascii="Times New Roman" w:hAnsi="Times New Roman" w:cs="Times New Roman"/>
          <w:sz w:val="24"/>
          <w:szCs w:val="24"/>
        </w:rPr>
        <w:t>StatPearls</w:t>
      </w:r>
      <w:proofErr w:type="spellEnd"/>
      <w:r w:rsidRPr="00CA7043">
        <w:rPr>
          <w:rFonts w:ascii="Times New Roman" w:hAnsi="Times New Roman" w:cs="Times New Roman"/>
          <w:sz w:val="24"/>
          <w:szCs w:val="24"/>
        </w:rPr>
        <w:t xml:space="preserve"> [Internet]. Treasure Island (FL): </w:t>
      </w:r>
      <w:proofErr w:type="spellStart"/>
      <w:r w:rsidRPr="00CA7043">
        <w:rPr>
          <w:rFonts w:ascii="Times New Roman" w:hAnsi="Times New Roman" w:cs="Times New Roman"/>
          <w:sz w:val="24"/>
          <w:szCs w:val="24"/>
        </w:rPr>
        <w:t>StatPearls</w:t>
      </w:r>
      <w:proofErr w:type="spellEnd"/>
      <w:r w:rsidRPr="00CA7043">
        <w:rPr>
          <w:rFonts w:ascii="Times New Roman" w:hAnsi="Times New Roman" w:cs="Times New Roman"/>
          <w:sz w:val="24"/>
          <w:szCs w:val="24"/>
        </w:rPr>
        <w:t xml:space="preserve"> Publishing; 2025 Jan-. Available from: https://www.ncbi.nlm.nih.gov/books/NBK560710/</w:t>
      </w:r>
    </w:p>
    <w:p w14:paraId="01D79C2B"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78ED16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Kovalevski</w:t>
      </w:r>
      <w:proofErr w:type="spellEnd"/>
      <w:r w:rsidRPr="00CA7043">
        <w:rPr>
          <w:rFonts w:ascii="Times New Roman" w:hAnsi="Times New Roman" w:cs="Times New Roman"/>
          <w:sz w:val="24"/>
          <w:szCs w:val="24"/>
        </w:rPr>
        <w:t xml:space="preserve">, V. (n.d.). </w:t>
      </w:r>
      <w:r w:rsidRPr="00CA7043">
        <w:rPr>
          <w:rFonts w:ascii="Times New Roman" w:hAnsi="Times New Roman" w:cs="Times New Roman"/>
          <w:b/>
          <w:bCs/>
          <w:sz w:val="24"/>
          <w:szCs w:val="24"/>
        </w:rPr>
        <w:t xml:space="preserve">Capacity building for disaster risk management. </w:t>
      </w:r>
      <w:proofErr w:type="spellStart"/>
      <w:r w:rsidRPr="00CA7043">
        <w:rPr>
          <w:rFonts w:ascii="Times New Roman" w:hAnsi="Times New Roman" w:cs="Times New Roman"/>
          <w:b/>
          <w:bCs/>
          <w:sz w:val="24"/>
          <w:szCs w:val="24"/>
        </w:rPr>
        <w:t>PrepareCenter</w:t>
      </w:r>
      <w:proofErr w:type="spellEnd"/>
      <w:r w:rsidRPr="00CA7043">
        <w:rPr>
          <w:rFonts w:ascii="Times New Roman" w:hAnsi="Times New Roman" w:cs="Times New Roman"/>
          <w:b/>
          <w:bCs/>
          <w:sz w:val="24"/>
          <w:szCs w:val="24"/>
        </w:rPr>
        <w:t>.</w:t>
      </w:r>
      <w:r w:rsidRPr="00CA7043">
        <w:rPr>
          <w:rFonts w:ascii="Times New Roman" w:hAnsi="Times New Roman" w:cs="Times New Roman"/>
          <w:sz w:val="24"/>
          <w:szCs w:val="24"/>
        </w:rPr>
        <w:t xml:space="preserve"> https://preparecenter.org/topic/capacity-building-disaster-risk-management/</w:t>
      </w:r>
    </w:p>
    <w:p w14:paraId="4D03FD3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D16ED12" w14:textId="77777777" w:rsidR="00CA7043" w:rsidRPr="00CA7043" w:rsidRDefault="00CA7043" w:rsidP="00FD142E">
      <w:pPr>
        <w:spacing w:after="0" w:line="240" w:lineRule="auto"/>
        <w:ind w:left="720" w:hanging="720"/>
        <w:jc w:val="both"/>
        <w:rPr>
          <w:rFonts w:ascii="Times New Roman" w:hAnsi="Times New Roman" w:cs="Times New Roman"/>
          <w:b/>
          <w:bCs/>
          <w:sz w:val="24"/>
          <w:szCs w:val="24"/>
        </w:rPr>
      </w:pPr>
      <w:r w:rsidRPr="00CA7043">
        <w:rPr>
          <w:rFonts w:ascii="Times New Roman" w:hAnsi="Times New Roman" w:cs="Times New Roman"/>
          <w:sz w:val="24"/>
          <w:szCs w:val="24"/>
          <w:lang w:val="nl-NL"/>
        </w:rPr>
        <w:t xml:space="preserve">Krichen, M., Abdalzaher, M. S., Elwekeil, M., &amp; Fouda, M. M. (2024). </w:t>
      </w:r>
      <w:r w:rsidRPr="00CA7043">
        <w:rPr>
          <w:rFonts w:ascii="Times New Roman" w:hAnsi="Times New Roman" w:cs="Times New Roman"/>
          <w:b/>
          <w:bCs/>
          <w:sz w:val="24"/>
          <w:szCs w:val="24"/>
        </w:rPr>
        <w:t>Managing</w:t>
      </w:r>
    </w:p>
    <w:p w14:paraId="63919232" w14:textId="77777777" w:rsidR="00CA7043" w:rsidRPr="00CA7043" w:rsidRDefault="00CA7043" w:rsidP="00FD142E">
      <w:pPr>
        <w:spacing w:after="0" w:line="240" w:lineRule="auto"/>
        <w:ind w:left="720"/>
        <w:jc w:val="both"/>
        <w:rPr>
          <w:rFonts w:ascii="Times New Roman" w:hAnsi="Times New Roman" w:cs="Times New Roman"/>
          <w:sz w:val="24"/>
          <w:szCs w:val="24"/>
        </w:rPr>
      </w:pPr>
      <w:r w:rsidRPr="00CA7043">
        <w:rPr>
          <w:rFonts w:ascii="Times New Roman" w:hAnsi="Times New Roman" w:cs="Times New Roman"/>
          <w:b/>
          <w:bCs/>
          <w:sz w:val="24"/>
          <w:szCs w:val="24"/>
        </w:rPr>
        <w:t>natural disasters: An analysis of technological advancements, opportunities, and challenges.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Internet of Things and Cyber-Physical Systems</w:t>
      </w:r>
      <w:r w:rsidRPr="00CA7043">
        <w:rPr>
          <w:rFonts w:ascii="Times New Roman" w:hAnsi="Times New Roman" w:cs="Times New Roman"/>
          <w:sz w:val="24"/>
          <w:szCs w:val="24"/>
        </w:rPr>
        <w:t>, 4, 99–109. https://doi.org/10.1016/j.iotcps.2023.09.002</w:t>
      </w:r>
    </w:p>
    <w:p w14:paraId="62A26D0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C3D1F0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Kristin Joy A. Mendoza (2025). </w:t>
      </w:r>
      <w:r w:rsidRPr="00CA7043">
        <w:rPr>
          <w:rFonts w:ascii="Times New Roman" w:hAnsi="Times New Roman" w:cs="Times New Roman"/>
          <w:b/>
          <w:bCs/>
          <w:sz w:val="24"/>
          <w:szCs w:val="24"/>
        </w:rPr>
        <w:t>Disaster Risk Reduction and Management among Local Universities and Colleges in Central Luzon,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Research and Innovation in Social Science</w:t>
      </w:r>
      <w:r w:rsidRPr="00CA7043">
        <w:rPr>
          <w:rFonts w:ascii="Times New Roman" w:hAnsi="Times New Roman" w:cs="Times New Roman"/>
          <w:sz w:val="24"/>
          <w:szCs w:val="24"/>
        </w:rPr>
        <w:t xml:space="preserve"> (IJRISS), 9(04), 2223-2241. https://doi.org/https://dx.doi.org/10.47772/IJRISS.2025.90400168</w:t>
      </w:r>
    </w:p>
    <w:p w14:paraId="1FDC0A9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78EFB6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Lagunas, R., &amp; Jackson, R. (2025, October 13). </w:t>
      </w:r>
      <w:r w:rsidRPr="00CA7043">
        <w:rPr>
          <w:rFonts w:ascii="Times New Roman" w:hAnsi="Times New Roman" w:cs="Times New Roman"/>
          <w:i/>
          <w:iCs/>
          <w:sz w:val="24"/>
          <w:szCs w:val="24"/>
        </w:rPr>
        <w:t>Women's leadership at the heart of disaster risk reduction</w:t>
      </w:r>
      <w:r w:rsidRPr="00CA7043">
        <w:rPr>
          <w:rFonts w:ascii="Times New Roman" w:hAnsi="Times New Roman" w:cs="Times New Roman"/>
          <w:sz w:val="24"/>
          <w:szCs w:val="24"/>
        </w:rPr>
        <w:t>. United Nations Development Programme. https://www.undp.org/blog/womens-leadership-heart-disaster-risk-reduction</w:t>
      </w:r>
    </w:p>
    <w:p w14:paraId="235063C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E0FD72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Lu, Y., &amp; Wang, Y. (2023). </w:t>
      </w:r>
      <w:r w:rsidRPr="00CA7043">
        <w:rPr>
          <w:rFonts w:ascii="Times New Roman" w:hAnsi="Times New Roman" w:cs="Times New Roman"/>
          <w:b/>
          <w:bCs/>
          <w:sz w:val="24"/>
          <w:szCs w:val="24"/>
        </w:rPr>
        <w:t>Dynamic analysis of NGO emergency relief goods supply: 2020 Hubei COVID-19 as a case.</w:t>
      </w:r>
      <w:r w:rsidRPr="00CA7043">
        <w:rPr>
          <w:rFonts w:ascii="Times New Roman" w:hAnsi="Times New Roman" w:cs="Times New Roman"/>
          <w:sz w:val="24"/>
          <w:szCs w:val="24"/>
        </w:rPr>
        <w:t> </w:t>
      </w:r>
      <w:r w:rsidRPr="00CA7043">
        <w:rPr>
          <w:rFonts w:ascii="Times New Roman" w:hAnsi="Times New Roman" w:cs="Times New Roman"/>
          <w:i/>
          <w:iCs/>
          <w:sz w:val="24"/>
          <w:szCs w:val="24"/>
        </w:rPr>
        <w:t>Frontiers in Public Health, 11</w:t>
      </w:r>
      <w:r w:rsidRPr="00CA7043">
        <w:rPr>
          <w:rFonts w:ascii="Times New Roman" w:hAnsi="Times New Roman" w:cs="Times New Roman"/>
          <w:sz w:val="24"/>
          <w:szCs w:val="24"/>
        </w:rPr>
        <w:t>, 1037846. https://doi.org/10.3389/fpubh.2023.1037846</w:t>
      </w:r>
    </w:p>
    <w:p w14:paraId="20BEC10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100D22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lang w:val="nl-NL"/>
        </w:rPr>
      </w:pPr>
      <w:proofErr w:type="spellStart"/>
      <w:r w:rsidRPr="00CA7043">
        <w:rPr>
          <w:rFonts w:ascii="Times New Roman" w:hAnsi="Times New Roman" w:cs="Times New Roman"/>
          <w:sz w:val="24"/>
          <w:szCs w:val="24"/>
        </w:rPr>
        <w:t>Matekenya</w:t>
      </w:r>
      <w:proofErr w:type="spellEnd"/>
      <w:r w:rsidRPr="00CA7043">
        <w:rPr>
          <w:rFonts w:ascii="Times New Roman" w:hAnsi="Times New Roman" w:cs="Times New Roman"/>
          <w:sz w:val="24"/>
          <w:szCs w:val="24"/>
        </w:rPr>
        <w:t xml:space="preserve"> T, </w:t>
      </w:r>
      <w:proofErr w:type="spellStart"/>
      <w:r w:rsidRPr="00CA7043">
        <w:rPr>
          <w:rFonts w:ascii="Times New Roman" w:hAnsi="Times New Roman" w:cs="Times New Roman"/>
          <w:sz w:val="24"/>
          <w:szCs w:val="24"/>
        </w:rPr>
        <w:t>Ruhode</w:t>
      </w:r>
      <w:proofErr w:type="spellEnd"/>
      <w:r w:rsidRPr="00CA7043">
        <w:rPr>
          <w:rFonts w:ascii="Times New Roman" w:hAnsi="Times New Roman" w:cs="Times New Roman"/>
          <w:sz w:val="24"/>
          <w:szCs w:val="24"/>
        </w:rPr>
        <w:t xml:space="preserve"> E. </w:t>
      </w:r>
      <w:proofErr w:type="spellStart"/>
      <w:r w:rsidRPr="00CA7043">
        <w:rPr>
          <w:rFonts w:ascii="Times New Roman" w:hAnsi="Times New Roman" w:cs="Times New Roman"/>
          <w:b/>
          <w:bCs/>
          <w:sz w:val="24"/>
          <w:szCs w:val="24"/>
        </w:rPr>
        <w:t>Optimising</w:t>
      </w:r>
      <w:proofErr w:type="spellEnd"/>
      <w:r w:rsidRPr="00CA7043">
        <w:rPr>
          <w:rFonts w:ascii="Times New Roman" w:hAnsi="Times New Roman" w:cs="Times New Roman"/>
          <w:b/>
          <w:bCs/>
          <w:sz w:val="24"/>
          <w:szCs w:val="24"/>
        </w:rPr>
        <w:t xml:space="preserve"> knowledge management practices for improved collaboration in disaster response</w:t>
      </w:r>
      <w:r w:rsidRPr="00CA7043">
        <w:rPr>
          <w:rFonts w:ascii="Times New Roman" w:hAnsi="Times New Roman" w:cs="Times New Roman"/>
          <w:sz w:val="24"/>
          <w:szCs w:val="24"/>
        </w:rPr>
        <w:t xml:space="preserve">. </w:t>
      </w:r>
      <w:r w:rsidRPr="00CA7043">
        <w:rPr>
          <w:rFonts w:ascii="Times New Roman" w:hAnsi="Times New Roman" w:cs="Times New Roman"/>
          <w:sz w:val="24"/>
          <w:szCs w:val="24"/>
          <w:lang w:val="nl-NL"/>
        </w:rPr>
        <w:t>J transdiscipl res S Afr. 2025;21(1), a1509. https://doi.org/10.4102/td.v21i1.1509</w:t>
      </w:r>
    </w:p>
    <w:p w14:paraId="278C3356" w14:textId="77777777" w:rsidR="00CA7043" w:rsidRPr="00CA7043" w:rsidRDefault="00CA7043" w:rsidP="00FD142E">
      <w:pPr>
        <w:spacing w:after="0" w:line="240" w:lineRule="auto"/>
        <w:ind w:left="720" w:hanging="720"/>
        <w:jc w:val="both"/>
        <w:rPr>
          <w:rFonts w:ascii="Times New Roman" w:hAnsi="Times New Roman" w:cs="Times New Roman"/>
          <w:sz w:val="24"/>
          <w:szCs w:val="24"/>
          <w:lang w:val="nl-NL"/>
        </w:rPr>
      </w:pPr>
    </w:p>
    <w:p w14:paraId="489A310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Mendoza, K. J. A. (2025). </w:t>
      </w:r>
      <w:r w:rsidRPr="00CA7043">
        <w:rPr>
          <w:rFonts w:ascii="Times New Roman" w:hAnsi="Times New Roman" w:cs="Times New Roman"/>
          <w:b/>
          <w:bCs/>
          <w:sz w:val="24"/>
          <w:szCs w:val="24"/>
        </w:rPr>
        <w:t>Disaster Risk Reduction and Management among Local Universities and Colleges in Central Luzon,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Research and Innovation in Social Science (IJRISS),</w:t>
      </w:r>
      <w:r w:rsidRPr="00CA7043">
        <w:rPr>
          <w:rFonts w:ascii="Times New Roman" w:hAnsi="Times New Roman" w:cs="Times New Roman"/>
          <w:sz w:val="24"/>
          <w:szCs w:val="24"/>
        </w:rPr>
        <w:t xml:space="preserve"> 9(4), 2223-2241. DOI: https://dx.doi.org/10.47772/IJRISS.2025.90400168</w:t>
      </w:r>
    </w:p>
    <w:p w14:paraId="5E588C2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06057223"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Rivera, J. D., Quick, K., Herrera, E., Sung, H. E., &amp; Escobar Ortiz, K. (2025). </w:t>
      </w:r>
      <w:proofErr w:type="spellStart"/>
      <w:r w:rsidRPr="00CA7043">
        <w:rPr>
          <w:rFonts w:ascii="Times New Roman" w:hAnsi="Times New Roman" w:cs="Times New Roman"/>
          <w:b/>
          <w:bCs/>
          <w:sz w:val="24"/>
          <w:szCs w:val="24"/>
        </w:rPr>
        <w:t>Interorganisational</w:t>
      </w:r>
      <w:proofErr w:type="spellEnd"/>
      <w:r w:rsidRPr="00CA7043">
        <w:rPr>
          <w:rFonts w:ascii="Times New Roman" w:hAnsi="Times New Roman" w:cs="Times New Roman"/>
          <w:b/>
          <w:bCs/>
          <w:sz w:val="24"/>
          <w:szCs w:val="24"/>
        </w:rPr>
        <w:t xml:space="preserve"> emergency management coordination challenges in a resource-scarce environment: A case study of El Salvador post COVID-19. Disasters</w:t>
      </w:r>
      <w:r w:rsidRPr="00CA7043">
        <w:rPr>
          <w:rFonts w:ascii="Times New Roman" w:hAnsi="Times New Roman" w:cs="Times New Roman"/>
          <w:sz w:val="24"/>
          <w:szCs w:val="24"/>
        </w:rPr>
        <w:t>, 49(2), e12672. https://doi.org/10.1111/disa.12672</w:t>
      </w:r>
    </w:p>
    <w:p w14:paraId="19F86483"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934A71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Sabo-o, A. J. M., Cordero-Bailey, K. S. A., </w:t>
      </w:r>
      <w:proofErr w:type="spellStart"/>
      <w:r w:rsidRPr="00CA7043">
        <w:rPr>
          <w:rFonts w:ascii="Times New Roman" w:hAnsi="Times New Roman" w:cs="Times New Roman"/>
          <w:sz w:val="24"/>
          <w:szCs w:val="24"/>
        </w:rPr>
        <w:t>Agaton</w:t>
      </w:r>
      <w:proofErr w:type="spellEnd"/>
      <w:r w:rsidRPr="00CA7043">
        <w:rPr>
          <w:rFonts w:ascii="Times New Roman" w:hAnsi="Times New Roman" w:cs="Times New Roman"/>
          <w:sz w:val="24"/>
          <w:szCs w:val="24"/>
        </w:rPr>
        <w:t xml:space="preserve">, C. B., &amp; de Mesa, A. G. L. (2025). </w:t>
      </w:r>
      <w:r w:rsidRPr="00CA7043">
        <w:rPr>
          <w:rFonts w:ascii="Times New Roman" w:hAnsi="Times New Roman" w:cs="Times New Roman"/>
          <w:b/>
          <w:bCs/>
          <w:sz w:val="24"/>
          <w:szCs w:val="24"/>
        </w:rPr>
        <w:t xml:space="preserve">Assessment of a Coastal Community's Readiness, Response, and Recovery to 2020 </w:t>
      </w:r>
      <w:proofErr w:type="spellStart"/>
      <w:r w:rsidRPr="00CA7043">
        <w:rPr>
          <w:rFonts w:ascii="Times New Roman" w:hAnsi="Times New Roman" w:cs="Times New Roman"/>
          <w:b/>
          <w:bCs/>
          <w:sz w:val="24"/>
          <w:szCs w:val="24"/>
        </w:rPr>
        <w:t>Taal</w:t>
      </w:r>
      <w:proofErr w:type="spellEnd"/>
      <w:r w:rsidRPr="00CA7043">
        <w:rPr>
          <w:rFonts w:ascii="Times New Roman" w:hAnsi="Times New Roman" w:cs="Times New Roman"/>
          <w:b/>
          <w:bCs/>
          <w:sz w:val="24"/>
          <w:szCs w:val="24"/>
        </w:rPr>
        <w:t xml:space="preserve"> Eruption: The Case of </w:t>
      </w:r>
      <w:proofErr w:type="spellStart"/>
      <w:r w:rsidRPr="00CA7043">
        <w:rPr>
          <w:rFonts w:ascii="Times New Roman" w:hAnsi="Times New Roman" w:cs="Times New Roman"/>
          <w:b/>
          <w:bCs/>
          <w:sz w:val="24"/>
          <w:szCs w:val="24"/>
        </w:rPr>
        <w:t>Lemery</w:t>
      </w:r>
      <w:proofErr w:type="spellEnd"/>
      <w:r w:rsidRPr="00CA7043">
        <w:rPr>
          <w:rFonts w:ascii="Times New Roman" w:hAnsi="Times New Roman" w:cs="Times New Roman"/>
          <w:b/>
          <w:bCs/>
          <w:sz w:val="24"/>
          <w:szCs w:val="24"/>
        </w:rPr>
        <w:t>, Batangas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Journal of Human Ecology and Sustainability</w:t>
      </w:r>
      <w:r w:rsidRPr="00CA7043">
        <w:rPr>
          <w:rFonts w:ascii="Times New Roman" w:hAnsi="Times New Roman" w:cs="Times New Roman"/>
          <w:sz w:val="24"/>
          <w:szCs w:val="24"/>
        </w:rPr>
        <w:t xml:space="preserve">, 2(3), 7. </w:t>
      </w:r>
      <w:proofErr w:type="spellStart"/>
      <w:r w:rsidRPr="00CA7043">
        <w:rPr>
          <w:rFonts w:ascii="Times New Roman" w:hAnsi="Times New Roman" w:cs="Times New Roman"/>
          <w:sz w:val="24"/>
          <w:szCs w:val="24"/>
        </w:rPr>
        <w:t>doi</w:t>
      </w:r>
      <w:proofErr w:type="spellEnd"/>
      <w:r w:rsidRPr="00CA7043">
        <w:rPr>
          <w:rFonts w:ascii="Times New Roman" w:hAnsi="Times New Roman" w:cs="Times New Roman"/>
          <w:sz w:val="24"/>
          <w:szCs w:val="24"/>
        </w:rPr>
        <w:t>: 10.56237/jhes24ichspd03</w:t>
      </w:r>
    </w:p>
    <w:p w14:paraId="23FC063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6871711"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Sarı</w:t>
      </w:r>
      <w:proofErr w:type="spellEnd"/>
      <w:r w:rsidRPr="00CA7043">
        <w:rPr>
          <w:rFonts w:ascii="Times New Roman" w:hAnsi="Times New Roman" w:cs="Times New Roman"/>
          <w:sz w:val="24"/>
          <w:szCs w:val="24"/>
        </w:rPr>
        <w:t xml:space="preserve">, B., &amp; </w:t>
      </w:r>
      <w:proofErr w:type="spellStart"/>
      <w:r w:rsidRPr="00CA7043">
        <w:rPr>
          <w:rFonts w:ascii="Times New Roman" w:hAnsi="Times New Roman" w:cs="Times New Roman"/>
          <w:sz w:val="24"/>
          <w:szCs w:val="24"/>
        </w:rPr>
        <w:t>Özer</w:t>
      </w:r>
      <w:proofErr w:type="spellEnd"/>
      <w:r w:rsidRPr="00CA7043">
        <w:rPr>
          <w:rFonts w:ascii="Times New Roman" w:hAnsi="Times New Roman" w:cs="Times New Roman"/>
          <w:sz w:val="24"/>
          <w:szCs w:val="24"/>
        </w:rPr>
        <w:t xml:space="preserve">, Y. E. (2024). </w:t>
      </w:r>
      <w:r w:rsidRPr="00CA7043">
        <w:rPr>
          <w:rFonts w:ascii="Times New Roman" w:hAnsi="Times New Roman" w:cs="Times New Roman"/>
          <w:b/>
          <w:bCs/>
          <w:sz w:val="24"/>
          <w:szCs w:val="24"/>
        </w:rPr>
        <w:t xml:space="preserve">Coordination analysis in disaster management: A qualitative approach in </w:t>
      </w:r>
      <w:proofErr w:type="spellStart"/>
      <w:r w:rsidRPr="00CA7043">
        <w:rPr>
          <w:rFonts w:ascii="Times New Roman" w:hAnsi="Times New Roman" w:cs="Times New Roman"/>
          <w:b/>
          <w:bCs/>
          <w:sz w:val="24"/>
          <w:szCs w:val="24"/>
        </w:rPr>
        <w:t>Türkiye</w:t>
      </w:r>
      <w:proofErr w:type="spellEnd"/>
      <w:r w:rsidRPr="00CA7043">
        <w:rPr>
          <w:rFonts w:ascii="Times New Roman" w:hAnsi="Times New Roman" w:cs="Times New Roman"/>
          <w:b/>
          <w:bCs/>
          <w:sz w:val="24"/>
          <w:szCs w:val="24"/>
        </w:rPr>
        <w:t>.</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100, Article 104168. https://doi.org/10.1016/j.ijdrr.2023.104168</w:t>
      </w:r>
    </w:p>
    <w:p w14:paraId="578CABA9"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4AA24CFC"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Sarte</w:t>
      </w:r>
      <w:proofErr w:type="spellEnd"/>
      <w:r w:rsidRPr="00CA7043">
        <w:rPr>
          <w:rFonts w:ascii="Times New Roman" w:hAnsi="Times New Roman" w:cs="Times New Roman"/>
          <w:sz w:val="24"/>
          <w:szCs w:val="24"/>
        </w:rPr>
        <w:t xml:space="preserve">, S. B. (2025). </w:t>
      </w:r>
      <w:r w:rsidRPr="00CA7043">
        <w:rPr>
          <w:rFonts w:ascii="Times New Roman" w:hAnsi="Times New Roman" w:cs="Times New Roman"/>
          <w:b/>
          <w:bCs/>
          <w:sz w:val="24"/>
          <w:szCs w:val="24"/>
        </w:rPr>
        <w:t xml:space="preserve">Improving disaster response efficiency: Incident command system implementation as basis for administrative policy reform in Las </w:t>
      </w:r>
      <w:proofErr w:type="spellStart"/>
      <w:r w:rsidRPr="00CA7043">
        <w:rPr>
          <w:rFonts w:ascii="Times New Roman" w:hAnsi="Times New Roman" w:cs="Times New Roman"/>
          <w:b/>
          <w:bCs/>
          <w:sz w:val="24"/>
          <w:szCs w:val="24"/>
        </w:rPr>
        <w:t>Piñas</w:t>
      </w:r>
      <w:proofErr w:type="spellEnd"/>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for Multidisciplinary Research</w:t>
      </w:r>
      <w:r w:rsidRPr="00CA7043">
        <w:rPr>
          <w:rFonts w:ascii="Times New Roman" w:hAnsi="Times New Roman" w:cs="Times New Roman"/>
          <w:sz w:val="24"/>
          <w:szCs w:val="24"/>
        </w:rPr>
        <w:t>, 7(5), 1–9. https://www.ijfmr.com/papers/2025/5/57050.pdf</w:t>
      </w:r>
    </w:p>
    <w:p w14:paraId="4F702A2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D0ED6E4"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lang w:val="nl-NL"/>
        </w:rPr>
        <w:t xml:space="preserve">Schroter, K., Lüdtke, S., Redweik, R., Meier, J., Bochow, M., Ross, L., ... </w:t>
      </w:r>
      <w:r w:rsidRPr="00CA7043">
        <w:rPr>
          <w:rFonts w:ascii="Times New Roman" w:hAnsi="Times New Roman" w:cs="Times New Roman"/>
          <w:sz w:val="24"/>
          <w:szCs w:val="24"/>
        </w:rPr>
        <w:t xml:space="preserve">&amp; </w:t>
      </w:r>
      <w:proofErr w:type="spellStart"/>
      <w:r w:rsidRPr="00CA7043">
        <w:rPr>
          <w:rFonts w:ascii="Times New Roman" w:hAnsi="Times New Roman" w:cs="Times New Roman"/>
          <w:sz w:val="24"/>
          <w:szCs w:val="24"/>
        </w:rPr>
        <w:t>Kreibich</w:t>
      </w:r>
      <w:proofErr w:type="spellEnd"/>
      <w:r w:rsidRPr="00CA7043">
        <w:rPr>
          <w:rFonts w:ascii="Times New Roman" w:hAnsi="Times New Roman" w:cs="Times New Roman"/>
          <w:sz w:val="24"/>
          <w:szCs w:val="24"/>
        </w:rPr>
        <w:t xml:space="preserve">, H. (2025). </w:t>
      </w:r>
      <w:r w:rsidRPr="00CA7043">
        <w:rPr>
          <w:rFonts w:ascii="Times New Roman" w:hAnsi="Times New Roman" w:cs="Times New Roman"/>
          <w:b/>
          <w:bCs/>
          <w:sz w:val="24"/>
          <w:szCs w:val="24"/>
        </w:rPr>
        <w:t>Fostering interoperability of data, models, communication, and governance for disaster resilience.</w:t>
      </w:r>
      <w:r w:rsidRPr="00CA7043">
        <w:rPr>
          <w:rFonts w:ascii="Times New Roman" w:hAnsi="Times New Roman" w:cs="Times New Roman"/>
          <w:sz w:val="24"/>
          <w:szCs w:val="24"/>
        </w:rPr>
        <w:t xml:space="preserve"> Natural Hazards and Earth System Sciences, 25, 3055-3081.</w:t>
      </w:r>
    </w:p>
    <w:p w14:paraId="5D56BAC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349195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Singh, S. (2023, November 24). </w:t>
      </w:r>
      <w:r w:rsidRPr="00CA7043">
        <w:rPr>
          <w:rFonts w:ascii="Times New Roman" w:hAnsi="Times New Roman" w:cs="Times New Roman"/>
          <w:b/>
          <w:bCs/>
          <w:sz w:val="24"/>
          <w:szCs w:val="24"/>
        </w:rPr>
        <w:t>What is descriptive research? Definition, methods, types and examples</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Researcher.Life</w:t>
      </w:r>
      <w:proofErr w:type="spellEnd"/>
      <w:r w:rsidRPr="00CA7043">
        <w:rPr>
          <w:rFonts w:ascii="Times New Roman" w:hAnsi="Times New Roman" w:cs="Times New Roman"/>
          <w:sz w:val="24"/>
          <w:szCs w:val="24"/>
        </w:rPr>
        <w:t>. https://researcher.life/blog/article/what-is-descriptive-research-definition-methods-types-and-examples/</w:t>
      </w:r>
    </w:p>
    <w:p w14:paraId="065F359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0D98BBA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Sofuoglu</w:t>
      </w:r>
      <w:proofErr w:type="spellEnd"/>
      <w:r w:rsidRPr="00CA7043">
        <w:rPr>
          <w:rFonts w:ascii="Times New Roman" w:hAnsi="Times New Roman" w:cs="Times New Roman"/>
          <w:sz w:val="24"/>
          <w:szCs w:val="24"/>
        </w:rPr>
        <w:t xml:space="preserve">, Z., </w:t>
      </w:r>
      <w:proofErr w:type="spellStart"/>
      <w:r w:rsidRPr="00CA7043">
        <w:rPr>
          <w:rFonts w:ascii="Times New Roman" w:hAnsi="Times New Roman" w:cs="Times New Roman"/>
          <w:sz w:val="24"/>
          <w:szCs w:val="24"/>
        </w:rPr>
        <w:t>Başer</w:t>
      </w:r>
      <w:proofErr w:type="spellEnd"/>
      <w:r w:rsidRPr="00CA7043">
        <w:rPr>
          <w:rFonts w:ascii="Times New Roman" w:hAnsi="Times New Roman" w:cs="Times New Roman"/>
          <w:sz w:val="24"/>
          <w:szCs w:val="24"/>
        </w:rPr>
        <w:t xml:space="preserve">, A., </w:t>
      </w:r>
      <w:proofErr w:type="spellStart"/>
      <w:r w:rsidRPr="00CA7043">
        <w:rPr>
          <w:rFonts w:ascii="Times New Roman" w:hAnsi="Times New Roman" w:cs="Times New Roman"/>
          <w:sz w:val="24"/>
          <w:szCs w:val="24"/>
        </w:rPr>
        <w:t>Sofuoglu</w:t>
      </w:r>
      <w:proofErr w:type="spellEnd"/>
      <w:r w:rsidRPr="00CA7043">
        <w:rPr>
          <w:rFonts w:ascii="Times New Roman" w:hAnsi="Times New Roman" w:cs="Times New Roman"/>
          <w:sz w:val="24"/>
          <w:szCs w:val="24"/>
        </w:rPr>
        <w:t xml:space="preserve">, T., &amp; </w:t>
      </w:r>
      <w:proofErr w:type="spellStart"/>
      <w:r w:rsidRPr="00CA7043">
        <w:rPr>
          <w:rFonts w:ascii="Times New Roman" w:hAnsi="Times New Roman" w:cs="Times New Roman"/>
          <w:sz w:val="24"/>
          <w:szCs w:val="24"/>
        </w:rPr>
        <w:t>Sönmez</w:t>
      </w:r>
      <w:proofErr w:type="spellEnd"/>
      <w:r w:rsidRPr="00CA7043">
        <w:rPr>
          <w:rFonts w:ascii="Times New Roman" w:hAnsi="Times New Roman" w:cs="Times New Roman"/>
          <w:sz w:val="24"/>
          <w:szCs w:val="24"/>
        </w:rPr>
        <w:t xml:space="preserve">, Ö. F. (2025). </w:t>
      </w:r>
      <w:r w:rsidRPr="00CA7043">
        <w:rPr>
          <w:rFonts w:ascii="Times New Roman" w:hAnsi="Times New Roman" w:cs="Times New Roman"/>
          <w:b/>
          <w:bCs/>
          <w:sz w:val="24"/>
          <w:szCs w:val="24"/>
        </w:rPr>
        <w:t xml:space="preserve">First responders' experiences with major earthquakes in </w:t>
      </w:r>
      <w:proofErr w:type="spellStart"/>
      <w:r w:rsidRPr="00CA7043">
        <w:rPr>
          <w:rFonts w:ascii="Times New Roman" w:hAnsi="Times New Roman" w:cs="Times New Roman"/>
          <w:b/>
          <w:bCs/>
          <w:sz w:val="24"/>
          <w:szCs w:val="24"/>
        </w:rPr>
        <w:t>Türkiye</w:t>
      </w:r>
      <w:proofErr w:type="spellEnd"/>
      <w:r w:rsidRPr="00CA7043">
        <w:rPr>
          <w:rFonts w:ascii="Times New Roman" w:hAnsi="Times New Roman" w:cs="Times New Roman"/>
          <w:b/>
          <w:bCs/>
          <w:sz w:val="24"/>
          <w:szCs w:val="24"/>
        </w:rPr>
        <w:t>: a qualitative study of innovation needs and challenges.</w:t>
      </w:r>
      <w:r w:rsidRPr="00CA7043">
        <w:rPr>
          <w:rFonts w:ascii="Times New Roman" w:hAnsi="Times New Roman" w:cs="Times New Roman"/>
          <w:sz w:val="24"/>
          <w:szCs w:val="24"/>
        </w:rPr>
        <w:t xml:space="preserve"> BMC emergency medicine, 25(1), 60. https://doi.org/10.1186/s12873-025-01217-9</w:t>
      </w:r>
    </w:p>
    <w:p w14:paraId="3763B38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6EC502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Sofyana</w:t>
      </w:r>
      <w:proofErr w:type="spellEnd"/>
      <w:r w:rsidRPr="00CA7043">
        <w:rPr>
          <w:rFonts w:ascii="Times New Roman" w:hAnsi="Times New Roman" w:cs="Times New Roman"/>
          <w:sz w:val="24"/>
          <w:szCs w:val="24"/>
        </w:rPr>
        <w:t xml:space="preserve">, H., Ibrahim, K., </w:t>
      </w:r>
      <w:proofErr w:type="spellStart"/>
      <w:r w:rsidRPr="00CA7043">
        <w:rPr>
          <w:rFonts w:ascii="Times New Roman" w:hAnsi="Times New Roman" w:cs="Times New Roman"/>
          <w:sz w:val="24"/>
          <w:szCs w:val="24"/>
        </w:rPr>
        <w:t>Afriandi</w:t>
      </w:r>
      <w:proofErr w:type="spellEnd"/>
      <w:r w:rsidRPr="00CA7043">
        <w:rPr>
          <w:rFonts w:ascii="Times New Roman" w:hAnsi="Times New Roman" w:cs="Times New Roman"/>
          <w:sz w:val="24"/>
          <w:szCs w:val="24"/>
        </w:rPr>
        <w:t xml:space="preserve">, I., &amp; </w:t>
      </w:r>
      <w:proofErr w:type="spellStart"/>
      <w:r w:rsidRPr="00CA7043">
        <w:rPr>
          <w:rFonts w:ascii="Times New Roman" w:hAnsi="Times New Roman" w:cs="Times New Roman"/>
          <w:sz w:val="24"/>
          <w:szCs w:val="24"/>
        </w:rPr>
        <w:t>Herawati</w:t>
      </w:r>
      <w:proofErr w:type="spellEnd"/>
      <w:r w:rsidRPr="00CA7043">
        <w:rPr>
          <w:rFonts w:ascii="Times New Roman" w:hAnsi="Times New Roman" w:cs="Times New Roman"/>
          <w:sz w:val="24"/>
          <w:szCs w:val="24"/>
        </w:rPr>
        <w:t xml:space="preserve">, E. (2024). </w:t>
      </w:r>
      <w:r w:rsidRPr="00CA7043">
        <w:rPr>
          <w:rFonts w:ascii="Times New Roman" w:hAnsi="Times New Roman" w:cs="Times New Roman"/>
          <w:b/>
          <w:bCs/>
          <w:sz w:val="24"/>
          <w:szCs w:val="24"/>
        </w:rPr>
        <w:t>The implementation of disaster preparedness training integration model based on Public Health Nursing (ILATGANA-PHN) to increase community capacity in natural disaster-prone areas.</w:t>
      </w:r>
      <w:r w:rsidRPr="00CA7043">
        <w:rPr>
          <w:rFonts w:ascii="Times New Roman" w:hAnsi="Times New Roman" w:cs="Times New Roman"/>
          <w:sz w:val="24"/>
          <w:szCs w:val="24"/>
        </w:rPr>
        <w:t> </w:t>
      </w:r>
      <w:r w:rsidRPr="00CA7043">
        <w:rPr>
          <w:rFonts w:ascii="Times New Roman" w:hAnsi="Times New Roman" w:cs="Times New Roman"/>
          <w:i/>
          <w:iCs/>
          <w:sz w:val="24"/>
          <w:szCs w:val="24"/>
        </w:rPr>
        <w:t>BMC nursing</w:t>
      </w:r>
      <w:r w:rsidRPr="00CA7043">
        <w:rPr>
          <w:rFonts w:ascii="Times New Roman" w:hAnsi="Times New Roman" w:cs="Times New Roman"/>
          <w:sz w:val="24"/>
          <w:szCs w:val="24"/>
        </w:rPr>
        <w:t>, </w:t>
      </w:r>
      <w:r w:rsidRPr="00CA7043">
        <w:rPr>
          <w:rFonts w:ascii="Times New Roman" w:hAnsi="Times New Roman" w:cs="Times New Roman"/>
          <w:i/>
          <w:iCs/>
          <w:sz w:val="24"/>
          <w:szCs w:val="24"/>
        </w:rPr>
        <w:t>23</w:t>
      </w:r>
      <w:r w:rsidRPr="00CA7043">
        <w:rPr>
          <w:rFonts w:ascii="Times New Roman" w:hAnsi="Times New Roman" w:cs="Times New Roman"/>
          <w:sz w:val="24"/>
          <w:szCs w:val="24"/>
        </w:rPr>
        <w:t>(1), 105. https://doi.org/10.1186/s12912-024-01755-w</w:t>
      </w:r>
    </w:p>
    <w:p w14:paraId="32CB2ABA"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3732FD8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Space4Water Portal. (2020). </w:t>
      </w:r>
      <w:r w:rsidRPr="00CA7043">
        <w:rPr>
          <w:rFonts w:ascii="Times New Roman" w:hAnsi="Times New Roman" w:cs="Times New Roman"/>
          <w:b/>
          <w:bCs/>
          <w:sz w:val="24"/>
          <w:szCs w:val="24"/>
        </w:rPr>
        <w:t>Hydrometeorological hazards.</w:t>
      </w:r>
      <w:r w:rsidRPr="00CA7043">
        <w:rPr>
          <w:rFonts w:ascii="Times New Roman" w:hAnsi="Times New Roman" w:cs="Times New Roman"/>
          <w:sz w:val="24"/>
          <w:szCs w:val="24"/>
        </w:rPr>
        <w:t xml:space="preserve"> https://www.space4water.org/water/hydrometeorological-hazards</w:t>
      </w:r>
    </w:p>
    <w:p w14:paraId="3A343932" w14:textId="77777777" w:rsidR="00CA7043" w:rsidRPr="00CA7043" w:rsidRDefault="00CA7043" w:rsidP="007B23C2">
      <w:pPr>
        <w:spacing w:after="0" w:line="240" w:lineRule="auto"/>
        <w:jc w:val="both"/>
        <w:rPr>
          <w:rFonts w:ascii="Times New Roman" w:hAnsi="Times New Roman" w:cs="Times New Roman"/>
          <w:sz w:val="24"/>
          <w:szCs w:val="24"/>
        </w:rPr>
      </w:pPr>
    </w:p>
    <w:p w14:paraId="00830C42" w14:textId="77777777" w:rsidR="00080E73" w:rsidRPr="00CA7043" w:rsidRDefault="00CA7043" w:rsidP="007B23C2">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Suarjana</w:t>
      </w:r>
      <w:proofErr w:type="spellEnd"/>
      <w:r w:rsidRPr="00CA7043">
        <w:rPr>
          <w:rFonts w:ascii="Times New Roman" w:hAnsi="Times New Roman" w:cs="Times New Roman"/>
          <w:sz w:val="24"/>
          <w:szCs w:val="24"/>
        </w:rPr>
        <w:t xml:space="preserve">, I. W. G. (2024). </w:t>
      </w:r>
      <w:r w:rsidRPr="00CA7043">
        <w:rPr>
          <w:rFonts w:ascii="Times New Roman" w:hAnsi="Times New Roman" w:cs="Times New Roman"/>
          <w:b/>
          <w:bCs/>
          <w:sz w:val="24"/>
          <w:szCs w:val="24"/>
        </w:rPr>
        <w:t>Addressing the Challenges and Opportunities of Global Disaster Management in the Post-COVID-19 Era.</w:t>
      </w:r>
      <w:r w:rsidRPr="00CA7043">
        <w:rPr>
          <w:rFonts w:ascii="Times New Roman" w:hAnsi="Times New Roman" w:cs="Times New Roman"/>
          <w:sz w:val="24"/>
          <w:szCs w:val="24"/>
        </w:rPr>
        <w:t xml:space="preserve"> Disaster Medicine and Public Health Preparedness, 18, e46. doi:10.1017/dmp.2024.34</w:t>
      </w:r>
    </w:p>
    <w:sectPr w:rsidR="00080E73" w:rsidRPr="00CA7043" w:rsidSect="007108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9133" w14:textId="77777777" w:rsidR="00BA4297" w:rsidRDefault="00BA4297">
      <w:pPr>
        <w:spacing w:after="0" w:line="240" w:lineRule="auto"/>
      </w:pPr>
      <w:r>
        <w:separator/>
      </w:r>
    </w:p>
  </w:endnote>
  <w:endnote w:type="continuationSeparator" w:id="0">
    <w:p w14:paraId="02A53F71" w14:textId="77777777" w:rsidR="00BA4297" w:rsidRDefault="00B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CFB0" w14:textId="77777777" w:rsidR="006A2C7E" w:rsidRDefault="006A2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299881"/>
      <w:docPartObj>
        <w:docPartGallery w:val="Page Numbers (Bottom of Page)"/>
        <w:docPartUnique/>
      </w:docPartObj>
    </w:sdtPr>
    <w:sdtEndPr>
      <w:rPr>
        <w:noProof/>
      </w:rPr>
    </w:sdtEndPr>
    <w:sdtContent>
      <w:p w14:paraId="70FF1018" w14:textId="77777777" w:rsidR="00CA7043" w:rsidRDefault="00CA7043">
        <w:pPr>
          <w:pStyle w:val="Footer"/>
          <w:jc w:val="center"/>
        </w:pPr>
        <w:r>
          <w:fldChar w:fldCharType="begin"/>
        </w:r>
        <w:r>
          <w:instrText xml:space="preserve"> PAGE   \* MERGEFORMAT </w:instrText>
        </w:r>
        <w:r>
          <w:fldChar w:fldCharType="separate"/>
        </w:r>
        <w:r w:rsidR="00C71007">
          <w:rPr>
            <w:noProof/>
          </w:rPr>
          <w:t>5</w:t>
        </w:r>
        <w:r>
          <w:rPr>
            <w:noProof/>
          </w:rPr>
          <w:fldChar w:fldCharType="end"/>
        </w:r>
      </w:p>
    </w:sdtContent>
  </w:sdt>
  <w:p w14:paraId="04194FC0" w14:textId="77777777" w:rsidR="00CA7043" w:rsidRDefault="00CA7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2533" w14:textId="77777777" w:rsidR="006A2C7E" w:rsidRDefault="006A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63E1B" w14:textId="77777777" w:rsidR="00BA4297" w:rsidRDefault="00BA4297">
      <w:pPr>
        <w:spacing w:after="0" w:line="240" w:lineRule="auto"/>
      </w:pPr>
      <w:r>
        <w:separator/>
      </w:r>
    </w:p>
  </w:footnote>
  <w:footnote w:type="continuationSeparator" w:id="0">
    <w:p w14:paraId="4E6489BC" w14:textId="77777777" w:rsidR="00BA4297" w:rsidRDefault="00BA4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AB42" w14:textId="32524985" w:rsidR="006A2C7E" w:rsidRDefault="006A2C7E">
    <w:pPr>
      <w:pStyle w:val="Header"/>
    </w:pPr>
    <w:r>
      <w:rPr>
        <w:noProof/>
      </w:rPr>
      <w:pict w14:anchorId="621A9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5"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2544" w14:textId="048DA075" w:rsidR="006A2C7E" w:rsidRDefault="006A2C7E">
    <w:pPr>
      <w:pStyle w:val="Header"/>
    </w:pPr>
    <w:r>
      <w:rPr>
        <w:noProof/>
      </w:rPr>
      <w:pict w14:anchorId="4786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6"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3C1B" w14:textId="07D71F53" w:rsidR="006A2C7E" w:rsidRDefault="006A2C7E">
    <w:pPr>
      <w:pStyle w:val="Header"/>
    </w:pPr>
    <w:r>
      <w:rPr>
        <w:noProof/>
      </w:rPr>
      <w:pict w14:anchorId="1B7F9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4"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73E"/>
    <w:multiLevelType w:val="hybridMultilevel"/>
    <w:tmpl w:val="93C684C2"/>
    <w:lvl w:ilvl="0" w:tplc="0BF89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B6D68"/>
    <w:multiLevelType w:val="multilevel"/>
    <w:tmpl w:val="63C0403A"/>
    <w:lvl w:ilvl="0">
      <w:start w:val="1"/>
      <w:numFmt w:val="decimal"/>
      <w:lvlText w:val="%1."/>
      <w:lvlJc w:val="left"/>
      <w:pPr>
        <w:ind w:left="720" w:hanging="360"/>
      </w:pPr>
      <w:rPr>
        <w:b w:val="0"/>
      </w:rPr>
    </w:lvl>
    <w:lvl w:ilvl="1">
      <w:start w:val="1"/>
      <w:numFmt w:val="lowerLetter"/>
      <w:lvlText w:val="%2."/>
      <w:lvlJc w:val="left"/>
      <w:pPr>
        <w:ind w:left="1440" w:hanging="360"/>
      </w:pPr>
      <w:rPr>
        <w:rFonts w:ascii="Arial" w:eastAsia="Times New Roman" w:hAnsi="Arial" w:cs="Arial"/>
        <w:b/>
        <w:bCs w:val="0"/>
        <w:sz w:val="24"/>
        <w:szCs w:val="24"/>
      </w:rPr>
    </w:lvl>
    <w:lvl w:ilvl="2">
      <w:start w:val="1"/>
      <w:numFmt w:val="lowerLetter"/>
      <w:lvlText w:val="%3."/>
      <w:lvlJc w:val="left"/>
      <w:pPr>
        <w:ind w:left="1710"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C01E4F"/>
    <w:multiLevelType w:val="hybridMultilevel"/>
    <w:tmpl w:val="D86A184A"/>
    <w:lvl w:ilvl="0" w:tplc="DA6AD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18F"/>
    <w:multiLevelType w:val="multilevel"/>
    <w:tmpl w:val="1332C83C"/>
    <w:lvl w:ilvl="0">
      <w:start w:val="1"/>
      <w:numFmt w:val="lowerLetter"/>
      <w:lvlText w:val="%1."/>
      <w:lvlJc w:val="left"/>
      <w:pPr>
        <w:ind w:left="720" w:hanging="360"/>
      </w:pPr>
      <w:rPr>
        <w:b w:val="0"/>
      </w:rPr>
    </w:lvl>
    <w:lvl w:ilvl="1">
      <w:start w:val="1"/>
      <w:numFmt w:val="lowerLetter"/>
      <w:lvlText w:val="%2."/>
      <w:lvlJc w:val="left"/>
      <w:pPr>
        <w:ind w:left="1440" w:hanging="360"/>
      </w:pPr>
      <w:rPr>
        <w:rFonts w:ascii="Arial" w:eastAsia="Arial" w:hAnsi="Arial" w:cs="Arial"/>
        <w:b w:val="0"/>
        <w:sz w:val="16"/>
        <w:szCs w:val="16"/>
      </w:rPr>
    </w:lvl>
    <w:lvl w:ilvl="2">
      <w:start w:val="1"/>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F83E46"/>
    <w:multiLevelType w:val="hybridMultilevel"/>
    <w:tmpl w:val="2856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04A60"/>
    <w:multiLevelType w:val="hybridMultilevel"/>
    <w:tmpl w:val="E6D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C4DF3"/>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FFC6FE5"/>
    <w:multiLevelType w:val="hybridMultilevel"/>
    <w:tmpl w:val="A4840B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5685DB8"/>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5C84421"/>
    <w:multiLevelType w:val="hybridMultilevel"/>
    <w:tmpl w:val="9196D2A4"/>
    <w:lvl w:ilvl="0" w:tplc="EC785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415CF"/>
    <w:multiLevelType w:val="hybridMultilevel"/>
    <w:tmpl w:val="94C0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5C08"/>
    <w:multiLevelType w:val="hybridMultilevel"/>
    <w:tmpl w:val="3C2E2CCC"/>
    <w:lvl w:ilvl="0" w:tplc="D0AE245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5"/>
    <w:multiLevelType w:val="hybridMultilevel"/>
    <w:tmpl w:val="63C85794"/>
    <w:lvl w:ilvl="0" w:tplc="24C01B4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55747"/>
    <w:multiLevelType w:val="hybridMultilevel"/>
    <w:tmpl w:val="306035BE"/>
    <w:lvl w:ilvl="0" w:tplc="76A65CC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35D8A"/>
    <w:multiLevelType w:val="hybridMultilevel"/>
    <w:tmpl w:val="8C7607AA"/>
    <w:lvl w:ilvl="0" w:tplc="05469AD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292EFF"/>
    <w:multiLevelType w:val="hybridMultilevel"/>
    <w:tmpl w:val="E5B04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7D0B40"/>
    <w:multiLevelType w:val="hybridMultilevel"/>
    <w:tmpl w:val="E2461B4C"/>
    <w:lvl w:ilvl="0" w:tplc="C13E0AB4">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17" w15:restartNumberingAfterBreak="0">
    <w:nsid w:val="263B709C"/>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 w15:restartNumberingAfterBreak="0">
    <w:nsid w:val="27EA6CA6"/>
    <w:multiLevelType w:val="hybridMultilevel"/>
    <w:tmpl w:val="D4D8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0218F"/>
    <w:multiLevelType w:val="hybridMultilevel"/>
    <w:tmpl w:val="E8F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F3BE1"/>
    <w:multiLevelType w:val="hybridMultilevel"/>
    <w:tmpl w:val="B1303606"/>
    <w:lvl w:ilvl="0" w:tplc="F09C260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2298F"/>
    <w:multiLevelType w:val="hybridMultilevel"/>
    <w:tmpl w:val="53D43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D76B1"/>
    <w:multiLevelType w:val="hybridMultilevel"/>
    <w:tmpl w:val="6B226876"/>
    <w:lvl w:ilvl="0" w:tplc="5D74A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562E17"/>
    <w:multiLevelType w:val="hybridMultilevel"/>
    <w:tmpl w:val="55AA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C53CF"/>
    <w:multiLevelType w:val="hybridMultilevel"/>
    <w:tmpl w:val="6E1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020CD"/>
    <w:multiLevelType w:val="hybridMultilevel"/>
    <w:tmpl w:val="566CF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F41F0"/>
    <w:multiLevelType w:val="multilevel"/>
    <w:tmpl w:val="665C674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260B2F"/>
    <w:multiLevelType w:val="hybridMultilevel"/>
    <w:tmpl w:val="82FCA516"/>
    <w:lvl w:ilvl="0" w:tplc="55E6CDE6">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28" w15:restartNumberingAfterBreak="0">
    <w:nsid w:val="558A6577"/>
    <w:multiLevelType w:val="multilevel"/>
    <w:tmpl w:val="859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D57220"/>
    <w:multiLevelType w:val="hybridMultilevel"/>
    <w:tmpl w:val="871E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57984"/>
    <w:multiLevelType w:val="hybridMultilevel"/>
    <w:tmpl w:val="DE18D7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33842"/>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2" w15:restartNumberingAfterBreak="0">
    <w:nsid w:val="5F09368D"/>
    <w:multiLevelType w:val="hybridMultilevel"/>
    <w:tmpl w:val="E5B0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301FC"/>
    <w:multiLevelType w:val="hybridMultilevel"/>
    <w:tmpl w:val="A16C51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16E7A"/>
    <w:multiLevelType w:val="hybridMultilevel"/>
    <w:tmpl w:val="9B266974"/>
    <w:lvl w:ilvl="0" w:tplc="F4F29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512AC1"/>
    <w:multiLevelType w:val="hybridMultilevel"/>
    <w:tmpl w:val="99DE7CE2"/>
    <w:lvl w:ilvl="0" w:tplc="9D14B872">
      <w:start w:val="1"/>
      <w:numFmt w:val="bullet"/>
      <w:lvlText w:val=""/>
      <w:lvlJc w:val="left"/>
      <w:pPr>
        <w:ind w:left="420" w:hanging="360"/>
      </w:pPr>
      <w:rPr>
        <w:rFonts w:ascii="Symbol" w:eastAsiaTheme="minorHAnsi" w:hAnsi="Symbol" w:cs="Arial" w:hint="default"/>
      </w:rPr>
    </w:lvl>
    <w:lvl w:ilvl="1" w:tplc="34090003">
      <w:start w:val="1"/>
      <w:numFmt w:val="bullet"/>
      <w:lvlText w:val="o"/>
      <w:lvlJc w:val="left"/>
      <w:pPr>
        <w:ind w:left="1140" w:hanging="360"/>
      </w:pPr>
      <w:rPr>
        <w:rFonts w:ascii="Courier New" w:hAnsi="Courier New" w:cs="Courier New" w:hint="default"/>
      </w:rPr>
    </w:lvl>
    <w:lvl w:ilvl="2" w:tplc="34090005">
      <w:start w:val="1"/>
      <w:numFmt w:val="bullet"/>
      <w:lvlText w:val=""/>
      <w:lvlJc w:val="left"/>
      <w:pPr>
        <w:ind w:left="1860" w:hanging="360"/>
      </w:pPr>
      <w:rPr>
        <w:rFonts w:ascii="Wingdings" w:hAnsi="Wingdings" w:hint="default"/>
      </w:rPr>
    </w:lvl>
    <w:lvl w:ilvl="3" w:tplc="34090001">
      <w:start w:val="1"/>
      <w:numFmt w:val="bullet"/>
      <w:lvlText w:val=""/>
      <w:lvlJc w:val="left"/>
      <w:pPr>
        <w:ind w:left="2580" w:hanging="360"/>
      </w:pPr>
      <w:rPr>
        <w:rFonts w:ascii="Symbol" w:hAnsi="Symbol" w:hint="default"/>
      </w:rPr>
    </w:lvl>
    <w:lvl w:ilvl="4" w:tplc="34090003">
      <w:start w:val="1"/>
      <w:numFmt w:val="bullet"/>
      <w:lvlText w:val="o"/>
      <w:lvlJc w:val="left"/>
      <w:pPr>
        <w:ind w:left="3300" w:hanging="360"/>
      </w:pPr>
      <w:rPr>
        <w:rFonts w:ascii="Courier New" w:hAnsi="Courier New" w:cs="Courier New" w:hint="default"/>
      </w:rPr>
    </w:lvl>
    <w:lvl w:ilvl="5" w:tplc="34090005">
      <w:start w:val="1"/>
      <w:numFmt w:val="bullet"/>
      <w:lvlText w:val=""/>
      <w:lvlJc w:val="left"/>
      <w:pPr>
        <w:ind w:left="4020" w:hanging="360"/>
      </w:pPr>
      <w:rPr>
        <w:rFonts w:ascii="Wingdings" w:hAnsi="Wingdings" w:hint="default"/>
      </w:rPr>
    </w:lvl>
    <w:lvl w:ilvl="6" w:tplc="34090001">
      <w:start w:val="1"/>
      <w:numFmt w:val="bullet"/>
      <w:lvlText w:val=""/>
      <w:lvlJc w:val="left"/>
      <w:pPr>
        <w:ind w:left="4740" w:hanging="360"/>
      </w:pPr>
      <w:rPr>
        <w:rFonts w:ascii="Symbol" w:hAnsi="Symbol" w:hint="default"/>
      </w:rPr>
    </w:lvl>
    <w:lvl w:ilvl="7" w:tplc="34090003">
      <w:start w:val="1"/>
      <w:numFmt w:val="bullet"/>
      <w:lvlText w:val="o"/>
      <w:lvlJc w:val="left"/>
      <w:pPr>
        <w:ind w:left="5460" w:hanging="360"/>
      </w:pPr>
      <w:rPr>
        <w:rFonts w:ascii="Courier New" w:hAnsi="Courier New" w:cs="Courier New" w:hint="default"/>
      </w:rPr>
    </w:lvl>
    <w:lvl w:ilvl="8" w:tplc="34090005">
      <w:start w:val="1"/>
      <w:numFmt w:val="bullet"/>
      <w:lvlText w:val=""/>
      <w:lvlJc w:val="left"/>
      <w:pPr>
        <w:ind w:left="6180" w:hanging="360"/>
      </w:pPr>
      <w:rPr>
        <w:rFonts w:ascii="Wingdings" w:hAnsi="Wingdings" w:hint="default"/>
      </w:rPr>
    </w:lvl>
  </w:abstractNum>
  <w:abstractNum w:abstractNumId="36" w15:restartNumberingAfterBreak="0">
    <w:nsid w:val="68E97424"/>
    <w:multiLevelType w:val="hybridMultilevel"/>
    <w:tmpl w:val="80CEF1C4"/>
    <w:lvl w:ilvl="0" w:tplc="6CEAEA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0A81E74"/>
    <w:multiLevelType w:val="hybridMultilevel"/>
    <w:tmpl w:val="43048136"/>
    <w:lvl w:ilvl="0" w:tplc="823C9994">
      <w:start w:val="1"/>
      <w:numFmt w:val="lowerLetter"/>
      <w:lvlText w:val="%1."/>
      <w:lvlJc w:val="left"/>
      <w:pPr>
        <w:ind w:left="1004" w:hanging="360"/>
      </w:pPr>
      <w:rPr>
        <w:b w:val="0"/>
      </w:rPr>
    </w:lvl>
    <w:lvl w:ilvl="1" w:tplc="34090019" w:tentative="1">
      <w:start w:val="1"/>
      <w:numFmt w:val="lowerLetter"/>
      <w:lvlText w:val="%2."/>
      <w:lvlJc w:val="left"/>
      <w:pPr>
        <w:ind w:left="1724" w:hanging="360"/>
      </w:pPr>
    </w:lvl>
    <w:lvl w:ilvl="2" w:tplc="3409001B">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38" w15:restartNumberingAfterBreak="0">
    <w:nsid w:val="7BC2278C"/>
    <w:multiLevelType w:val="hybridMultilevel"/>
    <w:tmpl w:val="37DEB2E4"/>
    <w:lvl w:ilvl="0" w:tplc="8F2E38B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02C1B"/>
    <w:multiLevelType w:val="hybridMultilevel"/>
    <w:tmpl w:val="DD4EB6F0"/>
    <w:lvl w:ilvl="0" w:tplc="BF8601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0"/>
  </w:num>
  <w:num w:numId="4">
    <w:abstractNumId w:val="29"/>
  </w:num>
  <w:num w:numId="5">
    <w:abstractNumId w:val="19"/>
  </w:num>
  <w:num w:numId="6">
    <w:abstractNumId w:val="34"/>
  </w:num>
  <w:num w:numId="7">
    <w:abstractNumId w:val="21"/>
  </w:num>
  <w:num w:numId="8">
    <w:abstractNumId w:val="25"/>
  </w:num>
  <w:num w:numId="9">
    <w:abstractNumId w:val="31"/>
  </w:num>
  <w:num w:numId="10">
    <w:abstractNumId w:val="6"/>
  </w:num>
  <w:num w:numId="11">
    <w:abstractNumId w:val="8"/>
  </w:num>
  <w:num w:numId="12">
    <w:abstractNumId w:val="7"/>
  </w:num>
  <w:num w:numId="13">
    <w:abstractNumId w:val="2"/>
  </w:num>
  <w:num w:numId="14">
    <w:abstractNumId w:val="9"/>
  </w:num>
  <w:num w:numId="15">
    <w:abstractNumId w:val="17"/>
  </w:num>
  <w:num w:numId="16">
    <w:abstractNumId w:val="14"/>
  </w:num>
  <w:num w:numId="17">
    <w:abstractNumId w:val="3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37"/>
  </w:num>
  <w:num w:numId="24">
    <w:abstractNumId w:val="18"/>
  </w:num>
  <w:num w:numId="25">
    <w:abstractNumId w:val="10"/>
  </w:num>
  <w:num w:numId="26">
    <w:abstractNumId w:val="20"/>
  </w:num>
  <w:num w:numId="27">
    <w:abstractNumId w:val="12"/>
  </w:num>
  <w:num w:numId="28">
    <w:abstractNumId w:val="13"/>
  </w:num>
  <w:num w:numId="29">
    <w:abstractNumId w:val="38"/>
  </w:num>
  <w:num w:numId="30">
    <w:abstractNumId w:val="24"/>
  </w:num>
  <w:num w:numId="31">
    <w:abstractNumId w:val="11"/>
  </w:num>
  <w:num w:numId="32">
    <w:abstractNumId w:val="32"/>
  </w:num>
  <w:num w:numId="33">
    <w:abstractNumId w:val="39"/>
  </w:num>
  <w:num w:numId="34">
    <w:abstractNumId w:val="5"/>
  </w:num>
  <w:num w:numId="35">
    <w:abstractNumId w:val="15"/>
  </w:num>
  <w:num w:numId="36">
    <w:abstractNumId w:val="23"/>
  </w:num>
  <w:num w:numId="37">
    <w:abstractNumId w:val="33"/>
  </w:num>
  <w:num w:numId="38">
    <w:abstractNumId w:val="30"/>
  </w:num>
  <w:num w:numId="39">
    <w:abstractNumId w:val="2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A5"/>
    <w:rsid w:val="00000C87"/>
    <w:rsid w:val="00080E73"/>
    <w:rsid w:val="00087E71"/>
    <w:rsid w:val="002C5AB1"/>
    <w:rsid w:val="00402F4F"/>
    <w:rsid w:val="00652485"/>
    <w:rsid w:val="006A2C7E"/>
    <w:rsid w:val="007108A5"/>
    <w:rsid w:val="007B23C2"/>
    <w:rsid w:val="00993DDF"/>
    <w:rsid w:val="00A26D34"/>
    <w:rsid w:val="00A67C74"/>
    <w:rsid w:val="00B412CF"/>
    <w:rsid w:val="00B57838"/>
    <w:rsid w:val="00B7621A"/>
    <w:rsid w:val="00BA4297"/>
    <w:rsid w:val="00C71007"/>
    <w:rsid w:val="00CA7043"/>
    <w:rsid w:val="00FD14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B8FAA"/>
  <w15:chartTrackingRefBased/>
  <w15:docId w15:val="{2D348B09-E7D6-4EC8-87F0-92ED6E25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A5"/>
    <w:rPr>
      <w:lang w:val="en-US"/>
    </w:rPr>
  </w:style>
  <w:style w:type="paragraph" w:styleId="Heading3">
    <w:name w:val="heading 3"/>
    <w:next w:val="Normal"/>
    <w:link w:val="Heading3Char"/>
    <w:uiPriority w:val="9"/>
    <w:unhideWhenUsed/>
    <w:qFormat/>
    <w:rsid w:val="00402F4F"/>
    <w:pPr>
      <w:keepNext/>
      <w:keepLines/>
      <w:spacing w:after="5" w:line="250" w:lineRule="auto"/>
      <w:ind w:left="1302" w:hanging="10"/>
      <w:jc w:val="both"/>
      <w:outlineLvl w:val="2"/>
    </w:pPr>
    <w:rPr>
      <w:rFonts w:ascii="Arial" w:eastAsia="Arial" w:hAnsi="Arial" w:cs="Arial"/>
      <w:b/>
      <w:color w:val="000000"/>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8A5"/>
    <w:pPr>
      <w:ind w:left="720"/>
      <w:contextualSpacing/>
    </w:pPr>
  </w:style>
  <w:style w:type="character" w:styleId="Hyperlink">
    <w:name w:val="Hyperlink"/>
    <w:basedOn w:val="DefaultParagraphFont"/>
    <w:uiPriority w:val="99"/>
    <w:unhideWhenUsed/>
    <w:rsid w:val="007108A5"/>
    <w:rPr>
      <w:color w:val="0563C1" w:themeColor="hyperlink"/>
      <w:u w:val="single"/>
    </w:rPr>
  </w:style>
  <w:style w:type="character" w:customStyle="1" w:styleId="UnresolvedMention1">
    <w:name w:val="Unresolved Mention1"/>
    <w:basedOn w:val="DefaultParagraphFont"/>
    <w:uiPriority w:val="99"/>
    <w:semiHidden/>
    <w:unhideWhenUsed/>
    <w:rsid w:val="007108A5"/>
    <w:rPr>
      <w:color w:val="605E5C"/>
      <w:shd w:val="clear" w:color="auto" w:fill="E1DFDD"/>
    </w:rPr>
  </w:style>
  <w:style w:type="paragraph" w:styleId="Header">
    <w:name w:val="header"/>
    <w:basedOn w:val="Normal"/>
    <w:link w:val="HeaderChar"/>
    <w:uiPriority w:val="99"/>
    <w:unhideWhenUsed/>
    <w:rsid w:val="00710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A5"/>
    <w:rPr>
      <w:lang w:val="en-US"/>
    </w:rPr>
  </w:style>
  <w:style w:type="paragraph" w:styleId="Footer">
    <w:name w:val="footer"/>
    <w:basedOn w:val="Normal"/>
    <w:link w:val="FooterChar"/>
    <w:uiPriority w:val="99"/>
    <w:unhideWhenUsed/>
    <w:rsid w:val="00710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A5"/>
    <w:rPr>
      <w:lang w:val="en-US"/>
    </w:rPr>
  </w:style>
  <w:style w:type="paragraph" w:styleId="NoSpacing">
    <w:name w:val="No Spacing"/>
    <w:link w:val="NoSpacingChar"/>
    <w:uiPriority w:val="1"/>
    <w:qFormat/>
    <w:rsid w:val="007108A5"/>
    <w:pPr>
      <w:spacing w:after="0" w:line="240" w:lineRule="auto"/>
    </w:pPr>
    <w:rPr>
      <w:lang w:val="en-US"/>
    </w:rPr>
  </w:style>
  <w:style w:type="table" w:styleId="TableGrid">
    <w:name w:val="Table Grid"/>
    <w:basedOn w:val="TableNormal"/>
    <w:uiPriority w:val="39"/>
    <w:rsid w:val="00710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qFormat/>
    <w:rsid w:val="007108A5"/>
    <w:rPr>
      <w:lang w:val="en-US"/>
    </w:rPr>
  </w:style>
  <w:style w:type="paragraph" w:styleId="NormalWeb">
    <w:name w:val="Normal (Web)"/>
    <w:basedOn w:val="Normal"/>
    <w:uiPriority w:val="99"/>
    <w:unhideWhenUsed/>
    <w:rsid w:val="007108A5"/>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7108A5"/>
    <w:rPr>
      <w:b/>
      <w:bCs/>
    </w:rPr>
  </w:style>
  <w:style w:type="character" w:customStyle="1" w:styleId="ListParagraphChar">
    <w:name w:val="List Paragraph Char"/>
    <w:link w:val="ListParagraph"/>
    <w:uiPriority w:val="34"/>
    <w:qFormat/>
    <w:locked/>
    <w:rsid w:val="00402F4F"/>
    <w:rPr>
      <w:lang w:val="en-US"/>
    </w:rPr>
  </w:style>
  <w:style w:type="character" w:customStyle="1" w:styleId="Heading3Char">
    <w:name w:val="Heading 3 Char"/>
    <w:basedOn w:val="DefaultParagraphFont"/>
    <w:link w:val="Heading3"/>
    <w:uiPriority w:val="9"/>
    <w:rsid w:val="00402F4F"/>
    <w:rPr>
      <w:rFonts w:ascii="Arial" w:eastAsia="Arial" w:hAnsi="Arial" w:cs="Arial"/>
      <w:b/>
      <w:color w:val="000000"/>
      <w:kern w:val="2"/>
      <w:sz w:val="24"/>
      <w:szCs w:val="24"/>
      <w:lang w:val="en-US"/>
      <w14:ligatures w14:val="standardContextual"/>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liefweb.int/report/philippines/philippines-national-disaster-risk-reduction-and-management-plan-2020-203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28</Pages>
  <Words>10779</Words>
  <Characters>61446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CSPC</dc:creator>
  <cp:keywords/>
  <dc:description/>
  <cp:lastModifiedBy>SDI 1084</cp:lastModifiedBy>
  <cp:revision>10</cp:revision>
  <dcterms:created xsi:type="dcterms:W3CDTF">2026-03-16T11:48:00Z</dcterms:created>
  <dcterms:modified xsi:type="dcterms:W3CDTF">2026-03-17T13:47:00Z</dcterms:modified>
</cp:coreProperties>
</file>