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D2E02" w14:textId="5AAB4686" w:rsidR="00C57D17" w:rsidRPr="00C57D17" w:rsidRDefault="00C57D17" w:rsidP="00865359">
      <w:pPr>
        <w:pStyle w:val="Author"/>
        <w:spacing w:line="240" w:lineRule="auto"/>
        <w:jc w:val="left"/>
        <w:rPr>
          <w:rFonts w:ascii="Arial" w:hAnsi="Arial" w:cs="Arial"/>
          <w:bCs/>
          <w:iCs/>
          <w:kern w:val="28"/>
          <w:sz w:val="36"/>
          <w:u w:val="single"/>
        </w:rPr>
      </w:pPr>
      <w:r w:rsidRPr="00C57D17">
        <w:rPr>
          <w:rFonts w:ascii="Arial" w:hAnsi="Arial" w:cs="Arial"/>
          <w:bCs/>
          <w:iCs/>
          <w:kern w:val="28"/>
          <w:sz w:val="36"/>
          <w:u w:val="single"/>
        </w:rPr>
        <w:t>Original Research Article</w:t>
      </w:r>
    </w:p>
    <w:p w14:paraId="665B4999" w14:textId="77777777" w:rsidR="00C57D17" w:rsidRDefault="00C57D17" w:rsidP="00865359">
      <w:pPr>
        <w:pStyle w:val="Author"/>
        <w:spacing w:line="240" w:lineRule="auto"/>
        <w:jc w:val="left"/>
        <w:rPr>
          <w:rFonts w:ascii="Arial" w:hAnsi="Arial" w:cs="Arial"/>
          <w:bCs/>
          <w:iCs/>
          <w:kern w:val="28"/>
          <w:sz w:val="36"/>
        </w:rPr>
      </w:pPr>
    </w:p>
    <w:p w14:paraId="5A86A1F7" w14:textId="380D03E5" w:rsidR="00163BC4" w:rsidRPr="00163BC4" w:rsidRDefault="00246F0D" w:rsidP="00865359">
      <w:pPr>
        <w:pStyle w:val="Author"/>
        <w:spacing w:line="240" w:lineRule="auto"/>
        <w:jc w:val="left"/>
        <w:rPr>
          <w:rFonts w:ascii="Arial" w:hAnsi="Arial" w:cs="Arial"/>
          <w:bCs/>
          <w:iCs/>
          <w:kern w:val="28"/>
          <w:sz w:val="36"/>
        </w:rPr>
      </w:pPr>
      <w:r w:rsidRPr="00246F0D">
        <w:rPr>
          <w:rFonts w:ascii="Arial" w:hAnsi="Arial" w:cs="Arial"/>
          <w:bCs/>
          <w:iCs/>
          <w:kern w:val="28"/>
          <w:sz w:val="36"/>
        </w:rPr>
        <w:t>Evaluation of the Management of Drug-Resistant Pulmonary Tuberculosis at the Matam Tuberculosis Center, Conakry</w:t>
      </w:r>
      <w:r w:rsidR="00415E19">
        <w:rPr>
          <w:rFonts w:ascii="Arial" w:hAnsi="Arial" w:cs="Arial"/>
          <w:bCs/>
          <w:iCs/>
          <w:kern w:val="28"/>
          <w:sz w:val="36"/>
        </w:rPr>
        <w:t xml:space="preserve"> (Guinea)</w:t>
      </w:r>
    </w:p>
    <w:p w14:paraId="7A006D60" w14:textId="77777777" w:rsidR="00A258C3" w:rsidRPr="00790ADA" w:rsidRDefault="00A258C3" w:rsidP="00441B6F">
      <w:pPr>
        <w:pStyle w:val="Author"/>
        <w:spacing w:line="240" w:lineRule="auto"/>
        <w:jc w:val="both"/>
        <w:rPr>
          <w:rFonts w:ascii="Arial" w:hAnsi="Arial" w:cs="Arial"/>
          <w:sz w:val="36"/>
        </w:rPr>
      </w:pPr>
    </w:p>
    <w:p w14:paraId="02650E88" w14:textId="77777777" w:rsidR="00C57D17" w:rsidRPr="0013280E" w:rsidRDefault="00C57D17" w:rsidP="00003ABF">
      <w:pPr>
        <w:pStyle w:val="Affiliation"/>
        <w:spacing w:after="0" w:line="240" w:lineRule="auto"/>
        <w:rPr>
          <w:rFonts w:ascii="Arial" w:hAnsi="Arial" w:cs="Arial"/>
        </w:rPr>
      </w:pPr>
    </w:p>
    <w:p w14:paraId="0D9C9F90" w14:textId="77777777" w:rsidR="002C57D2" w:rsidRPr="0013280E" w:rsidRDefault="002C57D2" w:rsidP="00441B6F">
      <w:pPr>
        <w:pStyle w:val="Affiliation"/>
        <w:spacing w:after="0" w:line="240" w:lineRule="auto"/>
        <w:jc w:val="both"/>
        <w:rPr>
          <w:rFonts w:ascii="Arial" w:hAnsi="Arial" w:cs="Arial"/>
        </w:rPr>
      </w:pPr>
    </w:p>
    <w:p w14:paraId="4CA21414" w14:textId="1A3130B4" w:rsidR="00B01FCD" w:rsidRPr="00FB3A86" w:rsidRDefault="005D17FE" w:rsidP="00441B6F">
      <w:pPr>
        <w:pStyle w:val="Copyright"/>
        <w:spacing w:after="0" w:line="240" w:lineRule="auto"/>
        <w:jc w:val="both"/>
        <w:rPr>
          <w:rFonts w:ascii="Arial" w:hAnsi="Arial" w:cs="Arial"/>
        </w:rPr>
        <w:sectPr w:rsidR="00B01FCD" w:rsidRPr="00FB3A86" w:rsidSect="00B404D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B8D13A6" wp14:editId="3EFD65A5">
                <wp:extent cx="5303520" cy="635"/>
                <wp:effectExtent l="9525" t="15875" r="11430" b="1270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20C694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00E92906" w14:textId="308DEF20"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BD771E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25732B0" w14:textId="77777777" w:rsidTr="001E44FE">
        <w:tc>
          <w:tcPr>
            <w:tcW w:w="9576" w:type="dxa"/>
            <w:shd w:val="clear" w:color="auto" w:fill="F2F2F2"/>
          </w:tcPr>
          <w:p w14:paraId="175EAEA4" w14:textId="32042FAB" w:rsid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246F0D" w:rsidRPr="00246F0D">
              <w:rPr>
                <w:rFonts w:ascii="Arial" w:eastAsia="Calibri" w:hAnsi="Arial" w:cs="Arial"/>
                <w:szCs w:val="22"/>
              </w:rPr>
              <w:t xml:space="preserve">Tuberculosis remains a major public health problem, and the emergence of drug-resistant forms significantly complicates its management, particularly in resource-limited countries such as the Republic of Guinea. Then, this study is to assess the management of patients with drug-resistant pulmonary tuberculosis at the Matam </w:t>
            </w:r>
            <w:r w:rsidR="008F3A46">
              <w:rPr>
                <w:rFonts w:ascii="Arial" w:eastAsia="Calibri" w:hAnsi="Arial" w:cs="Arial"/>
                <w:szCs w:val="22"/>
              </w:rPr>
              <w:t>T</w:t>
            </w:r>
            <w:r w:rsidR="00246F0D" w:rsidRPr="00246F0D">
              <w:rPr>
                <w:rFonts w:ascii="Arial" w:eastAsia="Calibri" w:hAnsi="Arial" w:cs="Arial"/>
                <w:szCs w:val="22"/>
              </w:rPr>
              <w:t>uberculosis Center (CAT), in order to identify shortcomings and propose areas for improvement.</w:t>
            </w:r>
          </w:p>
          <w:p w14:paraId="16DB0765" w14:textId="77777777" w:rsidR="00B97C9E" w:rsidRDefault="00B97C9E" w:rsidP="00441B6F">
            <w:pPr>
              <w:pStyle w:val="Body"/>
              <w:spacing w:after="0"/>
              <w:rPr>
                <w:rFonts w:ascii="Arial" w:eastAsia="Calibri" w:hAnsi="Arial" w:cs="Arial"/>
                <w:b/>
                <w:bCs/>
                <w:szCs w:val="22"/>
              </w:rPr>
            </w:pPr>
          </w:p>
          <w:p w14:paraId="64C1E1E9" w14:textId="3A8EE459"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246F0D" w:rsidRPr="00246F0D">
              <w:rPr>
                <w:rFonts w:ascii="Arial" w:eastAsia="Calibri" w:hAnsi="Arial" w:cs="Arial"/>
                <w:szCs w:val="22"/>
              </w:rPr>
              <w:t xml:space="preserve">A descriptive and analytical cross-sectional study was conducted at the Matam Tuberculosis Center (CAT). Sociodemographic, clinical, bacteriological, and treatment-related data were collected. Sputum samples were analyzed using the GeneXpert MTB/RIF assay and fluorescence microscopy. </w:t>
            </w:r>
          </w:p>
          <w:p w14:paraId="295D9B45" w14:textId="77777777" w:rsidR="00B97C9E" w:rsidRDefault="00B97C9E" w:rsidP="00441B6F">
            <w:pPr>
              <w:pStyle w:val="Body"/>
              <w:spacing w:after="0"/>
              <w:rPr>
                <w:rFonts w:ascii="Arial" w:eastAsia="Calibri" w:hAnsi="Arial" w:cs="Arial"/>
                <w:b/>
                <w:bCs/>
                <w:szCs w:val="22"/>
              </w:rPr>
            </w:pPr>
          </w:p>
          <w:p w14:paraId="2488C5CF" w14:textId="1639256E" w:rsidR="00B97C9E"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B97C9E" w:rsidRPr="00B97C9E">
              <w:rPr>
                <w:rFonts w:ascii="Arial" w:eastAsia="Calibri" w:hAnsi="Arial" w:cs="Arial"/>
                <w:szCs w:val="22"/>
              </w:rPr>
              <w:t>The study revealed a treatment failure rate of 6%, mainly observed among patients with relapse or a history of previous treatment failure. The GeneXpert MTB/RIF assay enabled rapid detection of rifampicin resistance, thereby improving the timeliness of treatment initiation. The treatment success rate was high (94%), although some challenges remain, particularly diagnostic delays and difficulties with treatment adherence.</w:t>
            </w:r>
          </w:p>
          <w:p w14:paraId="24D41335" w14:textId="77777777" w:rsidR="00B97C9E" w:rsidRDefault="00B97C9E" w:rsidP="00B97C9E">
            <w:pPr>
              <w:pStyle w:val="Body"/>
              <w:spacing w:after="0"/>
              <w:rPr>
                <w:rFonts w:ascii="Arial" w:eastAsia="Calibri" w:hAnsi="Arial" w:cs="Arial"/>
                <w:b/>
                <w:bCs/>
                <w:szCs w:val="22"/>
              </w:rPr>
            </w:pPr>
          </w:p>
          <w:p w14:paraId="6B34596A" w14:textId="6126B3FE" w:rsidR="00505F06" w:rsidRPr="00BA1B01" w:rsidRDefault="00BA1B01" w:rsidP="00B97C9E">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B97C9E">
              <w:t>Drug-resistant tuberculosis remains a major challenge in Conakry. Strengthening early detection, improving treatment monitoring, and ensuring strict adherence to treatment protocols are essential to improving patient care.</w:t>
            </w:r>
          </w:p>
        </w:tc>
      </w:tr>
    </w:tbl>
    <w:p w14:paraId="76407B73" w14:textId="77777777" w:rsidR="00636EB2" w:rsidRDefault="00636EB2" w:rsidP="00441B6F">
      <w:pPr>
        <w:pStyle w:val="Body"/>
        <w:spacing w:after="0"/>
        <w:rPr>
          <w:rFonts w:ascii="Arial" w:hAnsi="Arial" w:cs="Arial"/>
          <w:i/>
        </w:rPr>
      </w:pPr>
    </w:p>
    <w:p w14:paraId="2B7084B9" w14:textId="6621D903" w:rsidR="00790ADA" w:rsidRDefault="00A24E7E" w:rsidP="00441B6F">
      <w:pPr>
        <w:pStyle w:val="Body"/>
        <w:spacing w:after="0"/>
        <w:rPr>
          <w:rFonts w:ascii="Arial" w:hAnsi="Arial" w:cs="Arial"/>
          <w:i/>
        </w:rPr>
      </w:pPr>
      <w:r>
        <w:rPr>
          <w:rFonts w:ascii="Arial" w:hAnsi="Arial" w:cs="Arial"/>
          <w:i/>
        </w:rPr>
        <w:t xml:space="preserve">Keywords: </w:t>
      </w:r>
      <w:r w:rsidR="00915EDD" w:rsidRPr="00915EDD">
        <w:rPr>
          <w:rFonts w:ascii="Arial" w:hAnsi="Arial" w:cs="Arial"/>
          <w:i/>
        </w:rPr>
        <w:t>Pulmonary tuberculosis, drug resistance, GeneXpert, Guinea</w:t>
      </w:r>
    </w:p>
    <w:p w14:paraId="3B8F2DB1" w14:textId="77777777" w:rsidR="00915EDD" w:rsidRDefault="00915EDD" w:rsidP="00441B6F">
      <w:pPr>
        <w:pStyle w:val="Body"/>
        <w:spacing w:after="0"/>
        <w:rPr>
          <w:rFonts w:ascii="Arial" w:hAnsi="Arial" w:cs="Arial"/>
          <w:i/>
        </w:rPr>
      </w:pPr>
    </w:p>
    <w:p w14:paraId="66A8BF3E" w14:textId="77777777" w:rsidR="00505F06" w:rsidRPr="00A24E7E" w:rsidRDefault="00505F06" w:rsidP="00441B6F">
      <w:pPr>
        <w:pStyle w:val="Body"/>
        <w:spacing w:after="0"/>
        <w:rPr>
          <w:rFonts w:ascii="Arial" w:hAnsi="Arial" w:cs="Arial"/>
          <w:i/>
        </w:rPr>
      </w:pPr>
    </w:p>
    <w:p w14:paraId="72BD9526" w14:textId="7CE7536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E0FB4A9" w14:textId="77777777" w:rsidR="00790ADA" w:rsidRPr="00FB3A86" w:rsidRDefault="00790ADA" w:rsidP="00441B6F">
      <w:pPr>
        <w:pStyle w:val="AbstHead"/>
        <w:spacing w:after="0"/>
        <w:jc w:val="both"/>
        <w:rPr>
          <w:rFonts w:ascii="Arial" w:hAnsi="Arial" w:cs="Arial"/>
        </w:rPr>
      </w:pPr>
    </w:p>
    <w:p w14:paraId="75BD0C97" w14:textId="77777777" w:rsidR="00C32F18" w:rsidRPr="00C32F18" w:rsidRDefault="00C32F18" w:rsidP="0034400A">
      <w:pPr>
        <w:pStyle w:val="AbstHead"/>
        <w:spacing w:after="0"/>
        <w:jc w:val="both"/>
        <w:rPr>
          <w:rFonts w:ascii="Arial" w:hAnsi="Arial" w:cs="Arial"/>
          <w:b w:val="0"/>
          <w:caps w:val="0"/>
          <w:sz w:val="20"/>
        </w:rPr>
      </w:pPr>
      <w:r w:rsidRPr="00C32F18">
        <w:rPr>
          <w:rFonts w:ascii="Arial" w:hAnsi="Arial" w:cs="Arial"/>
          <w:b w:val="0"/>
          <w:caps w:val="0"/>
          <w:sz w:val="20"/>
        </w:rPr>
        <w:t>Tuberculosis (TB) is an infectious and contagious disease caused by Mycobacterium tuberculosis, transmitted to humans through the air via respiratory droplets. Despite the availability of effective treatments, TB remains one of the leading causes of morbidity and mortality worldwide, particularly in low-income countries (</w:t>
      </w:r>
      <w:r w:rsidRPr="00B007DE">
        <w:rPr>
          <w:rFonts w:ascii="Arial" w:hAnsi="Arial" w:cs="Arial"/>
          <w:bCs/>
          <w:caps w:val="0"/>
          <w:sz w:val="20"/>
        </w:rPr>
        <w:t>WHO, 2016</w:t>
      </w:r>
      <w:r w:rsidRPr="00C32F18">
        <w:rPr>
          <w:rFonts w:ascii="Arial" w:hAnsi="Arial" w:cs="Arial"/>
          <w:b w:val="0"/>
          <w:caps w:val="0"/>
          <w:sz w:val="20"/>
        </w:rPr>
        <w:t>).</w:t>
      </w:r>
    </w:p>
    <w:p w14:paraId="38B5343F" w14:textId="518147B4" w:rsidR="00C32F18" w:rsidRPr="00C32F18" w:rsidRDefault="00C32F18" w:rsidP="0034400A">
      <w:pPr>
        <w:pStyle w:val="AbstHead"/>
        <w:spacing w:after="0"/>
        <w:jc w:val="both"/>
        <w:rPr>
          <w:rFonts w:ascii="Arial" w:hAnsi="Arial" w:cs="Arial"/>
          <w:b w:val="0"/>
          <w:caps w:val="0"/>
          <w:sz w:val="20"/>
        </w:rPr>
      </w:pPr>
      <w:r w:rsidRPr="00C32F18">
        <w:rPr>
          <w:rFonts w:ascii="Arial" w:hAnsi="Arial" w:cs="Arial"/>
          <w:b w:val="0"/>
          <w:caps w:val="0"/>
          <w:sz w:val="20"/>
        </w:rPr>
        <w:t>According to the World Health Organization, approximately 10.4 million new cases of tuberculosis were reported in 2015, of which 1.2 million (11%) involved people co-infected with</w:t>
      </w:r>
      <w:r w:rsidR="00F825A7">
        <w:rPr>
          <w:rFonts w:ascii="Arial" w:hAnsi="Arial" w:cs="Arial"/>
          <w:b w:val="0"/>
          <w:caps w:val="0"/>
          <w:sz w:val="20"/>
        </w:rPr>
        <w:t xml:space="preserve"> </w:t>
      </w:r>
      <w:r w:rsidRPr="00C32F18">
        <w:rPr>
          <w:rFonts w:ascii="Arial" w:hAnsi="Arial" w:cs="Arial"/>
          <w:b w:val="0"/>
          <w:caps w:val="0"/>
          <w:sz w:val="20"/>
        </w:rPr>
        <w:t xml:space="preserve">HIV. In the same year, the disease caused nearly 1.4 million deaths. Two-thirds of these cases </w:t>
      </w:r>
      <w:r w:rsidRPr="00C32F18">
        <w:rPr>
          <w:rFonts w:ascii="Arial" w:hAnsi="Arial" w:cs="Arial"/>
          <w:b w:val="0"/>
          <w:caps w:val="0"/>
          <w:sz w:val="20"/>
        </w:rPr>
        <w:lastRenderedPageBreak/>
        <w:t>were concentrated in eight countries, including India, Indonesia, China, and several African countries such as Nigeria and South Africa (</w:t>
      </w:r>
      <w:r w:rsidRPr="00B007DE">
        <w:rPr>
          <w:rFonts w:ascii="Arial" w:hAnsi="Arial" w:cs="Arial"/>
          <w:bCs/>
          <w:caps w:val="0"/>
          <w:sz w:val="20"/>
        </w:rPr>
        <w:t>WHO, 2016</w:t>
      </w:r>
      <w:r w:rsidRPr="00C32F18">
        <w:rPr>
          <w:rFonts w:ascii="Arial" w:hAnsi="Arial" w:cs="Arial"/>
          <w:b w:val="0"/>
          <w:caps w:val="0"/>
          <w:sz w:val="20"/>
        </w:rPr>
        <w:t>).</w:t>
      </w:r>
    </w:p>
    <w:p w14:paraId="5C3A97FB" w14:textId="77777777" w:rsidR="00C32F18" w:rsidRPr="00C32F18" w:rsidRDefault="00C32F18" w:rsidP="0034400A">
      <w:pPr>
        <w:pStyle w:val="AbstHead"/>
        <w:spacing w:after="0"/>
        <w:jc w:val="both"/>
        <w:rPr>
          <w:rFonts w:ascii="Arial" w:hAnsi="Arial" w:cs="Arial"/>
          <w:b w:val="0"/>
          <w:caps w:val="0"/>
          <w:sz w:val="20"/>
        </w:rPr>
      </w:pPr>
      <w:r w:rsidRPr="00C32F18">
        <w:rPr>
          <w:rFonts w:ascii="Arial" w:hAnsi="Arial" w:cs="Arial"/>
          <w:b w:val="0"/>
          <w:caps w:val="0"/>
          <w:sz w:val="20"/>
        </w:rPr>
        <w:t>In Guinea, tuberculosis represents a significant public health problem. In 2018, the Ministry of Health and Public Hygiene recorded 43,734 suspected cases of TB, of which 8,790 were confirmed positive by bacteriological testing, representing a positivity rate of 20%. The incidence is estimated at 176 cases per 100,000 inhabitants, with a mortality rate of 22 deaths per 100,000 inhabitants (</w:t>
      </w:r>
      <w:r w:rsidRPr="00B007DE">
        <w:rPr>
          <w:rFonts w:ascii="Arial" w:hAnsi="Arial" w:cs="Arial"/>
          <w:bCs/>
          <w:caps w:val="0"/>
          <w:sz w:val="20"/>
        </w:rPr>
        <w:t>MSHP, 2019</w:t>
      </w:r>
      <w:r w:rsidRPr="00C32F18">
        <w:rPr>
          <w:rFonts w:ascii="Arial" w:hAnsi="Arial" w:cs="Arial"/>
          <w:b w:val="0"/>
          <w:caps w:val="0"/>
          <w:sz w:val="20"/>
        </w:rPr>
        <w:t>).</w:t>
      </w:r>
    </w:p>
    <w:p w14:paraId="2C12AD7B" w14:textId="49B1AE82" w:rsidR="00037697" w:rsidRPr="00037697" w:rsidRDefault="00C32F18" w:rsidP="0034400A">
      <w:pPr>
        <w:pStyle w:val="AbstHead"/>
        <w:spacing w:after="0"/>
        <w:jc w:val="both"/>
        <w:rPr>
          <w:rFonts w:ascii="Arial" w:hAnsi="Arial" w:cs="Arial"/>
          <w:b w:val="0"/>
          <w:caps w:val="0"/>
          <w:sz w:val="20"/>
        </w:rPr>
      </w:pPr>
      <w:r w:rsidRPr="00C32F18">
        <w:rPr>
          <w:rFonts w:ascii="Arial" w:hAnsi="Arial" w:cs="Arial"/>
          <w:b w:val="0"/>
          <w:caps w:val="0"/>
          <w:sz w:val="20"/>
        </w:rPr>
        <w:t>Furthermore, the emergence of Mycobacterium tuberculosis strains resistant to first-line antituberculosis drugs, particularly isoniazid and rifampicin, further undermines efforts to control the disease.</w:t>
      </w:r>
      <w:r w:rsidR="00037697">
        <w:rPr>
          <w:rFonts w:ascii="Arial" w:hAnsi="Arial" w:cs="Arial"/>
          <w:b w:val="0"/>
          <w:caps w:val="0"/>
          <w:sz w:val="20"/>
        </w:rPr>
        <w:t xml:space="preserve"> </w:t>
      </w:r>
      <w:r w:rsidR="00037697" w:rsidRPr="00037697">
        <w:rPr>
          <w:rFonts w:ascii="Arial" w:hAnsi="Arial" w:cs="Arial"/>
          <w:b w:val="0"/>
          <w:caps w:val="0"/>
          <w:sz w:val="20"/>
        </w:rPr>
        <w:t>Multidrug-resistant tuberculosis (MDR-TB) is a form of the disease in which the bacillus is resistant to at least two essential first-line drugs.</w:t>
      </w:r>
    </w:p>
    <w:p w14:paraId="5B39FDD7" w14:textId="1C9EBDCC" w:rsidR="00037697" w:rsidRDefault="00037697" w:rsidP="0034400A">
      <w:pPr>
        <w:pStyle w:val="AbstHead"/>
        <w:spacing w:after="0"/>
        <w:jc w:val="both"/>
        <w:rPr>
          <w:rFonts w:ascii="Arial" w:hAnsi="Arial" w:cs="Arial"/>
          <w:b w:val="0"/>
          <w:caps w:val="0"/>
          <w:sz w:val="20"/>
        </w:rPr>
      </w:pPr>
      <w:r w:rsidRPr="00037697">
        <w:rPr>
          <w:rFonts w:ascii="Arial" w:hAnsi="Arial" w:cs="Arial"/>
          <w:b w:val="0"/>
          <w:caps w:val="0"/>
          <w:sz w:val="20"/>
        </w:rPr>
        <w:t>The COVID-19 pandemic has further exacerbated the situation by limiting access to diagnosis and care, leading to an increase in tuberculosis-related deaths (</w:t>
      </w:r>
      <w:r w:rsidRPr="00B007DE">
        <w:rPr>
          <w:rFonts w:ascii="Arial" w:hAnsi="Arial" w:cs="Arial"/>
          <w:bCs/>
          <w:caps w:val="0"/>
          <w:sz w:val="20"/>
        </w:rPr>
        <w:t>WHO, 2021</w:t>
      </w:r>
      <w:r w:rsidRPr="00037697">
        <w:rPr>
          <w:rFonts w:ascii="Arial" w:hAnsi="Arial" w:cs="Arial"/>
          <w:b w:val="0"/>
          <w:caps w:val="0"/>
          <w:sz w:val="20"/>
        </w:rPr>
        <w:t>). In this context, the implementation of effective screening and treatment strategies is crucial, particularly through the use of innovative technologies such as the GeneXpert MTB/RIF assay, which enables rapid detection of rifampicin resistance.</w:t>
      </w:r>
      <w:r>
        <w:rPr>
          <w:rFonts w:ascii="Arial" w:hAnsi="Arial" w:cs="Arial"/>
          <w:b w:val="0"/>
          <w:caps w:val="0"/>
          <w:sz w:val="20"/>
        </w:rPr>
        <w:t xml:space="preserve"> </w:t>
      </w:r>
      <w:r w:rsidRPr="00037697">
        <w:rPr>
          <w:rFonts w:ascii="Arial" w:hAnsi="Arial" w:cs="Arial"/>
          <w:b w:val="0"/>
          <w:caps w:val="0"/>
          <w:sz w:val="20"/>
        </w:rPr>
        <w:t>The present study, conducted at the Anti-Tuberculosis Center (CAT) in the Matam district of Conakry, aims to evaluate the effectiveness of care for patients with drug-resistant pulmonary tuberculosis by analyzing the diagnostic methods employed and the treatment outcomes observed.</w:t>
      </w:r>
    </w:p>
    <w:p w14:paraId="145D8CB3" w14:textId="77777777" w:rsidR="00C32F18" w:rsidRDefault="00C32F18" w:rsidP="00C32F18">
      <w:pPr>
        <w:pStyle w:val="AbstHead"/>
        <w:spacing w:after="0"/>
        <w:jc w:val="both"/>
        <w:rPr>
          <w:rFonts w:ascii="Arial" w:hAnsi="Arial" w:cs="Arial"/>
          <w:b w:val="0"/>
          <w:caps w:val="0"/>
          <w:sz w:val="20"/>
        </w:rPr>
      </w:pPr>
    </w:p>
    <w:p w14:paraId="43633573" w14:textId="7137C296" w:rsidR="007F7B32" w:rsidRDefault="00902823" w:rsidP="00C32F18">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00667A0" w14:textId="77777777" w:rsidR="00790ADA" w:rsidRPr="00FB3A86" w:rsidRDefault="00790ADA" w:rsidP="00441B6F">
      <w:pPr>
        <w:pStyle w:val="AbstHead"/>
        <w:spacing w:after="0"/>
        <w:jc w:val="both"/>
        <w:rPr>
          <w:rFonts w:ascii="Arial" w:hAnsi="Arial" w:cs="Arial"/>
        </w:rPr>
      </w:pPr>
    </w:p>
    <w:p w14:paraId="6B61650B" w14:textId="7AFA4FB4" w:rsidR="00501CDF" w:rsidRPr="00501CDF" w:rsidRDefault="00AA74E0" w:rsidP="00501CDF">
      <w:pPr>
        <w:pStyle w:val="Body"/>
        <w:spacing w:after="0"/>
        <w:rPr>
          <w:rFonts w:ascii="Arial" w:hAnsi="Arial" w:cs="Arial"/>
          <w:b/>
          <w:bCs/>
        </w:rPr>
      </w:pPr>
      <w:r w:rsidRPr="00C30A0F">
        <w:rPr>
          <w:rFonts w:ascii="Arial" w:hAnsi="Arial" w:cs="Arial"/>
          <w:b/>
          <w:caps/>
          <w:sz w:val="22"/>
        </w:rPr>
        <w:t xml:space="preserve">2.1 </w:t>
      </w:r>
      <w:r w:rsidR="00501CDF" w:rsidRPr="00501CDF">
        <w:rPr>
          <w:rFonts w:ascii="Arial" w:hAnsi="Arial" w:cs="Arial"/>
          <w:b/>
          <w:bCs/>
          <w:sz w:val="22"/>
          <w:szCs w:val="22"/>
        </w:rPr>
        <w:t>Study Site and Population</w:t>
      </w:r>
    </w:p>
    <w:p w14:paraId="2B1D336B" w14:textId="1B24E85A" w:rsidR="00501CDF" w:rsidRPr="00501CDF" w:rsidRDefault="00501CDF" w:rsidP="00052C09">
      <w:pPr>
        <w:pStyle w:val="Body"/>
        <w:spacing w:after="0"/>
        <w:rPr>
          <w:rFonts w:ascii="Arial" w:hAnsi="Arial" w:cs="Arial"/>
        </w:rPr>
      </w:pPr>
      <w:r w:rsidRPr="00501CDF">
        <w:rPr>
          <w:rFonts w:ascii="Arial" w:hAnsi="Arial" w:cs="Arial"/>
        </w:rPr>
        <w:t>This descriptive and analytical study was conducted over a 12-month period at the Anti-Tuberculosis Cent</w:t>
      </w:r>
      <w:r w:rsidR="00F55227">
        <w:rPr>
          <w:rFonts w:ascii="Arial" w:hAnsi="Arial" w:cs="Arial"/>
        </w:rPr>
        <w:t>e</w:t>
      </w:r>
      <w:r w:rsidRPr="00501CDF">
        <w:rPr>
          <w:rFonts w:ascii="Arial" w:hAnsi="Arial" w:cs="Arial"/>
        </w:rPr>
        <w:t xml:space="preserve">r (CAT) in the municipality of Matam, Conakry, Republic of Guinea. The </w:t>
      </w:r>
      <w:proofErr w:type="spellStart"/>
      <w:r w:rsidRPr="00501CDF">
        <w:rPr>
          <w:rFonts w:ascii="Arial" w:hAnsi="Arial" w:cs="Arial"/>
        </w:rPr>
        <w:t>centre</w:t>
      </w:r>
      <w:proofErr w:type="spellEnd"/>
      <w:r w:rsidRPr="00501CDF">
        <w:rPr>
          <w:rFonts w:ascii="Arial" w:hAnsi="Arial" w:cs="Arial"/>
        </w:rPr>
        <w:t xml:space="preserve"> is one of the main referral sites for the National Tuberculosis Control </w:t>
      </w:r>
      <w:proofErr w:type="spellStart"/>
      <w:r w:rsidRPr="00501CDF">
        <w:rPr>
          <w:rFonts w:ascii="Arial" w:hAnsi="Arial" w:cs="Arial"/>
        </w:rPr>
        <w:t>Programme</w:t>
      </w:r>
      <w:proofErr w:type="spellEnd"/>
      <w:r w:rsidRPr="00501CDF">
        <w:rPr>
          <w:rFonts w:ascii="Arial" w:hAnsi="Arial" w:cs="Arial"/>
        </w:rPr>
        <w:t xml:space="preserve"> (PNLAT), providing diagnosis, treatment, and follow-up for patients with tuberculosis, including those with multidrug-resistant tuberculosis (MDR-TB).</w:t>
      </w:r>
    </w:p>
    <w:p w14:paraId="74F38A58" w14:textId="55A127E7" w:rsidR="00505F06" w:rsidRDefault="00501CDF" w:rsidP="00052C09">
      <w:pPr>
        <w:pStyle w:val="Body"/>
        <w:spacing w:after="0"/>
        <w:rPr>
          <w:rFonts w:ascii="Arial" w:hAnsi="Arial" w:cs="Arial"/>
        </w:rPr>
      </w:pPr>
      <w:r w:rsidRPr="00501CDF">
        <w:rPr>
          <w:rFonts w:ascii="Arial" w:hAnsi="Arial" w:cs="Arial"/>
        </w:rPr>
        <w:t>A total of 152 patients aged 15 years and older, with confirmed pulmonary tuberculosis</w:t>
      </w:r>
      <w:r>
        <w:rPr>
          <w:rFonts w:ascii="Arial" w:hAnsi="Arial" w:cs="Arial"/>
        </w:rPr>
        <w:t xml:space="preserve"> </w:t>
      </w:r>
      <w:r w:rsidRPr="00501CDF">
        <w:rPr>
          <w:rFonts w:ascii="Arial" w:hAnsi="Arial" w:cs="Arial"/>
        </w:rPr>
        <w:t xml:space="preserve">regardless of previous anti-tuberculosis treatment history—and who were followed up at this </w:t>
      </w:r>
      <w:proofErr w:type="spellStart"/>
      <w:r w:rsidRPr="00501CDF">
        <w:rPr>
          <w:rFonts w:ascii="Arial" w:hAnsi="Arial" w:cs="Arial"/>
        </w:rPr>
        <w:t>centre</w:t>
      </w:r>
      <w:proofErr w:type="spellEnd"/>
      <w:r w:rsidRPr="00501CDF">
        <w:rPr>
          <w:rFonts w:ascii="Arial" w:hAnsi="Arial" w:cs="Arial"/>
        </w:rPr>
        <w:t xml:space="preserve"> throughout their treatment, were included in the study.</w:t>
      </w:r>
    </w:p>
    <w:p w14:paraId="66C8EF2B" w14:textId="77777777" w:rsidR="00501CDF" w:rsidRDefault="00501CDF" w:rsidP="00441B6F">
      <w:pPr>
        <w:pStyle w:val="Body"/>
        <w:spacing w:after="0"/>
        <w:rPr>
          <w:rFonts w:ascii="Arial" w:hAnsi="Arial" w:cs="Arial"/>
          <w:b/>
          <w:u w:val="single"/>
        </w:rPr>
      </w:pPr>
    </w:p>
    <w:p w14:paraId="69A17CA8" w14:textId="2CA69A82" w:rsidR="00501CDF" w:rsidRPr="00052C09" w:rsidRDefault="00AA74E0" w:rsidP="00501CDF">
      <w:pPr>
        <w:pStyle w:val="Body"/>
        <w:spacing w:after="0"/>
        <w:rPr>
          <w:rFonts w:ascii="Arial" w:hAnsi="Arial" w:cs="Arial"/>
          <w:b/>
          <w:sz w:val="22"/>
          <w:szCs w:val="22"/>
        </w:rPr>
      </w:pPr>
      <w:r w:rsidRPr="00052C09">
        <w:rPr>
          <w:rFonts w:ascii="Arial" w:hAnsi="Arial" w:cs="Arial"/>
          <w:b/>
          <w:sz w:val="22"/>
          <w:szCs w:val="22"/>
        </w:rPr>
        <w:t>2.</w:t>
      </w:r>
      <w:r w:rsidR="00501CDF" w:rsidRPr="00052C09">
        <w:rPr>
          <w:rFonts w:ascii="Arial" w:hAnsi="Arial" w:cs="Arial"/>
          <w:b/>
          <w:sz w:val="22"/>
          <w:szCs w:val="22"/>
        </w:rPr>
        <w:t>2</w:t>
      </w:r>
      <w:r w:rsidRPr="00052C09">
        <w:rPr>
          <w:rFonts w:ascii="Arial" w:hAnsi="Arial" w:cs="Arial"/>
          <w:b/>
          <w:sz w:val="22"/>
          <w:szCs w:val="22"/>
        </w:rPr>
        <w:t xml:space="preserve"> </w:t>
      </w:r>
      <w:r w:rsidR="00501CDF" w:rsidRPr="00052C09">
        <w:rPr>
          <w:rFonts w:ascii="Arial" w:hAnsi="Arial" w:cs="Arial"/>
          <w:b/>
          <w:sz w:val="22"/>
          <w:szCs w:val="22"/>
        </w:rPr>
        <w:t>Ethical Considerations</w:t>
      </w:r>
    </w:p>
    <w:p w14:paraId="0E8237C9" w14:textId="77777777" w:rsidR="00052C09" w:rsidRDefault="00052C09" w:rsidP="00501CDF">
      <w:pPr>
        <w:pStyle w:val="Body"/>
        <w:spacing w:after="0"/>
        <w:rPr>
          <w:rFonts w:ascii="Arial" w:hAnsi="Arial" w:cs="Arial"/>
          <w:b/>
        </w:rPr>
      </w:pPr>
    </w:p>
    <w:p w14:paraId="1C6269E4" w14:textId="2B96F428" w:rsidR="00501CDF" w:rsidRPr="00501CDF" w:rsidRDefault="00501CDF" w:rsidP="00501CDF">
      <w:pPr>
        <w:pStyle w:val="Body"/>
        <w:spacing w:after="0"/>
        <w:rPr>
          <w:rFonts w:ascii="Arial" w:hAnsi="Arial" w:cs="Arial"/>
        </w:rPr>
      </w:pPr>
      <w:r w:rsidRPr="00501CDF">
        <w:rPr>
          <w:rFonts w:ascii="Arial" w:hAnsi="Arial" w:cs="Arial"/>
        </w:rPr>
        <w:t>The study was conducted in accordance with the ethical principles of the Declaration of Helsinki. Ethical approval was obtained from the Ethics Committee of Gamal Abdel Nasser University of Conakry (UGANC), and authorization was granted by the Anti-Tuberculosis Cent</w:t>
      </w:r>
      <w:r w:rsidR="00F55227">
        <w:rPr>
          <w:rFonts w:ascii="Arial" w:hAnsi="Arial" w:cs="Arial"/>
        </w:rPr>
        <w:t>er</w:t>
      </w:r>
      <w:r w:rsidRPr="00501CDF">
        <w:rPr>
          <w:rFonts w:ascii="Arial" w:hAnsi="Arial" w:cs="Arial"/>
        </w:rPr>
        <w:t xml:space="preserve"> of the Municipality of Matam. Written informed consent was obtained from all participants prior to their inclusion in the study or the collection of samples.</w:t>
      </w:r>
    </w:p>
    <w:p w14:paraId="7787CE61" w14:textId="77777777" w:rsidR="00501CDF" w:rsidRDefault="00501CDF" w:rsidP="00441B6F">
      <w:pPr>
        <w:pStyle w:val="Body"/>
        <w:spacing w:after="0"/>
        <w:rPr>
          <w:rFonts w:ascii="Arial" w:hAnsi="Arial" w:cs="Arial"/>
        </w:rPr>
      </w:pPr>
    </w:p>
    <w:p w14:paraId="3FC89772" w14:textId="2C92CB11" w:rsidR="004E7E24" w:rsidRPr="004E7E24" w:rsidRDefault="004E7E24" w:rsidP="00441B6F">
      <w:pPr>
        <w:pStyle w:val="Body"/>
        <w:spacing w:after="0"/>
        <w:rPr>
          <w:rFonts w:ascii="Arial" w:hAnsi="Arial" w:cs="Arial"/>
          <w:b/>
          <w:bCs/>
          <w:iCs/>
          <w:sz w:val="22"/>
          <w:szCs w:val="22"/>
        </w:rPr>
      </w:pPr>
      <w:r w:rsidRPr="004E7E24">
        <w:rPr>
          <w:rFonts w:ascii="Arial" w:hAnsi="Arial" w:cs="Arial"/>
          <w:b/>
          <w:bCs/>
          <w:iCs/>
          <w:sz w:val="22"/>
          <w:szCs w:val="22"/>
        </w:rPr>
        <w:t>2.3 Laboratory analyses of samples from patients included in the study</w:t>
      </w:r>
    </w:p>
    <w:p w14:paraId="5FCD9F5A" w14:textId="77777777" w:rsidR="004E7E24" w:rsidRDefault="004E7E24" w:rsidP="00441B6F">
      <w:pPr>
        <w:pStyle w:val="Body"/>
        <w:spacing w:after="0"/>
        <w:rPr>
          <w:rFonts w:ascii="Arial" w:hAnsi="Arial" w:cs="Arial"/>
          <w:i/>
        </w:rPr>
      </w:pPr>
    </w:p>
    <w:p w14:paraId="08B863D8" w14:textId="713FECE2" w:rsidR="004E7E24" w:rsidRPr="004E7E24" w:rsidRDefault="004E7E24" w:rsidP="004E7E24">
      <w:pPr>
        <w:pStyle w:val="Body"/>
        <w:rPr>
          <w:rFonts w:ascii="Arial" w:hAnsi="Arial" w:cs="Arial"/>
          <w:i/>
        </w:rPr>
      </w:pPr>
      <w:r>
        <w:rPr>
          <w:rFonts w:ascii="Arial" w:hAnsi="Arial" w:cs="Arial"/>
          <w:i/>
        </w:rPr>
        <w:t xml:space="preserve">2.3.1 </w:t>
      </w:r>
      <w:r w:rsidRPr="004E7E24">
        <w:rPr>
          <w:rFonts w:ascii="Arial" w:hAnsi="Arial" w:cs="Arial"/>
          <w:i/>
        </w:rPr>
        <w:t>Sputum collection</w:t>
      </w:r>
    </w:p>
    <w:p w14:paraId="3F35C55C" w14:textId="765CF363" w:rsidR="004E7E24" w:rsidRDefault="004E7E24" w:rsidP="004E7E24">
      <w:pPr>
        <w:pStyle w:val="Body"/>
        <w:spacing w:after="0"/>
        <w:rPr>
          <w:rFonts w:ascii="Arial" w:hAnsi="Arial" w:cs="Arial"/>
          <w:iCs/>
        </w:rPr>
      </w:pPr>
      <w:r w:rsidRPr="004E7E24">
        <w:rPr>
          <w:rFonts w:ascii="Arial" w:hAnsi="Arial" w:cs="Arial"/>
          <w:iCs/>
        </w:rPr>
        <w:t xml:space="preserve">Sputum samples were collected from each patient in accordance with national guidelines and </w:t>
      </w:r>
      <w:proofErr w:type="spellStart"/>
      <w:r w:rsidRPr="004E7E24">
        <w:rPr>
          <w:rFonts w:ascii="Arial" w:hAnsi="Arial" w:cs="Arial"/>
          <w:iCs/>
        </w:rPr>
        <w:t>analysed</w:t>
      </w:r>
      <w:proofErr w:type="spellEnd"/>
      <w:r w:rsidRPr="004E7E24">
        <w:rPr>
          <w:rFonts w:ascii="Arial" w:hAnsi="Arial" w:cs="Arial"/>
          <w:iCs/>
        </w:rPr>
        <w:t xml:space="preserve"> using microscopy and the GeneXpert MTB/RIF technique. </w:t>
      </w:r>
    </w:p>
    <w:p w14:paraId="1A785F87" w14:textId="77777777" w:rsidR="004E7E24" w:rsidRDefault="004E7E24" w:rsidP="00441B6F">
      <w:pPr>
        <w:pStyle w:val="Body"/>
        <w:spacing w:after="0"/>
        <w:rPr>
          <w:rFonts w:ascii="Arial" w:hAnsi="Arial" w:cs="Arial"/>
          <w:i/>
        </w:rPr>
      </w:pPr>
    </w:p>
    <w:p w14:paraId="1615BD23" w14:textId="68C1664A" w:rsidR="004E7E24" w:rsidRDefault="004E7E24" w:rsidP="004E7E24">
      <w:pPr>
        <w:pStyle w:val="Body"/>
        <w:rPr>
          <w:rFonts w:ascii="Arial" w:hAnsi="Arial" w:cs="Arial"/>
          <w:i/>
        </w:rPr>
      </w:pPr>
      <w:r>
        <w:rPr>
          <w:rFonts w:ascii="Arial" w:hAnsi="Arial" w:cs="Arial"/>
          <w:i/>
        </w:rPr>
        <w:t>2.3.2</w:t>
      </w:r>
      <w:r w:rsidRPr="004E7E24">
        <w:rPr>
          <w:rFonts w:ascii="Arial" w:hAnsi="Arial" w:cs="Arial"/>
          <w:i/>
        </w:rPr>
        <w:t xml:space="preserve">    Microscopic examination of sputum</w:t>
      </w:r>
    </w:p>
    <w:p w14:paraId="18E8D240" w14:textId="43875D73" w:rsidR="004E7E24" w:rsidRPr="004E7E24" w:rsidRDefault="004E7E24" w:rsidP="004E7E24">
      <w:pPr>
        <w:pStyle w:val="Body"/>
        <w:rPr>
          <w:rFonts w:ascii="Arial" w:hAnsi="Arial" w:cs="Arial"/>
          <w:iCs/>
        </w:rPr>
      </w:pPr>
      <w:r w:rsidRPr="004E7E24">
        <w:rPr>
          <w:rFonts w:ascii="Arial" w:hAnsi="Arial" w:cs="Arial"/>
          <w:iCs/>
        </w:rPr>
        <w:t>Direct examination involved searching for acid-fast bacilli (AFB) in sputum smears, stained using the auramine method. This examination, recommended by the WHO, enables the patient’s infectiousness to be assessed. The presence of AFB following microscopic examination indicates active pulmonary tuberculosis (</w:t>
      </w:r>
      <w:r w:rsidRPr="00B007DE">
        <w:rPr>
          <w:rFonts w:ascii="Arial" w:hAnsi="Arial" w:cs="Arial"/>
          <w:b/>
          <w:bCs/>
          <w:iCs/>
        </w:rPr>
        <w:t>WHO, 2010</w:t>
      </w:r>
      <w:r w:rsidRPr="004E7E24">
        <w:rPr>
          <w:rFonts w:ascii="Arial" w:hAnsi="Arial" w:cs="Arial"/>
          <w:iCs/>
        </w:rPr>
        <w:t>).</w:t>
      </w:r>
    </w:p>
    <w:p w14:paraId="612231F5" w14:textId="23D84DCB" w:rsidR="002E2288" w:rsidRPr="009B4390" w:rsidRDefault="002E2288" w:rsidP="002E2288">
      <w:pPr>
        <w:pStyle w:val="Body"/>
        <w:rPr>
          <w:rFonts w:ascii="Arial" w:hAnsi="Arial" w:cs="Arial"/>
          <w:i/>
          <w:iCs/>
        </w:rPr>
      </w:pPr>
      <w:r w:rsidRPr="009B4390">
        <w:rPr>
          <w:rFonts w:ascii="Arial" w:hAnsi="Arial" w:cs="Arial"/>
          <w:i/>
          <w:iCs/>
        </w:rPr>
        <w:lastRenderedPageBreak/>
        <w:t>2.3.</w:t>
      </w:r>
      <w:r w:rsidR="009B4390" w:rsidRPr="009B4390">
        <w:rPr>
          <w:rFonts w:ascii="Arial" w:hAnsi="Arial" w:cs="Arial"/>
          <w:i/>
          <w:iCs/>
        </w:rPr>
        <w:t xml:space="preserve">3 </w:t>
      </w:r>
      <w:r w:rsidRPr="009B4390">
        <w:rPr>
          <w:rFonts w:ascii="Arial" w:hAnsi="Arial" w:cs="Arial"/>
          <w:i/>
          <w:iCs/>
        </w:rPr>
        <w:t>GeneXpert MTB/RIF Test</w:t>
      </w:r>
    </w:p>
    <w:p w14:paraId="7E1D246C" w14:textId="6CD3FCB8" w:rsidR="002E2288" w:rsidRDefault="002E2288" w:rsidP="009B4390">
      <w:pPr>
        <w:pStyle w:val="Body"/>
        <w:rPr>
          <w:rFonts w:ascii="Arial" w:hAnsi="Arial" w:cs="Arial"/>
        </w:rPr>
      </w:pPr>
      <w:r w:rsidRPr="002E2288">
        <w:rPr>
          <w:rFonts w:ascii="Arial" w:hAnsi="Arial" w:cs="Arial"/>
        </w:rPr>
        <w:t xml:space="preserve">The GeneXpert MTB/RIF test is a rapid molecular diagnostic method for the detection of Mycobacterium tuberculosis and rifampicin resistance directly from sputum samples. It is based on automated real-time PCR targeting the </w:t>
      </w:r>
      <w:proofErr w:type="spellStart"/>
      <w:r w:rsidRPr="009B4390">
        <w:rPr>
          <w:rFonts w:ascii="Arial" w:hAnsi="Arial" w:cs="Arial"/>
          <w:i/>
          <w:iCs/>
        </w:rPr>
        <w:t>rpoB</w:t>
      </w:r>
      <w:proofErr w:type="spellEnd"/>
      <w:r w:rsidRPr="002E2288">
        <w:rPr>
          <w:rFonts w:ascii="Arial" w:hAnsi="Arial" w:cs="Arial"/>
        </w:rPr>
        <w:t xml:space="preserve"> gene, mutations of which are associated with rifampicin resistance (</w:t>
      </w:r>
      <w:r w:rsidRPr="00B007DE">
        <w:rPr>
          <w:rFonts w:ascii="Arial" w:hAnsi="Arial" w:cs="Arial"/>
          <w:b/>
          <w:bCs/>
        </w:rPr>
        <w:t>WHO, 2011</w:t>
      </w:r>
      <w:r w:rsidRPr="002E2288">
        <w:rPr>
          <w:rFonts w:ascii="Arial" w:hAnsi="Arial" w:cs="Arial"/>
        </w:rPr>
        <w:t xml:space="preserve">). The samples </w:t>
      </w:r>
      <w:r w:rsidR="009B4390" w:rsidRPr="002E2288">
        <w:rPr>
          <w:rFonts w:ascii="Arial" w:hAnsi="Arial" w:cs="Arial"/>
        </w:rPr>
        <w:t>analyzed</w:t>
      </w:r>
      <w:r w:rsidRPr="002E2288">
        <w:rPr>
          <w:rFonts w:ascii="Arial" w:hAnsi="Arial" w:cs="Arial"/>
        </w:rPr>
        <w:t xml:space="preserve"> were deep sputum samples from patients included in the study. To prepare these, a 2 mL volume was pre-treated by adding a specific reagent (supplied by the manufacturer) in a ratio of two volumes of reagent to one volume of sputum. The mixture was </w:t>
      </w:r>
      <w:r w:rsidR="009B4390" w:rsidRPr="002E2288">
        <w:rPr>
          <w:rFonts w:ascii="Arial" w:hAnsi="Arial" w:cs="Arial"/>
        </w:rPr>
        <w:t>homogenized</w:t>
      </w:r>
      <w:r w:rsidRPr="002E2288">
        <w:rPr>
          <w:rFonts w:ascii="Arial" w:hAnsi="Arial" w:cs="Arial"/>
        </w:rPr>
        <w:t xml:space="preserve"> and incubated at room temperature for approximately 15 minutes. After incubation, 2 mL of the mixture was transferred to a GeneXpert MTB/RIF cartridge, which was then inserted into the GeneXpert instrument for automated analysis (</w:t>
      </w:r>
      <w:r w:rsidRPr="00B007DE">
        <w:rPr>
          <w:rFonts w:ascii="Arial" w:hAnsi="Arial" w:cs="Arial"/>
          <w:b/>
          <w:bCs/>
        </w:rPr>
        <w:t>Blakemore et al., 2010</w:t>
      </w:r>
      <w:r w:rsidRPr="002E2288">
        <w:rPr>
          <w:rFonts w:ascii="Arial" w:hAnsi="Arial" w:cs="Arial"/>
        </w:rPr>
        <w:t>).</w:t>
      </w:r>
      <w:r w:rsidR="009B4390">
        <w:rPr>
          <w:rFonts w:ascii="Arial" w:hAnsi="Arial" w:cs="Arial"/>
        </w:rPr>
        <w:t xml:space="preserve"> </w:t>
      </w:r>
      <w:r w:rsidRPr="002E2288">
        <w:rPr>
          <w:rFonts w:ascii="Arial" w:hAnsi="Arial" w:cs="Arial"/>
        </w:rPr>
        <w:t>The results were interpreted in accordance with WHO recommendations.</w:t>
      </w:r>
    </w:p>
    <w:p w14:paraId="091DAAF4" w14:textId="77777777" w:rsidR="00632700" w:rsidRPr="00D8325D" w:rsidRDefault="00632700" w:rsidP="00632700">
      <w:pPr>
        <w:pStyle w:val="Body"/>
        <w:rPr>
          <w:rFonts w:ascii="Arial" w:hAnsi="Arial" w:cs="Arial"/>
          <w:b/>
          <w:bCs/>
          <w:sz w:val="22"/>
          <w:szCs w:val="22"/>
        </w:rPr>
      </w:pPr>
      <w:r w:rsidRPr="00D8325D">
        <w:rPr>
          <w:rFonts w:ascii="Arial" w:hAnsi="Arial" w:cs="Arial"/>
          <w:b/>
          <w:bCs/>
          <w:sz w:val="22"/>
          <w:szCs w:val="22"/>
        </w:rPr>
        <w:t>4. Collection of Sociodemographic and Clinical Data of Patients Included in the Study</w:t>
      </w:r>
    </w:p>
    <w:p w14:paraId="32D8532F" w14:textId="77777777" w:rsidR="00632700" w:rsidRPr="00632700" w:rsidRDefault="00632700" w:rsidP="00632700">
      <w:pPr>
        <w:pStyle w:val="Body"/>
        <w:rPr>
          <w:rFonts w:ascii="Arial" w:hAnsi="Arial" w:cs="Arial"/>
        </w:rPr>
      </w:pPr>
      <w:r w:rsidRPr="00632700">
        <w:rPr>
          <w:rFonts w:ascii="Arial" w:hAnsi="Arial" w:cs="Arial"/>
        </w:rPr>
        <w:t>Data were collected for the 48 patients who were followed and treated at the Matam CAT and included:</w:t>
      </w:r>
    </w:p>
    <w:p w14:paraId="6FB02C3A" w14:textId="5A6036CB" w:rsidR="00632700" w:rsidRPr="00632700" w:rsidRDefault="00632700" w:rsidP="00632700">
      <w:pPr>
        <w:pStyle w:val="Body"/>
        <w:numPr>
          <w:ilvl w:val="0"/>
          <w:numId w:val="31"/>
        </w:numPr>
        <w:rPr>
          <w:rFonts w:ascii="Arial" w:hAnsi="Arial" w:cs="Arial"/>
        </w:rPr>
      </w:pPr>
      <w:r>
        <w:rPr>
          <w:rFonts w:ascii="Arial" w:hAnsi="Arial" w:cs="Arial"/>
        </w:rPr>
        <w:t>s</w:t>
      </w:r>
      <w:r w:rsidRPr="00632700">
        <w:rPr>
          <w:rFonts w:ascii="Arial" w:hAnsi="Arial" w:cs="Arial"/>
        </w:rPr>
        <w:t>ociodemographic data (age, sex, place of residence);</w:t>
      </w:r>
    </w:p>
    <w:p w14:paraId="549D9392" w14:textId="55717F2C" w:rsidR="00632700" w:rsidRPr="00632700" w:rsidRDefault="00632700" w:rsidP="00632700">
      <w:pPr>
        <w:pStyle w:val="Body"/>
        <w:numPr>
          <w:ilvl w:val="0"/>
          <w:numId w:val="31"/>
        </w:numPr>
        <w:rPr>
          <w:rFonts w:ascii="Arial" w:hAnsi="Arial" w:cs="Arial"/>
        </w:rPr>
      </w:pPr>
      <w:r>
        <w:rPr>
          <w:rFonts w:ascii="Arial" w:hAnsi="Arial" w:cs="Arial"/>
        </w:rPr>
        <w:t>c</w:t>
      </w:r>
      <w:r w:rsidRPr="00632700">
        <w:rPr>
          <w:rFonts w:ascii="Arial" w:hAnsi="Arial" w:cs="Arial"/>
        </w:rPr>
        <w:t>linical and bacteriological data;</w:t>
      </w:r>
    </w:p>
    <w:p w14:paraId="3C333476" w14:textId="5465DA83" w:rsidR="00632700" w:rsidRPr="00632700" w:rsidRDefault="00632700" w:rsidP="00632700">
      <w:pPr>
        <w:pStyle w:val="Body"/>
        <w:numPr>
          <w:ilvl w:val="0"/>
          <w:numId w:val="31"/>
        </w:numPr>
        <w:rPr>
          <w:rFonts w:ascii="Arial" w:hAnsi="Arial" w:cs="Arial"/>
        </w:rPr>
      </w:pPr>
      <w:r>
        <w:rPr>
          <w:rFonts w:ascii="Arial" w:hAnsi="Arial" w:cs="Arial"/>
        </w:rPr>
        <w:t>t</w:t>
      </w:r>
      <w:r w:rsidRPr="00632700">
        <w:rPr>
          <w:rFonts w:ascii="Arial" w:hAnsi="Arial" w:cs="Arial"/>
        </w:rPr>
        <w:t>herapeutic regimens applied to the patients.</w:t>
      </w:r>
    </w:p>
    <w:p w14:paraId="68B28052" w14:textId="334FDEE3" w:rsidR="00790ADA" w:rsidRDefault="00632700" w:rsidP="00632700">
      <w:pPr>
        <w:pStyle w:val="Body"/>
        <w:spacing w:after="0"/>
        <w:rPr>
          <w:rFonts w:ascii="Arial" w:hAnsi="Arial" w:cs="Arial"/>
        </w:rPr>
      </w:pPr>
      <w:r w:rsidRPr="00632700">
        <w:rPr>
          <w:rFonts w:ascii="Arial" w:hAnsi="Arial" w:cs="Arial"/>
        </w:rPr>
        <w:t xml:space="preserve">The data were obtained from the laboratory registers of the Matam CAT, treatment cards, patients’ medical records, and follow-up reports of the National Tuberculosis Control </w:t>
      </w:r>
      <w:proofErr w:type="spellStart"/>
      <w:r w:rsidRPr="00632700">
        <w:rPr>
          <w:rFonts w:ascii="Arial" w:hAnsi="Arial" w:cs="Arial"/>
        </w:rPr>
        <w:t>Programme</w:t>
      </w:r>
      <w:proofErr w:type="spellEnd"/>
      <w:r w:rsidRPr="00632700">
        <w:rPr>
          <w:rFonts w:ascii="Arial" w:hAnsi="Arial" w:cs="Arial"/>
        </w:rPr>
        <w:t xml:space="preserve"> (PNLAT) available at the center.</w:t>
      </w:r>
    </w:p>
    <w:p w14:paraId="6C0D24F4" w14:textId="77777777" w:rsidR="00632700" w:rsidRPr="00FB3A86" w:rsidRDefault="00632700" w:rsidP="00632700">
      <w:pPr>
        <w:pStyle w:val="Body"/>
        <w:spacing w:after="0"/>
        <w:rPr>
          <w:rFonts w:ascii="Arial" w:hAnsi="Arial" w:cs="Arial"/>
        </w:rPr>
      </w:pPr>
    </w:p>
    <w:p w14:paraId="22F1C3E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FF6116C" w14:textId="77777777" w:rsidR="00790ADA" w:rsidRPr="00FB3A86" w:rsidRDefault="00790ADA" w:rsidP="00441B6F">
      <w:pPr>
        <w:pStyle w:val="Head1"/>
        <w:spacing w:after="0"/>
        <w:jc w:val="both"/>
        <w:rPr>
          <w:rFonts w:ascii="Arial" w:hAnsi="Arial" w:cs="Arial"/>
        </w:rPr>
      </w:pPr>
    </w:p>
    <w:p w14:paraId="38C40D33" w14:textId="53FDAAD6" w:rsidR="00100E56" w:rsidRPr="00100E56" w:rsidRDefault="00100E56" w:rsidP="00100E56">
      <w:pPr>
        <w:pStyle w:val="Body"/>
        <w:rPr>
          <w:rFonts w:ascii="Arial" w:hAnsi="Arial" w:cs="Arial"/>
          <w:b/>
          <w:bCs/>
          <w:sz w:val="22"/>
          <w:szCs w:val="22"/>
        </w:rPr>
      </w:pPr>
      <w:r w:rsidRPr="00100E56">
        <w:rPr>
          <w:rFonts w:ascii="Arial" w:hAnsi="Arial" w:cs="Arial"/>
          <w:b/>
          <w:bCs/>
          <w:sz w:val="22"/>
          <w:szCs w:val="22"/>
        </w:rPr>
        <w:t>3.1. Diagnosis of Pulmonary Tuberculosis Using GeneXpert MTB/RIF and Fluorescence Microscopy</w:t>
      </w:r>
    </w:p>
    <w:p w14:paraId="577A89F5" w14:textId="09FA8B40" w:rsidR="00100E56" w:rsidRPr="00100E56" w:rsidRDefault="00100E56" w:rsidP="00D8325D">
      <w:pPr>
        <w:pStyle w:val="Body"/>
        <w:spacing w:after="0"/>
        <w:rPr>
          <w:rFonts w:ascii="Arial" w:hAnsi="Arial" w:cs="Arial"/>
        </w:rPr>
      </w:pPr>
      <w:r w:rsidRPr="00100E56">
        <w:rPr>
          <w:rFonts w:ascii="Arial" w:hAnsi="Arial" w:cs="Arial"/>
        </w:rPr>
        <w:t>Among the 152 patients with pulmonary tuberculosis included in the study, the GeneXpert MTB/RIF assay detected 48 positive cases (32%), compared to 33 cases (22%) detected by fluorescence microscopy. These results highlight a notable difference in performance between the GeneXpert MTB/RIF assay and fluorescence microscopy for the diagnosis of pulmonary tuberculosis from sputum samples.</w:t>
      </w:r>
      <w:r>
        <w:rPr>
          <w:rFonts w:ascii="Arial" w:hAnsi="Arial" w:cs="Arial"/>
        </w:rPr>
        <w:t xml:space="preserve"> </w:t>
      </w:r>
    </w:p>
    <w:p w14:paraId="33A71FA0" w14:textId="5BFC3186" w:rsidR="00100E56" w:rsidRPr="00100E56" w:rsidRDefault="00100E56" w:rsidP="00D8325D">
      <w:pPr>
        <w:pStyle w:val="Body"/>
        <w:spacing w:after="0"/>
        <w:rPr>
          <w:rFonts w:ascii="Arial" w:hAnsi="Arial" w:cs="Arial"/>
        </w:rPr>
      </w:pPr>
      <w:r w:rsidRPr="00100E56">
        <w:rPr>
          <w:rFonts w:ascii="Arial" w:hAnsi="Arial" w:cs="Arial"/>
        </w:rPr>
        <w:t xml:space="preserve">These findings are in line with the recommendations of the World Health Organization, which advocates the use of GeneXpert as the first-line test for tuberculosis diagnosis. Moreover, the data are consistent with those of </w:t>
      </w:r>
      <w:proofErr w:type="spellStart"/>
      <w:r w:rsidRPr="00B007DE">
        <w:rPr>
          <w:rFonts w:ascii="Arial" w:hAnsi="Arial" w:cs="Arial"/>
          <w:b/>
          <w:bCs/>
        </w:rPr>
        <w:t>Andjibaye</w:t>
      </w:r>
      <w:proofErr w:type="spellEnd"/>
      <w:r w:rsidRPr="00B007DE">
        <w:rPr>
          <w:rFonts w:ascii="Arial" w:hAnsi="Arial" w:cs="Arial"/>
          <w:b/>
          <w:bCs/>
        </w:rPr>
        <w:t xml:space="preserve"> (2022</w:t>
      </w:r>
      <w:r w:rsidRPr="00100E56">
        <w:rPr>
          <w:rFonts w:ascii="Arial" w:hAnsi="Arial" w:cs="Arial"/>
        </w:rPr>
        <w:t xml:space="preserve">) at the Ignace Deen University Hospital in Conakry, where the validity of fluorescence microscopy was lower than that of GeneXpert. Studies conducted by </w:t>
      </w:r>
      <w:r w:rsidRPr="00B007DE">
        <w:rPr>
          <w:rFonts w:ascii="Arial" w:hAnsi="Arial" w:cs="Arial"/>
          <w:b/>
          <w:bCs/>
        </w:rPr>
        <w:t>Cowan et al. (2016</w:t>
      </w:r>
      <w:r w:rsidRPr="00100E56">
        <w:rPr>
          <w:rFonts w:ascii="Arial" w:hAnsi="Arial" w:cs="Arial"/>
        </w:rPr>
        <w:t>) also confirm the superiority of GeneXpert in terms of sensitivity and diagnostic speed.</w:t>
      </w:r>
    </w:p>
    <w:p w14:paraId="65CE334C" w14:textId="77777777" w:rsidR="00100E56" w:rsidRDefault="00100E56" w:rsidP="00D8325D">
      <w:pPr>
        <w:pStyle w:val="Body"/>
        <w:spacing w:after="0"/>
        <w:rPr>
          <w:rFonts w:ascii="Arial" w:hAnsi="Arial" w:cs="Arial"/>
        </w:rPr>
      </w:pPr>
      <w:r w:rsidRPr="00100E56">
        <w:rPr>
          <w:rFonts w:ascii="Arial" w:hAnsi="Arial" w:cs="Arial"/>
        </w:rPr>
        <w:t xml:space="preserve">The low performance of fluorescence microscopy observed in this study can be explained by its limited sensitivity, particularly in patients with a low bacillary load. Furthermore, according to </w:t>
      </w:r>
      <w:r w:rsidRPr="00B007DE">
        <w:rPr>
          <w:rFonts w:ascii="Arial" w:hAnsi="Arial" w:cs="Arial"/>
          <w:b/>
          <w:bCs/>
        </w:rPr>
        <w:t>Boehme et al. (2010</w:t>
      </w:r>
      <w:r w:rsidRPr="00100E56">
        <w:rPr>
          <w:rFonts w:ascii="Arial" w:hAnsi="Arial" w:cs="Arial"/>
        </w:rPr>
        <w:t>), the sensitivity of GeneXpert is significantly higher than that of microscopy, especially in patients co-infected with HIV or presenting with paucibacillary forms.</w:t>
      </w:r>
      <w:r>
        <w:rPr>
          <w:rFonts w:ascii="Arial" w:hAnsi="Arial" w:cs="Arial"/>
        </w:rPr>
        <w:t xml:space="preserve"> </w:t>
      </w:r>
    </w:p>
    <w:p w14:paraId="700681E6" w14:textId="5B2ACBCE" w:rsidR="00790ADA" w:rsidRDefault="00100E56" w:rsidP="00100E56">
      <w:pPr>
        <w:pStyle w:val="Body"/>
        <w:rPr>
          <w:rFonts w:ascii="Arial" w:hAnsi="Arial" w:cs="Arial"/>
        </w:rPr>
      </w:pPr>
      <w:r w:rsidRPr="00100E56">
        <w:rPr>
          <w:rFonts w:ascii="Arial" w:hAnsi="Arial" w:cs="Arial"/>
        </w:rPr>
        <w:t xml:space="preserve">In the Guinean context, this difference in performance is particularly important, as many patients consult late or present with atypical clinical forms. The GeneXpert assay, through its </w:t>
      </w:r>
      <w:r w:rsidRPr="00100E56">
        <w:rPr>
          <w:rFonts w:ascii="Arial" w:hAnsi="Arial" w:cs="Arial"/>
        </w:rPr>
        <w:lastRenderedPageBreak/>
        <w:t>capacity to amplify Mycobacterium tuberculosis DNA, allows rapid and reliable detection even at low bacillary densities, thereby significantly improving early diagnosis and patient management.</w:t>
      </w:r>
    </w:p>
    <w:p w14:paraId="30F2897F" w14:textId="77777777" w:rsidR="00100E56" w:rsidRPr="00100E56" w:rsidRDefault="00100E56" w:rsidP="00100E56">
      <w:pPr>
        <w:pStyle w:val="Body"/>
        <w:rPr>
          <w:rFonts w:ascii="Arial" w:hAnsi="Arial" w:cs="Arial"/>
        </w:rPr>
      </w:pPr>
      <w:r w:rsidRPr="00D8325D">
        <w:rPr>
          <w:rFonts w:ascii="Arial" w:hAnsi="Arial" w:cs="Arial"/>
          <w:b/>
          <w:bCs/>
        </w:rPr>
        <w:t>3.2</w:t>
      </w:r>
      <w:r>
        <w:rPr>
          <w:rFonts w:ascii="Arial" w:hAnsi="Arial" w:cs="Arial"/>
        </w:rPr>
        <w:t xml:space="preserve"> </w:t>
      </w:r>
      <w:r w:rsidRPr="00100E56">
        <w:rPr>
          <w:rFonts w:ascii="Arial" w:hAnsi="Arial" w:cs="Arial"/>
          <w:b/>
          <w:bCs/>
        </w:rPr>
        <w:t>Sociodemographic Data and Epidemiological Distribution</w:t>
      </w:r>
    </w:p>
    <w:p w14:paraId="64CB417C" w14:textId="107D79AC" w:rsidR="00100E56" w:rsidRPr="00100E56" w:rsidRDefault="00100E56" w:rsidP="00D8325D">
      <w:pPr>
        <w:pStyle w:val="Body"/>
        <w:spacing w:after="0"/>
        <w:rPr>
          <w:rFonts w:ascii="Arial" w:hAnsi="Arial" w:cs="Arial"/>
        </w:rPr>
      </w:pPr>
      <w:r w:rsidRPr="00100E56">
        <w:rPr>
          <w:rFonts w:ascii="Arial" w:hAnsi="Arial" w:cs="Arial"/>
        </w:rPr>
        <w:t xml:space="preserve">The study showed a female prevalence of 56% (27 women) compared to 44% in men (21 cases), highlighting a predominance of females among patients with pulmonary tuberculosis. This difference may be explained by the more frequent utilization of healthcare facilities by women. In contrast, </w:t>
      </w:r>
      <w:r w:rsidRPr="00B007DE">
        <w:rPr>
          <w:rFonts w:ascii="Arial" w:hAnsi="Arial" w:cs="Arial"/>
          <w:b/>
          <w:bCs/>
        </w:rPr>
        <w:t>Hassan et al. (2021)</w:t>
      </w:r>
      <w:r w:rsidRPr="00100E56">
        <w:rPr>
          <w:rFonts w:ascii="Arial" w:hAnsi="Arial" w:cs="Arial"/>
        </w:rPr>
        <w:t xml:space="preserve"> reported a male prevalence ranging from 58% to 66%. However, according to the World Health Organization (</w:t>
      </w:r>
      <w:r w:rsidRPr="00B007DE">
        <w:rPr>
          <w:rFonts w:ascii="Arial" w:hAnsi="Arial" w:cs="Arial"/>
          <w:b/>
          <w:bCs/>
        </w:rPr>
        <w:t>WHO, 2024</w:t>
      </w:r>
      <w:r w:rsidRPr="00100E56">
        <w:rPr>
          <w:rFonts w:ascii="Arial" w:hAnsi="Arial" w:cs="Arial"/>
        </w:rPr>
        <w:t>), gender disparities in tuberculosis can vary depending on socio-cultural contexts, particularly in relation to access to care, use of health services, and health-seeking behaviors. In the Guinean context, higher healthcare attendance by women or targeted screening campaigns may account for this trend.</w:t>
      </w:r>
    </w:p>
    <w:p w14:paraId="52302D3F" w14:textId="77777777" w:rsidR="00100E56" w:rsidRPr="00100E56" w:rsidRDefault="00100E56" w:rsidP="00D8325D">
      <w:pPr>
        <w:pStyle w:val="Body"/>
        <w:spacing w:after="0"/>
        <w:rPr>
          <w:rFonts w:ascii="Arial" w:hAnsi="Arial" w:cs="Arial"/>
        </w:rPr>
      </w:pPr>
      <w:r w:rsidRPr="00100E56">
        <w:rPr>
          <w:rFonts w:ascii="Arial" w:hAnsi="Arial" w:cs="Arial"/>
        </w:rPr>
        <w:t>The most affected age group was 21–40 years (52%), followed by 41–60 years (29%) and ≤20 years (19%). The predominance in the 21–40 age group corresponds to the active working population, consistent with global WHO data indicating that tuberculosis primarily affects young adults in highly endemic countries (</w:t>
      </w:r>
      <w:r w:rsidRPr="00B007DE">
        <w:rPr>
          <w:rFonts w:ascii="Arial" w:hAnsi="Arial" w:cs="Arial"/>
          <w:b/>
          <w:bCs/>
        </w:rPr>
        <w:t>WHO, 2024</w:t>
      </w:r>
      <w:r w:rsidRPr="00100E56">
        <w:rPr>
          <w:rFonts w:ascii="Arial" w:hAnsi="Arial" w:cs="Arial"/>
        </w:rPr>
        <w:t xml:space="preserve">). This situation has significant socio-economic implications, including loss of productivity and financial burden on households, as also highlighted by </w:t>
      </w:r>
      <w:r w:rsidRPr="00B007DE">
        <w:rPr>
          <w:rFonts w:ascii="Arial" w:hAnsi="Arial" w:cs="Arial"/>
          <w:b/>
          <w:bCs/>
        </w:rPr>
        <w:t>Dye et al. (1999).</w:t>
      </w:r>
    </w:p>
    <w:p w14:paraId="6FCAEB66" w14:textId="77777777" w:rsidR="00100E56" w:rsidRPr="00100E56" w:rsidRDefault="00100E56" w:rsidP="00D8325D">
      <w:pPr>
        <w:pStyle w:val="Body"/>
        <w:spacing w:after="0"/>
        <w:rPr>
          <w:rFonts w:ascii="Arial" w:hAnsi="Arial" w:cs="Arial"/>
        </w:rPr>
      </w:pPr>
      <w:r w:rsidRPr="00100E56">
        <w:rPr>
          <w:rFonts w:ascii="Arial" w:hAnsi="Arial" w:cs="Arial"/>
        </w:rPr>
        <w:t xml:space="preserve">Occupationally, laborers (35%) and students (21%) were the most represented groups. The high proportion of laborers and students underscores the role of living and working conditions in the transmission of tuberculosis. Environments characterized by overcrowding, poor ventilation, and inadequate sanitary conditions promote the spread of Mycobacterium tuberculosis. These observations are consistent with the findings of </w:t>
      </w:r>
      <w:r w:rsidRPr="00B007DE">
        <w:rPr>
          <w:rFonts w:ascii="Arial" w:hAnsi="Arial" w:cs="Arial"/>
          <w:b/>
          <w:bCs/>
        </w:rPr>
        <w:t>Harries et al. (2001),</w:t>
      </w:r>
      <w:r w:rsidRPr="00100E56">
        <w:rPr>
          <w:rFonts w:ascii="Arial" w:hAnsi="Arial" w:cs="Arial"/>
        </w:rPr>
        <w:t xml:space="preserve"> which demonstrated the influence of social and environmental determinants on tuberculosis transmission in Africa.</w:t>
      </w:r>
    </w:p>
    <w:p w14:paraId="13D97DF9" w14:textId="7CDF1F08" w:rsidR="00100E56" w:rsidRDefault="00100E56" w:rsidP="00D8325D">
      <w:pPr>
        <w:pStyle w:val="Body"/>
        <w:spacing w:after="0"/>
        <w:rPr>
          <w:rFonts w:ascii="Arial" w:hAnsi="Arial" w:cs="Arial"/>
        </w:rPr>
      </w:pPr>
      <w:r w:rsidRPr="00100E56">
        <w:rPr>
          <w:rFonts w:ascii="Arial" w:hAnsi="Arial" w:cs="Arial"/>
        </w:rPr>
        <w:t xml:space="preserve">Regarding marital status, 54% were in monogamous marriages, 23% in polygamous marriages, 20% single, and 3% divorced. Overall, these results confirm the determining role of socio-economic factors in the dynamics of tuberculosis transmission in Guinea. Overcrowding, low disease awareness, and poor living conditions contribute to maintaining active infection circulation. These findings align with the work of </w:t>
      </w:r>
      <w:r w:rsidRPr="00B007DE">
        <w:rPr>
          <w:rFonts w:ascii="Arial" w:hAnsi="Arial" w:cs="Arial"/>
          <w:b/>
          <w:bCs/>
        </w:rPr>
        <w:t>Pai et al. (2009</w:t>
      </w:r>
      <w:r w:rsidRPr="00100E56">
        <w:rPr>
          <w:rFonts w:ascii="Arial" w:hAnsi="Arial" w:cs="Arial"/>
        </w:rPr>
        <w:t>), which emphasizes the importance of integrating social determinants into tuberculosis control strategies.</w:t>
      </w:r>
    </w:p>
    <w:p w14:paraId="16B68147" w14:textId="77777777" w:rsidR="00D8325D" w:rsidRDefault="00D8325D" w:rsidP="00D8325D">
      <w:pPr>
        <w:pStyle w:val="Body"/>
        <w:spacing w:after="0"/>
        <w:rPr>
          <w:rFonts w:ascii="Arial" w:hAnsi="Arial" w:cs="Arial"/>
        </w:rPr>
      </w:pPr>
    </w:p>
    <w:p w14:paraId="184C8E47" w14:textId="56F986FC" w:rsidR="00100E56" w:rsidRPr="00100E56" w:rsidRDefault="00100E56" w:rsidP="00D8325D">
      <w:pPr>
        <w:pStyle w:val="Body"/>
        <w:spacing w:after="0"/>
        <w:rPr>
          <w:rFonts w:ascii="Arial" w:hAnsi="Arial" w:cs="Arial"/>
          <w:b/>
          <w:bCs/>
          <w:sz w:val="22"/>
          <w:szCs w:val="22"/>
        </w:rPr>
      </w:pPr>
      <w:r w:rsidRPr="00100E56">
        <w:rPr>
          <w:rFonts w:ascii="Arial" w:hAnsi="Arial" w:cs="Arial"/>
          <w:b/>
          <w:bCs/>
          <w:sz w:val="22"/>
          <w:szCs w:val="22"/>
        </w:rPr>
        <w:t>3.3 Hematological Parameters</w:t>
      </w:r>
    </w:p>
    <w:p w14:paraId="78E82E22" w14:textId="77777777" w:rsidR="00100E56" w:rsidRPr="00100E56" w:rsidRDefault="00100E56" w:rsidP="00D8325D">
      <w:pPr>
        <w:pStyle w:val="Body"/>
        <w:spacing w:after="0"/>
        <w:rPr>
          <w:rFonts w:ascii="Arial" w:hAnsi="Arial" w:cs="Arial"/>
        </w:rPr>
      </w:pPr>
      <w:r w:rsidRPr="00100E56">
        <w:rPr>
          <w:rFonts w:ascii="Arial" w:hAnsi="Arial" w:cs="Arial"/>
        </w:rPr>
        <w:t>Data collected from the 48 patients included in the study showed that 47 (98%) had low hemoglobin levels, while only one patient (2%) had normal hemoglobin. Among the anemic patients, 30% had mild anemia, 38% moderate anemia, and 32% severe anemia.</w:t>
      </w:r>
    </w:p>
    <w:p w14:paraId="4B41C6DA" w14:textId="77777777" w:rsidR="00100E56" w:rsidRPr="00100E56" w:rsidRDefault="00100E56" w:rsidP="00D8325D">
      <w:pPr>
        <w:pStyle w:val="Body"/>
        <w:spacing w:after="0"/>
        <w:rPr>
          <w:rFonts w:ascii="Arial" w:hAnsi="Arial" w:cs="Arial"/>
        </w:rPr>
      </w:pPr>
      <w:r w:rsidRPr="00100E56">
        <w:rPr>
          <w:rFonts w:ascii="Arial" w:hAnsi="Arial" w:cs="Arial"/>
        </w:rPr>
        <w:t>This high prevalence of anemia confirms that hematological disorders are common among patients with tuberculosis, related to the chronicity of the infection, persistent inflammation, and sometimes the side effects of anti-tuberculosis treatment. The anemia observed in this context is most often inflammatory anemia (also known as anemia of chronic disease).</w:t>
      </w:r>
    </w:p>
    <w:p w14:paraId="1C33716D" w14:textId="77777777" w:rsidR="00100E56" w:rsidRPr="00100E56" w:rsidRDefault="00100E56" w:rsidP="00D8325D">
      <w:pPr>
        <w:pStyle w:val="Body"/>
        <w:spacing w:after="0"/>
        <w:rPr>
          <w:rFonts w:ascii="Arial" w:hAnsi="Arial" w:cs="Arial"/>
        </w:rPr>
      </w:pPr>
      <w:r w:rsidRPr="00100E56">
        <w:rPr>
          <w:rFonts w:ascii="Arial" w:hAnsi="Arial" w:cs="Arial"/>
        </w:rPr>
        <w:t>Furthermore, the majority of anemic patients (68%) presented with a microcytic hypochromic profile. This profile may reflect both iron deficiency and impaired iron distribution due to chronic inflammation. Tuberculosis infection leads to increased production of pro-inflammatory cytokines, particularly interleukin-6 (IL-6), which stimulates the synthesis of hepcidin, responsible for iron sequestration and reduced availability for erythropoiesis.</w:t>
      </w:r>
    </w:p>
    <w:p w14:paraId="34F8C397" w14:textId="09BF1F05" w:rsidR="00100E56" w:rsidRPr="00100E56" w:rsidRDefault="00100E56" w:rsidP="00D8325D">
      <w:pPr>
        <w:pStyle w:val="Body"/>
        <w:spacing w:after="0"/>
        <w:rPr>
          <w:rFonts w:ascii="Arial" w:hAnsi="Arial" w:cs="Arial"/>
        </w:rPr>
      </w:pPr>
      <w:r w:rsidRPr="00100E56">
        <w:rPr>
          <w:rFonts w:ascii="Arial" w:hAnsi="Arial" w:cs="Arial"/>
        </w:rPr>
        <w:t xml:space="preserve">These findings are consistent with those reported by </w:t>
      </w:r>
      <w:proofErr w:type="spellStart"/>
      <w:r w:rsidRPr="00B007DE">
        <w:rPr>
          <w:rFonts w:ascii="Arial" w:hAnsi="Arial" w:cs="Arial"/>
          <w:b/>
          <w:bCs/>
        </w:rPr>
        <w:t>Bereté</w:t>
      </w:r>
      <w:proofErr w:type="spellEnd"/>
      <w:r w:rsidRPr="00B007DE">
        <w:rPr>
          <w:rFonts w:ascii="Arial" w:hAnsi="Arial" w:cs="Arial"/>
          <w:b/>
          <w:bCs/>
        </w:rPr>
        <w:t xml:space="preserve"> and </w:t>
      </w:r>
      <w:proofErr w:type="spellStart"/>
      <w:r w:rsidRPr="00B007DE">
        <w:rPr>
          <w:rFonts w:ascii="Arial" w:hAnsi="Arial" w:cs="Arial"/>
          <w:b/>
          <w:bCs/>
        </w:rPr>
        <w:t>Bangoura</w:t>
      </w:r>
      <w:proofErr w:type="spellEnd"/>
      <w:r w:rsidRPr="00B007DE">
        <w:rPr>
          <w:rFonts w:ascii="Arial" w:hAnsi="Arial" w:cs="Arial"/>
          <w:b/>
          <w:bCs/>
        </w:rPr>
        <w:t xml:space="preserve"> (2022)</w:t>
      </w:r>
      <w:r w:rsidRPr="00100E56">
        <w:rPr>
          <w:rFonts w:ascii="Arial" w:hAnsi="Arial" w:cs="Arial"/>
        </w:rPr>
        <w:t xml:space="preserve"> in </w:t>
      </w:r>
      <w:proofErr w:type="spellStart"/>
      <w:r w:rsidRPr="00100E56">
        <w:rPr>
          <w:rFonts w:ascii="Arial" w:hAnsi="Arial" w:cs="Arial"/>
        </w:rPr>
        <w:t>Damakania</w:t>
      </w:r>
      <w:proofErr w:type="spellEnd"/>
      <w:r w:rsidRPr="00100E56">
        <w:rPr>
          <w:rFonts w:ascii="Arial" w:hAnsi="Arial" w:cs="Arial"/>
        </w:rPr>
        <w:t>, who observed a high proportion of anemia among tuberculosis patients, with variability in red blood cell morphological profiles.</w:t>
      </w:r>
    </w:p>
    <w:p w14:paraId="73361BF6" w14:textId="77777777" w:rsidR="00100E56" w:rsidRPr="00100E56" w:rsidRDefault="00100E56" w:rsidP="00D8325D">
      <w:pPr>
        <w:pStyle w:val="Body"/>
        <w:spacing w:after="0"/>
        <w:rPr>
          <w:rFonts w:ascii="Arial" w:hAnsi="Arial" w:cs="Arial"/>
        </w:rPr>
      </w:pPr>
      <w:r w:rsidRPr="00100E56">
        <w:rPr>
          <w:rFonts w:ascii="Arial" w:hAnsi="Arial" w:cs="Arial"/>
        </w:rPr>
        <w:t xml:space="preserve">In addition, hematological results revealed alterations in the leukocyte profile. Leukocytosis (64%) and neutrophilia (46%) were observed in a significant proportion of patients, reflecting </w:t>
      </w:r>
      <w:r w:rsidRPr="00100E56">
        <w:rPr>
          <w:rFonts w:ascii="Arial" w:hAnsi="Arial" w:cs="Arial"/>
        </w:rPr>
        <w:lastRenderedPageBreak/>
        <w:t>an active inflammatory response to infection (Table 1). Lymphopenia (56%) observed in some patients may indicate impaired cell-mediated immunity, possibly related to immune exhaustion or the chronicity of the disease.</w:t>
      </w:r>
    </w:p>
    <w:p w14:paraId="63583707" w14:textId="6BE617E9" w:rsidR="00100E56" w:rsidRDefault="00100E56" w:rsidP="00D8325D">
      <w:pPr>
        <w:pStyle w:val="Body"/>
        <w:spacing w:after="0"/>
        <w:rPr>
          <w:rFonts w:ascii="Arial" w:hAnsi="Arial" w:cs="Arial"/>
        </w:rPr>
      </w:pPr>
      <w:r w:rsidRPr="00100E56">
        <w:rPr>
          <w:rFonts w:ascii="Arial" w:hAnsi="Arial" w:cs="Arial"/>
        </w:rPr>
        <w:t>Overall, these hematological abnormalities illustrate the systemic impact of tuberculosis on the body and underscore the importance of a comprehensive biological evaluation in patient management.</w:t>
      </w:r>
    </w:p>
    <w:p w14:paraId="11CE896B" w14:textId="11FC67CA" w:rsidR="00100E56" w:rsidRDefault="00100E56" w:rsidP="00100E56">
      <w:pPr>
        <w:pStyle w:val="Body"/>
        <w:spacing w:after="0"/>
        <w:rPr>
          <w:rFonts w:ascii="Arial" w:hAnsi="Arial" w:cs="Arial"/>
        </w:rPr>
      </w:pPr>
    </w:p>
    <w:p w14:paraId="071AB929" w14:textId="216EB118" w:rsidR="007C78C7" w:rsidRPr="00D17F87" w:rsidRDefault="007C78C7" w:rsidP="007C78C7">
      <w:pPr>
        <w:pStyle w:val="NormalWeb"/>
        <w:spacing w:before="0" w:beforeAutospacing="0" w:after="0" w:afterAutospacing="0" w:line="360" w:lineRule="auto"/>
        <w:jc w:val="both"/>
        <w:rPr>
          <w:rStyle w:val="Strong"/>
          <w:rFonts w:ascii="Arial" w:hAnsi="Arial" w:cs="Arial"/>
          <w:sz w:val="20"/>
          <w:szCs w:val="20"/>
        </w:rPr>
      </w:pPr>
      <w:r w:rsidRPr="00D17F87">
        <w:rPr>
          <w:rStyle w:val="Strong"/>
          <w:rFonts w:ascii="Arial" w:hAnsi="Arial" w:cs="Arial"/>
          <w:sz w:val="20"/>
          <w:szCs w:val="20"/>
        </w:rPr>
        <w:t xml:space="preserve">Table 1. </w:t>
      </w:r>
      <w:r w:rsidR="004A4A58" w:rsidRPr="00D17F87">
        <w:rPr>
          <w:rStyle w:val="Strong"/>
          <w:rFonts w:ascii="Arial" w:hAnsi="Arial" w:cs="Arial"/>
          <w:sz w:val="20"/>
          <w:szCs w:val="20"/>
        </w:rPr>
        <w:t xml:space="preserve">Levels of </w:t>
      </w:r>
      <w:proofErr w:type="spellStart"/>
      <w:r w:rsidR="004A4A58" w:rsidRPr="00D17F87">
        <w:rPr>
          <w:rStyle w:val="Strong"/>
          <w:rFonts w:ascii="Arial" w:hAnsi="Arial" w:cs="Arial"/>
          <w:sz w:val="20"/>
          <w:szCs w:val="20"/>
        </w:rPr>
        <w:t>Leukocytes</w:t>
      </w:r>
      <w:proofErr w:type="spellEnd"/>
      <w:r w:rsidR="004A4A58" w:rsidRPr="00D17F87">
        <w:rPr>
          <w:rStyle w:val="Strong"/>
          <w:rFonts w:ascii="Arial" w:hAnsi="Arial" w:cs="Arial"/>
          <w:sz w:val="20"/>
          <w:szCs w:val="20"/>
        </w:rPr>
        <w:t xml:space="preserve"> and </w:t>
      </w:r>
      <w:proofErr w:type="spellStart"/>
      <w:r w:rsidR="004A4A58" w:rsidRPr="00D17F87">
        <w:rPr>
          <w:rStyle w:val="Strong"/>
          <w:rFonts w:ascii="Arial" w:hAnsi="Arial" w:cs="Arial"/>
          <w:sz w:val="20"/>
          <w:szCs w:val="20"/>
        </w:rPr>
        <w:t>their</w:t>
      </w:r>
      <w:proofErr w:type="spellEnd"/>
      <w:r w:rsidR="004A4A58" w:rsidRPr="00D17F87">
        <w:rPr>
          <w:rStyle w:val="Strong"/>
          <w:rFonts w:ascii="Arial" w:hAnsi="Arial" w:cs="Arial"/>
          <w:sz w:val="20"/>
          <w:szCs w:val="20"/>
        </w:rPr>
        <w:t xml:space="preserve"> </w:t>
      </w:r>
      <w:proofErr w:type="spellStart"/>
      <w:r w:rsidR="004A4A58" w:rsidRPr="00D17F87">
        <w:rPr>
          <w:rStyle w:val="Strong"/>
          <w:rFonts w:ascii="Arial" w:hAnsi="Arial" w:cs="Arial"/>
          <w:sz w:val="20"/>
          <w:szCs w:val="20"/>
        </w:rPr>
        <w:t>Subpopulations</w:t>
      </w:r>
      <w:proofErr w:type="spellEnd"/>
    </w:p>
    <w:tbl>
      <w:tblPr>
        <w:tblStyle w:val="TableGrid"/>
        <w:tblW w:w="0" w:type="auto"/>
        <w:tblLook w:val="04A0" w:firstRow="1" w:lastRow="0" w:firstColumn="1" w:lastColumn="0" w:noHBand="0" w:noVBand="1"/>
      </w:tblPr>
      <w:tblGrid>
        <w:gridCol w:w="3106"/>
        <w:gridCol w:w="1664"/>
        <w:gridCol w:w="1750"/>
        <w:gridCol w:w="1688"/>
      </w:tblGrid>
      <w:tr w:rsidR="00C474E4" w:rsidRPr="00D17F87" w14:paraId="1662C718" w14:textId="77777777" w:rsidTr="00C474E4">
        <w:trPr>
          <w:trHeight w:val="366"/>
        </w:trPr>
        <w:tc>
          <w:tcPr>
            <w:tcW w:w="3197" w:type="dxa"/>
            <w:tcBorders>
              <w:top w:val="single" w:sz="4" w:space="0" w:color="1F497D" w:themeColor="text2"/>
              <w:left w:val="nil"/>
              <w:bottom w:val="single" w:sz="4" w:space="0" w:color="1F497D" w:themeColor="text2"/>
              <w:right w:val="nil"/>
            </w:tcBorders>
          </w:tcPr>
          <w:p w14:paraId="273E025C" w14:textId="3604187C" w:rsidR="007C78C7" w:rsidRPr="00D17F87" w:rsidRDefault="007C78C7" w:rsidP="004202D6">
            <w:pPr>
              <w:jc w:val="center"/>
              <w:rPr>
                <w:rFonts w:ascii="Arial" w:hAnsi="Arial" w:cs="Arial"/>
                <w:b/>
                <w:bCs/>
                <w:sz w:val="20"/>
                <w:szCs w:val="20"/>
              </w:rPr>
            </w:pPr>
            <w:r w:rsidRPr="00D17F87">
              <w:rPr>
                <w:rFonts w:ascii="Arial" w:hAnsi="Arial" w:cs="Arial"/>
                <w:b/>
                <w:bCs/>
                <w:sz w:val="20"/>
                <w:szCs w:val="20"/>
              </w:rPr>
              <w:t>Param</w:t>
            </w:r>
            <w:r w:rsidR="004A4A58" w:rsidRPr="00D17F87">
              <w:rPr>
                <w:rFonts w:ascii="Arial" w:hAnsi="Arial" w:cs="Arial"/>
                <w:b/>
                <w:bCs/>
                <w:sz w:val="20"/>
                <w:szCs w:val="20"/>
              </w:rPr>
              <w:t>eters</w:t>
            </w:r>
          </w:p>
        </w:tc>
        <w:tc>
          <w:tcPr>
            <w:tcW w:w="1723" w:type="dxa"/>
            <w:tcBorders>
              <w:top w:val="single" w:sz="4" w:space="0" w:color="1F497D" w:themeColor="text2"/>
              <w:left w:val="nil"/>
              <w:bottom w:val="single" w:sz="4" w:space="0" w:color="1F497D" w:themeColor="text2"/>
              <w:right w:val="nil"/>
            </w:tcBorders>
          </w:tcPr>
          <w:p w14:paraId="10ED3A33" w14:textId="1CD5CF56" w:rsidR="007C78C7" w:rsidRPr="00D17F87" w:rsidRDefault="004A4A58" w:rsidP="004202D6">
            <w:pPr>
              <w:jc w:val="center"/>
              <w:rPr>
                <w:rFonts w:ascii="Arial" w:hAnsi="Arial" w:cs="Arial"/>
                <w:b/>
                <w:bCs/>
                <w:sz w:val="20"/>
                <w:szCs w:val="20"/>
              </w:rPr>
            </w:pPr>
            <w:r w:rsidRPr="00D17F87">
              <w:rPr>
                <w:rFonts w:ascii="Arial" w:hAnsi="Arial" w:cs="Arial"/>
                <w:b/>
                <w:bCs/>
                <w:sz w:val="20"/>
                <w:szCs w:val="20"/>
              </w:rPr>
              <w:t>low</w:t>
            </w:r>
            <w:r w:rsidR="007C78C7" w:rsidRPr="00D17F87">
              <w:rPr>
                <w:rFonts w:ascii="Arial" w:hAnsi="Arial" w:cs="Arial"/>
                <w:b/>
                <w:bCs/>
                <w:sz w:val="20"/>
                <w:szCs w:val="20"/>
              </w:rPr>
              <w:t xml:space="preserve"> (%)</w:t>
            </w:r>
          </w:p>
        </w:tc>
        <w:tc>
          <w:tcPr>
            <w:tcW w:w="1796" w:type="dxa"/>
            <w:tcBorders>
              <w:top w:val="single" w:sz="4" w:space="0" w:color="1F497D" w:themeColor="text2"/>
              <w:left w:val="nil"/>
              <w:bottom w:val="single" w:sz="4" w:space="0" w:color="1F497D" w:themeColor="text2"/>
              <w:right w:val="nil"/>
            </w:tcBorders>
          </w:tcPr>
          <w:p w14:paraId="77DE6188" w14:textId="75E583B6" w:rsidR="007C78C7" w:rsidRPr="00D17F87" w:rsidRDefault="004A4A58" w:rsidP="004202D6">
            <w:pPr>
              <w:jc w:val="center"/>
              <w:rPr>
                <w:rFonts w:ascii="Arial" w:hAnsi="Arial" w:cs="Arial"/>
                <w:b/>
                <w:bCs/>
                <w:sz w:val="20"/>
                <w:szCs w:val="20"/>
              </w:rPr>
            </w:pPr>
            <w:r w:rsidRPr="00D17F87">
              <w:rPr>
                <w:rFonts w:ascii="Arial" w:hAnsi="Arial" w:cs="Arial"/>
                <w:b/>
                <w:bCs/>
                <w:sz w:val="20"/>
                <w:szCs w:val="20"/>
              </w:rPr>
              <w:t>normal</w:t>
            </w:r>
            <w:r w:rsidR="007C78C7" w:rsidRPr="00D17F87">
              <w:rPr>
                <w:rFonts w:ascii="Arial" w:hAnsi="Arial" w:cs="Arial"/>
                <w:b/>
                <w:bCs/>
                <w:sz w:val="20"/>
                <w:szCs w:val="20"/>
              </w:rPr>
              <w:t xml:space="preserve"> (%)</w:t>
            </w:r>
          </w:p>
        </w:tc>
        <w:tc>
          <w:tcPr>
            <w:tcW w:w="1744" w:type="dxa"/>
            <w:tcBorders>
              <w:top w:val="single" w:sz="4" w:space="0" w:color="1F497D" w:themeColor="text2"/>
              <w:left w:val="nil"/>
              <w:bottom w:val="single" w:sz="4" w:space="0" w:color="1F497D" w:themeColor="text2"/>
              <w:right w:val="nil"/>
            </w:tcBorders>
          </w:tcPr>
          <w:p w14:paraId="2950A8A7" w14:textId="368B28A5" w:rsidR="007C78C7" w:rsidRPr="00D17F87" w:rsidRDefault="004A4A58" w:rsidP="004202D6">
            <w:pPr>
              <w:jc w:val="center"/>
              <w:rPr>
                <w:rFonts w:ascii="Arial" w:hAnsi="Arial" w:cs="Arial"/>
                <w:b/>
                <w:bCs/>
                <w:sz w:val="20"/>
                <w:szCs w:val="20"/>
              </w:rPr>
            </w:pPr>
            <w:r w:rsidRPr="00D17F87">
              <w:rPr>
                <w:rFonts w:ascii="Arial" w:hAnsi="Arial" w:cs="Arial"/>
                <w:b/>
                <w:bCs/>
                <w:sz w:val="20"/>
                <w:szCs w:val="20"/>
              </w:rPr>
              <w:t>high</w:t>
            </w:r>
            <w:r w:rsidR="007C78C7" w:rsidRPr="00D17F87">
              <w:rPr>
                <w:rFonts w:ascii="Arial" w:hAnsi="Arial" w:cs="Arial"/>
                <w:b/>
                <w:bCs/>
                <w:sz w:val="20"/>
                <w:szCs w:val="20"/>
              </w:rPr>
              <w:t xml:space="preserve"> (%)</w:t>
            </w:r>
          </w:p>
        </w:tc>
      </w:tr>
      <w:tr w:rsidR="00D17F87" w:rsidRPr="00D17F87" w14:paraId="21E01D16" w14:textId="77777777" w:rsidTr="00C474E4">
        <w:trPr>
          <w:trHeight w:val="345"/>
        </w:trPr>
        <w:tc>
          <w:tcPr>
            <w:tcW w:w="3197" w:type="dxa"/>
            <w:tcBorders>
              <w:top w:val="single" w:sz="4" w:space="0" w:color="1F497D" w:themeColor="text2"/>
              <w:left w:val="nil"/>
              <w:bottom w:val="nil"/>
              <w:right w:val="nil"/>
            </w:tcBorders>
          </w:tcPr>
          <w:p w14:paraId="667C8E93" w14:textId="6E7C93A1" w:rsidR="007C78C7" w:rsidRPr="00D17F87" w:rsidRDefault="007C78C7" w:rsidP="004202D6">
            <w:pPr>
              <w:rPr>
                <w:rFonts w:ascii="Arial" w:hAnsi="Arial" w:cs="Arial"/>
                <w:sz w:val="20"/>
                <w:szCs w:val="20"/>
              </w:rPr>
            </w:pPr>
            <w:r w:rsidRPr="00D17F87">
              <w:rPr>
                <w:rFonts w:ascii="Arial" w:hAnsi="Arial" w:cs="Arial"/>
                <w:sz w:val="20"/>
                <w:szCs w:val="20"/>
              </w:rPr>
              <w:t>Leu</w:t>
            </w:r>
            <w:r w:rsidR="004A4A58" w:rsidRPr="00D17F87">
              <w:rPr>
                <w:rFonts w:ascii="Arial" w:hAnsi="Arial" w:cs="Arial"/>
                <w:sz w:val="20"/>
                <w:szCs w:val="20"/>
              </w:rPr>
              <w:t>k</w:t>
            </w:r>
            <w:r w:rsidRPr="00D17F87">
              <w:rPr>
                <w:rFonts w:ascii="Arial" w:hAnsi="Arial" w:cs="Arial"/>
                <w:sz w:val="20"/>
                <w:szCs w:val="20"/>
              </w:rPr>
              <w:t>ocytes</w:t>
            </w:r>
          </w:p>
        </w:tc>
        <w:tc>
          <w:tcPr>
            <w:tcW w:w="1723" w:type="dxa"/>
            <w:tcBorders>
              <w:top w:val="single" w:sz="4" w:space="0" w:color="1F497D" w:themeColor="text2"/>
              <w:left w:val="nil"/>
              <w:bottom w:val="nil"/>
              <w:right w:val="nil"/>
            </w:tcBorders>
          </w:tcPr>
          <w:p w14:paraId="537699B5" w14:textId="77777777" w:rsidR="007C78C7" w:rsidRPr="00D17F87" w:rsidRDefault="007C78C7" w:rsidP="004202D6">
            <w:pPr>
              <w:jc w:val="center"/>
              <w:rPr>
                <w:rFonts w:ascii="Arial" w:hAnsi="Arial" w:cs="Arial"/>
                <w:sz w:val="20"/>
                <w:szCs w:val="20"/>
              </w:rPr>
            </w:pPr>
            <w:r w:rsidRPr="00D17F87">
              <w:rPr>
                <w:rFonts w:ascii="Arial" w:hAnsi="Arial" w:cs="Arial"/>
                <w:sz w:val="20"/>
                <w:szCs w:val="20"/>
              </w:rPr>
              <w:t>19</w:t>
            </w:r>
          </w:p>
        </w:tc>
        <w:tc>
          <w:tcPr>
            <w:tcW w:w="1796" w:type="dxa"/>
            <w:tcBorders>
              <w:top w:val="single" w:sz="4" w:space="0" w:color="1F497D" w:themeColor="text2"/>
              <w:left w:val="nil"/>
              <w:bottom w:val="nil"/>
              <w:right w:val="nil"/>
            </w:tcBorders>
          </w:tcPr>
          <w:p w14:paraId="07F39BB6" w14:textId="77777777" w:rsidR="007C78C7" w:rsidRPr="00D17F87" w:rsidRDefault="007C78C7" w:rsidP="004202D6">
            <w:pPr>
              <w:jc w:val="center"/>
              <w:rPr>
                <w:rFonts w:ascii="Arial" w:hAnsi="Arial" w:cs="Arial"/>
                <w:sz w:val="20"/>
                <w:szCs w:val="20"/>
              </w:rPr>
            </w:pPr>
            <w:r w:rsidRPr="00D17F87">
              <w:rPr>
                <w:rFonts w:ascii="Arial" w:hAnsi="Arial" w:cs="Arial"/>
                <w:sz w:val="20"/>
                <w:szCs w:val="20"/>
              </w:rPr>
              <w:t>17</w:t>
            </w:r>
          </w:p>
        </w:tc>
        <w:tc>
          <w:tcPr>
            <w:tcW w:w="1744" w:type="dxa"/>
            <w:tcBorders>
              <w:top w:val="single" w:sz="4" w:space="0" w:color="1F497D" w:themeColor="text2"/>
              <w:left w:val="nil"/>
              <w:bottom w:val="nil"/>
              <w:right w:val="nil"/>
            </w:tcBorders>
          </w:tcPr>
          <w:p w14:paraId="27A93843" w14:textId="77777777" w:rsidR="007C78C7" w:rsidRPr="00D17F87" w:rsidRDefault="007C78C7" w:rsidP="004202D6">
            <w:pPr>
              <w:jc w:val="center"/>
              <w:rPr>
                <w:rFonts w:ascii="Arial" w:hAnsi="Arial" w:cs="Arial"/>
                <w:sz w:val="20"/>
                <w:szCs w:val="20"/>
              </w:rPr>
            </w:pPr>
            <w:r w:rsidRPr="00D17F87">
              <w:rPr>
                <w:rFonts w:ascii="Arial" w:hAnsi="Arial" w:cs="Arial"/>
                <w:sz w:val="20"/>
                <w:szCs w:val="20"/>
              </w:rPr>
              <w:t>64</w:t>
            </w:r>
          </w:p>
        </w:tc>
      </w:tr>
      <w:tr w:rsidR="007C78C7" w:rsidRPr="00D17F87" w14:paraId="1DA2FD6C" w14:textId="77777777" w:rsidTr="00C474E4">
        <w:trPr>
          <w:trHeight w:val="366"/>
        </w:trPr>
        <w:tc>
          <w:tcPr>
            <w:tcW w:w="3197" w:type="dxa"/>
            <w:tcBorders>
              <w:top w:val="nil"/>
              <w:left w:val="nil"/>
              <w:bottom w:val="nil"/>
              <w:right w:val="nil"/>
            </w:tcBorders>
          </w:tcPr>
          <w:p w14:paraId="2DC8980E" w14:textId="61708270" w:rsidR="007C78C7" w:rsidRPr="00D17F87" w:rsidRDefault="004A4A58" w:rsidP="004202D6">
            <w:pPr>
              <w:rPr>
                <w:rFonts w:ascii="Arial" w:hAnsi="Arial" w:cs="Arial"/>
                <w:sz w:val="20"/>
                <w:szCs w:val="20"/>
              </w:rPr>
            </w:pPr>
            <w:r w:rsidRPr="00D17F87">
              <w:rPr>
                <w:rFonts w:ascii="Arial" w:hAnsi="Arial" w:cs="Arial"/>
                <w:sz w:val="20"/>
                <w:szCs w:val="20"/>
              </w:rPr>
              <w:t>Neutrophils</w:t>
            </w:r>
          </w:p>
        </w:tc>
        <w:tc>
          <w:tcPr>
            <w:tcW w:w="1723" w:type="dxa"/>
            <w:tcBorders>
              <w:top w:val="nil"/>
              <w:left w:val="nil"/>
              <w:bottom w:val="nil"/>
              <w:right w:val="nil"/>
            </w:tcBorders>
          </w:tcPr>
          <w:p w14:paraId="037E1A5F" w14:textId="77777777" w:rsidR="007C78C7" w:rsidRPr="00D17F87" w:rsidRDefault="007C78C7" w:rsidP="004202D6">
            <w:pPr>
              <w:jc w:val="center"/>
              <w:rPr>
                <w:rFonts w:ascii="Arial" w:hAnsi="Arial" w:cs="Arial"/>
                <w:sz w:val="20"/>
                <w:szCs w:val="20"/>
              </w:rPr>
            </w:pPr>
            <w:r w:rsidRPr="00D17F87">
              <w:rPr>
                <w:rFonts w:ascii="Arial" w:hAnsi="Arial" w:cs="Arial"/>
                <w:sz w:val="20"/>
                <w:szCs w:val="20"/>
              </w:rPr>
              <w:t>23</w:t>
            </w:r>
          </w:p>
        </w:tc>
        <w:tc>
          <w:tcPr>
            <w:tcW w:w="1796" w:type="dxa"/>
            <w:tcBorders>
              <w:top w:val="nil"/>
              <w:left w:val="nil"/>
              <w:bottom w:val="nil"/>
              <w:right w:val="nil"/>
            </w:tcBorders>
          </w:tcPr>
          <w:p w14:paraId="17C6545A" w14:textId="77777777" w:rsidR="007C78C7" w:rsidRPr="00D17F87" w:rsidRDefault="007C78C7" w:rsidP="004202D6">
            <w:pPr>
              <w:jc w:val="center"/>
              <w:rPr>
                <w:rFonts w:ascii="Arial" w:hAnsi="Arial" w:cs="Arial"/>
                <w:sz w:val="20"/>
                <w:szCs w:val="20"/>
              </w:rPr>
            </w:pPr>
            <w:r w:rsidRPr="00D17F87">
              <w:rPr>
                <w:rFonts w:ascii="Arial" w:hAnsi="Arial" w:cs="Arial"/>
                <w:sz w:val="20"/>
                <w:szCs w:val="20"/>
              </w:rPr>
              <w:t>31</w:t>
            </w:r>
          </w:p>
        </w:tc>
        <w:tc>
          <w:tcPr>
            <w:tcW w:w="1744" w:type="dxa"/>
            <w:tcBorders>
              <w:top w:val="nil"/>
              <w:left w:val="nil"/>
              <w:bottom w:val="nil"/>
              <w:right w:val="nil"/>
            </w:tcBorders>
          </w:tcPr>
          <w:p w14:paraId="2E9ED01F" w14:textId="77777777" w:rsidR="007C78C7" w:rsidRPr="00D17F87" w:rsidRDefault="007C78C7" w:rsidP="004202D6">
            <w:pPr>
              <w:jc w:val="center"/>
              <w:rPr>
                <w:rFonts w:ascii="Arial" w:hAnsi="Arial" w:cs="Arial"/>
                <w:sz w:val="20"/>
                <w:szCs w:val="20"/>
              </w:rPr>
            </w:pPr>
            <w:r w:rsidRPr="00D17F87">
              <w:rPr>
                <w:rFonts w:ascii="Arial" w:hAnsi="Arial" w:cs="Arial"/>
                <w:sz w:val="20"/>
                <w:szCs w:val="20"/>
              </w:rPr>
              <w:t>46</w:t>
            </w:r>
          </w:p>
        </w:tc>
      </w:tr>
      <w:tr w:rsidR="007C78C7" w:rsidRPr="00D17F87" w14:paraId="2BCE5A3B" w14:textId="77777777" w:rsidTr="00C474E4">
        <w:trPr>
          <w:trHeight w:val="345"/>
        </w:trPr>
        <w:tc>
          <w:tcPr>
            <w:tcW w:w="3197" w:type="dxa"/>
            <w:tcBorders>
              <w:top w:val="nil"/>
              <w:left w:val="nil"/>
              <w:bottom w:val="nil"/>
              <w:right w:val="nil"/>
            </w:tcBorders>
          </w:tcPr>
          <w:p w14:paraId="10E0C8A4" w14:textId="7ABED1B2" w:rsidR="007C78C7" w:rsidRPr="00D17F87" w:rsidRDefault="004A4A58" w:rsidP="004202D6">
            <w:pPr>
              <w:rPr>
                <w:rFonts w:ascii="Arial" w:hAnsi="Arial" w:cs="Arial"/>
                <w:sz w:val="20"/>
                <w:szCs w:val="20"/>
              </w:rPr>
            </w:pPr>
            <w:r w:rsidRPr="00D17F87">
              <w:rPr>
                <w:rFonts w:ascii="Arial" w:hAnsi="Arial" w:cs="Arial"/>
                <w:sz w:val="20"/>
                <w:szCs w:val="20"/>
              </w:rPr>
              <w:t>Lymphocytes</w:t>
            </w:r>
          </w:p>
        </w:tc>
        <w:tc>
          <w:tcPr>
            <w:tcW w:w="1723" w:type="dxa"/>
            <w:tcBorders>
              <w:top w:val="nil"/>
              <w:left w:val="nil"/>
              <w:bottom w:val="nil"/>
              <w:right w:val="nil"/>
            </w:tcBorders>
          </w:tcPr>
          <w:p w14:paraId="1A7DFC18" w14:textId="77777777" w:rsidR="007C78C7" w:rsidRPr="00D17F87" w:rsidRDefault="007C78C7" w:rsidP="004202D6">
            <w:pPr>
              <w:jc w:val="center"/>
              <w:rPr>
                <w:rFonts w:ascii="Arial" w:hAnsi="Arial" w:cs="Arial"/>
                <w:sz w:val="20"/>
                <w:szCs w:val="20"/>
              </w:rPr>
            </w:pPr>
            <w:r w:rsidRPr="00D17F87">
              <w:rPr>
                <w:rFonts w:ascii="Arial" w:hAnsi="Arial" w:cs="Arial"/>
                <w:sz w:val="20"/>
                <w:szCs w:val="20"/>
              </w:rPr>
              <w:t>56</w:t>
            </w:r>
          </w:p>
        </w:tc>
        <w:tc>
          <w:tcPr>
            <w:tcW w:w="1796" w:type="dxa"/>
            <w:tcBorders>
              <w:top w:val="nil"/>
              <w:left w:val="nil"/>
              <w:bottom w:val="nil"/>
              <w:right w:val="nil"/>
            </w:tcBorders>
          </w:tcPr>
          <w:p w14:paraId="6E3CE741" w14:textId="77777777" w:rsidR="007C78C7" w:rsidRPr="00D17F87" w:rsidRDefault="007C78C7" w:rsidP="004202D6">
            <w:pPr>
              <w:jc w:val="center"/>
              <w:rPr>
                <w:rFonts w:ascii="Arial" w:hAnsi="Arial" w:cs="Arial"/>
                <w:sz w:val="20"/>
                <w:szCs w:val="20"/>
              </w:rPr>
            </w:pPr>
            <w:r w:rsidRPr="00D17F87">
              <w:rPr>
                <w:rFonts w:ascii="Arial" w:hAnsi="Arial" w:cs="Arial"/>
                <w:sz w:val="20"/>
                <w:szCs w:val="20"/>
              </w:rPr>
              <w:t>31</w:t>
            </w:r>
          </w:p>
        </w:tc>
        <w:tc>
          <w:tcPr>
            <w:tcW w:w="1744" w:type="dxa"/>
            <w:tcBorders>
              <w:top w:val="nil"/>
              <w:left w:val="nil"/>
              <w:bottom w:val="nil"/>
              <w:right w:val="nil"/>
            </w:tcBorders>
          </w:tcPr>
          <w:p w14:paraId="31808DD8" w14:textId="77777777" w:rsidR="007C78C7" w:rsidRPr="00D17F87" w:rsidRDefault="007C78C7" w:rsidP="004202D6">
            <w:pPr>
              <w:jc w:val="center"/>
              <w:rPr>
                <w:rFonts w:ascii="Arial" w:hAnsi="Arial" w:cs="Arial"/>
                <w:sz w:val="20"/>
                <w:szCs w:val="20"/>
              </w:rPr>
            </w:pPr>
            <w:r w:rsidRPr="00D17F87">
              <w:rPr>
                <w:rFonts w:ascii="Arial" w:hAnsi="Arial" w:cs="Arial"/>
                <w:sz w:val="20"/>
                <w:szCs w:val="20"/>
              </w:rPr>
              <w:t>13</w:t>
            </w:r>
          </w:p>
        </w:tc>
      </w:tr>
      <w:tr w:rsidR="007C78C7" w:rsidRPr="00D17F87" w14:paraId="7E5A5FF4" w14:textId="77777777" w:rsidTr="00C474E4">
        <w:trPr>
          <w:trHeight w:val="366"/>
        </w:trPr>
        <w:tc>
          <w:tcPr>
            <w:tcW w:w="3197" w:type="dxa"/>
            <w:tcBorders>
              <w:top w:val="nil"/>
              <w:left w:val="nil"/>
              <w:bottom w:val="nil"/>
              <w:right w:val="nil"/>
            </w:tcBorders>
          </w:tcPr>
          <w:p w14:paraId="26685D35" w14:textId="4379F10D" w:rsidR="007C78C7" w:rsidRPr="00D17F87" w:rsidRDefault="004A4A58" w:rsidP="004202D6">
            <w:pPr>
              <w:rPr>
                <w:rFonts w:ascii="Arial" w:hAnsi="Arial" w:cs="Arial"/>
                <w:sz w:val="20"/>
                <w:szCs w:val="20"/>
              </w:rPr>
            </w:pPr>
            <w:r w:rsidRPr="00D17F87">
              <w:rPr>
                <w:rFonts w:ascii="Arial" w:hAnsi="Arial" w:cs="Arial"/>
                <w:sz w:val="20"/>
                <w:szCs w:val="20"/>
              </w:rPr>
              <w:t>Monocytes / Eosinophils / Basophils</w:t>
            </w:r>
          </w:p>
        </w:tc>
        <w:tc>
          <w:tcPr>
            <w:tcW w:w="1723" w:type="dxa"/>
            <w:tcBorders>
              <w:top w:val="nil"/>
              <w:left w:val="nil"/>
              <w:bottom w:val="nil"/>
              <w:right w:val="nil"/>
            </w:tcBorders>
          </w:tcPr>
          <w:p w14:paraId="0CCC7095" w14:textId="77777777" w:rsidR="007C78C7" w:rsidRPr="00D17F87" w:rsidRDefault="007C78C7" w:rsidP="004202D6">
            <w:pPr>
              <w:jc w:val="center"/>
              <w:rPr>
                <w:rFonts w:ascii="Arial" w:hAnsi="Arial" w:cs="Arial"/>
                <w:sz w:val="20"/>
                <w:szCs w:val="20"/>
              </w:rPr>
            </w:pPr>
            <w:r w:rsidRPr="00D17F87">
              <w:rPr>
                <w:rFonts w:ascii="Arial" w:hAnsi="Arial" w:cs="Arial"/>
                <w:sz w:val="20"/>
                <w:szCs w:val="20"/>
              </w:rPr>
              <w:t>–</w:t>
            </w:r>
          </w:p>
        </w:tc>
        <w:tc>
          <w:tcPr>
            <w:tcW w:w="1796" w:type="dxa"/>
            <w:tcBorders>
              <w:top w:val="nil"/>
              <w:left w:val="nil"/>
              <w:bottom w:val="nil"/>
              <w:right w:val="nil"/>
            </w:tcBorders>
          </w:tcPr>
          <w:p w14:paraId="1A07ABB2" w14:textId="77777777" w:rsidR="007C78C7" w:rsidRPr="00D17F87" w:rsidRDefault="007C78C7" w:rsidP="004202D6">
            <w:pPr>
              <w:jc w:val="center"/>
              <w:rPr>
                <w:rFonts w:ascii="Arial" w:hAnsi="Arial" w:cs="Arial"/>
                <w:sz w:val="20"/>
                <w:szCs w:val="20"/>
              </w:rPr>
            </w:pPr>
            <w:r w:rsidRPr="00D17F87">
              <w:rPr>
                <w:rFonts w:ascii="Arial" w:hAnsi="Arial" w:cs="Arial"/>
                <w:sz w:val="20"/>
                <w:szCs w:val="20"/>
              </w:rPr>
              <w:t>31</w:t>
            </w:r>
          </w:p>
        </w:tc>
        <w:tc>
          <w:tcPr>
            <w:tcW w:w="1744" w:type="dxa"/>
            <w:tcBorders>
              <w:top w:val="nil"/>
              <w:left w:val="nil"/>
              <w:bottom w:val="nil"/>
              <w:right w:val="nil"/>
            </w:tcBorders>
          </w:tcPr>
          <w:p w14:paraId="33527B8B" w14:textId="77777777" w:rsidR="007C78C7" w:rsidRPr="00D17F87" w:rsidRDefault="007C78C7" w:rsidP="004202D6">
            <w:pPr>
              <w:jc w:val="center"/>
              <w:rPr>
                <w:rFonts w:ascii="Arial" w:hAnsi="Arial" w:cs="Arial"/>
                <w:sz w:val="20"/>
                <w:szCs w:val="20"/>
              </w:rPr>
            </w:pPr>
            <w:r w:rsidRPr="00D17F87">
              <w:rPr>
                <w:rFonts w:ascii="Arial" w:hAnsi="Arial" w:cs="Arial"/>
                <w:sz w:val="20"/>
                <w:szCs w:val="20"/>
              </w:rPr>
              <w:t>69</w:t>
            </w:r>
          </w:p>
        </w:tc>
      </w:tr>
      <w:tr w:rsidR="005D17FE" w:rsidRPr="00D17F87" w14:paraId="51916571" w14:textId="77777777" w:rsidTr="00C474E4">
        <w:trPr>
          <w:trHeight w:val="345"/>
        </w:trPr>
        <w:tc>
          <w:tcPr>
            <w:tcW w:w="3197" w:type="dxa"/>
            <w:tcBorders>
              <w:top w:val="nil"/>
              <w:left w:val="nil"/>
              <w:bottom w:val="single" w:sz="4" w:space="0" w:color="1F497D" w:themeColor="text2"/>
              <w:right w:val="nil"/>
            </w:tcBorders>
          </w:tcPr>
          <w:p w14:paraId="6C201963" w14:textId="033C79BD" w:rsidR="007C78C7" w:rsidRPr="00D17F87" w:rsidRDefault="004A4A58" w:rsidP="004202D6">
            <w:pPr>
              <w:rPr>
                <w:rFonts w:ascii="Arial" w:hAnsi="Arial" w:cs="Arial"/>
                <w:sz w:val="20"/>
                <w:szCs w:val="20"/>
              </w:rPr>
            </w:pPr>
            <w:r w:rsidRPr="00D17F87">
              <w:rPr>
                <w:rFonts w:ascii="Arial" w:hAnsi="Arial" w:cs="Arial"/>
                <w:sz w:val="20"/>
                <w:szCs w:val="20"/>
              </w:rPr>
              <w:t>Platelets</w:t>
            </w:r>
          </w:p>
        </w:tc>
        <w:tc>
          <w:tcPr>
            <w:tcW w:w="1723" w:type="dxa"/>
            <w:tcBorders>
              <w:top w:val="nil"/>
              <w:left w:val="nil"/>
              <w:bottom w:val="single" w:sz="4" w:space="0" w:color="1F497D" w:themeColor="text2"/>
              <w:right w:val="nil"/>
            </w:tcBorders>
          </w:tcPr>
          <w:p w14:paraId="267ACDA6" w14:textId="77777777" w:rsidR="007C78C7" w:rsidRPr="00D17F87" w:rsidRDefault="007C78C7" w:rsidP="004202D6">
            <w:pPr>
              <w:jc w:val="center"/>
              <w:rPr>
                <w:rFonts w:ascii="Arial" w:hAnsi="Arial" w:cs="Arial"/>
                <w:sz w:val="20"/>
                <w:szCs w:val="20"/>
              </w:rPr>
            </w:pPr>
            <w:r w:rsidRPr="00D17F87">
              <w:rPr>
                <w:rFonts w:ascii="Arial" w:hAnsi="Arial" w:cs="Arial"/>
                <w:sz w:val="20"/>
                <w:szCs w:val="20"/>
              </w:rPr>
              <w:t>19</w:t>
            </w:r>
          </w:p>
        </w:tc>
        <w:tc>
          <w:tcPr>
            <w:tcW w:w="1796" w:type="dxa"/>
            <w:tcBorders>
              <w:top w:val="nil"/>
              <w:left w:val="nil"/>
              <w:bottom w:val="single" w:sz="4" w:space="0" w:color="1F497D" w:themeColor="text2"/>
              <w:right w:val="nil"/>
            </w:tcBorders>
          </w:tcPr>
          <w:p w14:paraId="50301552" w14:textId="77777777" w:rsidR="007C78C7" w:rsidRPr="00D17F87" w:rsidRDefault="007C78C7" w:rsidP="004202D6">
            <w:pPr>
              <w:jc w:val="center"/>
              <w:rPr>
                <w:rFonts w:ascii="Arial" w:hAnsi="Arial" w:cs="Arial"/>
                <w:sz w:val="20"/>
                <w:szCs w:val="20"/>
              </w:rPr>
            </w:pPr>
            <w:r w:rsidRPr="00D17F87">
              <w:rPr>
                <w:rFonts w:ascii="Arial" w:hAnsi="Arial" w:cs="Arial"/>
                <w:sz w:val="20"/>
                <w:szCs w:val="20"/>
              </w:rPr>
              <w:t>62</w:t>
            </w:r>
          </w:p>
        </w:tc>
        <w:tc>
          <w:tcPr>
            <w:tcW w:w="1744" w:type="dxa"/>
            <w:tcBorders>
              <w:top w:val="nil"/>
              <w:left w:val="nil"/>
              <w:bottom w:val="single" w:sz="4" w:space="0" w:color="1F497D" w:themeColor="text2"/>
              <w:right w:val="nil"/>
            </w:tcBorders>
          </w:tcPr>
          <w:p w14:paraId="5FAED795" w14:textId="77777777" w:rsidR="007C78C7" w:rsidRPr="00D17F87" w:rsidRDefault="007C78C7" w:rsidP="004202D6">
            <w:pPr>
              <w:jc w:val="center"/>
              <w:rPr>
                <w:rFonts w:ascii="Arial" w:hAnsi="Arial" w:cs="Arial"/>
                <w:sz w:val="20"/>
                <w:szCs w:val="20"/>
              </w:rPr>
            </w:pPr>
            <w:r w:rsidRPr="00D17F87">
              <w:rPr>
                <w:rFonts w:ascii="Arial" w:hAnsi="Arial" w:cs="Arial"/>
                <w:sz w:val="20"/>
                <w:szCs w:val="20"/>
              </w:rPr>
              <w:t>19</w:t>
            </w:r>
          </w:p>
        </w:tc>
      </w:tr>
    </w:tbl>
    <w:p w14:paraId="51ED729F" w14:textId="77777777" w:rsidR="007C78C7" w:rsidRPr="00CE07A5" w:rsidRDefault="007C78C7" w:rsidP="007C78C7">
      <w:pPr>
        <w:pStyle w:val="NormalWeb"/>
        <w:spacing w:before="0" w:beforeAutospacing="0" w:after="0" w:afterAutospacing="0" w:line="360" w:lineRule="auto"/>
        <w:rPr>
          <w:b/>
        </w:rPr>
      </w:pPr>
    </w:p>
    <w:p w14:paraId="178A5D4A" w14:textId="6F413698" w:rsidR="004014D9" w:rsidRPr="004014D9" w:rsidRDefault="004014D9" w:rsidP="004014D9">
      <w:pPr>
        <w:pStyle w:val="Body"/>
        <w:spacing w:after="0"/>
        <w:rPr>
          <w:rFonts w:ascii="Arial" w:hAnsi="Arial" w:cs="Arial"/>
          <w:b/>
          <w:bCs/>
          <w:iCs/>
          <w:sz w:val="22"/>
          <w:szCs w:val="22"/>
        </w:rPr>
      </w:pPr>
      <w:r>
        <w:rPr>
          <w:rFonts w:ascii="Arial" w:hAnsi="Arial" w:cs="Arial"/>
          <w:b/>
          <w:bCs/>
          <w:iCs/>
          <w:sz w:val="22"/>
          <w:szCs w:val="22"/>
        </w:rPr>
        <w:t xml:space="preserve">3.4 </w:t>
      </w:r>
      <w:r w:rsidRPr="004014D9">
        <w:rPr>
          <w:rFonts w:ascii="Arial" w:hAnsi="Arial" w:cs="Arial"/>
          <w:b/>
          <w:bCs/>
          <w:iCs/>
          <w:sz w:val="22"/>
          <w:szCs w:val="22"/>
        </w:rPr>
        <w:t>Biochemical Parameters</w:t>
      </w:r>
    </w:p>
    <w:p w14:paraId="32299682" w14:textId="77777777" w:rsidR="004014D9" w:rsidRPr="004014D9" w:rsidRDefault="004014D9" w:rsidP="004014D9">
      <w:pPr>
        <w:pStyle w:val="Body"/>
        <w:spacing w:after="0"/>
        <w:rPr>
          <w:rFonts w:ascii="Arial" w:hAnsi="Arial" w:cs="Arial"/>
          <w:iCs/>
        </w:rPr>
      </w:pPr>
    </w:p>
    <w:p w14:paraId="007FBCAB" w14:textId="77777777" w:rsidR="004014D9" w:rsidRPr="004014D9" w:rsidRDefault="004014D9" w:rsidP="004014D9">
      <w:pPr>
        <w:pStyle w:val="Body"/>
        <w:spacing w:after="0"/>
        <w:rPr>
          <w:rFonts w:ascii="Arial" w:hAnsi="Arial" w:cs="Arial"/>
          <w:iCs/>
        </w:rPr>
      </w:pPr>
      <w:r w:rsidRPr="004014D9">
        <w:rPr>
          <w:rFonts w:ascii="Arial" w:hAnsi="Arial" w:cs="Arial"/>
          <w:iCs/>
        </w:rPr>
        <w:t>Biological results showed elevated transaminase levels in 15 patients (31%), while 33 patients (69%) had normal values. The increase in alanine aminotransferase (ALT/ALAT/GPT) observed in nearly one-third of patients suggests hepatic involvement, likely related to the hepatotoxicity of anti-tuberculosis treatment.</w:t>
      </w:r>
    </w:p>
    <w:p w14:paraId="1B7624EB" w14:textId="2C6FCE97" w:rsidR="004014D9" w:rsidRPr="004014D9" w:rsidRDefault="004014D9" w:rsidP="004014D9">
      <w:pPr>
        <w:pStyle w:val="Body"/>
        <w:spacing w:after="0"/>
        <w:rPr>
          <w:rFonts w:ascii="Arial" w:hAnsi="Arial" w:cs="Arial"/>
          <w:iCs/>
        </w:rPr>
      </w:pPr>
      <w:r w:rsidRPr="004014D9">
        <w:rPr>
          <w:rFonts w:ascii="Arial" w:hAnsi="Arial" w:cs="Arial"/>
          <w:iCs/>
        </w:rPr>
        <w:t xml:space="preserve">Indeed, some first-line anti-tuberculosis drugs, particularly isoniazid and rifampicin, are known for their hepatotoxic potential, which can induce hepatic cytolysis. These observations are consistent with those reported by </w:t>
      </w:r>
      <w:r w:rsidRPr="00B007DE">
        <w:rPr>
          <w:rFonts w:ascii="Arial" w:hAnsi="Arial" w:cs="Arial"/>
          <w:b/>
          <w:bCs/>
          <w:iCs/>
        </w:rPr>
        <w:t>Kaze and Bagayoko (2012),</w:t>
      </w:r>
      <w:r w:rsidRPr="004014D9">
        <w:rPr>
          <w:rFonts w:ascii="Arial" w:hAnsi="Arial" w:cs="Arial"/>
          <w:iCs/>
        </w:rPr>
        <w:t xml:space="preserve"> who found elevated transaminase levels in approximately 28% of patients undergoing anti-tuberculosis therapy.</w:t>
      </w:r>
    </w:p>
    <w:p w14:paraId="3D17B776" w14:textId="77777777" w:rsidR="004014D9" w:rsidRPr="004014D9" w:rsidRDefault="004014D9" w:rsidP="004014D9">
      <w:pPr>
        <w:pStyle w:val="Body"/>
        <w:spacing w:after="0"/>
        <w:rPr>
          <w:rFonts w:ascii="Arial" w:hAnsi="Arial" w:cs="Arial"/>
          <w:iCs/>
        </w:rPr>
      </w:pPr>
      <w:r w:rsidRPr="004014D9">
        <w:rPr>
          <w:rFonts w:ascii="Arial" w:hAnsi="Arial" w:cs="Arial"/>
          <w:iCs/>
        </w:rPr>
        <w:t>Furthermore, elevated creatinine levels were observed in 15 patients (31%), while 30 patients (63%) had normal values and 3 patients (6%) had low values. The increase in serum creatinine may reflect renal impairment, likely functional and transient, related to the use of potentially nephrotoxic medications.</w:t>
      </w:r>
    </w:p>
    <w:p w14:paraId="7F00F5BE" w14:textId="77777777" w:rsidR="004014D9" w:rsidRPr="004014D9" w:rsidRDefault="004014D9" w:rsidP="004014D9">
      <w:pPr>
        <w:pStyle w:val="Body"/>
        <w:spacing w:after="0"/>
        <w:rPr>
          <w:rFonts w:ascii="Arial" w:hAnsi="Arial" w:cs="Arial"/>
          <w:iCs/>
        </w:rPr>
      </w:pPr>
      <w:r w:rsidRPr="004014D9">
        <w:rPr>
          <w:rFonts w:ascii="Arial" w:hAnsi="Arial" w:cs="Arial"/>
          <w:iCs/>
        </w:rPr>
        <w:t>In the context of drug-resistant tuberculosis, some second-line treatments, particularly aminoglycosides such as amikacin and kanamycin, are known for their nephrotoxicity. These agents can impair renal function, justifying regular monitoring of biochemical parameters.</w:t>
      </w:r>
    </w:p>
    <w:p w14:paraId="7635ED80" w14:textId="590B7166" w:rsidR="00E053D0" w:rsidRPr="004014D9" w:rsidRDefault="004014D9" w:rsidP="004014D9">
      <w:pPr>
        <w:pStyle w:val="Body"/>
        <w:spacing w:after="0"/>
        <w:rPr>
          <w:rFonts w:ascii="Arial" w:hAnsi="Arial" w:cs="Arial"/>
          <w:iCs/>
        </w:rPr>
      </w:pPr>
      <w:r w:rsidRPr="004014D9">
        <w:rPr>
          <w:rFonts w:ascii="Arial" w:hAnsi="Arial" w:cs="Arial"/>
          <w:iCs/>
        </w:rPr>
        <w:t>Thus, the hepatic and renal disturbances observed in this study underscore the importance of careful biological monitoring in patients receiving anti-tuberculosis therapy, especially during prolonged treatment or when potentially toxic drugs are used. Regular monitoring of transaminases and serum creatinine allows for early detection of complications and timely adjustment of therapeutic management.</w:t>
      </w:r>
    </w:p>
    <w:p w14:paraId="0DE54E99" w14:textId="7F00890F" w:rsidR="00790ADA" w:rsidRDefault="00790ADA" w:rsidP="00441B6F">
      <w:pPr>
        <w:pStyle w:val="Body"/>
        <w:spacing w:after="0"/>
        <w:rPr>
          <w:rFonts w:ascii="Arial" w:hAnsi="Arial" w:cs="Arial"/>
        </w:rPr>
      </w:pPr>
    </w:p>
    <w:p w14:paraId="7232010B" w14:textId="3546ABB4" w:rsidR="00E57613" w:rsidRPr="00E57613" w:rsidRDefault="00E57613" w:rsidP="00E57613">
      <w:pPr>
        <w:pStyle w:val="Body"/>
        <w:rPr>
          <w:rFonts w:ascii="Arial" w:hAnsi="Arial" w:cs="Arial"/>
          <w:b/>
          <w:bCs/>
        </w:rPr>
      </w:pPr>
      <w:r w:rsidRPr="00E57613">
        <w:rPr>
          <w:rFonts w:ascii="Arial" w:hAnsi="Arial" w:cs="Arial"/>
          <w:b/>
          <w:bCs/>
        </w:rPr>
        <w:t>3.5 Effectiveness of Anti-Tuberculosis Treatments Applied at the Matam Tuberculosis Cente</w:t>
      </w:r>
      <w:r>
        <w:rPr>
          <w:rFonts w:ascii="Arial" w:hAnsi="Arial" w:cs="Arial"/>
          <w:b/>
          <w:bCs/>
        </w:rPr>
        <w:t>r</w:t>
      </w:r>
    </w:p>
    <w:p w14:paraId="035EEE39" w14:textId="77777777" w:rsidR="00E57613" w:rsidRPr="00E57613" w:rsidRDefault="00E57613" w:rsidP="00E57613">
      <w:pPr>
        <w:pStyle w:val="Body"/>
        <w:rPr>
          <w:rFonts w:ascii="Arial" w:hAnsi="Arial" w:cs="Arial"/>
        </w:rPr>
      </w:pPr>
    </w:p>
    <w:p w14:paraId="6BE5B17C" w14:textId="5F7DFE04" w:rsidR="00E57613" w:rsidRPr="00E57613" w:rsidRDefault="00E57613" w:rsidP="00E57613">
      <w:pPr>
        <w:pStyle w:val="Body"/>
        <w:rPr>
          <w:rFonts w:ascii="Arial" w:hAnsi="Arial" w:cs="Arial"/>
        </w:rPr>
      </w:pPr>
      <w:r w:rsidRPr="00E57613">
        <w:rPr>
          <w:rFonts w:ascii="Arial" w:hAnsi="Arial" w:cs="Arial"/>
        </w:rPr>
        <w:t xml:space="preserve">Among the 48 patients included in the study, 45 (94%) were declared cured, while 3 patients (6%) experienced treatment failure, characterized by persistent bacteriological positivity or an inadequate response to therapy. The observed cure rate (94%) exceeds the World Health Organization’s target, which recommends a treatment success rate of at least 85% in tuberculosis management. This result reflects the quality of care at the Matam Tuberculosis </w:t>
      </w:r>
      <w:r w:rsidRPr="00E57613">
        <w:rPr>
          <w:rFonts w:ascii="Arial" w:hAnsi="Arial" w:cs="Arial"/>
        </w:rPr>
        <w:lastRenderedPageBreak/>
        <w:t>Cent</w:t>
      </w:r>
      <w:r>
        <w:rPr>
          <w:rFonts w:ascii="Arial" w:hAnsi="Arial" w:cs="Arial"/>
        </w:rPr>
        <w:t>er</w:t>
      </w:r>
      <w:r w:rsidRPr="00E57613">
        <w:rPr>
          <w:rFonts w:ascii="Arial" w:hAnsi="Arial" w:cs="Arial"/>
        </w:rPr>
        <w:t>, particularly regarding patient follow-up, therapeutic supervision, and the availability of medications.</w:t>
      </w:r>
    </w:p>
    <w:p w14:paraId="7B5FD4DC" w14:textId="77777777" w:rsidR="00E57613" w:rsidRPr="00E57613" w:rsidRDefault="00E57613" w:rsidP="00E57613">
      <w:pPr>
        <w:pStyle w:val="Body"/>
        <w:rPr>
          <w:rFonts w:ascii="Arial" w:hAnsi="Arial" w:cs="Arial"/>
        </w:rPr>
      </w:pPr>
      <w:r w:rsidRPr="00E57613">
        <w:rPr>
          <w:rFonts w:ascii="Arial" w:hAnsi="Arial" w:cs="Arial"/>
        </w:rPr>
        <w:t>These outcomes may also indicate a well-organized healthcare system, including regular patient monitoring, supervised drug administration, and tailored support. However, the cases of treatment failure (6%) highlight ongoing challenges, notably in terms of treatment adherence, drug tolerance, and the management of resistant forms.</w:t>
      </w:r>
    </w:p>
    <w:p w14:paraId="15A9DCB8" w14:textId="1BB4F774" w:rsidR="00E57613" w:rsidRPr="00E57613" w:rsidRDefault="00E57613" w:rsidP="00E57613">
      <w:pPr>
        <w:pStyle w:val="Body"/>
        <w:rPr>
          <w:rFonts w:ascii="Arial" w:hAnsi="Arial" w:cs="Arial"/>
        </w:rPr>
      </w:pPr>
      <w:r w:rsidRPr="00E57613">
        <w:rPr>
          <w:rFonts w:ascii="Arial" w:hAnsi="Arial" w:cs="Arial"/>
        </w:rPr>
        <w:t xml:space="preserve">Comparatively, studies conducted in Bamako by </w:t>
      </w:r>
      <w:r w:rsidRPr="00B007DE">
        <w:rPr>
          <w:rFonts w:ascii="Arial" w:hAnsi="Arial" w:cs="Arial"/>
          <w:b/>
          <w:bCs/>
        </w:rPr>
        <w:t xml:space="preserve">Coulibaly (2008) </w:t>
      </w:r>
      <w:r w:rsidRPr="00E57613">
        <w:rPr>
          <w:rFonts w:ascii="Arial" w:hAnsi="Arial" w:cs="Arial"/>
        </w:rPr>
        <w:t>reported cure rates of 39.2% and 47%, respectively, which are markedly lower than those observed in the present study. These differences could be explained by variations in healthcare system organization, access to diagnostic tools, and the level of patient follow-up.</w:t>
      </w:r>
    </w:p>
    <w:p w14:paraId="02F64DCC" w14:textId="77777777" w:rsidR="00E57613" w:rsidRPr="00E57613" w:rsidRDefault="00E57613" w:rsidP="00E57613">
      <w:pPr>
        <w:pStyle w:val="Body"/>
        <w:rPr>
          <w:rFonts w:ascii="Arial" w:hAnsi="Arial" w:cs="Arial"/>
        </w:rPr>
      </w:pPr>
      <w:r w:rsidRPr="00E57613">
        <w:rPr>
          <w:rFonts w:ascii="Arial" w:hAnsi="Arial" w:cs="Arial"/>
        </w:rPr>
        <w:t>The introduction of the GeneXpert MTB/RIF assay likely contributed to improved patient management by enabling earlier diagnosis and rapid detection of rifampicin resistance, facilitating prompt treatment adaptation. Nevertheless, treatment adherence remains a key determinant of success and requires reinforcement strategies, including patient education and psychosocial support.</w:t>
      </w:r>
    </w:p>
    <w:p w14:paraId="053A9C50" w14:textId="30FAC4BA" w:rsidR="00E57613" w:rsidRPr="00E57613" w:rsidRDefault="00E57613" w:rsidP="00E57613">
      <w:pPr>
        <w:pStyle w:val="Body"/>
        <w:rPr>
          <w:rFonts w:ascii="Arial" w:hAnsi="Arial" w:cs="Arial"/>
          <w:b/>
          <w:bCs/>
        </w:rPr>
      </w:pPr>
      <w:r w:rsidRPr="00E57613">
        <w:rPr>
          <w:rFonts w:ascii="Arial" w:hAnsi="Arial" w:cs="Arial"/>
          <w:b/>
          <w:bCs/>
        </w:rPr>
        <w:t>Performance of the Matam Tuberculosis Cent</w:t>
      </w:r>
      <w:r>
        <w:rPr>
          <w:rFonts w:ascii="Arial" w:hAnsi="Arial" w:cs="Arial"/>
          <w:b/>
          <w:bCs/>
        </w:rPr>
        <w:t>er</w:t>
      </w:r>
      <w:r w:rsidRPr="00E57613">
        <w:rPr>
          <w:rFonts w:ascii="Arial" w:hAnsi="Arial" w:cs="Arial"/>
          <w:b/>
          <w:bCs/>
        </w:rPr>
        <w:t xml:space="preserve"> in Patient Management</w:t>
      </w:r>
    </w:p>
    <w:p w14:paraId="63E80F18" w14:textId="06C1B6AB" w:rsidR="00E57613" w:rsidRPr="00E57613" w:rsidRDefault="00E57613" w:rsidP="00E57613">
      <w:pPr>
        <w:pStyle w:val="Body"/>
        <w:rPr>
          <w:rFonts w:ascii="Arial" w:hAnsi="Arial" w:cs="Arial"/>
        </w:rPr>
      </w:pPr>
      <w:r w:rsidRPr="00E57613">
        <w:rPr>
          <w:rFonts w:ascii="Arial" w:hAnsi="Arial" w:cs="Arial"/>
        </w:rPr>
        <w:t xml:space="preserve">Overall, the </w:t>
      </w:r>
      <w:proofErr w:type="spellStart"/>
      <w:r w:rsidRPr="00E57613">
        <w:rPr>
          <w:rFonts w:ascii="Arial" w:hAnsi="Arial" w:cs="Arial"/>
        </w:rPr>
        <w:t>centre’s</w:t>
      </w:r>
      <w:proofErr w:type="spellEnd"/>
      <w:r w:rsidRPr="00E57613">
        <w:rPr>
          <w:rFonts w:ascii="Arial" w:hAnsi="Arial" w:cs="Arial"/>
        </w:rPr>
        <w:t xml:space="preserve"> indicators were satisfactory, with proper implementation of diagnostic and therapeutic procedures (Table 2). The high cure rate (94%) observed in this study exceeds the estimated African average of approximately 71%, reflecting the quality of care at the Matam Tuberculosis Cent</w:t>
      </w:r>
      <w:r w:rsidR="00F55227">
        <w:rPr>
          <w:rFonts w:ascii="Arial" w:hAnsi="Arial" w:cs="Arial"/>
        </w:rPr>
        <w:t>er</w:t>
      </w:r>
      <w:r w:rsidRPr="00E57613">
        <w:rPr>
          <w:rFonts w:ascii="Arial" w:hAnsi="Arial" w:cs="Arial"/>
        </w:rPr>
        <w:t>.</w:t>
      </w:r>
    </w:p>
    <w:p w14:paraId="12CFFDFF" w14:textId="764F0075" w:rsidR="00E57613" w:rsidRPr="00E57613" w:rsidRDefault="00E57613" w:rsidP="00E57613">
      <w:pPr>
        <w:pStyle w:val="Body"/>
        <w:rPr>
          <w:rFonts w:ascii="Arial" w:hAnsi="Arial" w:cs="Arial"/>
        </w:rPr>
      </w:pPr>
      <w:r w:rsidRPr="00E57613">
        <w:rPr>
          <w:rFonts w:ascii="Arial" w:hAnsi="Arial" w:cs="Arial"/>
        </w:rPr>
        <w:t>This level of performance reflects an efficiently organized healthcare system, characterized by rigorous patient follow-up, good availability of medications, and adequate therapeutic supervision. However, the observed treatment failure cases (6%) highlight persistent challenges, particularly related to medication adherence and the management of resistant forms.</w:t>
      </w:r>
      <w:r w:rsidR="00B007DE">
        <w:rPr>
          <w:rFonts w:ascii="Arial" w:hAnsi="Arial" w:cs="Arial"/>
        </w:rPr>
        <w:t xml:space="preserve"> However</w:t>
      </w:r>
      <w:r w:rsidRPr="00E57613">
        <w:rPr>
          <w:rFonts w:ascii="Arial" w:hAnsi="Arial" w:cs="Arial"/>
        </w:rPr>
        <w:t xml:space="preserve">, studies conducted in Bamako by </w:t>
      </w:r>
      <w:r w:rsidRPr="003678A1">
        <w:rPr>
          <w:rFonts w:ascii="Arial" w:hAnsi="Arial" w:cs="Arial"/>
          <w:b/>
          <w:bCs/>
        </w:rPr>
        <w:t>Coulibaly (2008)</w:t>
      </w:r>
      <w:r w:rsidRPr="00E57613">
        <w:rPr>
          <w:rFonts w:ascii="Arial" w:hAnsi="Arial" w:cs="Arial"/>
        </w:rPr>
        <w:t xml:space="preserve"> reported lower cure rates (39.2% and 47%, respectively), which may be attributed to differences in healthcare system organization, access to diagnostic tools, and quality of patient follow-up.</w:t>
      </w:r>
    </w:p>
    <w:p w14:paraId="21854FA8" w14:textId="77777777" w:rsidR="00E57613" w:rsidRPr="00E57613" w:rsidRDefault="00E57613" w:rsidP="00E57613">
      <w:pPr>
        <w:pStyle w:val="Body"/>
        <w:rPr>
          <w:rFonts w:ascii="Arial" w:hAnsi="Arial" w:cs="Arial"/>
        </w:rPr>
      </w:pPr>
      <w:r w:rsidRPr="00E57613">
        <w:rPr>
          <w:rFonts w:ascii="Arial" w:hAnsi="Arial" w:cs="Arial"/>
        </w:rPr>
        <w:t>The systematic availability of the GeneXpert MTB/RIF assay in this study, utilized by 100% of patients, represents a major asset. This test enables rapid diagnosis and early detection of rifampicin resistance, supporting appropriate management from the outset of treatment.</w:t>
      </w:r>
    </w:p>
    <w:p w14:paraId="491A6CCD" w14:textId="10C4D6EF" w:rsidR="00E57613" w:rsidRPr="00E57613" w:rsidRDefault="00E57613" w:rsidP="00E57613">
      <w:pPr>
        <w:pStyle w:val="Body"/>
        <w:rPr>
          <w:rFonts w:ascii="Arial" w:hAnsi="Arial" w:cs="Arial"/>
        </w:rPr>
      </w:pPr>
      <w:r w:rsidRPr="00E57613">
        <w:rPr>
          <w:rFonts w:ascii="Arial" w:hAnsi="Arial" w:cs="Arial"/>
        </w:rPr>
        <w:t>Additionally, the cent</w:t>
      </w:r>
      <w:r w:rsidR="00B007DE">
        <w:rPr>
          <w:rFonts w:ascii="Arial" w:hAnsi="Arial" w:cs="Arial"/>
        </w:rPr>
        <w:t>er</w:t>
      </w:r>
      <w:r w:rsidRPr="00E57613">
        <w:rPr>
          <w:rFonts w:ascii="Arial" w:hAnsi="Arial" w:cs="Arial"/>
        </w:rPr>
        <w:t>’s follow-up indicators demonstrate excellent performance: all patients underwent GeneXpert testing, complete data were available in all records, and the overall treatment success rate reached 94%. The bacteriological confirmation rate (52%), higher than the standards typically expected in tuberculosis control programs, reflects the quality of diagnosis and biological monitoring.</w:t>
      </w:r>
    </w:p>
    <w:p w14:paraId="52970DCB" w14:textId="3EF1F030" w:rsidR="00E57613" w:rsidRDefault="00E57613" w:rsidP="00E57613">
      <w:pPr>
        <w:pStyle w:val="Body"/>
        <w:spacing w:after="0"/>
        <w:rPr>
          <w:rFonts w:ascii="Arial" w:hAnsi="Arial" w:cs="Arial"/>
        </w:rPr>
      </w:pPr>
      <w:r w:rsidRPr="00E57613">
        <w:rPr>
          <w:rFonts w:ascii="Arial" w:hAnsi="Arial" w:cs="Arial"/>
        </w:rPr>
        <w:t>Overall, these results indicate strong adherence of the cent</w:t>
      </w:r>
      <w:r w:rsidR="00B007DE">
        <w:rPr>
          <w:rFonts w:ascii="Arial" w:hAnsi="Arial" w:cs="Arial"/>
        </w:rPr>
        <w:t>er</w:t>
      </w:r>
      <w:r w:rsidRPr="00E57613">
        <w:rPr>
          <w:rFonts w:ascii="Arial" w:hAnsi="Arial" w:cs="Arial"/>
        </w:rPr>
        <w:t xml:space="preserve"> to World Health Organization recommendations and the standards of the National Tuberculosis Control </w:t>
      </w:r>
      <w:proofErr w:type="spellStart"/>
      <w:r w:rsidRPr="00E57613">
        <w:rPr>
          <w:rFonts w:ascii="Arial" w:hAnsi="Arial" w:cs="Arial"/>
        </w:rPr>
        <w:t>Programme</w:t>
      </w:r>
      <w:proofErr w:type="spellEnd"/>
      <w:r w:rsidRPr="00E57613">
        <w:rPr>
          <w:rFonts w:ascii="Arial" w:hAnsi="Arial" w:cs="Arial"/>
        </w:rPr>
        <w:t>, while highlighting the need to strengthen strategies aimed at improving treatment adherence and preventing treatment failure.</w:t>
      </w:r>
    </w:p>
    <w:p w14:paraId="360B4045" w14:textId="77777777" w:rsidR="00CC66BA" w:rsidRPr="00D17F87" w:rsidRDefault="00CC66BA" w:rsidP="00CC66BA">
      <w:pPr>
        <w:spacing w:before="100" w:beforeAutospacing="1" w:after="100" w:afterAutospacing="1"/>
        <w:jc w:val="both"/>
        <w:rPr>
          <w:rStyle w:val="Strong"/>
          <w:rFonts w:ascii="Arial" w:hAnsi="Arial" w:cs="Arial"/>
          <w:b w:val="0"/>
          <w:bCs w:val="0"/>
          <w:lang w:val="fr-CI" w:eastAsia="fr-CI"/>
        </w:rPr>
      </w:pPr>
      <w:r w:rsidRPr="00D17F87">
        <w:rPr>
          <w:rStyle w:val="Strong"/>
          <w:rFonts w:ascii="Arial" w:hAnsi="Arial" w:cs="Arial"/>
        </w:rPr>
        <w:t>Table 2. Performance Indicators in Patient Management at the Matam Tuberculosis Center</w:t>
      </w:r>
    </w:p>
    <w:tbl>
      <w:tblPr>
        <w:tblStyle w:val="TableGrid"/>
        <w:tblW w:w="9026" w:type="dxa"/>
        <w:tblLook w:val="04A0" w:firstRow="1" w:lastRow="0" w:firstColumn="1" w:lastColumn="0" w:noHBand="0" w:noVBand="1"/>
      </w:tblPr>
      <w:tblGrid>
        <w:gridCol w:w="4831"/>
        <w:gridCol w:w="1389"/>
        <w:gridCol w:w="1384"/>
        <w:gridCol w:w="1422"/>
      </w:tblGrid>
      <w:tr w:rsidR="00933F92" w:rsidRPr="00D17F87" w14:paraId="3D0D4E3F" w14:textId="77777777" w:rsidTr="00933F92">
        <w:trPr>
          <w:trHeight w:val="367"/>
        </w:trPr>
        <w:tc>
          <w:tcPr>
            <w:tcW w:w="4831" w:type="dxa"/>
            <w:tcBorders>
              <w:top w:val="single" w:sz="4" w:space="0" w:color="1F497D" w:themeColor="text2"/>
              <w:left w:val="nil"/>
              <w:bottom w:val="single" w:sz="4" w:space="0" w:color="1F497D" w:themeColor="text2"/>
              <w:right w:val="nil"/>
            </w:tcBorders>
          </w:tcPr>
          <w:p w14:paraId="68AD7566" w14:textId="77777777" w:rsidR="00CC66BA" w:rsidRPr="00D17F87" w:rsidRDefault="00CC66BA" w:rsidP="004202D6">
            <w:pPr>
              <w:jc w:val="center"/>
              <w:rPr>
                <w:rFonts w:ascii="Arial" w:hAnsi="Arial" w:cs="Arial"/>
                <w:b/>
                <w:bCs/>
                <w:sz w:val="20"/>
                <w:szCs w:val="20"/>
              </w:rPr>
            </w:pPr>
            <w:r w:rsidRPr="00D17F87">
              <w:rPr>
                <w:rFonts w:ascii="Arial" w:hAnsi="Arial" w:cs="Arial"/>
                <w:b/>
                <w:bCs/>
                <w:sz w:val="20"/>
                <w:szCs w:val="20"/>
              </w:rPr>
              <w:lastRenderedPageBreak/>
              <w:t>Indicator</w:t>
            </w:r>
          </w:p>
        </w:tc>
        <w:tc>
          <w:tcPr>
            <w:tcW w:w="1389" w:type="dxa"/>
            <w:tcBorders>
              <w:top w:val="single" w:sz="4" w:space="0" w:color="1F497D" w:themeColor="text2"/>
              <w:left w:val="nil"/>
              <w:bottom w:val="single" w:sz="4" w:space="0" w:color="1F497D" w:themeColor="text2"/>
              <w:right w:val="nil"/>
            </w:tcBorders>
          </w:tcPr>
          <w:p w14:paraId="617DBE31" w14:textId="77777777" w:rsidR="00CC66BA" w:rsidRPr="00D17F87" w:rsidRDefault="00CC66BA" w:rsidP="004202D6">
            <w:pPr>
              <w:jc w:val="center"/>
              <w:rPr>
                <w:rFonts w:ascii="Arial" w:hAnsi="Arial" w:cs="Arial"/>
                <w:b/>
                <w:bCs/>
                <w:sz w:val="20"/>
                <w:szCs w:val="20"/>
              </w:rPr>
            </w:pPr>
            <w:r w:rsidRPr="00D17F87">
              <w:rPr>
                <w:rFonts w:ascii="Arial" w:hAnsi="Arial" w:cs="Arial"/>
                <w:b/>
                <w:bCs/>
                <w:sz w:val="20"/>
                <w:szCs w:val="20"/>
              </w:rPr>
              <w:t>Results (%)</w:t>
            </w:r>
          </w:p>
        </w:tc>
        <w:tc>
          <w:tcPr>
            <w:tcW w:w="1384" w:type="dxa"/>
            <w:tcBorders>
              <w:top w:val="single" w:sz="4" w:space="0" w:color="1F497D" w:themeColor="text2"/>
              <w:left w:val="nil"/>
              <w:bottom w:val="single" w:sz="4" w:space="0" w:color="1F497D" w:themeColor="text2"/>
              <w:right w:val="nil"/>
            </w:tcBorders>
          </w:tcPr>
          <w:p w14:paraId="2FF64C79" w14:textId="77777777" w:rsidR="00CC66BA" w:rsidRPr="00D17F87" w:rsidRDefault="00CC66BA" w:rsidP="004202D6">
            <w:pPr>
              <w:jc w:val="center"/>
              <w:rPr>
                <w:rFonts w:ascii="Arial" w:hAnsi="Arial" w:cs="Arial"/>
                <w:b/>
                <w:bCs/>
                <w:sz w:val="20"/>
                <w:szCs w:val="20"/>
              </w:rPr>
            </w:pPr>
            <w:r w:rsidRPr="00D17F87">
              <w:rPr>
                <w:rFonts w:ascii="Arial" w:hAnsi="Arial" w:cs="Arial"/>
                <w:b/>
                <w:bCs/>
                <w:sz w:val="20"/>
                <w:szCs w:val="20"/>
              </w:rPr>
              <w:t>WHO standard</w:t>
            </w:r>
          </w:p>
        </w:tc>
        <w:tc>
          <w:tcPr>
            <w:tcW w:w="1422" w:type="dxa"/>
            <w:tcBorders>
              <w:top w:val="single" w:sz="4" w:space="0" w:color="1F497D" w:themeColor="text2"/>
              <w:left w:val="nil"/>
              <w:bottom w:val="single" w:sz="4" w:space="0" w:color="1F497D" w:themeColor="text2"/>
              <w:right w:val="nil"/>
            </w:tcBorders>
          </w:tcPr>
          <w:p w14:paraId="16E07C4D" w14:textId="77777777" w:rsidR="00CC66BA" w:rsidRPr="00D17F87" w:rsidRDefault="00CC66BA" w:rsidP="004202D6">
            <w:pPr>
              <w:jc w:val="center"/>
              <w:rPr>
                <w:rFonts w:ascii="Arial" w:hAnsi="Arial" w:cs="Arial"/>
                <w:b/>
                <w:bCs/>
                <w:sz w:val="20"/>
                <w:szCs w:val="20"/>
              </w:rPr>
            </w:pPr>
            <w:r w:rsidRPr="00D17F87">
              <w:rPr>
                <w:rFonts w:ascii="Arial" w:hAnsi="Arial" w:cs="Arial"/>
                <w:b/>
                <w:bCs/>
                <w:sz w:val="20"/>
                <w:szCs w:val="20"/>
              </w:rPr>
              <w:t>Assessment</w:t>
            </w:r>
          </w:p>
        </w:tc>
      </w:tr>
      <w:tr w:rsidR="00933F92" w:rsidRPr="00D17F87" w14:paraId="5D54227B" w14:textId="77777777" w:rsidTr="00933F92">
        <w:trPr>
          <w:trHeight w:val="346"/>
        </w:trPr>
        <w:tc>
          <w:tcPr>
            <w:tcW w:w="4831" w:type="dxa"/>
            <w:tcBorders>
              <w:top w:val="single" w:sz="4" w:space="0" w:color="1F497D" w:themeColor="text2"/>
              <w:left w:val="nil"/>
              <w:bottom w:val="nil"/>
              <w:right w:val="nil"/>
            </w:tcBorders>
          </w:tcPr>
          <w:p w14:paraId="427F8A2C" w14:textId="77777777" w:rsidR="00CC66BA" w:rsidRPr="00D17F87" w:rsidRDefault="00CC66BA" w:rsidP="004202D6">
            <w:pPr>
              <w:rPr>
                <w:rFonts w:ascii="Arial" w:hAnsi="Arial" w:cs="Arial"/>
                <w:sz w:val="20"/>
                <w:szCs w:val="20"/>
              </w:rPr>
            </w:pPr>
            <w:r w:rsidRPr="00D17F87">
              <w:rPr>
                <w:rFonts w:ascii="Arial" w:hAnsi="Arial" w:cs="Arial"/>
                <w:sz w:val="20"/>
                <w:szCs w:val="20"/>
              </w:rPr>
              <w:t>Treatment Success Rate (New Cases + Relapses)</w:t>
            </w:r>
          </w:p>
        </w:tc>
        <w:tc>
          <w:tcPr>
            <w:tcW w:w="1389" w:type="dxa"/>
            <w:tcBorders>
              <w:top w:val="single" w:sz="4" w:space="0" w:color="1F497D" w:themeColor="text2"/>
              <w:left w:val="nil"/>
              <w:bottom w:val="nil"/>
              <w:right w:val="nil"/>
            </w:tcBorders>
          </w:tcPr>
          <w:p w14:paraId="31E4982C" w14:textId="77777777" w:rsidR="00CC66BA" w:rsidRPr="00D17F87" w:rsidRDefault="00CC66BA" w:rsidP="004202D6">
            <w:pPr>
              <w:jc w:val="center"/>
              <w:rPr>
                <w:rFonts w:ascii="Arial" w:hAnsi="Arial" w:cs="Arial"/>
                <w:sz w:val="20"/>
                <w:szCs w:val="20"/>
              </w:rPr>
            </w:pPr>
            <w:r w:rsidRPr="00D17F87">
              <w:rPr>
                <w:rFonts w:ascii="Arial" w:hAnsi="Arial" w:cs="Arial"/>
                <w:sz w:val="20"/>
                <w:szCs w:val="20"/>
              </w:rPr>
              <w:t>94</w:t>
            </w:r>
          </w:p>
        </w:tc>
        <w:tc>
          <w:tcPr>
            <w:tcW w:w="1384" w:type="dxa"/>
            <w:tcBorders>
              <w:top w:val="single" w:sz="4" w:space="0" w:color="1F497D" w:themeColor="text2"/>
              <w:left w:val="nil"/>
              <w:bottom w:val="nil"/>
              <w:right w:val="nil"/>
            </w:tcBorders>
          </w:tcPr>
          <w:p w14:paraId="29AE8FD3" w14:textId="77777777" w:rsidR="00CC66BA" w:rsidRPr="00D17F87" w:rsidRDefault="00CC66BA" w:rsidP="004202D6">
            <w:pPr>
              <w:jc w:val="center"/>
              <w:rPr>
                <w:rFonts w:ascii="Arial" w:hAnsi="Arial" w:cs="Arial"/>
                <w:sz w:val="20"/>
                <w:szCs w:val="20"/>
              </w:rPr>
            </w:pPr>
            <w:r w:rsidRPr="00D17F87">
              <w:rPr>
                <w:rFonts w:ascii="Arial" w:hAnsi="Arial" w:cs="Arial"/>
                <w:sz w:val="20"/>
                <w:szCs w:val="20"/>
              </w:rPr>
              <w:t>≥88</w:t>
            </w:r>
          </w:p>
        </w:tc>
        <w:tc>
          <w:tcPr>
            <w:tcW w:w="1422" w:type="dxa"/>
            <w:tcBorders>
              <w:top w:val="single" w:sz="4" w:space="0" w:color="1F497D" w:themeColor="text2"/>
              <w:left w:val="nil"/>
              <w:bottom w:val="nil"/>
              <w:right w:val="nil"/>
            </w:tcBorders>
          </w:tcPr>
          <w:p w14:paraId="28D06234" w14:textId="77777777" w:rsidR="00CC66BA" w:rsidRPr="00D17F87" w:rsidRDefault="00CC66BA" w:rsidP="004202D6">
            <w:pPr>
              <w:jc w:val="center"/>
              <w:rPr>
                <w:rFonts w:ascii="Arial" w:hAnsi="Arial" w:cs="Arial"/>
                <w:sz w:val="20"/>
                <w:szCs w:val="20"/>
              </w:rPr>
            </w:pPr>
            <w:r w:rsidRPr="00D17F87">
              <w:rPr>
                <w:rFonts w:ascii="Arial" w:hAnsi="Arial" w:cs="Arial"/>
                <w:sz w:val="20"/>
                <w:szCs w:val="20"/>
              </w:rPr>
              <w:t>Good</w:t>
            </w:r>
          </w:p>
        </w:tc>
      </w:tr>
      <w:tr w:rsidR="00933F92" w:rsidRPr="00D17F87" w14:paraId="21ECD466" w14:textId="77777777" w:rsidTr="00933F92">
        <w:trPr>
          <w:trHeight w:val="367"/>
        </w:trPr>
        <w:tc>
          <w:tcPr>
            <w:tcW w:w="4831" w:type="dxa"/>
            <w:tcBorders>
              <w:top w:val="nil"/>
              <w:left w:val="nil"/>
              <w:bottom w:val="nil"/>
              <w:right w:val="nil"/>
            </w:tcBorders>
          </w:tcPr>
          <w:p w14:paraId="7FBBAE5C" w14:textId="77777777" w:rsidR="00CC66BA" w:rsidRPr="00D17F87" w:rsidRDefault="00CC66BA" w:rsidP="004202D6">
            <w:pPr>
              <w:rPr>
                <w:rFonts w:ascii="Arial" w:hAnsi="Arial" w:cs="Arial"/>
                <w:sz w:val="20"/>
                <w:szCs w:val="20"/>
              </w:rPr>
            </w:pPr>
            <w:r w:rsidRPr="00D17F87">
              <w:rPr>
                <w:rFonts w:ascii="Arial" w:hAnsi="Arial" w:cs="Arial"/>
                <w:sz w:val="20"/>
                <w:szCs w:val="20"/>
              </w:rPr>
              <w:t>GeneXpert Testing in Previously Treated Cases</w:t>
            </w:r>
          </w:p>
        </w:tc>
        <w:tc>
          <w:tcPr>
            <w:tcW w:w="1389" w:type="dxa"/>
            <w:tcBorders>
              <w:top w:val="nil"/>
              <w:left w:val="nil"/>
              <w:bottom w:val="nil"/>
              <w:right w:val="nil"/>
            </w:tcBorders>
          </w:tcPr>
          <w:p w14:paraId="5E1CEBEB" w14:textId="77777777" w:rsidR="00CC66BA" w:rsidRPr="00D17F87" w:rsidRDefault="00CC66BA" w:rsidP="004202D6">
            <w:pPr>
              <w:jc w:val="center"/>
              <w:rPr>
                <w:rFonts w:ascii="Arial" w:hAnsi="Arial" w:cs="Arial"/>
                <w:sz w:val="20"/>
                <w:szCs w:val="20"/>
              </w:rPr>
            </w:pPr>
            <w:r w:rsidRPr="00D17F87">
              <w:rPr>
                <w:rFonts w:ascii="Arial" w:hAnsi="Arial" w:cs="Arial"/>
                <w:sz w:val="20"/>
                <w:szCs w:val="20"/>
              </w:rPr>
              <w:t>100</w:t>
            </w:r>
          </w:p>
        </w:tc>
        <w:tc>
          <w:tcPr>
            <w:tcW w:w="1384" w:type="dxa"/>
            <w:tcBorders>
              <w:top w:val="nil"/>
              <w:left w:val="nil"/>
              <w:bottom w:val="nil"/>
              <w:right w:val="nil"/>
            </w:tcBorders>
          </w:tcPr>
          <w:p w14:paraId="169370D0" w14:textId="77777777" w:rsidR="00CC66BA" w:rsidRPr="00D17F87" w:rsidRDefault="00CC66BA" w:rsidP="004202D6">
            <w:pPr>
              <w:jc w:val="center"/>
              <w:rPr>
                <w:rFonts w:ascii="Arial" w:hAnsi="Arial" w:cs="Arial"/>
                <w:sz w:val="20"/>
                <w:szCs w:val="20"/>
              </w:rPr>
            </w:pPr>
            <w:r w:rsidRPr="00D17F87">
              <w:rPr>
                <w:rFonts w:ascii="Arial" w:hAnsi="Arial" w:cs="Arial"/>
                <w:sz w:val="20"/>
                <w:szCs w:val="20"/>
              </w:rPr>
              <w:t>100</w:t>
            </w:r>
          </w:p>
        </w:tc>
        <w:tc>
          <w:tcPr>
            <w:tcW w:w="1422" w:type="dxa"/>
            <w:tcBorders>
              <w:top w:val="nil"/>
              <w:left w:val="nil"/>
              <w:bottom w:val="nil"/>
              <w:right w:val="nil"/>
            </w:tcBorders>
          </w:tcPr>
          <w:p w14:paraId="315B9841" w14:textId="77777777" w:rsidR="00CC66BA" w:rsidRPr="00D17F87" w:rsidRDefault="00CC66BA" w:rsidP="004202D6">
            <w:pPr>
              <w:jc w:val="center"/>
              <w:rPr>
                <w:rFonts w:ascii="Arial" w:hAnsi="Arial" w:cs="Arial"/>
                <w:sz w:val="20"/>
                <w:szCs w:val="20"/>
              </w:rPr>
            </w:pPr>
            <w:r w:rsidRPr="00D17F87">
              <w:rPr>
                <w:rFonts w:ascii="Arial" w:hAnsi="Arial" w:cs="Arial"/>
                <w:sz w:val="20"/>
                <w:szCs w:val="20"/>
              </w:rPr>
              <w:t>Very good</w:t>
            </w:r>
          </w:p>
        </w:tc>
      </w:tr>
      <w:tr w:rsidR="00933F92" w:rsidRPr="00D17F87" w14:paraId="4D267338" w14:textId="77777777" w:rsidTr="00933F92">
        <w:trPr>
          <w:trHeight w:val="346"/>
        </w:trPr>
        <w:tc>
          <w:tcPr>
            <w:tcW w:w="4831" w:type="dxa"/>
            <w:tcBorders>
              <w:top w:val="nil"/>
              <w:left w:val="nil"/>
              <w:bottom w:val="nil"/>
              <w:right w:val="nil"/>
            </w:tcBorders>
          </w:tcPr>
          <w:p w14:paraId="159D1E48" w14:textId="77777777" w:rsidR="00CC66BA" w:rsidRPr="00D17F87" w:rsidRDefault="00CC66BA" w:rsidP="004202D6">
            <w:pPr>
              <w:rPr>
                <w:rFonts w:ascii="Arial" w:hAnsi="Arial" w:cs="Arial"/>
                <w:sz w:val="20"/>
                <w:szCs w:val="20"/>
              </w:rPr>
            </w:pPr>
            <w:r w:rsidRPr="00D17F87">
              <w:rPr>
                <w:rFonts w:ascii="Arial" w:hAnsi="Arial" w:cs="Arial"/>
                <w:sz w:val="20"/>
                <w:szCs w:val="20"/>
              </w:rPr>
              <w:t>Number of Pulmonary TB Cases with Adequate Samples</w:t>
            </w:r>
          </w:p>
        </w:tc>
        <w:tc>
          <w:tcPr>
            <w:tcW w:w="1389" w:type="dxa"/>
            <w:tcBorders>
              <w:top w:val="nil"/>
              <w:left w:val="nil"/>
              <w:bottom w:val="nil"/>
              <w:right w:val="nil"/>
            </w:tcBorders>
          </w:tcPr>
          <w:p w14:paraId="479F5FBC" w14:textId="77777777" w:rsidR="00CC66BA" w:rsidRPr="00D17F87" w:rsidRDefault="00CC66BA" w:rsidP="004202D6">
            <w:pPr>
              <w:jc w:val="center"/>
              <w:rPr>
                <w:rFonts w:ascii="Arial" w:hAnsi="Arial" w:cs="Arial"/>
                <w:sz w:val="20"/>
                <w:szCs w:val="20"/>
              </w:rPr>
            </w:pPr>
            <w:r w:rsidRPr="00D17F87">
              <w:rPr>
                <w:rFonts w:ascii="Arial" w:hAnsi="Arial" w:cs="Arial"/>
                <w:sz w:val="20"/>
                <w:szCs w:val="20"/>
              </w:rPr>
              <w:t>100</w:t>
            </w:r>
          </w:p>
        </w:tc>
        <w:tc>
          <w:tcPr>
            <w:tcW w:w="1384" w:type="dxa"/>
            <w:tcBorders>
              <w:top w:val="nil"/>
              <w:left w:val="nil"/>
              <w:bottom w:val="nil"/>
              <w:right w:val="nil"/>
            </w:tcBorders>
          </w:tcPr>
          <w:p w14:paraId="48289640" w14:textId="77777777" w:rsidR="00CC66BA" w:rsidRPr="00D17F87" w:rsidRDefault="00CC66BA" w:rsidP="004202D6">
            <w:pPr>
              <w:jc w:val="center"/>
              <w:rPr>
                <w:rFonts w:ascii="Arial" w:hAnsi="Arial" w:cs="Arial"/>
                <w:sz w:val="20"/>
                <w:szCs w:val="20"/>
              </w:rPr>
            </w:pPr>
            <w:r w:rsidRPr="00D17F87">
              <w:rPr>
                <w:rFonts w:ascii="Arial" w:hAnsi="Arial" w:cs="Arial"/>
                <w:sz w:val="20"/>
                <w:szCs w:val="20"/>
              </w:rPr>
              <w:t>100</w:t>
            </w:r>
          </w:p>
        </w:tc>
        <w:tc>
          <w:tcPr>
            <w:tcW w:w="1422" w:type="dxa"/>
            <w:tcBorders>
              <w:top w:val="nil"/>
              <w:left w:val="nil"/>
              <w:bottom w:val="nil"/>
              <w:right w:val="nil"/>
            </w:tcBorders>
          </w:tcPr>
          <w:p w14:paraId="5818DEC1" w14:textId="77777777" w:rsidR="00CC66BA" w:rsidRPr="00D17F87" w:rsidRDefault="00CC66BA" w:rsidP="004202D6">
            <w:pPr>
              <w:jc w:val="center"/>
              <w:rPr>
                <w:rFonts w:ascii="Arial" w:hAnsi="Arial" w:cs="Arial"/>
                <w:sz w:val="20"/>
                <w:szCs w:val="20"/>
              </w:rPr>
            </w:pPr>
            <w:r w:rsidRPr="00D17F87">
              <w:rPr>
                <w:rFonts w:ascii="Arial" w:hAnsi="Arial" w:cs="Arial"/>
                <w:sz w:val="20"/>
                <w:szCs w:val="20"/>
              </w:rPr>
              <w:t>Very good</w:t>
            </w:r>
          </w:p>
        </w:tc>
      </w:tr>
      <w:tr w:rsidR="00933F92" w:rsidRPr="00D17F87" w14:paraId="43CC6FD2" w14:textId="77777777" w:rsidTr="00933F92">
        <w:trPr>
          <w:trHeight w:val="367"/>
        </w:trPr>
        <w:tc>
          <w:tcPr>
            <w:tcW w:w="4831" w:type="dxa"/>
            <w:tcBorders>
              <w:top w:val="nil"/>
              <w:left w:val="nil"/>
              <w:bottom w:val="nil"/>
              <w:right w:val="nil"/>
            </w:tcBorders>
          </w:tcPr>
          <w:p w14:paraId="571F14C4" w14:textId="77777777" w:rsidR="00CC66BA" w:rsidRPr="00D17F87" w:rsidRDefault="00CC66BA" w:rsidP="004202D6">
            <w:pPr>
              <w:rPr>
                <w:rFonts w:ascii="Arial" w:hAnsi="Arial" w:cs="Arial"/>
                <w:sz w:val="20"/>
                <w:szCs w:val="20"/>
              </w:rPr>
            </w:pPr>
            <w:r w:rsidRPr="00D17F87">
              <w:rPr>
                <w:rFonts w:ascii="Arial" w:hAnsi="Arial" w:cs="Arial"/>
                <w:sz w:val="20"/>
                <w:szCs w:val="20"/>
              </w:rPr>
              <w:t>Completeness of Recorded Test Results</w:t>
            </w:r>
          </w:p>
        </w:tc>
        <w:tc>
          <w:tcPr>
            <w:tcW w:w="1389" w:type="dxa"/>
            <w:tcBorders>
              <w:top w:val="nil"/>
              <w:left w:val="nil"/>
              <w:bottom w:val="nil"/>
              <w:right w:val="nil"/>
            </w:tcBorders>
          </w:tcPr>
          <w:p w14:paraId="5E6C92D8" w14:textId="77777777" w:rsidR="00CC66BA" w:rsidRPr="00D17F87" w:rsidRDefault="00CC66BA" w:rsidP="004202D6">
            <w:pPr>
              <w:jc w:val="center"/>
              <w:rPr>
                <w:rFonts w:ascii="Arial" w:hAnsi="Arial" w:cs="Arial"/>
                <w:sz w:val="20"/>
                <w:szCs w:val="20"/>
              </w:rPr>
            </w:pPr>
            <w:r w:rsidRPr="00D17F87">
              <w:rPr>
                <w:rFonts w:ascii="Arial" w:hAnsi="Arial" w:cs="Arial"/>
                <w:sz w:val="20"/>
                <w:szCs w:val="20"/>
              </w:rPr>
              <w:t>100</w:t>
            </w:r>
          </w:p>
        </w:tc>
        <w:tc>
          <w:tcPr>
            <w:tcW w:w="1384" w:type="dxa"/>
            <w:tcBorders>
              <w:top w:val="nil"/>
              <w:left w:val="nil"/>
              <w:bottom w:val="nil"/>
              <w:right w:val="nil"/>
            </w:tcBorders>
          </w:tcPr>
          <w:p w14:paraId="064A5B0A" w14:textId="77777777" w:rsidR="00CC66BA" w:rsidRPr="00D17F87" w:rsidRDefault="00CC66BA" w:rsidP="004202D6">
            <w:pPr>
              <w:jc w:val="center"/>
              <w:rPr>
                <w:rFonts w:ascii="Arial" w:hAnsi="Arial" w:cs="Arial"/>
                <w:sz w:val="20"/>
                <w:szCs w:val="20"/>
              </w:rPr>
            </w:pPr>
            <w:r w:rsidRPr="00D17F87">
              <w:rPr>
                <w:rFonts w:ascii="Arial" w:hAnsi="Arial" w:cs="Arial"/>
                <w:sz w:val="20"/>
                <w:szCs w:val="20"/>
              </w:rPr>
              <w:t>≥90</w:t>
            </w:r>
          </w:p>
        </w:tc>
        <w:tc>
          <w:tcPr>
            <w:tcW w:w="1422" w:type="dxa"/>
            <w:tcBorders>
              <w:top w:val="nil"/>
              <w:left w:val="nil"/>
              <w:bottom w:val="nil"/>
              <w:right w:val="nil"/>
            </w:tcBorders>
          </w:tcPr>
          <w:p w14:paraId="6D9337B1" w14:textId="77777777" w:rsidR="00CC66BA" w:rsidRPr="00D17F87" w:rsidRDefault="00CC66BA" w:rsidP="004202D6">
            <w:pPr>
              <w:jc w:val="center"/>
              <w:rPr>
                <w:rFonts w:ascii="Arial" w:hAnsi="Arial" w:cs="Arial"/>
                <w:sz w:val="20"/>
                <w:szCs w:val="20"/>
              </w:rPr>
            </w:pPr>
            <w:r w:rsidRPr="00D17F87">
              <w:rPr>
                <w:rFonts w:ascii="Arial" w:hAnsi="Arial" w:cs="Arial"/>
                <w:sz w:val="20"/>
                <w:szCs w:val="20"/>
              </w:rPr>
              <w:t>Very good</w:t>
            </w:r>
          </w:p>
        </w:tc>
      </w:tr>
      <w:tr w:rsidR="00933F92" w:rsidRPr="00D17F87" w14:paraId="5FD3BEE1" w14:textId="77777777" w:rsidTr="00933F92">
        <w:trPr>
          <w:trHeight w:val="346"/>
        </w:trPr>
        <w:tc>
          <w:tcPr>
            <w:tcW w:w="4831" w:type="dxa"/>
            <w:tcBorders>
              <w:top w:val="nil"/>
              <w:left w:val="nil"/>
              <w:bottom w:val="single" w:sz="4" w:space="0" w:color="1F497D" w:themeColor="text2"/>
              <w:right w:val="nil"/>
            </w:tcBorders>
          </w:tcPr>
          <w:p w14:paraId="14EAA222" w14:textId="77777777" w:rsidR="00CC66BA" w:rsidRPr="00D17F87" w:rsidRDefault="00CC66BA" w:rsidP="004202D6">
            <w:pPr>
              <w:rPr>
                <w:rFonts w:ascii="Arial" w:hAnsi="Arial" w:cs="Arial"/>
                <w:sz w:val="20"/>
                <w:szCs w:val="20"/>
              </w:rPr>
            </w:pPr>
            <w:r w:rsidRPr="00D17F87">
              <w:rPr>
                <w:rFonts w:ascii="Arial" w:hAnsi="Arial" w:cs="Arial"/>
                <w:sz w:val="20"/>
                <w:szCs w:val="20"/>
              </w:rPr>
              <w:t>Bacteriologically Confirmed TB Cases</w:t>
            </w:r>
          </w:p>
        </w:tc>
        <w:tc>
          <w:tcPr>
            <w:tcW w:w="1389" w:type="dxa"/>
            <w:tcBorders>
              <w:top w:val="nil"/>
              <w:left w:val="nil"/>
              <w:bottom w:val="single" w:sz="4" w:space="0" w:color="1F497D" w:themeColor="text2"/>
              <w:right w:val="nil"/>
            </w:tcBorders>
          </w:tcPr>
          <w:p w14:paraId="085AB9D6" w14:textId="77777777" w:rsidR="00CC66BA" w:rsidRPr="00D17F87" w:rsidRDefault="00CC66BA" w:rsidP="004202D6">
            <w:pPr>
              <w:jc w:val="center"/>
              <w:rPr>
                <w:rFonts w:ascii="Arial" w:hAnsi="Arial" w:cs="Arial"/>
                <w:sz w:val="20"/>
                <w:szCs w:val="20"/>
              </w:rPr>
            </w:pPr>
            <w:r w:rsidRPr="00D17F87">
              <w:rPr>
                <w:rFonts w:ascii="Arial" w:hAnsi="Arial" w:cs="Arial"/>
                <w:sz w:val="20"/>
                <w:szCs w:val="20"/>
              </w:rPr>
              <w:t>52</w:t>
            </w:r>
          </w:p>
        </w:tc>
        <w:tc>
          <w:tcPr>
            <w:tcW w:w="1384" w:type="dxa"/>
            <w:tcBorders>
              <w:top w:val="nil"/>
              <w:left w:val="nil"/>
              <w:bottom w:val="single" w:sz="4" w:space="0" w:color="1F497D" w:themeColor="text2"/>
              <w:right w:val="nil"/>
            </w:tcBorders>
          </w:tcPr>
          <w:p w14:paraId="1B980529" w14:textId="77777777" w:rsidR="00CC66BA" w:rsidRPr="00D17F87" w:rsidRDefault="00CC66BA" w:rsidP="004202D6">
            <w:pPr>
              <w:jc w:val="center"/>
              <w:rPr>
                <w:rFonts w:ascii="Arial" w:hAnsi="Arial" w:cs="Arial"/>
                <w:sz w:val="20"/>
                <w:szCs w:val="20"/>
              </w:rPr>
            </w:pPr>
            <w:r w:rsidRPr="00D17F87">
              <w:rPr>
                <w:rFonts w:ascii="Arial" w:hAnsi="Arial" w:cs="Arial"/>
                <w:sz w:val="20"/>
                <w:szCs w:val="20"/>
              </w:rPr>
              <w:t>5–20</w:t>
            </w:r>
          </w:p>
        </w:tc>
        <w:tc>
          <w:tcPr>
            <w:tcW w:w="1422" w:type="dxa"/>
            <w:tcBorders>
              <w:top w:val="nil"/>
              <w:left w:val="nil"/>
              <w:bottom w:val="single" w:sz="4" w:space="0" w:color="1F497D" w:themeColor="text2"/>
              <w:right w:val="nil"/>
            </w:tcBorders>
          </w:tcPr>
          <w:p w14:paraId="320AB523" w14:textId="77777777" w:rsidR="00CC66BA" w:rsidRPr="00D17F87" w:rsidRDefault="00CC66BA" w:rsidP="004202D6">
            <w:pPr>
              <w:jc w:val="center"/>
              <w:rPr>
                <w:rFonts w:ascii="Arial" w:hAnsi="Arial" w:cs="Arial"/>
                <w:sz w:val="20"/>
                <w:szCs w:val="20"/>
              </w:rPr>
            </w:pPr>
            <w:r w:rsidRPr="00D17F87">
              <w:rPr>
                <w:rFonts w:ascii="Arial" w:hAnsi="Arial" w:cs="Arial"/>
                <w:sz w:val="20"/>
                <w:szCs w:val="20"/>
              </w:rPr>
              <w:t>Very good</w:t>
            </w:r>
          </w:p>
        </w:tc>
      </w:tr>
    </w:tbl>
    <w:p w14:paraId="594E9C4C" w14:textId="77777777" w:rsidR="00CC66BA" w:rsidRPr="00D17F87" w:rsidRDefault="00CC66BA" w:rsidP="00CC66BA">
      <w:pPr>
        <w:pStyle w:val="NormalWeb"/>
        <w:spacing w:before="0" w:beforeAutospacing="0" w:after="0" w:afterAutospacing="0" w:line="360" w:lineRule="auto"/>
        <w:jc w:val="both"/>
        <w:rPr>
          <w:rFonts w:ascii="Arial" w:hAnsi="Arial" w:cs="Arial"/>
          <w:sz w:val="20"/>
          <w:szCs w:val="20"/>
        </w:rPr>
      </w:pPr>
      <w:r w:rsidRPr="00D17F87">
        <w:rPr>
          <w:rFonts w:ascii="Arial" w:hAnsi="Arial" w:cs="Arial"/>
          <w:sz w:val="20"/>
          <w:szCs w:val="20"/>
        </w:rPr>
        <w:t xml:space="preserve"> TB : </w:t>
      </w:r>
      <w:proofErr w:type="spellStart"/>
      <w:r w:rsidRPr="00D17F87">
        <w:rPr>
          <w:rFonts w:ascii="Arial" w:hAnsi="Arial" w:cs="Arial"/>
          <w:sz w:val="20"/>
          <w:szCs w:val="20"/>
        </w:rPr>
        <w:t>Tuberculosis</w:t>
      </w:r>
      <w:proofErr w:type="spellEnd"/>
    </w:p>
    <w:p w14:paraId="764D417A" w14:textId="77777777" w:rsidR="00CC66BA" w:rsidRPr="00FB3A86" w:rsidRDefault="00CC66BA" w:rsidP="00E57613">
      <w:pPr>
        <w:pStyle w:val="Body"/>
        <w:spacing w:after="0"/>
        <w:rPr>
          <w:rFonts w:ascii="Arial" w:hAnsi="Arial" w:cs="Arial"/>
        </w:rPr>
      </w:pPr>
    </w:p>
    <w:p w14:paraId="479625BB" w14:textId="77777777" w:rsidR="00E57613" w:rsidRDefault="00E57613" w:rsidP="00441B6F">
      <w:pPr>
        <w:pStyle w:val="ConcHead"/>
        <w:spacing w:after="0"/>
        <w:jc w:val="both"/>
        <w:rPr>
          <w:rFonts w:ascii="Arial" w:hAnsi="Arial" w:cs="Arial"/>
        </w:rPr>
      </w:pPr>
    </w:p>
    <w:p w14:paraId="2966AB04" w14:textId="08C9B831" w:rsidR="00790ADA" w:rsidRPr="00FB3A86" w:rsidRDefault="00000F8F" w:rsidP="00C810DE">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5D725CB" w14:textId="7AC0D579" w:rsidR="00C810DE" w:rsidRPr="00F55227" w:rsidRDefault="00C810DE" w:rsidP="00C810DE">
      <w:pPr>
        <w:pStyle w:val="NormalWeb"/>
        <w:spacing w:before="0" w:beforeAutospacing="0" w:after="0" w:afterAutospacing="0"/>
        <w:jc w:val="both"/>
        <w:rPr>
          <w:rFonts w:ascii="Arial" w:hAnsi="Arial" w:cs="Arial"/>
          <w:sz w:val="20"/>
          <w:szCs w:val="20"/>
        </w:rPr>
      </w:pPr>
      <w:r w:rsidRPr="00F55227">
        <w:rPr>
          <w:rFonts w:ascii="Arial" w:hAnsi="Arial" w:cs="Arial"/>
          <w:sz w:val="20"/>
          <w:szCs w:val="20"/>
        </w:rPr>
        <w:t xml:space="preserve">The </w:t>
      </w:r>
      <w:proofErr w:type="spellStart"/>
      <w:r w:rsidRPr="00F55227">
        <w:rPr>
          <w:rFonts w:ascii="Arial" w:hAnsi="Arial" w:cs="Arial"/>
          <w:sz w:val="20"/>
          <w:szCs w:val="20"/>
        </w:rPr>
        <w:t>assessment</w:t>
      </w:r>
      <w:proofErr w:type="spellEnd"/>
      <w:r w:rsidRPr="00F55227">
        <w:rPr>
          <w:rFonts w:ascii="Arial" w:hAnsi="Arial" w:cs="Arial"/>
          <w:sz w:val="20"/>
          <w:szCs w:val="20"/>
        </w:rPr>
        <w:t xml:space="preserve"> of the management of patients </w:t>
      </w:r>
      <w:proofErr w:type="spellStart"/>
      <w:r w:rsidRPr="00F55227">
        <w:rPr>
          <w:rFonts w:ascii="Arial" w:hAnsi="Arial" w:cs="Arial"/>
          <w:sz w:val="20"/>
          <w:szCs w:val="20"/>
        </w:rPr>
        <w:t>with</w:t>
      </w:r>
      <w:proofErr w:type="spellEnd"/>
      <w:r w:rsidRPr="00F55227">
        <w:rPr>
          <w:rFonts w:ascii="Arial" w:hAnsi="Arial" w:cs="Arial"/>
          <w:sz w:val="20"/>
          <w:szCs w:val="20"/>
        </w:rPr>
        <w:t xml:space="preserve"> </w:t>
      </w:r>
      <w:proofErr w:type="spellStart"/>
      <w:r w:rsidRPr="00F55227">
        <w:rPr>
          <w:rFonts w:ascii="Arial" w:hAnsi="Arial" w:cs="Arial"/>
          <w:sz w:val="20"/>
          <w:szCs w:val="20"/>
        </w:rPr>
        <w:t>drug-resistant</w:t>
      </w:r>
      <w:proofErr w:type="spellEnd"/>
      <w:r w:rsidRPr="00F55227">
        <w:rPr>
          <w:rFonts w:ascii="Arial" w:hAnsi="Arial" w:cs="Arial"/>
          <w:sz w:val="20"/>
          <w:szCs w:val="20"/>
        </w:rPr>
        <w:t xml:space="preserve"> </w:t>
      </w:r>
      <w:proofErr w:type="spellStart"/>
      <w:r w:rsidRPr="00F55227">
        <w:rPr>
          <w:rFonts w:ascii="Arial" w:hAnsi="Arial" w:cs="Arial"/>
          <w:sz w:val="20"/>
          <w:szCs w:val="20"/>
        </w:rPr>
        <w:t>pulmonary</w:t>
      </w:r>
      <w:proofErr w:type="spellEnd"/>
      <w:r w:rsidRPr="00F55227">
        <w:rPr>
          <w:rFonts w:ascii="Arial" w:hAnsi="Arial" w:cs="Arial"/>
          <w:sz w:val="20"/>
          <w:szCs w:val="20"/>
        </w:rPr>
        <w:t xml:space="preserve"> </w:t>
      </w:r>
      <w:proofErr w:type="spellStart"/>
      <w:r w:rsidRPr="00F55227">
        <w:rPr>
          <w:rFonts w:ascii="Arial" w:hAnsi="Arial" w:cs="Arial"/>
          <w:sz w:val="20"/>
          <w:szCs w:val="20"/>
        </w:rPr>
        <w:t>tuberculosis</w:t>
      </w:r>
      <w:proofErr w:type="spellEnd"/>
      <w:r w:rsidRPr="00F55227">
        <w:rPr>
          <w:rFonts w:ascii="Arial" w:hAnsi="Arial" w:cs="Arial"/>
          <w:sz w:val="20"/>
          <w:szCs w:val="20"/>
        </w:rPr>
        <w:t xml:space="preserve"> at the Matam Anti-</w:t>
      </w:r>
      <w:proofErr w:type="spellStart"/>
      <w:r w:rsidRPr="00F55227">
        <w:rPr>
          <w:rFonts w:ascii="Arial" w:hAnsi="Arial" w:cs="Arial"/>
          <w:sz w:val="20"/>
          <w:szCs w:val="20"/>
        </w:rPr>
        <w:t>Tuberculosis</w:t>
      </w:r>
      <w:proofErr w:type="spellEnd"/>
      <w:r w:rsidRPr="00F55227">
        <w:rPr>
          <w:rFonts w:ascii="Arial" w:hAnsi="Arial" w:cs="Arial"/>
          <w:sz w:val="20"/>
          <w:szCs w:val="20"/>
        </w:rPr>
        <w:t xml:space="preserve"> Cente</w:t>
      </w:r>
      <w:r w:rsidR="00867813" w:rsidRPr="00F55227">
        <w:rPr>
          <w:rFonts w:ascii="Arial" w:hAnsi="Arial" w:cs="Arial"/>
          <w:sz w:val="20"/>
          <w:szCs w:val="20"/>
        </w:rPr>
        <w:t>r</w:t>
      </w:r>
      <w:r w:rsidRPr="00F55227">
        <w:rPr>
          <w:rFonts w:ascii="Arial" w:hAnsi="Arial" w:cs="Arial"/>
          <w:sz w:val="20"/>
          <w:szCs w:val="20"/>
        </w:rPr>
        <w:t xml:space="preserve"> highlights an </w:t>
      </w:r>
      <w:proofErr w:type="spellStart"/>
      <w:r w:rsidRPr="00F55227">
        <w:rPr>
          <w:rFonts w:ascii="Arial" w:hAnsi="Arial" w:cs="Arial"/>
          <w:sz w:val="20"/>
          <w:szCs w:val="20"/>
        </w:rPr>
        <w:t>overall</w:t>
      </w:r>
      <w:proofErr w:type="spellEnd"/>
      <w:r w:rsidRPr="00F55227">
        <w:rPr>
          <w:rFonts w:ascii="Arial" w:hAnsi="Arial" w:cs="Arial"/>
          <w:sz w:val="20"/>
          <w:szCs w:val="20"/>
        </w:rPr>
        <w:t xml:space="preserve"> good performance. The </w:t>
      </w:r>
      <w:proofErr w:type="spellStart"/>
      <w:r w:rsidRPr="00F55227">
        <w:rPr>
          <w:rFonts w:ascii="Arial" w:hAnsi="Arial" w:cs="Arial"/>
          <w:sz w:val="20"/>
          <w:szCs w:val="20"/>
        </w:rPr>
        <w:t>GeneXpert</w:t>
      </w:r>
      <w:proofErr w:type="spellEnd"/>
      <w:r w:rsidRPr="00F55227">
        <w:rPr>
          <w:rFonts w:ascii="Arial" w:hAnsi="Arial" w:cs="Arial"/>
          <w:sz w:val="20"/>
          <w:szCs w:val="20"/>
        </w:rPr>
        <w:t xml:space="preserve"> MTB/RIF </w:t>
      </w:r>
      <w:proofErr w:type="spellStart"/>
      <w:r w:rsidRPr="00F55227">
        <w:rPr>
          <w:rFonts w:ascii="Arial" w:hAnsi="Arial" w:cs="Arial"/>
          <w:sz w:val="20"/>
          <w:szCs w:val="20"/>
        </w:rPr>
        <w:t>assay</w:t>
      </w:r>
      <w:proofErr w:type="spellEnd"/>
      <w:r w:rsidRPr="00F55227">
        <w:rPr>
          <w:rFonts w:ascii="Arial" w:hAnsi="Arial" w:cs="Arial"/>
          <w:sz w:val="20"/>
          <w:szCs w:val="20"/>
        </w:rPr>
        <w:t xml:space="preserve"> has </w:t>
      </w:r>
      <w:proofErr w:type="spellStart"/>
      <w:r w:rsidRPr="00F55227">
        <w:rPr>
          <w:rFonts w:ascii="Arial" w:hAnsi="Arial" w:cs="Arial"/>
          <w:sz w:val="20"/>
          <w:szCs w:val="20"/>
        </w:rPr>
        <w:t>proven</w:t>
      </w:r>
      <w:proofErr w:type="spellEnd"/>
      <w:r w:rsidRPr="00F55227">
        <w:rPr>
          <w:rFonts w:ascii="Arial" w:hAnsi="Arial" w:cs="Arial"/>
          <w:sz w:val="20"/>
          <w:szCs w:val="20"/>
        </w:rPr>
        <w:t xml:space="preserve"> to </w:t>
      </w:r>
      <w:proofErr w:type="spellStart"/>
      <w:r w:rsidRPr="00F55227">
        <w:rPr>
          <w:rFonts w:ascii="Arial" w:hAnsi="Arial" w:cs="Arial"/>
          <w:sz w:val="20"/>
          <w:szCs w:val="20"/>
        </w:rPr>
        <w:t>be</w:t>
      </w:r>
      <w:proofErr w:type="spellEnd"/>
      <w:r w:rsidRPr="00F55227">
        <w:rPr>
          <w:rFonts w:ascii="Arial" w:hAnsi="Arial" w:cs="Arial"/>
          <w:sz w:val="20"/>
          <w:szCs w:val="20"/>
        </w:rPr>
        <w:t xml:space="preserve"> an essential </w:t>
      </w:r>
      <w:proofErr w:type="spellStart"/>
      <w:r w:rsidRPr="00F55227">
        <w:rPr>
          <w:rFonts w:ascii="Arial" w:hAnsi="Arial" w:cs="Arial"/>
          <w:sz w:val="20"/>
          <w:szCs w:val="20"/>
        </w:rPr>
        <w:t>tool</w:t>
      </w:r>
      <w:proofErr w:type="spellEnd"/>
      <w:r w:rsidRPr="00F55227">
        <w:rPr>
          <w:rFonts w:ascii="Arial" w:hAnsi="Arial" w:cs="Arial"/>
          <w:sz w:val="20"/>
          <w:szCs w:val="20"/>
        </w:rPr>
        <w:t xml:space="preserve"> for </w:t>
      </w:r>
      <w:proofErr w:type="spellStart"/>
      <w:r w:rsidRPr="00F55227">
        <w:rPr>
          <w:rFonts w:ascii="Arial" w:hAnsi="Arial" w:cs="Arial"/>
          <w:sz w:val="20"/>
          <w:szCs w:val="20"/>
        </w:rPr>
        <w:t>rapid</w:t>
      </w:r>
      <w:proofErr w:type="spellEnd"/>
      <w:r w:rsidRPr="00F55227">
        <w:rPr>
          <w:rFonts w:ascii="Arial" w:hAnsi="Arial" w:cs="Arial"/>
          <w:sz w:val="20"/>
          <w:szCs w:val="20"/>
        </w:rPr>
        <w:t xml:space="preserve"> </w:t>
      </w:r>
      <w:proofErr w:type="spellStart"/>
      <w:r w:rsidRPr="00F55227">
        <w:rPr>
          <w:rFonts w:ascii="Arial" w:hAnsi="Arial" w:cs="Arial"/>
          <w:sz w:val="20"/>
          <w:szCs w:val="20"/>
        </w:rPr>
        <w:t>diagnosis</w:t>
      </w:r>
      <w:proofErr w:type="spellEnd"/>
      <w:r w:rsidRPr="00F55227">
        <w:rPr>
          <w:rFonts w:ascii="Arial" w:hAnsi="Arial" w:cs="Arial"/>
          <w:sz w:val="20"/>
          <w:szCs w:val="20"/>
        </w:rPr>
        <w:t xml:space="preserve"> and </w:t>
      </w:r>
      <w:proofErr w:type="spellStart"/>
      <w:r w:rsidRPr="00F55227">
        <w:rPr>
          <w:rFonts w:ascii="Arial" w:hAnsi="Arial" w:cs="Arial"/>
          <w:sz w:val="20"/>
          <w:szCs w:val="20"/>
        </w:rPr>
        <w:t>early</w:t>
      </w:r>
      <w:proofErr w:type="spellEnd"/>
      <w:r w:rsidRPr="00F55227">
        <w:rPr>
          <w:rFonts w:ascii="Arial" w:hAnsi="Arial" w:cs="Arial"/>
          <w:sz w:val="20"/>
          <w:szCs w:val="20"/>
        </w:rPr>
        <w:t xml:space="preserve"> patient management. The </w:t>
      </w:r>
      <w:proofErr w:type="spellStart"/>
      <w:r w:rsidRPr="00F55227">
        <w:rPr>
          <w:rFonts w:ascii="Arial" w:hAnsi="Arial" w:cs="Arial"/>
          <w:sz w:val="20"/>
          <w:szCs w:val="20"/>
        </w:rPr>
        <w:t>hematological</w:t>
      </w:r>
      <w:proofErr w:type="spellEnd"/>
      <w:r w:rsidRPr="00F55227">
        <w:rPr>
          <w:rFonts w:ascii="Arial" w:hAnsi="Arial" w:cs="Arial"/>
          <w:sz w:val="20"/>
          <w:szCs w:val="20"/>
        </w:rPr>
        <w:t xml:space="preserve"> and </w:t>
      </w:r>
      <w:proofErr w:type="spellStart"/>
      <w:r w:rsidRPr="00F55227">
        <w:rPr>
          <w:rFonts w:ascii="Arial" w:hAnsi="Arial" w:cs="Arial"/>
          <w:sz w:val="20"/>
          <w:szCs w:val="20"/>
        </w:rPr>
        <w:t>biochemical</w:t>
      </w:r>
      <w:proofErr w:type="spellEnd"/>
      <w:r w:rsidRPr="00F55227">
        <w:rPr>
          <w:rFonts w:ascii="Arial" w:hAnsi="Arial" w:cs="Arial"/>
          <w:sz w:val="20"/>
          <w:szCs w:val="20"/>
        </w:rPr>
        <w:t xml:space="preserve"> </w:t>
      </w:r>
      <w:proofErr w:type="spellStart"/>
      <w:r w:rsidRPr="00F55227">
        <w:rPr>
          <w:rFonts w:ascii="Arial" w:hAnsi="Arial" w:cs="Arial"/>
          <w:sz w:val="20"/>
          <w:szCs w:val="20"/>
        </w:rPr>
        <w:t>abnormalities</w:t>
      </w:r>
      <w:proofErr w:type="spellEnd"/>
      <w:r w:rsidRPr="00F55227">
        <w:rPr>
          <w:rFonts w:ascii="Arial" w:hAnsi="Arial" w:cs="Arial"/>
          <w:sz w:val="20"/>
          <w:szCs w:val="20"/>
        </w:rPr>
        <w:t xml:space="preserve"> </w:t>
      </w:r>
      <w:proofErr w:type="spellStart"/>
      <w:r w:rsidRPr="00F55227">
        <w:rPr>
          <w:rFonts w:ascii="Arial" w:hAnsi="Arial" w:cs="Arial"/>
          <w:sz w:val="20"/>
          <w:szCs w:val="20"/>
        </w:rPr>
        <w:t>observed</w:t>
      </w:r>
      <w:proofErr w:type="spellEnd"/>
      <w:r w:rsidRPr="00F55227">
        <w:rPr>
          <w:rFonts w:ascii="Arial" w:hAnsi="Arial" w:cs="Arial"/>
          <w:sz w:val="20"/>
          <w:szCs w:val="20"/>
        </w:rPr>
        <w:t xml:space="preserve"> </w:t>
      </w:r>
      <w:proofErr w:type="spellStart"/>
      <w:r w:rsidRPr="00F55227">
        <w:rPr>
          <w:rFonts w:ascii="Arial" w:hAnsi="Arial" w:cs="Arial"/>
          <w:sz w:val="20"/>
          <w:szCs w:val="20"/>
        </w:rPr>
        <w:t>underscore</w:t>
      </w:r>
      <w:proofErr w:type="spellEnd"/>
      <w:r w:rsidRPr="00F55227">
        <w:rPr>
          <w:rFonts w:ascii="Arial" w:hAnsi="Arial" w:cs="Arial"/>
          <w:sz w:val="20"/>
          <w:szCs w:val="20"/>
        </w:rPr>
        <w:t xml:space="preserve"> the </w:t>
      </w:r>
      <w:proofErr w:type="spellStart"/>
      <w:r w:rsidRPr="00F55227">
        <w:rPr>
          <w:rFonts w:ascii="Arial" w:hAnsi="Arial" w:cs="Arial"/>
          <w:sz w:val="20"/>
          <w:szCs w:val="20"/>
        </w:rPr>
        <w:t>need</w:t>
      </w:r>
      <w:proofErr w:type="spellEnd"/>
      <w:r w:rsidRPr="00F55227">
        <w:rPr>
          <w:rFonts w:ascii="Arial" w:hAnsi="Arial" w:cs="Arial"/>
          <w:sz w:val="20"/>
          <w:szCs w:val="20"/>
        </w:rPr>
        <w:t xml:space="preserve"> for </w:t>
      </w:r>
      <w:proofErr w:type="spellStart"/>
      <w:r w:rsidRPr="00F55227">
        <w:rPr>
          <w:rFonts w:ascii="Arial" w:hAnsi="Arial" w:cs="Arial"/>
          <w:sz w:val="20"/>
          <w:szCs w:val="20"/>
        </w:rPr>
        <w:t>rigorous</w:t>
      </w:r>
      <w:proofErr w:type="spellEnd"/>
      <w:r w:rsidRPr="00F55227">
        <w:rPr>
          <w:rFonts w:ascii="Arial" w:hAnsi="Arial" w:cs="Arial"/>
          <w:sz w:val="20"/>
          <w:szCs w:val="20"/>
        </w:rPr>
        <w:t xml:space="preserve"> </w:t>
      </w:r>
      <w:proofErr w:type="spellStart"/>
      <w:r w:rsidRPr="00F55227">
        <w:rPr>
          <w:rFonts w:ascii="Arial" w:hAnsi="Arial" w:cs="Arial"/>
          <w:sz w:val="20"/>
          <w:szCs w:val="20"/>
        </w:rPr>
        <w:t>biological</w:t>
      </w:r>
      <w:proofErr w:type="spellEnd"/>
      <w:r w:rsidRPr="00F55227">
        <w:rPr>
          <w:rFonts w:ascii="Arial" w:hAnsi="Arial" w:cs="Arial"/>
          <w:sz w:val="20"/>
          <w:szCs w:val="20"/>
        </w:rPr>
        <w:t xml:space="preserve"> monitoring due to the </w:t>
      </w:r>
      <w:proofErr w:type="spellStart"/>
      <w:r w:rsidRPr="00F55227">
        <w:rPr>
          <w:rFonts w:ascii="Arial" w:hAnsi="Arial" w:cs="Arial"/>
          <w:sz w:val="20"/>
          <w:szCs w:val="20"/>
        </w:rPr>
        <w:t>potential</w:t>
      </w:r>
      <w:proofErr w:type="spellEnd"/>
      <w:r w:rsidRPr="00F55227">
        <w:rPr>
          <w:rFonts w:ascii="Arial" w:hAnsi="Arial" w:cs="Arial"/>
          <w:sz w:val="20"/>
          <w:szCs w:val="20"/>
        </w:rPr>
        <w:t xml:space="preserve"> </w:t>
      </w:r>
      <w:proofErr w:type="spellStart"/>
      <w:r w:rsidRPr="00F55227">
        <w:rPr>
          <w:rFonts w:ascii="Arial" w:hAnsi="Arial" w:cs="Arial"/>
          <w:sz w:val="20"/>
          <w:szCs w:val="20"/>
        </w:rPr>
        <w:t>effects</w:t>
      </w:r>
      <w:proofErr w:type="spellEnd"/>
      <w:r w:rsidRPr="00F55227">
        <w:rPr>
          <w:rFonts w:ascii="Arial" w:hAnsi="Arial" w:cs="Arial"/>
          <w:sz w:val="20"/>
          <w:szCs w:val="20"/>
        </w:rPr>
        <w:t xml:space="preserve"> of </w:t>
      </w:r>
      <w:proofErr w:type="spellStart"/>
      <w:r w:rsidRPr="00F55227">
        <w:rPr>
          <w:rFonts w:ascii="Arial" w:hAnsi="Arial" w:cs="Arial"/>
          <w:sz w:val="20"/>
          <w:szCs w:val="20"/>
        </w:rPr>
        <w:t>treatment</w:t>
      </w:r>
      <w:proofErr w:type="spellEnd"/>
      <w:r w:rsidRPr="00F55227">
        <w:rPr>
          <w:rFonts w:ascii="Arial" w:hAnsi="Arial" w:cs="Arial"/>
          <w:sz w:val="20"/>
          <w:szCs w:val="20"/>
        </w:rPr>
        <w:t xml:space="preserve">. The high cure rate (94%), </w:t>
      </w:r>
      <w:proofErr w:type="spellStart"/>
      <w:r w:rsidRPr="00F55227">
        <w:rPr>
          <w:rFonts w:ascii="Arial" w:hAnsi="Arial" w:cs="Arial"/>
          <w:sz w:val="20"/>
          <w:szCs w:val="20"/>
        </w:rPr>
        <w:t>exceeding</w:t>
      </w:r>
      <w:proofErr w:type="spellEnd"/>
      <w:r w:rsidRPr="00F55227">
        <w:rPr>
          <w:rFonts w:ascii="Arial" w:hAnsi="Arial" w:cs="Arial"/>
          <w:sz w:val="20"/>
          <w:szCs w:val="20"/>
        </w:rPr>
        <w:t xml:space="preserve"> the </w:t>
      </w:r>
      <w:proofErr w:type="spellStart"/>
      <w:r w:rsidRPr="00F55227">
        <w:rPr>
          <w:rFonts w:ascii="Arial" w:hAnsi="Arial" w:cs="Arial"/>
          <w:sz w:val="20"/>
          <w:szCs w:val="20"/>
        </w:rPr>
        <w:t>targets</w:t>
      </w:r>
      <w:proofErr w:type="spellEnd"/>
      <w:r w:rsidRPr="00F55227">
        <w:rPr>
          <w:rFonts w:ascii="Arial" w:hAnsi="Arial" w:cs="Arial"/>
          <w:sz w:val="20"/>
          <w:szCs w:val="20"/>
        </w:rPr>
        <w:t xml:space="preserve"> set by the World </w:t>
      </w:r>
      <w:proofErr w:type="spellStart"/>
      <w:r w:rsidRPr="00F55227">
        <w:rPr>
          <w:rFonts w:ascii="Arial" w:hAnsi="Arial" w:cs="Arial"/>
          <w:sz w:val="20"/>
          <w:szCs w:val="20"/>
        </w:rPr>
        <w:t>Health</w:t>
      </w:r>
      <w:proofErr w:type="spellEnd"/>
      <w:r w:rsidRPr="00F55227">
        <w:rPr>
          <w:rFonts w:ascii="Arial" w:hAnsi="Arial" w:cs="Arial"/>
          <w:sz w:val="20"/>
          <w:szCs w:val="20"/>
        </w:rPr>
        <w:t xml:space="preserve"> </w:t>
      </w:r>
      <w:proofErr w:type="spellStart"/>
      <w:r w:rsidRPr="00F55227">
        <w:rPr>
          <w:rFonts w:ascii="Arial" w:hAnsi="Arial" w:cs="Arial"/>
          <w:sz w:val="20"/>
          <w:szCs w:val="20"/>
        </w:rPr>
        <w:t>Organization</w:t>
      </w:r>
      <w:proofErr w:type="spellEnd"/>
      <w:r w:rsidRPr="00F55227">
        <w:rPr>
          <w:rFonts w:ascii="Arial" w:hAnsi="Arial" w:cs="Arial"/>
          <w:sz w:val="20"/>
          <w:szCs w:val="20"/>
        </w:rPr>
        <w:t xml:space="preserve">, </w:t>
      </w:r>
      <w:proofErr w:type="spellStart"/>
      <w:r w:rsidRPr="00F55227">
        <w:rPr>
          <w:rFonts w:ascii="Arial" w:hAnsi="Arial" w:cs="Arial"/>
          <w:sz w:val="20"/>
          <w:szCs w:val="20"/>
        </w:rPr>
        <w:t>reflects</w:t>
      </w:r>
      <w:proofErr w:type="spellEnd"/>
      <w:r w:rsidRPr="00F55227">
        <w:rPr>
          <w:rFonts w:ascii="Arial" w:hAnsi="Arial" w:cs="Arial"/>
          <w:sz w:val="20"/>
          <w:szCs w:val="20"/>
        </w:rPr>
        <w:t xml:space="preserve"> the </w:t>
      </w:r>
      <w:proofErr w:type="spellStart"/>
      <w:r w:rsidRPr="00F55227">
        <w:rPr>
          <w:rFonts w:ascii="Arial" w:hAnsi="Arial" w:cs="Arial"/>
          <w:sz w:val="20"/>
          <w:szCs w:val="20"/>
        </w:rPr>
        <w:t>quality</w:t>
      </w:r>
      <w:proofErr w:type="spellEnd"/>
      <w:r w:rsidRPr="00F55227">
        <w:rPr>
          <w:rFonts w:ascii="Arial" w:hAnsi="Arial" w:cs="Arial"/>
          <w:sz w:val="20"/>
          <w:szCs w:val="20"/>
        </w:rPr>
        <w:t xml:space="preserve"> of care, </w:t>
      </w:r>
      <w:proofErr w:type="spellStart"/>
      <w:r w:rsidRPr="00F55227">
        <w:rPr>
          <w:rFonts w:ascii="Arial" w:hAnsi="Arial" w:cs="Arial"/>
          <w:sz w:val="20"/>
          <w:szCs w:val="20"/>
        </w:rPr>
        <w:t>despite</w:t>
      </w:r>
      <w:proofErr w:type="spellEnd"/>
      <w:r w:rsidRPr="00F55227">
        <w:rPr>
          <w:rFonts w:ascii="Arial" w:hAnsi="Arial" w:cs="Arial"/>
          <w:sz w:val="20"/>
          <w:szCs w:val="20"/>
        </w:rPr>
        <w:t xml:space="preserve"> the </w:t>
      </w:r>
      <w:proofErr w:type="spellStart"/>
      <w:r w:rsidRPr="00F55227">
        <w:rPr>
          <w:rFonts w:ascii="Arial" w:hAnsi="Arial" w:cs="Arial"/>
          <w:sz w:val="20"/>
          <w:szCs w:val="20"/>
        </w:rPr>
        <w:t>persistence</w:t>
      </w:r>
      <w:proofErr w:type="spellEnd"/>
      <w:r w:rsidRPr="00F55227">
        <w:rPr>
          <w:rFonts w:ascii="Arial" w:hAnsi="Arial" w:cs="Arial"/>
          <w:sz w:val="20"/>
          <w:szCs w:val="20"/>
        </w:rPr>
        <w:t xml:space="preserve"> of a few cases of </w:t>
      </w:r>
      <w:proofErr w:type="spellStart"/>
      <w:r w:rsidRPr="00F55227">
        <w:rPr>
          <w:rFonts w:ascii="Arial" w:hAnsi="Arial" w:cs="Arial"/>
          <w:sz w:val="20"/>
          <w:szCs w:val="20"/>
        </w:rPr>
        <w:t>treatment</w:t>
      </w:r>
      <w:proofErr w:type="spellEnd"/>
      <w:r w:rsidRPr="00F55227">
        <w:rPr>
          <w:rFonts w:ascii="Arial" w:hAnsi="Arial" w:cs="Arial"/>
          <w:sz w:val="20"/>
          <w:szCs w:val="20"/>
        </w:rPr>
        <w:t xml:space="preserve"> </w:t>
      </w:r>
      <w:proofErr w:type="spellStart"/>
      <w:r w:rsidRPr="00F55227">
        <w:rPr>
          <w:rFonts w:ascii="Arial" w:hAnsi="Arial" w:cs="Arial"/>
          <w:sz w:val="20"/>
          <w:szCs w:val="20"/>
        </w:rPr>
        <w:t>failure</w:t>
      </w:r>
      <w:proofErr w:type="spellEnd"/>
      <w:r w:rsidRPr="00F55227">
        <w:rPr>
          <w:rFonts w:ascii="Arial" w:hAnsi="Arial" w:cs="Arial"/>
          <w:sz w:val="20"/>
          <w:szCs w:val="20"/>
        </w:rPr>
        <w:t>.</w:t>
      </w:r>
      <w:r w:rsidR="00B662D0" w:rsidRPr="00F55227">
        <w:rPr>
          <w:rFonts w:ascii="Arial" w:hAnsi="Arial" w:cs="Arial"/>
          <w:sz w:val="20"/>
          <w:szCs w:val="20"/>
        </w:rPr>
        <w:t xml:space="preserve"> </w:t>
      </w:r>
      <w:proofErr w:type="spellStart"/>
      <w:r w:rsidRPr="00F55227">
        <w:rPr>
          <w:rFonts w:ascii="Arial" w:hAnsi="Arial" w:cs="Arial"/>
          <w:sz w:val="20"/>
          <w:szCs w:val="20"/>
        </w:rPr>
        <w:t>Strengthening</w:t>
      </w:r>
      <w:proofErr w:type="spellEnd"/>
      <w:r w:rsidRPr="00F55227">
        <w:rPr>
          <w:rFonts w:ascii="Arial" w:hAnsi="Arial" w:cs="Arial"/>
          <w:sz w:val="20"/>
          <w:szCs w:val="20"/>
        </w:rPr>
        <w:t xml:space="preserve"> </w:t>
      </w:r>
      <w:proofErr w:type="spellStart"/>
      <w:r w:rsidRPr="00F55227">
        <w:rPr>
          <w:rFonts w:ascii="Arial" w:hAnsi="Arial" w:cs="Arial"/>
          <w:sz w:val="20"/>
          <w:szCs w:val="20"/>
        </w:rPr>
        <w:t>treatment</w:t>
      </w:r>
      <w:proofErr w:type="spellEnd"/>
      <w:r w:rsidRPr="00F55227">
        <w:rPr>
          <w:rFonts w:ascii="Arial" w:hAnsi="Arial" w:cs="Arial"/>
          <w:sz w:val="20"/>
          <w:szCs w:val="20"/>
        </w:rPr>
        <w:t xml:space="preserve"> </w:t>
      </w:r>
      <w:proofErr w:type="spellStart"/>
      <w:r w:rsidRPr="00F55227">
        <w:rPr>
          <w:rFonts w:ascii="Arial" w:hAnsi="Arial" w:cs="Arial"/>
          <w:sz w:val="20"/>
          <w:szCs w:val="20"/>
        </w:rPr>
        <w:t>adherence</w:t>
      </w:r>
      <w:proofErr w:type="spellEnd"/>
      <w:r w:rsidRPr="00F55227">
        <w:rPr>
          <w:rFonts w:ascii="Arial" w:hAnsi="Arial" w:cs="Arial"/>
          <w:sz w:val="20"/>
          <w:szCs w:val="20"/>
        </w:rPr>
        <w:t xml:space="preserve">, </w:t>
      </w:r>
      <w:proofErr w:type="spellStart"/>
      <w:r w:rsidRPr="00F55227">
        <w:rPr>
          <w:rFonts w:ascii="Arial" w:hAnsi="Arial" w:cs="Arial"/>
          <w:sz w:val="20"/>
          <w:szCs w:val="20"/>
        </w:rPr>
        <w:t>early</w:t>
      </w:r>
      <w:proofErr w:type="spellEnd"/>
      <w:r w:rsidRPr="00F55227">
        <w:rPr>
          <w:rFonts w:ascii="Arial" w:hAnsi="Arial" w:cs="Arial"/>
          <w:sz w:val="20"/>
          <w:szCs w:val="20"/>
        </w:rPr>
        <w:t xml:space="preserve"> </w:t>
      </w:r>
      <w:proofErr w:type="spellStart"/>
      <w:r w:rsidRPr="00F55227">
        <w:rPr>
          <w:rFonts w:ascii="Arial" w:hAnsi="Arial" w:cs="Arial"/>
          <w:sz w:val="20"/>
          <w:szCs w:val="20"/>
        </w:rPr>
        <w:t>detection</w:t>
      </w:r>
      <w:proofErr w:type="spellEnd"/>
      <w:r w:rsidRPr="00F55227">
        <w:rPr>
          <w:rFonts w:ascii="Arial" w:hAnsi="Arial" w:cs="Arial"/>
          <w:sz w:val="20"/>
          <w:szCs w:val="20"/>
        </w:rPr>
        <w:t xml:space="preserve">, and </w:t>
      </w:r>
      <w:proofErr w:type="spellStart"/>
      <w:r w:rsidRPr="00F55227">
        <w:rPr>
          <w:rFonts w:ascii="Arial" w:hAnsi="Arial" w:cs="Arial"/>
          <w:sz w:val="20"/>
          <w:szCs w:val="20"/>
        </w:rPr>
        <w:t>community</w:t>
      </w:r>
      <w:proofErr w:type="spellEnd"/>
      <w:r w:rsidRPr="00F55227">
        <w:rPr>
          <w:rFonts w:ascii="Arial" w:hAnsi="Arial" w:cs="Arial"/>
          <w:sz w:val="20"/>
          <w:szCs w:val="20"/>
        </w:rPr>
        <w:t xml:space="preserve"> </w:t>
      </w:r>
      <w:proofErr w:type="spellStart"/>
      <w:r w:rsidRPr="00F55227">
        <w:rPr>
          <w:rFonts w:ascii="Arial" w:hAnsi="Arial" w:cs="Arial"/>
          <w:sz w:val="20"/>
          <w:szCs w:val="20"/>
        </w:rPr>
        <w:t>awareness</w:t>
      </w:r>
      <w:proofErr w:type="spellEnd"/>
      <w:r w:rsidRPr="00F55227">
        <w:rPr>
          <w:rFonts w:ascii="Arial" w:hAnsi="Arial" w:cs="Arial"/>
          <w:sz w:val="20"/>
          <w:szCs w:val="20"/>
        </w:rPr>
        <w:t xml:space="preserve"> </w:t>
      </w:r>
      <w:proofErr w:type="spellStart"/>
      <w:r w:rsidRPr="00F55227">
        <w:rPr>
          <w:rFonts w:ascii="Arial" w:hAnsi="Arial" w:cs="Arial"/>
          <w:sz w:val="20"/>
          <w:szCs w:val="20"/>
        </w:rPr>
        <w:t>remains</w:t>
      </w:r>
      <w:proofErr w:type="spellEnd"/>
      <w:r w:rsidRPr="00F55227">
        <w:rPr>
          <w:rFonts w:ascii="Arial" w:hAnsi="Arial" w:cs="Arial"/>
          <w:sz w:val="20"/>
          <w:szCs w:val="20"/>
        </w:rPr>
        <w:t xml:space="preserve"> essential for </w:t>
      </w:r>
      <w:proofErr w:type="spellStart"/>
      <w:r w:rsidRPr="00F55227">
        <w:rPr>
          <w:rFonts w:ascii="Arial" w:hAnsi="Arial" w:cs="Arial"/>
          <w:sz w:val="20"/>
          <w:szCs w:val="20"/>
        </w:rPr>
        <w:t>sustainably</w:t>
      </w:r>
      <w:proofErr w:type="spellEnd"/>
      <w:r w:rsidRPr="00F55227">
        <w:rPr>
          <w:rFonts w:ascii="Arial" w:hAnsi="Arial" w:cs="Arial"/>
          <w:sz w:val="20"/>
          <w:szCs w:val="20"/>
        </w:rPr>
        <w:t xml:space="preserve"> </w:t>
      </w:r>
      <w:proofErr w:type="spellStart"/>
      <w:r w:rsidRPr="00F55227">
        <w:rPr>
          <w:rFonts w:ascii="Arial" w:hAnsi="Arial" w:cs="Arial"/>
          <w:sz w:val="20"/>
          <w:szCs w:val="20"/>
        </w:rPr>
        <w:t>improving</w:t>
      </w:r>
      <w:proofErr w:type="spellEnd"/>
      <w:r w:rsidRPr="00F55227">
        <w:rPr>
          <w:rFonts w:ascii="Arial" w:hAnsi="Arial" w:cs="Arial"/>
          <w:sz w:val="20"/>
          <w:szCs w:val="20"/>
        </w:rPr>
        <w:t xml:space="preserve"> patient management.</w:t>
      </w:r>
    </w:p>
    <w:p w14:paraId="4DF6FACD" w14:textId="77777777" w:rsidR="00790ADA" w:rsidRPr="00FB3A86" w:rsidRDefault="00790ADA" w:rsidP="00441B6F">
      <w:pPr>
        <w:pStyle w:val="Body"/>
        <w:spacing w:after="0"/>
        <w:rPr>
          <w:rFonts w:ascii="Arial" w:hAnsi="Arial" w:cs="Arial"/>
        </w:rPr>
      </w:pPr>
    </w:p>
    <w:p w14:paraId="57255984" w14:textId="77777777" w:rsidR="00B404D2" w:rsidRDefault="00B404D2" w:rsidP="0097005F">
      <w:pPr>
        <w:pStyle w:val="ReferHead"/>
        <w:jc w:val="both"/>
        <w:rPr>
          <w:rFonts w:ascii="Arial" w:hAnsi="Arial" w:cs="Arial"/>
          <w:b w:val="0"/>
          <w:caps w:val="0"/>
          <w:sz w:val="20"/>
        </w:rPr>
      </w:pPr>
    </w:p>
    <w:p w14:paraId="1832712B" w14:textId="2886D1A4" w:rsidR="0097005F" w:rsidRPr="0097005F" w:rsidRDefault="0097005F" w:rsidP="0097005F">
      <w:pPr>
        <w:pStyle w:val="ReferHead"/>
        <w:jc w:val="both"/>
        <w:rPr>
          <w:rFonts w:ascii="Arial" w:hAnsi="Arial" w:cs="Arial"/>
          <w:b w:val="0"/>
          <w:caps w:val="0"/>
          <w:sz w:val="20"/>
        </w:rPr>
      </w:pPr>
      <w:bookmarkStart w:id="0" w:name="_GoBack"/>
      <w:bookmarkEnd w:id="0"/>
      <w:r w:rsidRPr="0097005F">
        <w:rPr>
          <w:rFonts w:ascii="Arial" w:hAnsi="Arial" w:cs="Arial"/>
          <w:b w:val="0"/>
          <w:caps w:val="0"/>
          <w:sz w:val="20"/>
        </w:rPr>
        <w:t>COMPETING INTERESTS DISCLAIMER:</w:t>
      </w:r>
    </w:p>
    <w:p w14:paraId="39A0FA0E" w14:textId="622C3278" w:rsidR="0097005F" w:rsidRPr="00867813" w:rsidRDefault="0097005F" w:rsidP="0097005F">
      <w:pPr>
        <w:pStyle w:val="ReferHead"/>
        <w:jc w:val="both"/>
        <w:rPr>
          <w:rFonts w:ascii="Arial" w:hAnsi="Arial" w:cs="Arial"/>
          <w:b w:val="0"/>
          <w:caps w:val="0"/>
          <w:sz w:val="20"/>
        </w:rPr>
      </w:pPr>
      <w:r w:rsidRPr="0097005F">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3A0A2EFE" w14:textId="3C0FC3B8" w:rsidR="00B01FCD" w:rsidRDefault="00B01FCD" w:rsidP="00441B6F">
      <w:pPr>
        <w:pStyle w:val="ReferHead"/>
        <w:spacing w:after="0"/>
        <w:jc w:val="both"/>
        <w:rPr>
          <w:rFonts w:ascii="Arial" w:hAnsi="Arial" w:cs="Arial"/>
        </w:rPr>
      </w:pPr>
      <w:r w:rsidRPr="00FB3A86">
        <w:rPr>
          <w:rFonts w:ascii="Arial" w:hAnsi="Arial" w:cs="Arial"/>
        </w:rPr>
        <w:t>References</w:t>
      </w:r>
    </w:p>
    <w:p w14:paraId="43D44867" w14:textId="655815B9" w:rsidR="00B007DE" w:rsidRDefault="00B007DE" w:rsidP="00441B6F">
      <w:pPr>
        <w:pStyle w:val="ReferHead"/>
        <w:spacing w:after="0"/>
        <w:jc w:val="both"/>
        <w:rPr>
          <w:rFonts w:ascii="Arial" w:hAnsi="Arial" w:cs="Arial"/>
        </w:rPr>
      </w:pPr>
    </w:p>
    <w:p w14:paraId="35632E10" w14:textId="11AD6DD4" w:rsidR="00B007DE" w:rsidRDefault="00B007DE" w:rsidP="00441B6F">
      <w:pPr>
        <w:pStyle w:val="Body"/>
        <w:spacing w:after="0"/>
        <w:rPr>
          <w:rFonts w:ascii="Arial" w:hAnsi="Arial" w:cs="Arial"/>
        </w:rPr>
      </w:pPr>
    </w:p>
    <w:p w14:paraId="03C6F317" w14:textId="77777777" w:rsidR="009A1EF2" w:rsidRPr="009A1EF2" w:rsidRDefault="009A1EF2" w:rsidP="009A1EF2">
      <w:pPr>
        <w:pStyle w:val="Body"/>
        <w:rPr>
          <w:rFonts w:ascii="Arial" w:hAnsi="Arial" w:cs="Arial"/>
        </w:rPr>
      </w:pPr>
      <w:r w:rsidRPr="009A1EF2">
        <w:rPr>
          <w:rFonts w:ascii="Arial" w:hAnsi="Arial" w:cs="Arial"/>
        </w:rPr>
        <w:t>Andjibaye, N. M. (2022). Validity of fluorescence microscopy compared to GeneXpert MTB/RIF. Ignace Deen University Hospital, Conakry.</w:t>
      </w:r>
    </w:p>
    <w:p w14:paraId="02686F9C" w14:textId="77777777" w:rsidR="009A1EF2" w:rsidRPr="009A1EF2" w:rsidRDefault="009A1EF2" w:rsidP="009A1EF2">
      <w:pPr>
        <w:pStyle w:val="Body"/>
        <w:rPr>
          <w:rFonts w:ascii="Arial" w:hAnsi="Arial" w:cs="Arial"/>
        </w:rPr>
      </w:pPr>
      <w:proofErr w:type="spellStart"/>
      <w:r w:rsidRPr="009A1EF2">
        <w:rPr>
          <w:rFonts w:ascii="Arial" w:hAnsi="Arial" w:cs="Arial"/>
        </w:rPr>
        <w:t>Bereté</w:t>
      </w:r>
      <w:proofErr w:type="spellEnd"/>
      <w:r w:rsidRPr="009A1EF2">
        <w:rPr>
          <w:rFonts w:ascii="Arial" w:hAnsi="Arial" w:cs="Arial"/>
        </w:rPr>
        <w:t xml:space="preserve">, L., &amp; Bangoura, M. (2022). Hematological profile of tuberculosis patients in </w:t>
      </w:r>
      <w:proofErr w:type="spellStart"/>
      <w:r w:rsidRPr="009A1EF2">
        <w:rPr>
          <w:rFonts w:ascii="Arial" w:hAnsi="Arial" w:cs="Arial"/>
        </w:rPr>
        <w:t>Damakania</w:t>
      </w:r>
      <w:proofErr w:type="spellEnd"/>
      <w:r w:rsidRPr="009A1EF2">
        <w:rPr>
          <w:rFonts w:ascii="Arial" w:hAnsi="Arial" w:cs="Arial"/>
        </w:rPr>
        <w:t xml:space="preserve">. *Annales </w:t>
      </w:r>
      <w:proofErr w:type="spellStart"/>
      <w:r w:rsidRPr="009A1EF2">
        <w:rPr>
          <w:rFonts w:ascii="Arial" w:hAnsi="Arial" w:cs="Arial"/>
        </w:rPr>
        <w:t>Médicales</w:t>
      </w:r>
      <w:proofErr w:type="spellEnd"/>
      <w:r w:rsidRPr="009A1EF2">
        <w:rPr>
          <w:rFonts w:ascii="Arial" w:hAnsi="Arial" w:cs="Arial"/>
        </w:rPr>
        <w:t xml:space="preserve"> de </w:t>
      </w:r>
      <w:proofErr w:type="spellStart"/>
      <w:r w:rsidRPr="009A1EF2">
        <w:rPr>
          <w:rFonts w:ascii="Arial" w:hAnsi="Arial" w:cs="Arial"/>
        </w:rPr>
        <w:t>Guinée</w:t>
      </w:r>
      <w:proofErr w:type="spellEnd"/>
      <w:r w:rsidRPr="009A1EF2">
        <w:rPr>
          <w:rFonts w:ascii="Arial" w:hAnsi="Arial" w:cs="Arial"/>
        </w:rPr>
        <w:t>*, 9(1), 17–25.</w:t>
      </w:r>
    </w:p>
    <w:p w14:paraId="7B8E5443" w14:textId="77777777" w:rsidR="009A1EF2" w:rsidRPr="009A1EF2" w:rsidRDefault="009A1EF2" w:rsidP="009A1EF2">
      <w:pPr>
        <w:pStyle w:val="Body"/>
        <w:rPr>
          <w:rFonts w:ascii="Arial" w:hAnsi="Arial" w:cs="Arial"/>
        </w:rPr>
      </w:pPr>
      <w:r w:rsidRPr="009A1EF2">
        <w:rPr>
          <w:rFonts w:ascii="Arial" w:hAnsi="Arial" w:cs="Arial"/>
        </w:rPr>
        <w:t>Blakemore, R., et al. (2010). Performance of the GeneXpert MTB/RIF in clinical samples. *Journal of Clinical Microbiology*, 48(7), 2292–2299.</w:t>
      </w:r>
    </w:p>
    <w:p w14:paraId="1E438F12" w14:textId="77777777" w:rsidR="009A1EF2" w:rsidRPr="009A1EF2" w:rsidRDefault="009A1EF2" w:rsidP="009A1EF2">
      <w:pPr>
        <w:pStyle w:val="Body"/>
        <w:rPr>
          <w:rFonts w:ascii="Arial" w:hAnsi="Arial" w:cs="Arial"/>
        </w:rPr>
      </w:pPr>
      <w:r w:rsidRPr="009A1EF2">
        <w:rPr>
          <w:rFonts w:ascii="Arial" w:hAnsi="Arial" w:cs="Arial"/>
        </w:rPr>
        <w:t xml:space="preserve">Boehme, C. C., Nabeta, P., Hillemann, D., Nicol, M. P., Shenai, S., Krapp, F., Allen, J., </w:t>
      </w:r>
      <w:proofErr w:type="spellStart"/>
      <w:r w:rsidRPr="009A1EF2">
        <w:rPr>
          <w:rFonts w:ascii="Arial" w:hAnsi="Arial" w:cs="Arial"/>
        </w:rPr>
        <w:t>Tahirli</w:t>
      </w:r>
      <w:proofErr w:type="spellEnd"/>
      <w:r w:rsidRPr="009A1EF2">
        <w:rPr>
          <w:rFonts w:ascii="Arial" w:hAnsi="Arial" w:cs="Arial"/>
        </w:rPr>
        <w:t xml:space="preserve">, R., Blakemore, R., Rustomjee, R., Milovic, A., Jones, M., O’Brien, S. M., Persing, D. H., Ruesch-Gerdes, S., </w:t>
      </w:r>
      <w:proofErr w:type="spellStart"/>
      <w:r w:rsidRPr="009A1EF2">
        <w:rPr>
          <w:rFonts w:ascii="Arial" w:hAnsi="Arial" w:cs="Arial"/>
        </w:rPr>
        <w:t>Gotuzzo</w:t>
      </w:r>
      <w:proofErr w:type="spellEnd"/>
      <w:r w:rsidRPr="009A1EF2">
        <w:rPr>
          <w:rFonts w:ascii="Arial" w:hAnsi="Arial" w:cs="Arial"/>
        </w:rPr>
        <w:t>, E., Rodrigues, C., Alland, D., &amp; Perkins, M. D. (2010). Rapid molecular detection of tuberculosis and rifampin resistance. *New England Journal of Medicine*, 363(11), 1005–1015. https://doi.org/10.1056/NEJMoa0907847</w:t>
      </w:r>
    </w:p>
    <w:p w14:paraId="20D47258" w14:textId="77777777" w:rsidR="009A1EF2" w:rsidRPr="009A1EF2" w:rsidRDefault="009A1EF2" w:rsidP="009A1EF2">
      <w:pPr>
        <w:pStyle w:val="Body"/>
        <w:rPr>
          <w:rFonts w:ascii="Arial" w:hAnsi="Arial" w:cs="Arial"/>
        </w:rPr>
      </w:pPr>
      <w:r w:rsidRPr="009A1EF2">
        <w:rPr>
          <w:rFonts w:ascii="Arial" w:hAnsi="Arial" w:cs="Arial"/>
        </w:rPr>
        <w:t xml:space="preserve">Coulibaly, O. M. (2008). Therapeutic outcomes of MDR-TB patients in Bamako. *Revue </w:t>
      </w:r>
      <w:proofErr w:type="spellStart"/>
      <w:r w:rsidRPr="009A1EF2">
        <w:rPr>
          <w:rFonts w:ascii="Arial" w:hAnsi="Arial" w:cs="Arial"/>
        </w:rPr>
        <w:t>Malienne</w:t>
      </w:r>
      <w:proofErr w:type="spellEnd"/>
      <w:r w:rsidRPr="009A1EF2">
        <w:rPr>
          <w:rFonts w:ascii="Arial" w:hAnsi="Arial" w:cs="Arial"/>
        </w:rPr>
        <w:t xml:space="preserve"> de Santé </w:t>
      </w:r>
      <w:proofErr w:type="spellStart"/>
      <w:r w:rsidRPr="009A1EF2">
        <w:rPr>
          <w:rFonts w:ascii="Arial" w:hAnsi="Arial" w:cs="Arial"/>
        </w:rPr>
        <w:t>Publique</w:t>
      </w:r>
      <w:proofErr w:type="spellEnd"/>
      <w:r w:rsidRPr="009A1EF2">
        <w:rPr>
          <w:rFonts w:ascii="Arial" w:hAnsi="Arial" w:cs="Arial"/>
        </w:rPr>
        <w:t>*, 15(4), 72–80.</w:t>
      </w:r>
    </w:p>
    <w:p w14:paraId="1133546A" w14:textId="77777777" w:rsidR="009A1EF2" w:rsidRPr="009A1EF2" w:rsidRDefault="009A1EF2" w:rsidP="009A1EF2">
      <w:pPr>
        <w:pStyle w:val="Body"/>
        <w:rPr>
          <w:rFonts w:ascii="Arial" w:hAnsi="Arial" w:cs="Arial"/>
        </w:rPr>
      </w:pPr>
      <w:r w:rsidRPr="009A1EF2">
        <w:rPr>
          <w:rFonts w:ascii="Arial" w:hAnsi="Arial" w:cs="Arial"/>
        </w:rPr>
        <w:lastRenderedPageBreak/>
        <w:t xml:space="preserve">Cowan, J. F., Chandler, A. S., </w:t>
      </w:r>
      <w:proofErr w:type="spellStart"/>
      <w:r w:rsidRPr="009A1EF2">
        <w:rPr>
          <w:rFonts w:ascii="Arial" w:hAnsi="Arial" w:cs="Arial"/>
        </w:rPr>
        <w:t>Kracen</w:t>
      </w:r>
      <w:proofErr w:type="spellEnd"/>
      <w:r w:rsidRPr="009A1EF2">
        <w:rPr>
          <w:rFonts w:ascii="Arial" w:hAnsi="Arial" w:cs="Arial"/>
        </w:rPr>
        <w:t>, E., Park, D. R., Wallis, C. K., Liu, E., et al. (2016). Clinical impact and cost-effectiveness of Xpert MTB/RIF testing in hospitalized patients with presumptive pulmonary tuberculosis in the United States. *Clinical Infectious Diseases*, 64(4), 482–489. https://doi.org/10.1093/cid/ciw803</w:t>
      </w:r>
    </w:p>
    <w:p w14:paraId="793A340E" w14:textId="77777777" w:rsidR="009A1EF2" w:rsidRPr="009A1EF2" w:rsidRDefault="009A1EF2" w:rsidP="009A1EF2">
      <w:pPr>
        <w:pStyle w:val="Body"/>
        <w:rPr>
          <w:rFonts w:ascii="Arial" w:hAnsi="Arial" w:cs="Arial"/>
        </w:rPr>
      </w:pPr>
      <w:r w:rsidRPr="009A1EF2">
        <w:rPr>
          <w:rFonts w:ascii="Arial" w:hAnsi="Arial" w:cs="Arial"/>
        </w:rPr>
        <w:t xml:space="preserve">Diallo, M. I. B. (2020). Epidemiological profile of patients with pulmonary TB in Conakry. Bulletin </w:t>
      </w:r>
      <w:proofErr w:type="spellStart"/>
      <w:r w:rsidRPr="009A1EF2">
        <w:rPr>
          <w:rFonts w:ascii="Arial" w:hAnsi="Arial" w:cs="Arial"/>
        </w:rPr>
        <w:t>Médical</w:t>
      </w:r>
      <w:proofErr w:type="spellEnd"/>
      <w:r w:rsidRPr="009A1EF2">
        <w:rPr>
          <w:rFonts w:ascii="Arial" w:hAnsi="Arial" w:cs="Arial"/>
        </w:rPr>
        <w:t xml:space="preserve"> </w:t>
      </w:r>
      <w:proofErr w:type="spellStart"/>
      <w:r w:rsidRPr="009A1EF2">
        <w:rPr>
          <w:rFonts w:ascii="Arial" w:hAnsi="Arial" w:cs="Arial"/>
        </w:rPr>
        <w:t>Guinéen</w:t>
      </w:r>
      <w:proofErr w:type="spellEnd"/>
      <w:r w:rsidRPr="009A1EF2">
        <w:rPr>
          <w:rFonts w:ascii="Arial" w:hAnsi="Arial" w:cs="Arial"/>
        </w:rPr>
        <w:t>, 6(2), 31–38.</w:t>
      </w:r>
    </w:p>
    <w:p w14:paraId="48EBFD37" w14:textId="77777777" w:rsidR="009A1EF2" w:rsidRPr="009A1EF2" w:rsidRDefault="009A1EF2" w:rsidP="009A1EF2">
      <w:pPr>
        <w:pStyle w:val="Body"/>
        <w:rPr>
          <w:rFonts w:ascii="Arial" w:hAnsi="Arial" w:cs="Arial"/>
        </w:rPr>
      </w:pPr>
      <w:r w:rsidRPr="009A1EF2">
        <w:rPr>
          <w:rFonts w:ascii="Arial" w:hAnsi="Arial" w:cs="Arial"/>
        </w:rPr>
        <w:t>Dye, C., Scheele, S., Dolin, P., Pathania, V., &amp; Raviglione, M. C. (1999). Global burden of tuberculosis: Estimated incidence, prevalence, and mortality by country. JAMA, 282(7), 677–686. https://doi.org/10.1001/jama.282.7.677</w:t>
      </w:r>
    </w:p>
    <w:p w14:paraId="205DF1D6" w14:textId="77777777" w:rsidR="009A1EF2" w:rsidRPr="009A1EF2" w:rsidRDefault="009A1EF2" w:rsidP="009A1EF2">
      <w:pPr>
        <w:pStyle w:val="Body"/>
        <w:rPr>
          <w:rFonts w:ascii="Arial" w:hAnsi="Arial" w:cs="Arial"/>
        </w:rPr>
      </w:pPr>
      <w:r w:rsidRPr="009A1EF2">
        <w:rPr>
          <w:rFonts w:ascii="Arial" w:hAnsi="Arial" w:cs="Arial"/>
        </w:rPr>
        <w:t>Gounder, A., et al. (2014). Prevalence and management of tuberculosis in Fiji. Pacific Health Dialog, 20(1), 21–27.</w:t>
      </w:r>
    </w:p>
    <w:p w14:paraId="4F1363D3" w14:textId="77777777" w:rsidR="009A1EF2" w:rsidRPr="009A1EF2" w:rsidRDefault="009A1EF2" w:rsidP="009A1EF2">
      <w:pPr>
        <w:pStyle w:val="Body"/>
        <w:rPr>
          <w:rFonts w:ascii="Arial" w:hAnsi="Arial" w:cs="Arial"/>
        </w:rPr>
      </w:pPr>
      <w:r w:rsidRPr="009A1EF2">
        <w:rPr>
          <w:rFonts w:ascii="Arial" w:hAnsi="Arial" w:cs="Arial"/>
        </w:rPr>
        <w:t xml:space="preserve">Harries, A. D., Hargreaves, N. J., Kemp, J., </w:t>
      </w:r>
      <w:proofErr w:type="spellStart"/>
      <w:r w:rsidRPr="009A1EF2">
        <w:rPr>
          <w:rFonts w:ascii="Arial" w:hAnsi="Arial" w:cs="Arial"/>
        </w:rPr>
        <w:t>Jindani</w:t>
      </w:r>
      <w:proofErr w:type="spellEnd"/>
      <w:r w:rsidRPr="009A1EF2">
        <w:rPr>
          <w:rFonts w:ascii="Arial" w:hAnsi="Arial" w:cs="Arial"/>
        </w:rPr>
        <w:t xml:space="preserve">, A., Enarson, D. A., Maher, D., &amp; </w:t>
      </w:r>
      <w:proofErr w:type="spellStart"/>
      <w:r w:rsidRPr="009A1EF2">
        <w:rPr>
          <w:rFonts w:ascii="Arial" w:hAnsi="Arial" w:cs="Arial"/>
        </w:rPr>
        <w:t>Salaniponi</w:t>
      </w:r>
      <w:proofErr w:type="spellEnd"/>
      <w:r w:rsidRPr="009A1EF2">
        <w:rPr>
          <w:rFonts w:ascii="Arial" w:hAnsi="Arial" w:cs="Arial"/>
        </w:rPr>
        <w:t>, F. M. (2001). Deaths from tuberculosis in sub-Saharan African countries with a high prevalence of HIV-1. The Lancet, 357(9267), 1519–1523. https://doi.org/10.1016/S0140-6736(00)04639-0.</w:t>
      </w:r>
    </w:p>
    <w:p w14:paraId="35E981A0" w14:textId="77777777" w:rsidR="009A1EF2" w:rsidRPr="009A1EF2" w:rsidRDefault="009A1EF2" w:rsidP="009A1EF2">
      <w:pPr>
        <w:pStyle w:val="Body"/>
        <w:rPr>
          <w:rFonts w:ascii="Arial" w:hAnsi="Arial" w:cs="Arial"/>
        </w:rPr>
      </w:pPr>
      <w:r w:rsidRPr="009A1EF2">
        <w:rPr>
          <w:rFonts w:ascii="Arial" w:hAnsi="Arial" w:cs="Arial"/>
        </w:rPr>
        <w:t>Hassan, H. E., et al. (2021). Tuberculosis in Morocco: Epidemiology and gender distribution. African Journal of Respiratory Medicine, 17(2), 48–53.</w:t>
      </w:r>
    </w:p>
    <w:p w14:paraId="5A1EA726" w14:textId="77777777" w:rsidR="009A1EF2" w:rsidRPr="009A1EF2" w:rsidRDefault="009A1EF2" w:rsidP="009A1EF2">
      <w:pPr>
        <w:pStyle w:val="Body"/>
        <w:rPr>
          <w:rFonts w:ascii="Arial" w:hAnsi="Arial" w:cs="Arial"/>
        </w:rPr>
      </w:pPr>
      <w:r w:rsidRPr="009A1EF2">
        <w:rPr>
          <w:rFonts w:ascii="Arial" w:hAnsi="Arial" w:cs="Arial"/>
        </w:rPr>
        <w:t xml:space="preserve">Kaze, B., &amp; Bagayoko, M. S. (2012). Biochemical complications of anti-tuberculosis treatment. Revue </w:t>
      </w:r>
      <w:proofErr w:type="spellStart"/>
      <w:r w:rsidRPr="009A1EF2">
        <w:rPr>
          <w:rFonts w:ascii="Arial" w:hAnsi="Arial" w:cs="Arial"/>
        </w:rPr>
        <w:t>Africaine</w:t>
      </w:r>
      <w:proofErr w:type="spellEnd"/>
      <w:r w:rsidRPr="009A1EF2">
        <w:rPr>
          <w:rFonts w:ascii="Arial" w:hAnsi="Arial" w:cs="Arial"/>
        </w:rPr>
        <w:t xml:space="preserve"> de </w:t>
      </w:r>
      <w:proofErr w:type="spellStart"/>
      <w:r w:rsidRPr="009A1EF2">
        <w:rPr>
          <w:rFonts w:ascii="Arial" w:hAnsi="Arial" w:cs="Arial"/>
        </w:rPr>
        <w:t>Biologie</w:t>
      </w:r>
      <w:proofErr w:type="spellEnd"/>
      <w:r w:rsidRPr="009A1EF2">
        <w:rPr>
          <w:rFonts w:ascii="Arial" w:hAnsi="Arial" w:cs="Arial"/>
        </w:rPr>
        <w:t xml:space="preserve"> </w:t>
      </w:r>
      <w:proofErr w:type="spellStart"/>
      <w:r w:rsidRPr="009A1EF2">
        <w:rPr>
          <w:rFonts w:ascii="Arial" w:hAnsi="Arial" w:cs="Arial"/>
        </w:rPr>
        <w:t>Médicale</w:t>
      </w:r>
      <w:proofErr w:type="spellEnd"/>
      <w:r w:rsidRPr="009A1EF2">
        <w:rPr>
          <w:rFonts w:ascii="Arial" w:hAnsi="Arial" w:cs="Arial"/>
        </w:rPr>
        <w:t>, 8(3), 55–61.</w:t>
      </w:r>
    </w:p>
    <w:p w14:paraId="64FF3658" w14:textId="77777777" w:rsidR="009A1EF2" w:rsidRPr="009A1EF2" w:rsidRDefault="009A1EF2" w:rsidP="009A1EF2">
      <w:pPr>
        <w:pStyle w:val="Body"/>
        <w:rPr>
          <w:rFonts w:ascii="Arial" w:hAnsi="Arial" w:cs="Arial"/>
        </w:rPr>
      </w:pPr>
      <w:r w:rsidRPr="009A1EF2">
        <w:rPr>
          <w:rFonts w:ascii="Arial" w:hAnsi="Arial" w:cs="Arial"/>
        </w:rPr>
        <w:t>Ministry of Health and Public Hygiene. (2019). Annual report of the National Tuberculosis Control Program (PNLAT). https://files.aho.afro.who.int/afahobckpcontainer/production/files/Rapport_2019_PNLT.pdf</w:t>
      </w:r>
    </w:p>
    <w:p w14:paraId="2DD4AA22" w14:textId="77777777" w:rsidR="009A1EF2" w:rsidRPr="009A1EF2" w:rsidRDefault="009A1EF2" w:rsidP="009A1EF2">
      <w:pPr>
        <w:pStyle w:val="Body"/>
        <w:rPr>
          <w:rFonts w:ascii="Arial" w:hAnsi="Arial" w:cs="Arial"/>
        </w:rPr>
      </w:pPr>
      <w:r w:rsidRPr="009A1EF2">
        <w:rPr>
          <w:rFonts w:ascii="Arial" w:hAnsi="Arial" w:cs="Arial"/>
        </w:rPr>
        <w:t>World Health Organization. (2016). Global Tuberculosis Report. Geneva. https://www.afro.who.int/sites/default/files/2017-06/gtbr2016_executive_summary_en.pdf</w:t>
      </w:r>
    </w:p>
    <w:p w14:paraId="528F9DDC" w14:textId="77777777" w:rsidR="009A1EF2" w:rsidRPr="009A1EF2" w:rsidRDefault="009A1EF2" w:rsidP="009A1EF2">
      <w:pPr>
        <w:pStyle w:val="Body"/>
        <w:rPr>
          <w:rFonts w:ascii="Arial" w:hAnsi="Arial" w:cs="Arial"/>
        </w:rPr>
      </w:pPr>
      <w:r w:rsidRPr="009A1EF2">
        <w:rPr>
          <w:rFonts w:ascii="Arial" w:hAnsi="Arial" w:cs="Arial"/>
        </w:rPr>
        <w:t>Pai, M., Minion, J., Sohn, H., Zwerling, A., &amp; Perkins, M. D. (2009). Novel and improved technologies for tuberculosis diagnosis: Progress and challenges. Clinical Chest Medicine, 30, 701–716. https://doi.org/10.1016/j.ccm.2009.08.016</w:t>
      </w:r>
    </w:p>
    <w:p w14:paraId="6AA7F402" w14:textId="77777777" w:rsidR="009A1EF2" w:rsidRPr="009A1EF2" w:rsidRDefault="009A1EF2" w:rsidP="009A1EF2">
      <w:pPr>
        <w:pStyle w:val="Body"/>
        <w:rPr>
          <w:rFonts w:ascii="Arial" w:hAnsi="Arial" w:cs="Arial"/>
        </w:rPr>
      </w:pPr>
      <w:r w:rsidRPr="009A1EF2">
        <w:rPr>
          <w:rFonts w:ascii="Arial" w:hAnsi="Arial" w:cs="Arial"/>
        </w:rPr>
        <w:t>World Health Organization. (2010). Treatment of tuberculosis: Guidelines (4th ed.). https://iris.who.int/handle/10665/44165</w:t>
      </w:r>
    </w:p>
    <w:p w14:paraId="4848F0EE" w14:textId="77777777" w:rsidR="009A1EF2" w:rsidRPr="009A1EF2" w:rsidRDefault="009A1EF2" w:rsidP="009A1EF2">
      <w:pPr>
        <w:pStyle w:val="Body"/>
        <w:rPr>
          <w:rFonts w:ascii="Arial" w:hAnsi="Arial" w:cs="Arial"/>
        </w:rPr>
      </w:pPr>
      <w:r w:rsidRPr="009A1EF2">
        <w:rPr>
          <w:rFonts w:ascii="Arial" w:hAnsi="Arial" w:cs="Arial"/>
        </w:rPr>
        <w:t>World Health Organization. (2011). Global tuberculosis control. https://iris.who.int/server/api/core/bitstreams/7cacb007-be00-4dc4-9dbc-d1779625070a/content.</w:t>
      </w:r>
    </w:p>
    <w:p w14:paraId="65891189" w14:textId="314FAC22" w:rsidR="00790ADA" w:rsidRDefault="009A1EF2" w:rsidP="009A1EF2">
      <w:pPr>
        <w:pStyle w:val="Body"/>
        <w:rPr>
          <w:rFonts w:ascii="Arial" w:hAnsi="Arial" w:cs="Arial"/>
        </w:rPr>
      </w:pPr>
      <w:r w:rsidRPr="009A1EF2">
        <w:rPr>
          <w:rFonts w:ascii="Arial" w:hAnsi="Arial" w:cs="Arial"/>
        </w:rPr>
        <w:t>World Health Organization. (2024). Global tuberculosis report 2024. https://www.who.int/teams/global-programme-on-tuberculosis-and-lung-health/tb-reports</w:t>
      </w:r>
    </w:p>
    <w:sectPr w:rsidR="00790ADA" w:rsidSect="00B404D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F0254" w14:textId="77777777" w:rsidR="002D668F" w:rsidRDefault="002D668F" w:rsidP="00C37E61">
      <w:r>
        <w:separator/>
      </w:r>
    </w:p>
  </w:endnote>
  <w:endnote w:type="continuationSeparator" w:id="0">
    <w:p w14:paraId="2DD39268" w14:textId="77777777" w:rsidR="002D668F" w:rsidRDefault="002D668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DCAD8" w14:textId="77777777" w:rsidR="00B404D2" w:rsidRDefault="00B404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B2426" w14:textId="77777777" w:rsidR="00B404D2" w:rsidRDefault="00B404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CD697" w14:textId="77777777" w:rsidR="009E048A" w:rsidRDefault="009E048A">
    <w:pPr>
      <w:pStyle w:val="Footer"/>
      <w:rPr>
        <w:rFonts w:ascii="Arial" w:hAnsi="Arial" w:cs="Arial"/>
        <w:sz w:val="16"/>
      </w:rPr>
    </w:pPr>
  </w:p>
  <w:p w14:paraId="0CA1162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ADBB1F5" w14:textId="77777777" w:rsidR="009E048A" w:rsidRDefault="009E048A">
    <w:pPr>
      <w:pStyle w:val="Footer"/>
      <w:rPr>
        <w:rFonts w:ascii="Arial" w:hAnsi="Arial" w:cs="Arial"/>
        <w:sz w:val="16"/>
      </w:rPr>
    </w:pPr>
  </w:p>
  <w:p w14:paraId="7946CB08"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31541" w14:textId="77777777" w:rsidR="002D668F" w:rsidRDefault="002D668F" w:rsidP="00C37E61">
      <w:r>
        <w:separator/>
      </w:r>
    </w:p>
  </w:footnote>
  <w:footnote w:type="continuationSeparator" w:id="0">
    <w:p w14:paraId="2CBED994" w14:textId="77777777" w:rsidR="002D668F" w:rsidRDefault="002D668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19333" w14:textId="55E3FD44" w:rsidR="00B404D2" w:rsidRDefault="00B404D2">
    <w:pPr>
      <w:pStyle w:val="Header"/>
    </w:pPr>
    <w:r>
      <w:rPr>
        <w:noProof/>
      </w:rPr>
      <w:pict w14:anchorId="0E650E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7301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A14A1" w14:textId="2E069CCF" w:rsidR="00B404D2" w:rsidRDefault="00B404D2">
    <w:pPr>
      <w:pStyle w:val="Header"/>
    </w:pPr>
    <w:r>
      <w:rPr>
        <w:noProof/>
      </w:rPr>
      <w:pict w14:anchorId="2EBD44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7301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ACF84" w14:textId="2E55ED9D" w:rsidR="00296529" w:rsidRPr="00296529" w:rsidRDefault="00B404D2" w:rsidP="00296529">
    <w:pPr>
      <w:ind w:left="2160"/>
      <w:jc w:val="center"/>
      <w:rPr>
        <w:rFonts w:ascii="Times New Roman" w:eastAsia="Calibri" w:hAnsi="Times New Roman"/>
        <w:i/>
        <w:sz w:val="18"/>
        <w:szCs w:val="22"/>
      </w:rPr>
    </w:pPr>
    <w:r>
      <w:rPr>
        <w:noProof/>
      </w:rPr>
      <w:pict w14:anchorId="3CF216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7301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547C2E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D0C405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A0CA36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1E51B1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D4DA43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6A2924C"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5B6B16"/>
    <w:multiLevelType w:val="hybridMultilevel"/>
    <w:tmpl w:val="AE6027A4"/>
    <w:lvl w:ilvl="0" w:tplc="62B2CCA0">
      <w:start w:val="4"/>
      <w:numFmt w:val="bullet"/>
      <w:lvlText w:val="-"/>
      <w:lvlJc w:val="left"/>
      <w:pPr>
        <w:ind w:left="720" w:hanging="360"/>
      </w:pPr>
      <w:rPr>
        <w:rFonts w:ascii="Arial" w:eastAsia="Times New Roman" w:hAnsi="Arial" w:cs="Aria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3ABF"/>
    <w:rsid w:val="00030174"/>
    <w:rsid w:val="00037697"/>
    <w:rsid w:val="0004579C"/>
    <w:rsid w:val="00052C09"/>
    <w:rsid w:val="000631CE"/>
    <w:rsid w:val="000A47FA"/>
    <w:rsid w:val="000A65D3"/>
    <w:rsid w:val="000B1E33"/>
    <w:rsid w:val="000D689F"/>
    <w:rsid w:val="000E7B7B"/>
    <w:rsid w:val="000E7D62"/>
    <w:rsid w:val="00100E56"/>
    <w:rsid w:val="00103357"/>
    <w:rsid w:val="00123C9F"/>
    <w:rsid w:val="00126190"/>
    <w:rsid w:val="00130F17"/>
    <w:rsid w:val="001320BF"/>
    <w:rsid w:val="0013280E"/>
    <w:rsid w:val="00163BC4"/>
    <w:rsid w:val="00191062"/>
    <w:rsid w:val="00192B72"/>
    <w:rsid w:val="001A29D8"/>
    <w:rsid w:val="001A5CAA"/>
    <w:rsid w:val="001B0427"/>
    <w:rsid w:val="001C3F35"/>
    <w:rsid w:val="001D3A51"/>
    <w:rsid w:val="001E10D2"/>
    <w:rsid w:val="001E25B4"/>
    <w:rsid w:val="001E44FE"/>
    <w:rsid w:val="00200595"/>
    <w:rsid w:val="00204835"/>
    <w:rsid w:val="00231920"/>
    <w:rsid w:val="0023195C"/>
    <w:rsid w:val="0024282C"/>
    <w:rsid w:val="002460DC"/>
    <w:rsid w:val="00246F0D"/>
    <w:rsid w:val="00250985"/>
    <w:rsid w:val="002556F6"/>
    <w:rsid w:val="00283105"/>
    <w:rsid w:val="00284C4C"/>
    <w:rsid w:val="00287E68"/>
    <w:rsid w:val="00296529"/>
    <w:rsid w:val="002B27FB"/>
    <w:rsid w:val="002B685A"/>
    <w:rsid w:val="002C5362"/>
    <w:rsid w:val="002C57D2"/>
    <w:rsid w:val="002D668F"/>
    <w:rsid w:val="002E0D56"/>
    <w:rsid w:val="002E2288"/>
    <w:rsid w:val="0030566B"/>
    <w:rsid w:val="00315186"/>
    <w:rsid w:val="003223EA"/>
    <w:rsid w:val="0033343E"/>
    <w:rsid w:val="0034400A"/>
    <w:rsid w:val="003512C2"/>
    <w:rsid w:val="003678A1"/>
    <w:rsid w:val="00367E22"/>
    <w:rsid w:val="00371FB6"/>
    <w:rsid w:val="003763C1"/>
    <w:rsid w:val="00376BBE"/>
    <w:rsid w:val="0039224F"/>
    <w:rsid w:val="003A43A4"/>
    <w:rsid w:val="003A7E18"/>
    <w:rsid w:val="003C4C86"/>
    <w:rsid w:val="003C6258"/>
    <w:rsid w:val="003E2904"/>
    <w:rsid w:val="003E3A21"/>
    <w:rsid w:val="00400A76"/>
    <w:rsid w:val="004014D9"/>
    <w:rsid w:val="00401927"/>
    <w:rsid w:val="0041027F"/>
    <w:rsid w:val="00412475"/>
    <w:rsid w:val="00415E19"/>
    <w:rsid w:val="00423789"/>
    <w:rsid w:val="00432265"/>
    <w:rsid w:val="00440F43"/>
    <w:rsid w:val="00441B6F"/>
    <w:rsid w:val="00446221"/>
    <w:rsid w:val="00450E62"/>
    <w:rsid w:val="004539DB"/>
    <w:rsid w:val="00471A80"/>
    <w:rsid w:val="004818CA"/>
    <w:rsid w:val="004A4A58"/>
    <w:rsid w:val="004D305E"/>
    <w:rsid w:val="004D4277"/>
    <w:rsid w:val="004E7E24"/>
    <w:rsid w:val="00501CDF"/>
    <w:rsid w:val="00502516"/>
    <w:rsid w:val="00505F06"/>
    <w:rsid w:val="00506828"/>
    <w:rsid w:val="00514BA9"/>
    <w:rsid w:val="0053056E"/>
    <w:rsid w:val="00554FDA"/>
    <w:rsid w:val="00567F76"/>
    <w:rsid w:val="005C784C"/>
    <w:rsid w:val="005D17F6"/>
    <w:rsid w:val="005D17FE"/>
    <w:rsid w:val="005E5539"/>
    <w:rsid w:val="00602BF5"/>
    <w:rsid w:val="00617FDD"/>
    <w:rsid w:val="00632700"/>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657B0"/>
    <w:rsid w:val="0077749E"/>
    <w:rsid w:val="00782D9A"/>
    <w:rsid w:val="00790ADA"/>
    <w:rsid w:val="00793797"/>
    <w:rsid w:val="007A3C4A"/>
    <w:rsid w:val="007A674F"/>
    <w:rsid w:val="007C78C7"/>
    <w:rsid w:val="007D2288"/>
    <w:rsid w:val="007E088F"/>
    <w:rsid w:val="007F7B32"/>
    <w:rsid w:val="00804BC2"/>
    <w:rsid w:val="0081431A"/>
    <w:rsid w:val="008310D0"/>
    <w:rsid w:val="0083216F"/>
    <w:rsid w:val="00847536"/>
    <w:rsid w:val="00860000"/>
    <w:rsid w:val="00863BD3"/>
    <w:rsid w:val="008641ED"/>
    <w:rsid w:val="00865359"/>
    <w:rsid w:val="00866D66"/>
    <w:rsid w:val="008671C6"/>
    <w:rsid w:val="00867813"/>
    <w:rsid w:val="00875803"/>
    <w:rsid w:val="008A78DE"/>
    <w:rsid w:val="008B459E"/>
    <w:rsid w:val="008E13AE"/>
    <w:rsid w:val="008E1506"/>
    <w:rsid w:val="008E6239"/>
    <w:rsid w:val="008E710C"/>
    <w:rsid w:val="008F3A46"/>
    <w:rsid w:val="008F69D6"/>
    <w:rsid w:val="00902823"/>
    <w:rsid w:val="00915CA6"/>
    <w:rsid w:val="00915EDD"/>
    <w:rsid w:val="00927834"/>
    <w:rsid w:val="00933F92"/>
    <w:rsid w:val="009500A6"/>
    <w:rsid w:val="00957C18"/>
    <w:rsid w:val="009659BA"/>
    <w:rsid w:val="0097005F"/>
    <w:rsid w:val="00983040"/>
    <w:rsid w:val="00990E48"/>
    <w:rsid w:val="009A1EF2"/>
    <w:rsid w:val="009B3F7F"/>
    <w:rsid w:val="009B3FB9"/>
    <w:rsid w:val="009B4390"/>
    <w:rsid w:val="009C2465"/>
    <w:rsid w:val="009D35A0"/>
    <w:rsid w:val="009D7EB7"/>
    <w:rsid w:val="009E048A"/>
    <w:rsid w:val="009E08E9"/>
    <w:rsid w:val="009E3DB9"/>
    <w:rsid w:val="009E6E35"/>
    <w:rsid w:val="009F0EDA"/>
    <w:rsid w:val="00A03B96"/>
    <w:rsid w:val="00A05B19"/>
    <w:rsid w:val="00A1134E"/>
    <w:rsid w:val="00A22A45"/>
    <w:rsid w:val="00A24E7E"/>
    <w:rsid w:val="00A258C3"/>
    <w:rsid w:val="00A347C0"/>
    <w:rsid w:val="00A51431"/>
    <w:rsid w:val="00A539AD"/>
    <w:rsid w:val="00A94063"/>
    <w:rsid w:val="00AA6219"/>
    <w:rsid w:val="00AA74E0"/>
    <w:rsid w:val="00AB703F"/>
    <w:rsid w:val="00AC6BB8"/>
    <w:rsid w:val="00AE008F"/>
    <w:rsid w:val="00B007DE"/>
    <w:rsid w:val="00B01FCD"/>
    <w:rsid w:val="00B15A12"/>
    <w:rsid w:val="00B1776C"/>
    <w:rsid w:val="00B404D2"/>
    <w:rsid w:val="00B41D78"/>
    <w:rsid w:val="00B52583"/>
    <w:rsid w:val="00B52896"/>
    <w:rsid w:val="00B528BA"/>
    <w:rsid w:val="00B662D0"/>
    <w:rsid w:val="00B94AB7"/>
    <w:rsid w:val="00B95236"/>
    <w:rsid w:val="00B9693F"/>
    <w:rsid w:val="00B96BD9"/>
    <w:rsid w:val="00B97C9E"/>
    <w:rsid w:val="00BA1B01"/>
    <w:rsid w:val="00BA2641"/>
    <w:rsid w:val="00BB37AA"/>
    <w:rsid w:val="00BC53A0"/>
    <w:rsid w:val="00BE6115"/>
    <w:rsid w:val="00BE62AD"/>
    <w:rsid w:val="00BF121F"/>
    <w:rsid w:val="00BF1F80"/>
    <w:rsid w:val="00BF7B49"/>
    <w:rsid w:val="00C166EF"/>
    <w:rsid w:val="00C17EB0"/>
    <w:rsid w:val="00C2617E"/>
    <w:rsid w:val="00C27F5F"/>
    <w:rsid w:val="00C30A0F"/>
    <w:rsid w:val="00C32F18"/>
    <w:rsid w:val="00C37E61"/>
    <w:rsid w:val="00C474E4"/>
    <w:rsid w:val="00C57D17"/>
    <w:rsid w:val="00C70F1B"/>
    <w:rsid w:val="00C71A47"/>
    <w:rsid w:val="00C7464C"/>
    <w:rsid w:val="00C810DE"/>
    <w:rsid w:val="00C85588"/>
    <w:rsid w:val="00CC66BA"/>
    <w:rsid w:val="00CD2EF4"/>
    <w:rsid w:val="00CD6755"/>
    <w:rsid w:val="00CD6856"/>
    <w:rsid w:val="00CE0089"/>
    <w:rsid w:val="00CE793C"/>
    <w:rsid w:val="00CF193C"/>
    <w:rsid w:val="00CF2345"/>
    <w:rsid w:val="00D173F1"/>
    <w:rsid w:val="00D17F87"/>
    <w:rsid w:val="00D74CB0"/>
    <w:rsid w:val="00D822EE"/>
    <w:rsid w:val="00D8295D"/>
    <w:rsid w:val="00D8325D"/>
    <w:rsid w:val="00DA2654"/>
    <w:rsid w:val="00DC2A65"/>
    <w:rsid w:val="00DE15F0"/>
    <w:rsid w:val="00DE5663"/>
    <w:rsid w:val="00DE78AA"/>
    <w:rsid w:val="00E053D0"/>
    <w:rsid w:val="00E15994"/>
    <w:rsid w:val="00E3114E"/>
    <w:rsid w:val="00E31A70"/>
    <w:rsid w:val="00E35B02"/>
    <w:rsid w:val="00E45CC5"/>
    <w:rsid w:val="00E57613"/>
    <w:rsid w:val="00E66496"/>
    <w:rsid w:val="00E66B35"/>
    <w:rsid w:val="00E66E10"/>
    <w:rsid w:val="00E769F6"/>
    <w:rsid w:val="00E8407C"/>
    <w:rsid w:val="00E84F3C"/>
    <w:rsid w:val="00E90F7E"/>
    <w:rsid w:val="00EA012C"/>
    <w:rsid w:val="00EC5AED"/>
    <w:rsid w:val="00EC6A55"/>
    <w:rsid w:val="00ED0288"/>
    <w:rsid w:val="00EE52CB"/>
    <w:rsid w:val="00EF581D"/>
    <w:rsid w:val="00EF7FD8"/>
    <w:rsid w:val="00F06F59"/>
    <w:rsid w:val="00F17988"/>
    <w:rsid w:val="00F32BF7"/>
    <w:rsid w:val="00F469F0"/>
    <w:rsid w:val="00F53273"/>
    <w:rsid w:val="00F55227"/>
    <w:rsid w:val="00F755E4"/>
    <w:rsid w:val="00F77D02"/>
    <w:rsid w:val="00F825A7"/>
    <w:rsid w:val="00FA123C"/>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F0B76D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501CD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501CDF"/>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501CDF"/>
    <w:rPr>
      <w:b/>
      <w:bCs/>
    </w:rPr>
  </w:style>
  <w:style w:type="paragraph" w:styleId="NormalWeb">
    <w:name w:val="Normal (Web)"/>
    <w:basedOn w:val="Normal"/>
    <w:uiPriority w:val="99"/>
    <w:unhideWhenUsed/>
    <w:rsid w:val="00501CDF"/>
    <w:pPr>
      <w:spacing w:before="100" w:beforeAutospacing="1" w:after="100" w:afterAutospacing="1"/>
    </w:pPr>
    <w:rPr>
      <w:rFonts w:ascii="Times New Roman" w:hAnsi="Times New Roman"/>
      <w:sz w:val="24"/>
      <w:szCs w:val="24"/>
      <w:lang w:val="fr-CI" w:eastAsia="fr-C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2414254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4502495">
      <w:bodyDiv w:val="1"/>
      <w:marLeft w:val="0"/>
      <w:marRight w:val="0"/>
      <w:marTop w:val="0"/>
      <w:marBottom w:val="0"/>
      <w:divBdr>
        <w:top w:val="none" w:sz="0" w:space="0" w:color="auto"/>
        <w:left w:val="none" w:sz="0" w:space="0" w:color="auto"/>
        <w:bottom w:val="none" w:sz="0" w:space="0" w:color="auto"/>
        <w:right w:val="none" w:sz="0" w:space="0" w:color="auto"/>
      </w:divBdr>
    </w:div>
    <w:div w:id="80755153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17241606">
      <w:bodyDiv w:val="1"/>
      <w:marLeft w:val="0"/>
      <w:marRight w:val="0"/>
      <w:marTop w:val="0"/>
      <w:marBottom w:val="0"/>
      <w:divBdr>
        <w:top w:val="none" w:sz="0" w:space="0" w:color="auto"/>
        <w:left w:val="none" w:sz="0" w:space="0" w:color="auto"/>
        <w:bottom w:val="none" w:sz="0" w:space="0" w:color="auto"/>
        <w:right w:val="none" w:sz="0" w:space="0" w:color="auto"/>
      </w:divBdr>
    </w:div>
    <w:div w:id="1522475821">
      <w:bodyDiv w:val="1"/>
      <w:marLeft w:val="0"/>
      <w:marRight w:val="0"/>
      <w:marTop w:val="0"/>
      <w:marBottom w:val="0"/>
      <w:divBdr>
        <w:top w:val="none" w:sz="0" w:space="0" w:color="auto"/>
        <w:left w:val="none" w:sz="0" w:space="0" w:color="auto"/>
        <w:bottom w:val="none" w:sz="0" w:space="0" w:color="auto"/>
        <w:right w:val="none" w:sz="0" w:space="0" w:color="auto"/>
      </w:divBdr>
    </w:div>
    <w:div w:id="169608116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AF754-BDA3-486D-A3D2-5858AC6BC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Pages>8</Pages>
  <Words>3525</Words>
  <Characters>20098</Characters>
  <Application>Microsoft Office Word</Application>
  <DocSecurity>0</DocSecurity>
  <Lines>167</Lines>
  <Paragraphs>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23576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cp:revision>
  <cp:lastPrinted>1999-07-06T11:00:00Z</cp:lastPrinted>
  <dcterms:created xsi:type="dcterms:W3CDTF">2026-03-31T10:26:00Z</dcterms:created>
  <dcterms:modified xsi:type="dcterms:W3CDTF">2026-03-31T13:10:00Z</dcterms:modified>
</cp:coreProperties>
</file>