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5FF" w:rsidRDefault="003925FF" w:rsidP="00CF6F62">
      <w:pPr>
        <w:spacing w:line="480" w:lineRule="auto"/>
        <w:jc w:val="center"/>
        <w:rPr>
          <w:rFonts w:ascii="Times New Roman" w:hAnsi="Times New Roman" w:cs="Times New Roman"/>
          <w:b/>
          <w:bCs/>
          <w:color w:val="000000" w:themeColor="text1"/>
          <w:sz w:val="24"/>
          <w:szCs w:val="24"/>
        </w:rPr>
      </w:pPr>
      <w:r w:rsidRPr="003925FF">
        <w:rPr>
          <w:rFonts w:ascii="Times New Roman" w:hAnsi="Times New Roman" w:cs="Times New Roman"/>
          <w:b/>
          <w:bCs/>
          <w:color w:val="000000" w:themeColor="text1"/>
          <w:sz w:val="24"/>
          <w:szCs w:val="24"/>
        </w:rPr>
        <w:t xml:space="preserve">Case Report </w:t>
      </w:r>
    </w:p>
    <w:p w:rsidR="005A0E34" w:rsidRDefault="005A0E34" w:rsidP="00CF6F62">
      <w:pPr>
        <w:spacing w:line="480" w:lineRule="auto"/>
        <w:jc w:val="center"/>
        <w:rPr>
          <w:rFonts w:ascii="Times New Roman" w:hAnsi="Times New Roman" w:cs="Times New Roman"/>
          <w:b/>
          <w:bCs/>
          <w:color w:val="000000" w:themeColor="text1"/>
          <w:sz w:val="24"/>
          <w:szCs w:val="24"/>
        </w:rPr>
      </w:pPr>
      <w:r w:rsidRPr="00041C7F">
        <w:rPr>
          <w:rFonts w:ascii="Times New Roman" w:hAnsi="Times New Roman" w:cs="Times New Roman"/>
          <w:b/>
          <w:bCs/>
          <w:color w:val="000000" w:themeColor="text1"/>
          <w:sz w:val="24"/>
          <w:szCs w:val="24"/>
        </w:rPr>
        <w:t>Vildagliptin-Induced Bullous Vasculitis: A Case Report with Causality Assessment</w:t>
      </w:r>
    </w:p>
    <w:p w:rsidR="002F543E" w:rsidRPr="005D156E" w:rsidRDefault="003725AE" w:rsidP="00A83D0F">
      <w:pPr>
        <w:spacing w:line="480" w:lineRule="auto"/>
        <w:jc w:val="center"/>
        <w:rPr>
          <w:rFonts w:ascii="Times New Roman" w:hAnsi="Times New Roman" w:cs="Times New Roman"/>
          <w:color w:val="000000" w:themeColor="text1"/>
          <w:sz w:val="24"/>
          <w:szCs w:val="24"/>
          <w:vertAlign w:val="superscript"/>
        </w:rPr>
      </w:pPr>
      <w:r w:rsidRPr="003725AE">
        <w:rPr>
          <w:rFonts w:ascii="Times New Roman" w:hAnsi="Times New Roman" w:cs="Times New Roman"/>
          <w:b/>
          <w:bCs/>
          <w:color w:val="000000" w:themeColor="text1"/>
          <w:sz w:val="24"/>
          <w:szCs w:val="24"/>
        </w:rPr>
        <w:br/>
      </w:r>
      <w:bookmarkStart w:id="0" w:name="_GoBack"/>
      <w:bookmarkEnd w:id="0"/>
    </w:p>
    <w:p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 xml:space="preserve">Abstract: </w:t>
      </w:r>
      <w:r w:rsidRPr="00041C7F">
        <w:rPr>
          <w:rFonts w:ascii="Times New Roman" w:hAnsi="Times New Roman" w:cs="Times New Roman"/>
          <w:sz w:val="24"/>
          <w:szCs w:val="24"/>
        </w:rPr>
        <w:br/>
      </w:r>
      <w:r w:rsidR="00AD1AC6" w:rsidRPr="00041C7F">
        <w:rPr>
          <w:rFonts w:ascii="Times New Roman" w:hAnsi="Times New Roman" w:cs="Times New Roman"/>
          <w:sz w:val="24"/>
          <w:szCs w:val="24"/>
        </w:rPr>
        <w:t xml:space="preserve">Bullous vasculitis is a rare form of cutaneous small-vessel vasculitis characterized by blistering over inflamed skin. We report a 42-year-old woman with type 2 diabetes mellitus who developed bilateral lower limb swelling, painful ulcerations, and bullae following treatment with a vildagliptin-containing oral antidiabetic regimen for six months, which she discontinued, following which cutaneous lesions appeared and persisted in the setting of poor </w:t>
      </w:r>
      <w:proofErr w:type="spellStart"/>
      <w:r w:rsidR="00AD1AC6" w:rsidRPr="00041C7F">
        <w:rPr>
          <w:rFonts w:ascii="Times New Roman" w:hAnsi="Times New Roman" w:cs="Times New Roman"/>
          <w:sz w:val="24"/>
          <w:szCs w:val="24"/>
        </w:rPr>
        <w:t>glycemic</w:t>
      </w:r>
      <w:proofErr w:type="spellEnd"/>
      <w:r w:rsidR="00AD1AC6" w:rsidRPr="00041C7F">
        <w:rPr>
          <w:rFonts w:ascii="Times New Roman" w:hAnsi="Times New Roman" w:cs="Times New Roman"/>
          <w:sz w:val="24"/>
          <w:szCs w:val="24"/>
        </w:rPr>
        <w:t xml:space="preserve"> control. Rechallenge during hospitalization resulted in worsening of the lesions, while drug withdrawal led to clinical improvement. Histopathological examination confirmed bullous leukocytoclastic vasculitis. Discontinuation of vildagliptin and initiation of insulin therapy resulted in progressive healing of the ulcers, suggesting a probable drug-induced </w:t>
      </w:r>
      <w:proofErr w:type="spellStart"/>
      <w:r w:rsidR="00AD1AC6" w:rsidRPr="00041C7F">
        <w:rPr>
          <w:rFonts w:ascii="Times New Roman" w:hAnsi="Times New Roman" w:cs="Times New Roman"/>
          <w:sz w:val="24"/>
          <w:szCs w:val="24"/>
        </w:rPr>
        <w:t>etiology</w:t>
      </w:r>
      <w:proofErr w:type="spellEnd"/>
      <w:r w:rsidR="00AD1AC6" w:rsidRPr="00041C7F">
        <w:rPr>
          <w:rFonts w:ascii="Times New Roman" w:hAnsi="Times New Roman" w:cs="Times New Roman"/>
          <w:sz w:val="24"/>
          <w:szCs w:val="24"/>
        </w:rPr>
        <w:t xml:space="preserve">. This case highlights the importance of early recognition of vildagliptin-associated bullous vasculitis and prompt withdrawal of the suspected drug to ensure </w:t>
      </w:r>
      <w:proofErr w:type="spellStart"/>
      <w:r w:rsidR="00AD1AC6" w:rsidRPr="00041C7F">
        <w:rPr>
          <w:rFonts w:ascii="Times New Roman" w:hAnsi="Times New Roman" w:cs="Times New Roman"/>
          <w:sz w:val="24"/>
          <w:szCs w:val="24"/>
        </w:rPr>
        <w:t>favorable</w:t>
      </w:r>
      <w:proofErr w:type="spellEnd"/>
      <w:r w:rsidR="00AD1AC6" w:rsidRPr="00041C7F">
        <w:rPr>
          <w:rFonts w:ascii="Times New Roman" w:hAnsi="Times New Roman" w:cs="Times New Roman"/>
          <w:sz w:val="24"/>
          <w:szCs w:val="24"/>
        </w:rPr>
        <w:t xml:space="preserve"> outcomes.</w:t>
      </w:r>
    </w:p>
    <w:p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Keywords</w:t>
      </w:r>
    </w:p>
    <w:p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Vildagliptin; bullous vasculitis; DPP-4 inhibitors; drug-induced vasculitis</w:t>
      </w:r>
    </w:p>
    <w:p w:rsidR="00510273"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Introduction</w:t>
      </w:r>
      <w:r w:rsidRPr="00041C7F">
        <w:rPr>
          <w:rFonts w:ascii="Times New Roman" w:hAnsi="Times New Roman" w:cs="Times New Roman"/>
          <w:sz w:val="24"/>
          <w:szCs w:val="24"/>
        </w:rPr>
        <w:br/>
      </w:r>
      <w:r w:rsidR="00510273" w:rsidRPr="00041C7F">
        <w:rPr>
          <w:rFonts w:ascii="Times New Roman" w:hAnsi="Times New Roman" w:cs="Times New Roman"/>
          <w:sz w:val="24"/>
          <w:szCs w:val="24"/>
        </w:rPr>
        <w:t xml:space="preserve">Vildagliptin is a dipeptidyl peptidase-4 (DPP-4) inhibitor widely used in the management of type 2 diabetes mellitus. It improves </w:t>
      </w:r>
      <w:proofErr w:type="spellStart"/>
      <w:r w:rsidR="00510273" w:rsidRPr="00041C7F">
        <w:rPr>
          <w:rFonts w:ascii="Times New Roman" w:hAnsi="Times New Roman" w:cs="Times New Roman"/>
          <w:sz w:val="24"/>
          <w:szCs w:val="24"/>
        </w:rPr>
        <w:t>glycemic</w:t>
      </w:r>
      <w:proofErr w:type="spellEnd"/>
      <w:r w:rsidR="00510273" w:rsidRPr="00041C7F">
        <w:rPr>
          <w:rFonts w:ascii="Times New Roman" w:hAnsi="Times New Roman" w:cs="Times New Roman"/>
          <w:sz w:val="24"/>
          <w:szCs w:val="24"/>
        </w:rPr>
        <w:t xml:space="preserve"> control by enhancing the incretin-mediated insulin response and is generally considered safe and well tolerated</w:t>
      </w:r>
      <w:r w:rsidR="00C71C8A"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10273" w:rsidRPr="00041C7F">
        <w:rPr>
          <w:rFonts w:ascii="Times New Roman" w:hAnsi="Times New Roman" w:cs="Times New Roman"/>
          <w:sz w:val="24"/>
          <w:szCs w:val="24"/>
        </w:rPr>
        <w:instrText xml:space="preserve"> ADDIN ZOTERO_ITEM CSL_CITATION {"citationID":"4NfnGL38","properties":{"formattedCitation":"(1)","plainCitation":"(1)","noteIndex":0},"citationItems":[{"id":48,"uris":["http://zotero.org/users/14869331/items/3C8CH7RA"],"itemData":{"id":48,"type":"article-journal","abstract":"Dipeptidyl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Endocrinology","DOI":"10.1186/s40842-024-00165-w","ISSN":"2055-8260","issue":"1","journalAbbreviation":"Clin Diabetes Endocrinol","language":"en","page":"6","source":"Springer Link","title":"Dermatological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00510273" w:rsidRPr="00041C7F">
        <w:rPr>
          <w:rFonts w:ascii="Times New Roman" w:hAnsi="Times New Roman" w:cs="Times New Roman"/>
          <w:sz w:val="24"/>
          <w:szCs w:val="24"/>
        </w:rPr>
        <w:t>(1)</w:t>
      </w:r>
      <w:r w:rsidR="00164F0C" w:rsidRPr="00041C7F">
        <w:rPr>
          <w:rFonts w:ascii="Times New Roman" w:hAnsi="Times New Roman" w:cs="Times New Roman"/>
          <w:sz w:val="24"/>
          <w:szCs w:val="24"/>
        </w:rPr>
        <w:fldChar w:fldCharType="end"/>
      </w:r>
      <w:r w:rsidR="00510273" w:rsidRPr="00041C7F">
        <w:rPr>
          <w:rFonts w:ascii="Times New Roman" w:hAnsi="Times New Roman" w:cs="Times New Roman"/>
          <w:sz w:val="24"/>
          <w:szCs w:val="24"/>
        </w:rPr>
        <w:t>. However, emerging evidence links DPP-4 inhibitors to dermatological adverse reactions</w:t>
      </w:r>
      <w:r w:rsidR="00722A77"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ranging from pruritus and fixed drug eruptions to severe cutaneous adverse</w:t>
      </w:r>
      <w:r w:rsidR="00722A77" w:rsidRPr="00041C7F">
        <w:rPr>
          <w:rFonts w:ascii="Times New Roman" w:hAnsi="Times New Roman" w:cs="Times New Roman"/>
          <w:sz w:val="24"/>
          <w:szCs w:val="24"/>
        </w:rPr>
        <w:t xml:space="preserve"> reactions.</w:t>
      </w:r>
      <w:r w:rsidR="00510273" w:rsidRPr="00041C7F">
        <w:rPr>
          <w:rFonts w:ascii="Times New Roman" w:hAnsi="Times New Roman" w:cs="Times New Roman"/>
          <w:sz w:val="24"/>
          <w:szCs w:val="24"/>
        </w:rPr>
        <w:t xml:space="preserve"> Among these, drug-induced </w:t>
      </w:r>
      <w:r w:rsidR="00510273" w:rsidRPr="00041C7F">
        <w:rPr>
          <w:rFonts w:ascii="Times New Roman" w:hAnsi="Times New Roman" w:cs="Times New Roman"/>
          <w:sz w:val="24"/>
          <w:szCs w:val="24"/>
        </w:rPr>
        <w:lastRenderedPageBreak/>
        <w:t>bullous pemphigoid is the most commonly reported, whereas bullous vasculitis is exceedingly rare</w:t>
      </w:r>
      <w:r w:rsidR="00C71C8A"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10273" w:rsidRPr="00041C7F">
        <w:rPr>
          <w:rFonts w:ascii="Times New Roman" w:hAnsi="Times New Roman" w:cs="Times New Roman"/>
          <w:sz w:val="24"/>
          <w:szCs w:val="24"/>
        </w:rPr>
        <w:instrText xml:space="preserve"> ADDIN ZOTERO_ITEM CSL_CITATION {"citationID":"sHjKXGjY","properties":{"formattedCitation":"(1)","plainCitation":"(1)","noteIndex":0},"citationItems":[{"id":48,"uris":["http://zotero.org/users/14869331/items/3C8CH7RA"],"itemData":{"id":48,"type":"article-journal","abstract":"Dipeptidyl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Endocrinology","DOI":"10.1186/s40842-024-00165-w","ISSN":"2055-8260","issue":"1","journalAbbreviation":"Clin Diabetes Endocrinol","language":"en","page":"6","source":"Springer Link","title":"Dermatological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00510273" w:rsidRPr="00041C7F">
        <w:rPr>
          <w:rFonts w:ascii="Times New Roman" w:hAnsi="Times New Roman" w:cs="Times New Roman"/>
          <w:sz w:val="24"/>
          <w:szCs w:val="24"/>
        </w:rPr>
        <w:t>(1)</w:t>
      </w:r>
      <w:r w:rsidR="00164F0C" w:rsidRPr="00041C7F">
        <w:rPr>
          <w:rFonts w:ascii="Times New Roman" w:hAnsi="Times New Roman" w:cs="Times New Roman"/>
          <w:sz w:val="24"/>
          <w:szCs w:val="24"/>
        </w:rPr>
        <w:fldChar w:fldCharType="end"/>
      </w:r>
      <w:r w:rsidR="00510273" w:rsidRPr="00041C7F">
        <w:rPr>
          <w:rFonts w:ascii="Times New Roman" w:hAnsi="Times New Roman" w:cs="Times New Roman"/>
          <w:sz w:val="24"/>
          <w:szCs w:val="24"/>
        </w:rPr>
        <w:t>.</w:t>
      </w:r>
      <w:r w:rsidR="00C71C8A"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 xml:space="preserve">Bullous vasculitis is a rare variant of cutaneous small-vessel vasculitis characterized by purpuric lesions accompanied by fluid-filled or </w:t>
      </w:r>
      <w:r w:rsidR="00722A77" w:rsidRPr="00041C7F">
        <w:rPr>
          <w:rFonts w:ascii="Times New Roman" w:hAnsi="Times New Roman" w:cs="Times New Roman"/>
          <w:sz w:val="24"/>
          <w:szCs w:val="24"/>
        </w:rPr>
        <w:t>haemorrhagic</w:t>
      </w:r>
      <w:r w:rsidR="00510273" w:rsidRPr="00041C7F">
        <w:rPr>
          <w:rFonts w:ascii="Times New Roman" w:hAnsi="Times New Roman" w:cs="Times New Roman"/>
          <w:sz w:val="24"/>
          <w:szCs w:val="24"/>
        </w:rPr>
        <w:t xml:space="preserve"> bullae due to immune complex-mediated vascular injury.</w:t>
      </w:r>
      <w:r w:rsidR="00C71C8A" w:rsidRPr="00041C7F">
        <w:rPr>
          <w:rFonts w:ascii="Times New Roman" w:hAnsi="Times New Roman" w:cs="Times New Roman"/>
          <w:sz w:val="24"/>
          <w:szCs w:val="24"/>
        </w:rPr>
        <w:t xml:space="preserve"> </w:t>
      </w:r>
      <w:r w:rsidR="00510273" w:rsidRPr="00041C7F">
        <w:rPr>
          <w:rFonts w:ascii="Times New Roman" w:hAnsi="Times New Roman" w:cs="Times New Roman"/>
          <w:sz w:val="24"/>
          <w:szCs w:val="24"/>
        </w:rPr>
        <w:t>While drug-induced vasculitis is well documented, only a few cases have been reported with DPP-4 inhibitors, primarily involving Sitagliptin. To date, no cases have implicated Vildagliptin in bullous vasculitis. We report the first such case temporally associated with vildagliptin therapy, supported by causality assessment.</w:t>
      </w:r>
    </w:p>
    <w:p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CASE DESCRIPTION </w:t>
      </w:r>
    </w:p>
    <w:p w:rsidR="00F474F6" w:rsidRPr="00041C7F" w:rsidRDefault="00F474F6"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A 42-year-old woman presented with a one-week history of bilateral lower limb swelling and painful ulcers over the right ankle and left leg. She was a known case of type 2 diabetes mellitus for one year and had been taking </w:t>
      </w:r>
      <w:proofErr w:type="spellStart"/>
      <w:r w:rsidRPr="00041C7F">
        <w:rPr>
          <w:rFonts w:ascii="Times New Roman" w:hAnsi="Times New Roman" w:cs="Times New Roman"/>
          <w:sz w:val="24"/>
          <w:szCs w:val="24"/>
        </w:rPr>
        <w:t>Mytopride</w:t>
      </w:r>
      <w:proofErr w:type="spellEnd"/>
      <w:r w:rsidRPr="00041C7F">
        <w:rPr>
          <w:rFonts w:ascii="Times New Roman" w:hAnsi="Times New Roman" w:cs="Times New Roman"/>
          <w:sz w:val="24"/>
          <w:szCs w:val="24"/>
        </w:rPr>
        <w:t>-VD (vildagliptin 50 mg + metformin 500 mg) and Vogs-GM2 (</w:t>
      </w:r>
      <w:proofErr w:type="spellStart"/>
      <w:r w:rsidRPr="00041C7F">
        <w:rPr>
          <w:rFonts w:ascii="Times New Roman" w:hAnsi="Times New Roman" w:cs="Times New Roman"/>
          <w:sz w:val="24"/>
          <w:szCs w:val="24"/>
        </w:rPr>
        <w:t>voglibose</w:t>
      </w:r>
      <w:proofErr w:type="spellEnd"/>
      <w:r w:rsidRPr="00041C7F">
        <w:rPr>
          <w:rFonts w:ascii="Times New Roman" w:hAnsi="Times New Roman" w:cs="Times New Roman"/>
          <w:sz w:val="24"/>
          <w:szCs w:val="24"/>
        </w:rPr>
        <w:t xml:space="preserve"> 0.2 mg + glimepiride 2 mg + metformin 500 mg) for six months, which she later discontinued. Six months after resuming these medications, she developed the current complaints and presented to the emergency department. On examination, multiple ulcerative and bullous lesions with </w:t>
      </w:r>
      <w:proofErr w:type="spellStart"/>
      <w:r w:rsidRPr="00041C7F">
        <w:rPr>
          <w:rFonts w:ascii="Times New Roman" w:hAnsi="Times New Roman" w:cs="Times New Roman"/>
          <w:sz w:val="24"/>
          <w:szCs w:val="24"/>
        </w:rPr>
        <w:t>edema</w:t>
      </w:r>
      <w:proofErr w:type="spellEnd"/>
      <w:r w:rsidRPr="00041C7F">
        <w:rPr>
          <w:rFonts w:ascii="Times New Roman" w:hAnsi="Times New Roman" w:cs="Times New Roman"/>
          <w:sz w:val="24"/>
          <w:szCs w:val="24"/>
        </w:rPr>
        <w:t xml:space="preserve"> were noted over both lower limbs. Vital signs were stable except for elevated blood pressure (150/110 mmHg) and tachycardia (102/min).</w:t>
      </w:r>
    </w:p>
    <w:p w:rsidR="00F474F6" w:rsidRPr="00041C7F" w:rsidRDefault="00F474F6"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 xml:space="preserve">On examination, multiple bullous and ulcerative lesions with bilateral pedal </w:t>
      </w:r>
      <w:proofErr w:type="spellStart"/>
      <w:r w:rsidRPr="00041C7F">
        <w:rPr>
          <w:rFonts w:ascii="Times New Roman" w:hAnsi="Times New Roman" w:cs="Times New Roman"/>
          <w:sz w:val="24"/>
          <w:szCs w:val="24"/>
        </w:rPr>
        <w:t>edema</w:t>
      </w:r>
      <w:proofErr w:type="spellEnd"/>
      <w:r w:rsidRPr="00041C7F">
        <w:rPr>
          <w:rFonts w:ascii="Times New Roman" w:hAnsi="Times New Roman" w:cs="Times New Roman"/>
          <w:sz w:val="24"/>
          <w:szCs w:val="24"/>
        </w:rPr>
        <w:t xml:space="preserve"> were noted. Vital signs were stable except for elevated blood pressure (150/110 mmHg) and tachycardia (102/min).</w:t>
      </w:r>
    </w:p>
    <w:p w:rsidR="00F474F6" w:rsidRPr="00041C7F" w:rsidRDefault="00F474F6"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 xml:space="preserve">Laboratory investigations revealed </w:t>
      </w:r>
      <w:proofErr w:type="spellStart"/>
      <w:r w:rsidRPr="00041C7F">
        <w:rPr>
          <w:rFonts w:ascii="Times New Roman" w:hAnsi="Times New Roman" w:cs="Times New Roman"/>
          <w:sz w:val="24"/>
          <w:szCs w:val="24"/>
        </w:rPr>
        <w:t>leukocytosis</w:t>
      </w:r>
      <w:proofErr w:type="spellEnd"/>
      <w:r w:rsidRPr="00041C7F">
        <w:rPr>
          <w:rFonts w:ascii="Times New Roman" w:hAnsi="Times New Roman" w:cs="Times New Roman"/>
          <w:sz w:val="24"/>
          <w:szCs w:val="24"/>
        </w:rPr>
        <w:t xml:space="preserve"> (WBC 12.5 ×10³/</w:t>
      </w:r>
      <w:proofErr w:type="spellStart"/>
      <w:r w:rsidRPr="00041C7F">
        <w:rPr>
          <w:rFonts w:ascii="Times New Roman" w:hAnsi="Times New Roman" w:cs="Times New Roman"/>
          <w:sz w:val="24"/>
          <w:szCs w:val="24"/>
        </w:rPr>
        <w:t>cumm</w:t>
      </w:r>
      <w:proofErr w:type="spellEnd"/>
      <w:r w:rsidRPr="00041C7F">
        <w:rPr>
          <w:rFonts w:ascii="Times New Roman" w:hAnsi="Times New Roman" w:cs="Times New Roman"/>
          <w:sz w:val="24"/>
          <w:szCs w:val="24"/>
        </w:rPr>
        <w:t>) with relative lymphocytosis (41.9%) and elevated absolute lymphocyte count (5.23 ×10³/</w:t>
      </w:r>
      <w:proofErr w:type="spellStart"/>
      <w:r w:rsidRPr="00041C7F">
        <w:rPr>
          <w:rFonts w:ascii="Times New Roman" w:hAnsi="Times New Roman" w:cs="Times New Roman"/>
          <w:sz w:val="24"/>
          <w:szCs w:val="24"/>
        </w:rPr>
        <w:t>cumm</w:t>
      </w:r>
      <w:proofErr w:type="spellEnd"/>
      <w:r w:rsidRPr="00041C7F">
        <w:rPr>
          <w:rFonts w:ascii="Times New Roman" w:hAnsi="Times New Roman" w:cs="Times New Roman"/>
          <w:sz w:val="24"/>
          <w:szCs w:val="24"/>
        </w:rPr>
        <w:t xml:space="preserve">). AST was </w:t>
      </w:r>
      <w:r w:rsidRPr="00041C7F">
        <w:rPr>
          <w:rFonts w:ascii="Times New Roman" w:hAnsi="Times New Roman" w:cs="Times New Roman"/>
          <w:sz w:val="24"/>
          <w:szCs w:val="24"/>
        </w:rPr>
        <w:lastRenderedPageBreak/>
        <w:t>slightly reduced (13 U/L), and the albumin/globulin ratio was decreased (1.06). The blood picture suggested a mild inflammatory response consistent with bullous vasculitis.</w:t>
      </w:r>
    </w:p>
    <w:p w:rsidR="00F474F6" w:rsidRPr="00041C7F" w:rsidRDefault="00F474F6"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 xml:space="preserve">Arterial Doppler of the right lower limb showed a monophasic flow pattern in the anterior tibial and dorsalis pedis arteries, while other arteries exhibited biphasic/triphasic flow. In the left lower limb, most arteries demonstrated normal triphasic flow; the popliteal artery could not be assessed due to </w:t>
      </w:r>
      <w:proofErr w:type="spellStart"/>
      <w:r w:rsidRPr="00041C7F">
        <w:rPr>
          <w:rFonts w:ascii="Times New Roman" w:hAnsi="Times New Roman" w:cs="Times New Roman"/>
          <w:sz w:val="24"/>
          <w:szCs w:val="24"/>
        </w:rPr>
        <w:t>edema</w:t>
      </w:r>
      <w:proofErr w:type="spellEnd"/>
      <w:r w:rsidRPr="00041C7F">
        <w:rPr>
          <w:rFonts w:ascii="Times New Roman" w:hAnsi="Times New Roman" w:cs="Times New Roman"/>
          <w:sz w:val="24"/>
          <w:szCs w:val="24"/>
        </w:rPr>
        <w:t>. Venous Doppler of both lower limbs showed no evidence of deep vein thrombosis.</w:t>
      </w:r>
    </w:p>
    <w:p w:rsidR="00CF352C" w:rsidRPr="00041C7F" w:rsidRDefault="00F474F6"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The patient was initially referred by General Surgery with a provisional diagnosis of bilateral cellulitis with ulcers. Following dermatological evaluation and correlation with clinical and laboratory findings, a diagnosis of drug-induced bullous vasculitis was considered.</w:t>
      </w:r>
    </w:p>
    <w:p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Discussion </w:t>
      </w:r>
    </w:p>
    <w:p w:rsidR="005A0E34" w:rsidRPr="00041C7F" w:rsidRDefault="00197AE4" w:rsidP="00CF6F62">
      <w:pPr>
        <w:spacing w:line="480" w:lineRule="auto"/>
        <w:rPr>
          <w:rFonts w:ascii="Times New Roman" w:hAnsi="Times New Roman" w:cs="Times New Roman"/>
          <w:sz w:val="24"/>
          <w:szCs w:val="24"/>
        </w:rPr>
      </w:pPr>
      <w:proofErr w:type="spellStart"/>
      <w:r w:rsidRPr="00041C7F">
        <w:rPr>
          <w:rFonts w:ascii="Times New Roman" w:hAnsi="Times New Roman" w:cs="Times New Roman"/>
          <w:sz w:val="24"/>
          <w:szCs w:val="24"/>
        </w:rPr>
        <w:t>Mytopride</w:t>
      </w:r>
      <w:proofErr w:type="spellEnd"/>
      <w:r w:rsidRPr="00041C7F">
        <w:rPr>
          <w:rFonts w:ascii="Times New Roman" w:hAnsi="Times New Roman" w:cs="Times New Roman"/>
          <w:sz w:val="24"/>
          <w:szCs w:val="24"/>
        </w:rPr>
        <w:t xml:space="preserve">-VD (vildagliptin 50 mg + metformin 500 mg) combines a DPP-4 inhibitor with metformin. Vildagliptin enhances GLP-1 activity, increasing insulin secretion and decreasing glucagon release in a glucose-dependent manner, while metformin improves insulin sensitivity and reduces hepatic glucose production. This combination effectively lowers fasting and postprandial glucose and HbA1c with minimal risk of </w:t>
      </w:r>
      <w:proofErr w:type="spellStart"/>
      <w:r w:rsidRPr="00041C7F">
        <w:rPr>
          <w:rFonts w:ascii="Times New Roman" w:hAnsi="Times New Roman" w:cs="Times New Roman"/>
          <w:sz w:val="24"/>
          <w:szCs w:val="24"/>
        </w:rPr>
        <w:t>hypoglycemia</w:t>
      </w:r>
      <w:proofErr w:type="spellEnd"/>
      <w:r w:rsidRPr="00041C7F">
        <w:rPr>
          <w:rFonts w:ascii="Times New Roman" w:hAnsi="Times New Roman" w:cs="Times New Roman"/>
          <w:sz w:val="24"/>
          <w:szCs w:val="24"/>
        </w:rPr>
        <w:t xml:space="preserve"> and weight gain</w:t>
      </w:r>
      <w:r w:rsidR="00722A77"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005A0E34" w:rsidRPr="00041C7F">
        <w:rPr>
          <w:rFonts w:ascii="Times New Roman" w:hAnsi="Times New Roman" w:cs="Times New Roman"/>
          <w:sz w:val="24"/>
          <w:szCs w:val="24"/>
        </w:rPr>
        <w:instrText xml:space="preserve"> ADDIN ZOTERO_ITEM CSL_CITATION {"citationID":"5bydk725","properties":{"formattedCitation":"(3,4)","plainCitation":"(3,4)","noteIndex":0},"citationItems":[{"id":235,"uris":["http://zotero.org/users/14869331/items/RU3H2LEQ"],"itemData":{"id":235,"type":"article-journal","abstract":"Vildagliptin, a dipeptidyl peptidase-4 (DPP-4) inhibitor is effective in reducing HbA1c levels in patients with type 2 diabetes (T2DM) when administered as monotherapy, dual or triple combination therapy. In India, Vildagliptin is commonly prescribed in T2DM patients because it reduces mean amplitude of glycemic excursion (MAGE), has lower risk of hypoglycemia and is weight neutral. Early combination therapy with vildagliptin and metformin is effective and well-tolerated in patients with T2DM, regardless of age or ethnicity. In view of already existing data on vildagliptin and the latest emerging clinical evidence, a group of endocrinologists, diabetologists and cardiologists convened for an expert group meeting to discuss the role and various combinations of vildagliptin in T2DM management. This practical document aims to guide Physicians and Specialists regarding the different available strengths and formulations of vildagliptin for the initiation and intensification of T2DM therapy.","container-title":"Clinical Medicine Insights. Endocrinology and Diabetes","DOI":"10.1177/11795514231203911","ISSN":"1179-5514","journalAbbreviation":"Clin Med Insights Endocrinol Diabetes","note":"PMID: 38405679\nPMCID: PMC10893842","page":"11795514231203911","source":"PubMed Central","title":"Expert eValuation of Efficacy and Rationality of Vildagliptin “EVER-Vilda”: An Indian Perspective","title-short":"Expert eValuation of Efficacy and Rationality of Vildagliptin “EVER-Vilda”","volume":"17","author":[{"family":"Kalra","given":"Sanjay"},{"family":"Zargar","given":"Abdul Hamid"},{"family":"Sridhar","given":"GR"},{"family":"Das","given":"Ashok Kumar"},{"family":"Ahmed","given":"Jamal"},{"family":"Mohan","given":"Jagdish Chander"},{"family":"Vijayakumar","given":"G"},{"family":"Kumar","given":"Ajay"},{"family":"Sahay","given":"Rakesh Kumar"},{"family":"Ayer","given":"Vageesh"},{"family":"Pandit","given":"Kaushik"},{"family":"Bantwal","given":"Ganapathi"},{"family":"Srinivas","given":"Arun"},{"family":"Unnikrishnan","given":"AG"},{"family":"Jindal","given":"Sushil"},{"family":"Ray","given":"Saumitra"},{"family":"Baruah","given":"Manash P"},{"family":"Ganguly","given":"Kajal"},{"family":"Mittal","given":"Sachin"},{"family":"Joshi","given":"Ameya"},{"family":"George","given":"Joe"},{"family":"HK","given":"Ganesh"},{"family":"Kapoor","given":"Nitin"},{"family":"Ramakrishnan","given":"Santosh"},{"family":"Shah","given":"Chetan"},{"family":"Dhingra","given":"Atul"},{"family":"Sharma","given":"Balram"}],"issued":{"date-parts":[["2024",2,22]]}}},{"id":238,"uris":["http://zotero.org/users/14869331/items/2T2PX33N"],"itemData":{"id":238,"type":"article-journal","abstract":"T2DM is a global health concern requiring effective glycaemic management to reduce complications. While DPP-4 inhibitors like vildagliptin and sitagliptin are widely used in combination with metformin, limited studies have compared their efficacy in lowering plasma glucose levels. This study aims to address this gap by evaluating the effectiveness of these combinations in glycaemic control. This study aims to address this gap by evaluating the effectiveness of these combinations in glycemic control.","container-title":"Global Journal of Obesity, Diabetes and Metabolic Syndrome","DOI":"10.17352/gjodms.000068","ISSN":"2455-8583","issue":"1","journalAbbreviation":"Glob J Obes Diabetes Metab Syndr","language":"en","license":"2025 Abubakar M, et al.","note":"publisher: peertechzpublications","page":"016-025","source":"www.clinsurggroup.us","title":"The Glycemic Outcomes of Metformin with Add-on Vildagliptin or Sitagliptin in T2DM","volume":"12","author":[{"family":"Abubakar","given":"Mohammed"},{"family":"Priya","given":"Burra Sindu"},{"family":"Himaja","given":"Yeddanapudi Sree"},{"family":"Harini","given":"Nallandhigal"},{"family":"Abubakar","given":"Mohammed"},{"family":"Priya","given":"Burra Sindu"},{"family":"Himaja","given":"Yeddanapudi Sree"},{"family":"Harini","given":"Nallandhigal"}],"issued":{"date-parts":[["2025",8,29]]}}}],"schema":"https://github.com/citation-style-language/schema/raw/master/csl-citation.json"} </w:instrText>
      </w:r>
      <w:r w:rsidR="00164F0C" w:rsidRPr="00041C7F">
        <w:rPr>
          <w:rFonts w:ascii="Times New Roman" w:hAnsi="Times New Roman" w:cs="Times New Roman"/>
          <w:sz w:val="24"/>
          <w:szCs w:val="24"/>
        </w:rPr>
        <w:fldChar w:fldCharType="separate"/>
      </w:r>
      <w:r w:rsidR="005A0E34" w:rsidRPr="00041C7F">
        <w:rPr>
          <w:rFonts w:ascii="Times New Roman" w:hAnsi="Times New Roman" w:cs="Times New Roman"/>
          <w:sz w:val="24"/>
          <w:szCs w:val="24"/>
        </w:rPr>
        <w:t>(3,4)</w:t>
      </w:r>
      <w:r w:rsidR="00164F0C" w:rsidRPr="00041C7F">
        <w:rPr>
          <w:rFonts w:ascii="Times New Roman" w:hAnsi="Times New Roman" w:cs="Times New Roman"/>
          <w:sz w:val="24"/>
          <w:szCs w:val="24"/>
        </w:rPr>
        <w:fldChar w:fldCharType="end"/>
      </w:r>
      <w:r w:rsidR="005A0E34" w:rsidRPr="00041C7F">
        <w:rPr>
          <w:rFonts w:ascii="Times New Roman" w:hAnsi="Times New Roman" w:cs="Times New Roman"/>
          <w:sz w:val="24"/>
          <w:szCs w:val="24"/>
        </w:rPr>
        <w:t>.</w:t>
      </w:r>
    </w:p>
    <w:p w:rsidR="005A0E34" w:rsidRPr="00041C7F" w:rsidRDefault="00197AE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Vogs-GM2 (</w:t>
      </w:r>
      <w:proofErr w:type="spellStart"/>
      <w:r w:rsidRPr="00041C7F">
        <w:rPr>
          <w:rFonts w:ascii="Times New Roman" w:hAnsi="Times New Roman" w:cs="Times New Roman"/>
          <w:sz w:val="24"/>
          <w:szCs w:val="24"/>
        </w:rPr>
        <w:t>voglibose</w:t>
      </w:r>
      <w:proofErr w:type="spellEnd"/>
      <w:r w:rsidRPr="00041C7F">
        <w:rPr>
          <w:rFonts w:ascii="Times New Roman" w:hAnsi="Times New Roman" w:cs="Times New Roman"/>
          <w:sz w:val="24"/>
          <w:szCs w:val="24"/>
        </w:rPr>
        <w:t xml:space="preserve"> 0.2 mg + glimepiride 2 mg + metformin 500 mg) combines an α-glucosidase inhibitor, a sulfonylurea, and metformin, effectively reducing fasting and postprandial glucose and HbA1c but </w:t>
      </w:r>
      <w:r w:rsidR="00F525A1" w:rsidRPr="00041C7F">
        <w:rPr>
          <w:rFonts w:ascii="Times New Roman" w:hAnsi="Times New Roman" w:cs="Times New Roman"/>
          <w:sz w:val="24"/>
          <w:szCs w:val="24"/>
        </w:rPr>
        <w:t xml:space="preserve">with </w:t>
      </w:r>
      <w:r w:rsidRPr="00041C7F">
        <w:rPr>
          <w:rFonts w:ascii="Times New Roman" w:hAnsi="Times New Roman" w:cs="Times New Roman"/>
          <w:sz w:val="24"/>
          <w:szCs w:val="24"/>
        </w:rPr>
        <w:t xml:space="preserve">a higher </w:t>
      </w:r>
      <w:proofErr w:type="spellStart"/>
      <w:r w:rsidRPr="00041C7F">
        <w:rPr>
          <w:rFonts w:ascii="Times New Roman" w:hAnsi="Times New Roman" w:cs="Times New Roman"/>
          <w:sz w:val="24"/>
          <w:szCs w:val="24"/>
        </w:rPr>
        <w:t>hypoglycemia</w:t>
      </w:r>
      <w:proofErr w:type="spellEnd"/>
      <w:r w:rsidRPr="00041C7F">
        <w:rPr>
          <w:rFonts w:ascii="Times New Roman" w:hAnsi="Times New Roman" w:cs="Times New Roman"/>
          <w:sz w:val="24"/>
          <w:szCs w:val="24"/>
        </w:rPr>
        <w:t xml:space="preserve"> risk compared to DPP-4 inhibitor–based therapy</w:t>
      </w:r>
      <w:r w:rsidR="00164F0C" w:rsidRPr="00041C7F">
        <w:rPr>
          <w:rFonts w:ascii="Times New Roman" w:hAnsi="Times New Roman" w:cs="Times New Roman"/>
          <w:sz w:val="24"/>
          <w:szCs w:val="24"/>
        </w:rPr>
        <w:fldChar w:fldCharType="begin"/>
      </w:r>
      <w:r w:rsidR="005A0E34" w:rsidRPr="00041C7F">
        <w:rPr>
          <w:rFonts w:ascii="Times New Roman" w:hAnsi="Times New Roman" w:cs="Times New Roman"/>
          <w:sz w:val="24"/>
          <w:szCs w:val="24"/>
        </w:rPr>
        <w:instrText xml:space="preserve"> ADDIN ZOTERO_ITEM CSL_CITATION {"citationID":"c7vjnrId","properties":{"formattedCitation":"(5,6)","plainCitation":"(5,6)","noteIndex":0},"citationItems":[{"id":240,"uris":["http://zotero.org/users/14869331/items/357SB4HS"],"itemData":{"id":240,"type":"article-journal","abstract":"Background: Post-prandial hyperglycemia (PPHG) remains a complex aspect in the management of type 2 diabetes mellitus (T2DM) in the Indian population due to uncertainty in the optimal utilization of alpha-glucosidase inhibitors (AGIs) either as standalone therapy or in combination, whether initiated initially or as a sequential therapy., Methods: This was a post-approval, observational, multicentric clinical study conducted at 50 centers according to principles of the International Council for Harmonisation of Technical Requirements of Pharmaceuticals for Human Use Guideline for Good Clinical Practice (ICH-GCP) and Declaration of Helsinki and local ethics approval. Descriptive and analytical statistics were applied for conclusion and categorical variables using SPSS version 29.0.1.0 (171) (Armonk, NY: IBM Corp.)., Results: Protocol analyses of 515 cases revealed baseline demographics as follows: age 57.35±10.04 years, weight 72.86±10.92 kg, and BMI 28.33±6.07 kg/m2. Comorbidities included hypertension (N=169, 32.82%), thyroid disorders (N=99, 19.22%), and heart failure (N=92, 17.86%). Concomitant oral antidiabetics (OADs) prescribed as DPP4i (9.50%), SGLT2i (19.20%), and DPP4i+SGLT2i (7.20%). Study drug reduced glycosylated hemoglobin (HbA1c) by 13.77% (1.25% mean change, p&lt;0.01), fasting blood glucose (FBG) by 23.69% (44.61 mg/dL mean change, p&lt;0.01), post-prandial blood glucose (PPBG) by 24.57% (70.46 mg/dL mean change, p&lt;0.01), and body weight by 4.43% (3.21 kg mean change, p&lt;0.01) over 12 weeks. A total of 161 patients accomplished targeted PPBG of &lt;180 mg/dL (119.13 mg/dL mean change, p&lt;0.01). Regression analysis considering PPBG and HbA1c ≤7.5% showed a weak correlation between them (R-value=0.13, R-squared value=0.02), whereas between PPBG and HbA1c ≤9% yielded moderate positive correlation (R-value=0.53, R-squared value=0.28). There were no adverse events reported or analyzed during the observation period., Conclusion: Voglibose fixed-dose combination (FDC) demonstrates significant effectiveness at the initial dosage when started early in the management of T2DM and high PPBG levels. Moreover, it exhibits good tolerability, thereby contributing to higher compliance among Indian patients who consume a high-carbohydrate diet.","container-title":"Cureus","DOI":"10.7759/cureus.57494","ISSN":"2168-8184","issue":"4","journalAbbreviation":"Cureus","note":"PMID: 38707131\nPMCID: PMC11066517","page":"e57494","source":"PubMed Central","title":"Real-World Assessment of Personalized Approach With Voglibose Fixed-Dose Combination in Type 2 Diabetes Mellitus","volume":"16","author":[{"family":"Parmar","given":"Nirmal"},{"family":"Gupta","given":"Ajay Kumar"},{"family":"Jhaveri","given":"Kunal"},{"family":"A","given":"Balachandran"},{"family":"Chhaya","given":"Gaurav"},{"family":"Kansara","given":"Sandeep"},{"family":"Nair","given":"Rathish"},{"family":"Korukonda","given":"Krishnaprasad R"}]}},{"id":243,"uris":["http://zotero.org/users/14869331/items/PXMTTIWD"],"itemData":{"id":243,"type":"article-journal","abstract":"Background: \n          Type 2 diabetes mellitus (T2DM) is a progressive disease affecting a huge chunk of the population globally.\n          Aim: \n          This study aimed to address the existing gaps in knowledge about the triple-drug combination and to provide guidance to the clinicians on the triple-drug combination in Indian settings.\n          Materials and Methods: \n          Doctors’ opinions (n = 2262) were recorded based on surveys and round table meetings. The National Expert Group approved a standard questionnaire that included 13 questions pertaining to T2DM management using a triple combination of glimepiride, metformin, and voglibose, which were prepared, discussed, and evaluated by the experts. After due discussions, the expert group analyzed the result and further recommendations were made and a consensus statement was derived.\n          Results: \n          Out of 2262, 1498 were consulting physicians, 358 were diabetologists, 93 were endocrinologists, 104 were cardiologists, and 209 were family physicians with focus on diabetes practice or had more than 10 years of experience from different regions from India. A strong consensus was observed for targeting postprandial hyperglycemia in the management of T2DM, which may reduce cardiovascular (CV) disease risk. The experts opined that meal pattern was the major factor affecting glycemic variability. The experts recommended early use of triple combination as it improves glycemic control (early aggressive control, beyond three oral drugs are on no benefit, ingrained). More than 90.0% of clinicians believed that this combination is cost-effective. Most agreed (32.0%) that this combination moderately reduces body weight. Additionally, it was felt that triple combination in patients with T2DM is also beneficial during Ramadan.\n          Conclusion: \n          In the present expert opinion-based consensus, most of the healthcare providers believed that triple-drug combination can potentially improve glycemic control and can delay/postpone the microvascular and CV complications. However, more multicentric studies are needed to support these recommendations.","container-title":"Journal of Diabetology","DOI":"10.4103/jod.jod_118_21","ISSN":"2543-3288","issue":"2","language":"en-US","page":"145","source":"journals.lww.com","title":"Expert Consensus on Triple Combination of Glimepiride, Metformin, and Voglibose Usage in Patients with Type 2 Diabetes Mellitus in Indian Settings","volume":"13","author":[{"family":"Das","given":"Ashok K."},{"family":"Wangnoo","given":"Subhash K."},{"family":"Chawla","given":"Rajeev"},{"family":"Shaikh","given":"Altamash"},{"family":"Bantwal","given":"Ganapathi"},{"family":"Kalra","given":"Pramila"},{"family":"Jaggi","given":"Shalini"},{"family":"Abhyankar","given":"Mahesh V."},{"family":"Prasad","given":"Ashish"},{"family":"Sarda","given":"Prashant"}],"issued":{"date-parts":[["2022",6]]}}}],"schema":"https://github.com/citation-style-language/schema/raw/master/csl-citation.json"} </w:instrText>
      </w:r>
      <w:r w:rsidR="00164F0C" w:rsidRPr="00041C7F">
        <w:rPr>
          <w:rFonts w:ascii="Times New Roman" w:hAnsi="Times New Roman" w:cs="Times New Roman"/>
          <w:sz w:val="24"/>
          <w:szCs w:val="24"/>
        </w:rPr>
        <w:fldChar w:fldCharType="separate"/>
      </w:r>
      <w:r w:rsidR="005A0E34" w:rsidRPr="00041C7F">
        <w:rPr>
          <w:rFonts w:ascii="Times New Roman" w:hAnsi="Times New Roman" w:cs="Times New Roman"/>
          <w:sz w:val="24"/>
          <w:szCs w:val="24"/>
        </w:rPr>
        <w:t>(5,6)</w:t>
      </w:r>
      <w:r w:rsidR="00164F0C" w:rsidRPr="00041C7F">
        <w:rPr>
          <w:rFonts w:ascii="Times New Roman" w:hAnsi="Times New Roman" w:cs="Times New Roman"/>
          <w:sz w:val="24"/>
          <w:szCs w:val="24"/>
        </w:rPr>
        <w:fldChar w:fldCharType="end"/>
      </w:r>
      <w:r w:rsidR="005A0E34" w:rsidRPr="00041C7F">
        <w:rPr>
          <w:rFonts w:ascii="Times New Roman" w:hAnsi="Times New Roman" w:cs="Times New Roman"/>
          <w:sz w:val="24"/>
          <w:szCs w:val="24"/>
        </w:rPr>
        <w:t xml:space="preserve">. </w:t>
      </w:r>
    </w:p>
    <w:p w:rsidR="00722A77"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Bullous vasculitis is a rare form of cutaneous small-vessel vasculitis where the usual inflamed, purpuric skin lesions are accompanied by fluid-filled or blood-tinged blisters </w:t>
      </w:r>
      <w:r w:rsidRPr="00041C7F">
        <w:rPr>
          <w:rFonts w:ascii="Times New Roman" w:hAnsi="Times New Roman" w:cs="Times New Roman"/>
          <w:sz w:val="24"/>
          <w:szCs w:val="24"/>
        </w:rPr>
        <w:lastRenderedPageBreak/>
        <w:t>(bullae). These blisters form as a result of damage and leakage in the tiny blood vessels of the skin</w:t>
      </w:r>
      <w:r w:rsidR="00CD2908" w:rsidRPr="00041C7F">
        <w:rPr>
          <w:rFonts w:ascii="Times New Roman" w:hAnsi="Times New Roman" w:cs="Times New Roman"/>
          <w:sz w:val="24"/>
          <w:szCs w:val="24"/>
        </w:rPr>
        <w:t xml:space="preserve">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{"citationID":"Oj4miOVV","properties":{"formattedCitation":"(2)","plainCitation":"(2)","noteIndex":0},"citationItems":[{"id":233,"uris":["http://zotero.org/users/14869331/items/RR4N7PST"],"itemData":{"id":233,"type":"entry-encyclopedia","abstract":"Bullous small vessel vasculitis, also known as bullous variant of small vessel vasculitis, is a cutaneous condition in which patients with small vessel vasculitis will develop superimposed vesicles and bullae, especially on the distal extremities.","container-title":"Wikipedia","language":"en","license":"Creative Commons Attribution-ShareAlike License","note":"Page Version ID: 1225072904","source":"Wikipedia","title":"Bullous small vessel vasculitis","URL":"https://en.wikipedia.org/w/index.php?title=Bullous_small_vessel_vasculitis&amp;oldid=1225072904","accessed":{"date-parts":[["2025",10,5]]},"issued":{"date-parts":[["2024",5,22]]}}}],"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(2)</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rsidR="009C2F32" w:rsidRPr="00041C7F" w:rsidRDefault="009C2F32"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The patient developed bilateral lower limb swelling with painful ulcers. She had type 2 diabetes and was previously on oral antidiabetic therapy, including </w:t>
      </w:r>
      <w:proofErr w:type="spellStart"/>
      <w:r w:rsidRPr="00041C7F">
        <w:rPr>
          <w:rFonts w:ascii="Times New Roman" w:hAnsi="Times New Roman" w:cs="Times New Roman"/>
          <w:b/>
          <w:bCs/>
          <w:sz w:val="24"/>
          <w:szCs w:val="24"/>
        </w:rPr>
        <w:t>Mytopride</w:t>
      </w:r>
      <w:proofErr w:type="spellEnd"/>
      <w:r w:rsidRPr="00041C7F">
        <w:rPr>
          <w:rFonts w:ascii="Times New Roman" w:hAnsi="Times New Roman" w:cs="Times New Roman"/>
          <w:b/>
          <w:bCs/>
          <w:sz w:val="24"/>
          <w:szCs w:val="24"/>
        </w:rPr>
        <w:t>-VD</w:t>
      </w:r>
      <w:r w:rsidRPr="00041C7F">
        <w:rPr>
          <w:rFonts w:ascii="Times New Roman" w:hAnsi="Times New Roman" w:cs="Times New Roman"/>
          <w:sz w:val="24"/>
          <w:szCs w:val="24"/>
        </w:rPr>
        <w:t xml:space="preserve"> (vildagliptin + metformin). Ulceration worsened upon restarting vildagliptin and improved after switching to insulin. This temporal relationship suggests a probable association between vildagliptin and the bullous vasculitis. Vildagliptin likely triggered bullous vasculitis with delayed manifestation after discontinuation, and exacerbation upon rechallenge. Only three cases of DPP-4 inhibitor - induced vasculitis (all with sitagliptin) exist, and one prior report described vildagliptin-induced leukocytoclastic vasculitis resolving on drug withdrawal</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{"citationID":"ga1ps9bS","properties":{"formattedCitation":"(7)","plainCitation":"(7)","noteIndex":0},"citationItems":[{"id":244,"uris":["http://zotero.org/users/14869331/items/VJ9A7S54"],"itemData":{"id":244,"type":"article-journal","abstract":"Dipeptidyl peptidase-4 (DPP-4) inhibitors are a class of drugs that enhance the incretin-insulin pathway and offer effective glycemic control in type 2 diabetes mellitus. However, these drugs may be associated with various dermatological side effects, ranging from mild to severe. This review article summarizes the current literature on the dermatological side effects of DPP-4 inhibitors, including bullous pemphigoid, severe cutaneous adverse drug reactions, fixed drug eruptions, and other mucocutaneous reactions. The review also discusses the possible mechanisms, risk factors, diagnosis, and management of these side effects. This review aims to increase the awareness and vigilance of healthcare providers in recognizing and managing the dermatological side effects of DPP-4 inhibitors and to emphasize the need for further research and surveillance to optimize diabetes care and patient safety.","container-title":"Clinical Diabetes and Endocrinology","DOI":"10.1186/s40842-024-00165-w","ISSN":"2055-8260","journalAbbreviation":"Clin Diabetes Endocrinol","note":"PMID: 38523307\nPMCID: PMC10962164","page":"6","source":"PubMed Central","title":"Dermatological side effects of dipeptidyl Peptidase-4 inhibitors in diabetes management: a comprehensive review","title-short":"Dermatological side effects of dipeptidyl Peptidase-4 inhibitors in diabetes management","volume":"10","author":[{"family":"Zaresharifi","given":"Shirin"},{"family":"Niroomand","given":"Mahtab"},{"family":"Borran","given":"Sarina"},{"family":"Dadkhahfar","given":"Sahar"}],"issued":{"date-parts":[["2024",3,25]]}}}],"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(7)</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xml:space="preserve">. While vildagliptin-associated cutaneous vasculitis presenting as maculopapular lesions has been reported, </w:t>
      </w:r>
      <w:r w:rsidRPr="00041C7F">
        <w:rPr>
          <w:rFonts w:ascii="Times New Roman" w:hAnsi="Times New Roman" w:cs="Times New Roman"/>
          <w:b/>
          <w:bCs/>
          <w:sz w:val="24"/>
          <w:szCs w:val="24"/>
        </w:rPr>
        <w:t>vildagliptin-induced bullous vasculitis</w:t>
      </w:r>
      <w:r w:rsidRPr="00041C7F">
        <w:rPr>
          <w:rFonts w:ascii="Times New Roman" w:hAnsi="Times New Roman" w:cs="Times New Roman"/>
          <w:sz w:val="24"/>
          <w:szCs w:val="24"/>
        </w:rPr>
        <w:t xml:space="preserve"> has not. Thus, this case represents a novel presentation of this rare adverse reaction</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{"citationID":"7UCJDO96","properties":{"formattedCitation":"(8)","plainCitation":"(8)","noteIndex":0},"citationItems":[{"id":326,"uris":["http://zotero.org/users/14869331/items/ER89AN9N"],"itemData":{"id":326,"type":"webpage","title":"Medicine Science | Vildagliptin induced cutaneous leukocytoclastic vasculitis: A case report","URL":"https://www.medicinescience.org/article/1640?utm_source","accessed":{"date-parts":[["2025",12,6]]}}}],"schema":"https://github.com/citation-style-language/schema/raw/master/csl-citation.json"}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(8)</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rsidR="009C2F32" w:rsidRPr="00041C7F" w:rsidRDefault="009C2F32"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 our patient, lesions worsened on </w:t>
      </w:r>
      <w:proofErr w:type="spellStart"/>
      <w:r w:rsidRPr="00041C7F">
        <w:rPr>
          <w:rFonts w:ascii="Times New Roman" w:hAnsi="Times New Roman" w:cs="Times New Roman"/>
          <w:sz w:val="24"/>
          <w:szCs w:val="24"/>
        </w:rPr>
        <w:t>rechallenge</w:t>
      </w:r>
      <w:proofErr w:type="spellEnd"/>
      <w:r w:rsidRPr="00041C7F">
        <w:rPr>
          <w:rFonts w:ascii="Times New Roman" w:hAnsi="Times New Roman" w:cs="Times New Roman"/>
          <w:sz w:val="24"/>
          <w:szCs w:val="24"/>
        </w:rPr>
        <w:t xml:space="preserve"> with vildagliptin (</w:t>
      </w:r>
      <w:proofErr w:type="spellStart"/>
      <w:r w:rsidRPr="00041C7F">
        <w:rPr>
          <w:rFonts w:ascii="Times New Roman" w:hAnsi="Times New Roman" w:cs="Times New Roman"/>
          <w:sz w:val="24"/>
          <w:szCs w:val="24"/>
        </w:rPr>
        <w:t>Mytopride</w:t>
      </w:r>
      <w:proofErr w:type="spellEnd"/>
      <w:r w:rsidRPr="00041C7F">
        <w:rPr>
          <w:rFonts w:ascii="Times New Roman" w:hAnsi="Times New Roman" w:cs="Times New Roman"/>
          <w:sz w:val="24"/>
          <w:szCs w:val="24"/>
        </w:rPr>
        <w:t xml:space="preserve">-VD) and improved after </w:t>
      </w:r>
      <w:proofErr w:type="spellStart"/>
      <w:r w:rsidRPr="00041C7F">
        <w:rPr>
          <w:rFonts w:ascii="Times New Roman" w:hAnsi="Times New Roman" w:cs="Times New Roman"/>
          <w:sz w:val="24"/>
          <w:szCs w:val="24"/>
        </w:rPr>
        <w:t>dechallenge</w:t>
      </w:r>
      <w:proofErr w:type="spellEnd"/>
      <w:r w:rsidRPr="00041C7F">
        <w:rPr>
          <w:rFonts w:ascii="Times New Roman" w:hAnsi="Times New Roman" w:cs="Times New Roman"/>
          <w:sz w:val="24"/>
          <w:szCs w:val="24"/>
        </w:rPr>
        <w:t xml:space="preserve"> </w:t>
      </w:r>
      <w:r w:rsidR="00CF352C" w:rsidRPr="00041C7F">
        <w:rPr>
          <w:rFonts w:ascii="Times New Roman" w:hAnsi="Times New Roman" w:cs="Times New Roman"/>
          <w:sz w:val="24"/>
          <w:szCs w:val="24"/>
        </w:rPr>
        <w:t xml:space="preserve">[fig:1 &amp; 2] </w:t>
      </w:r>
      <w:r w:rsidRPr="00041C7F">
        <w:rPr>
          <w:rFonts w:ascii="Times New Roman" w:hAnsi="Times New Roman" w:cs="Times New Roman"/>
          <w:sz w:val="24"/>
          <w:szCs w:val="24"/>
        </w:rPr>
        <w:t xml:space="preserve">and insulin therapy, indicating a delayed-onset reaction. The temporal relationship strongly supports vildagliptin as the likely causative agent, consistent with known immunologic side effects of DPP-4 inhibitors, supported by one prior report of </w:t>
      </w:r>
      <w:r w:rsidRPr="00041C7F">
        <w:rPr>
          <w:rFonts w:ascii="Times New Roman" w:hAnsi="Times New Roman" w:cs="Times New Roman"/>
          <w:b/>
          <w:bCs/>
          <w:sz w:val="24"/>
          <w:szCs w:val="24"/>
        </w:rPr>
        <w:t>vildagliptin-induced cutaneous leukocytoclastic vasculitis</w:t>
      </w:r>
      <w:r w:rsidRPr="00041C7F">
        <w:rPr>
          <w:rFonts w:ascii="Times New Roman" w:hAnsi="Times New Roman" w:cs="Times New Roman"/>
          <w:sz w:val="24"/>
          <w:szCs w:val="24"/>
        </w:rPr>
        <w:t xml:space="preserve"> in which skin lesions resolved after the drug was stopped</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{"citationID":"IICl8YcC","properties":{"formattedCitation":"(9)","plainCitation":"(9)","noteIndex":0},"citationItems":[{"id":247,"uris":["http://zotero.org/users/14869331/items/IK25GUYC"],"itemData":{"id":247,"type":"article-journal","abstract":"PDF | Vildagliptin is a new generation theurapeutic agent of diabetes mellitus which belongs to dipeptidyl peptidase-IV inhibitor class acting via the... | Find, read and cite all the research you need on ResearchGate","container-title":"ResearchGate","DOI":"10.5455/medscience.2017.06.8691","language":"en","source":"www.researchgate.net","title":"(PDF) Vildagliptin induced cutaneous leukocytoclastic vasculitis: A case report","title-short":"(PDF) Vildagliptin induced cutaneous leukocytoclastic vasculitis","URL":"https://www.researchgate.net/publication/321815695_Vildagliptin_induced_cutaneous_leukocytoclastic_vasculitis_A_case_report","accessed":{"date-parts":[["2025",10,6]]}}}],"schema":"https://github.com/citation-style-language/schema/raw/master/csl-citation.json"}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(9)</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rsidR="005A0E34" w:rsidRPr="00041C7F" w:rsidRDefault="000B7B06"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Table 1:</w:t>
      </w:r>
      <w:r w:rsidRPr="00041C7F">
        <w:rPr>
          <w:rFonts w:ascii="Times New Roman" w:hAnsi="Times New Roman" w:cs="Times New Roman"/>
          <w:sz w:val="24"/>
          <w:szCs w:val="24"/>
        </w:rPr>
        <w:t xml:space="preserve"> </w:t>
      </w:r>
      <w:r w:rsidR="005A0E34" w:rsidRPr="00041C7F">
        <w:rPr>
          <w:rFonts w:ascii="Times New Roman" w:hAnsi="Times New Roman" w:cs="Times New Roman"/>
          <w:sz w:val="24"/>
          <w:szCs w:val="24"/>
        </w:rPr>
        <w:t>The probability of vildagliptin-induced bullous vasculitis was assessed using the Naranjo Adverse Drug Reaction scoring system</w:t>
      </w:r>
    </w:p>
    <w:p w:rsidR="005A0E34"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Table 2:</w:t>
      </w:r>
      <w:r w:rsidRPr="00041C7F">
        <w:rPr>
          <w:rFonts w:ascii="Times New Roman" w:hAnsi="Times New Roman" w:cs="Times New Roman"/>
          <w:sz w:val="24"/>
          <w:szCs w:val="24"/>
        </w:rPr>
        <w:t xml:space="preserve"> </w:t>
      </w:r>
      <w:r w:rsidR="005A0E34" w:rsidRPr="00041C7F">
        <w:rPr>
          <w:rFonts w:ascii="Times New Roman" w:hAnsi="Times New Roman" w:cs="Times New Roman"/>
          <w:sz w:val="24"/>
          <w:szCs w:val="24"/>
        </w:rPr>
        <w:t>Naranjo Scale Interpretation</w:t>
      </w:r>
    </w:p>
    <w:p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Total score:</w:t>
      </w:r>
      <w:r w:rsidRPr="00041C7F">
        <w:rPr>
          <w:rFonts w:ascii="Times New Roman" w:hAnsi="Times New Roman" w:cs="Times New Roman"/>
          <w:sz w:val="24"/>
          <w:szCs w:val="24"/>
        </w:rPr>
        <w:t xml:space="preserve"> 0 + 2 + 1 + 2 + 2 + 0 + 0 + 1+ 0 + 1 = 9</w:t>
      </w:r>
    </w:p>
    <w:p w:rsidR="005A0E34" w:rsidRPr="00041C7F" w:rsidRDefault="005A0E34"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Final Interpretation</w:t>
      </w:r>
    </w:p>
    <w:p w:rsidR="009C2F32"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lastRenderedPageBreak/>
        <w:t xml:space="preserve">With a score of </w:t>
      </w:r>
      <w:r w:rsidR="009C2F32" w:rsidRPr="00041C7F">
        <w:rPr>
          <w:rFonts w:ascii="Times New Roman" w:hAnsi="Times New Roman" w:cs="Times New Roman"/>
          <w:sz w:val="24"/>
          <w:szCs w:val="24"/>
        </w:rPr>
        <w:t>9</w:t>
      </w:r>
      <w:r w:rsidRPr="00041C7F">
        <w:rPr>
          <w:rFonts w:ascii="Times New Roman" w:hAnsi="Times New Roman" w:cs="Times New Roman"/>
          <w:sz w:val="24"/>
          <w:szCs w:val="24"/>
        </w:rPr>
        <w:t>, the reaction is classified as a Definite Adverse Drug Reaction</w:t>
      </w:r>
    </w:p>
    <w:p w:rsidR="00347E00" w:rsidRPr="00041C7F" w:rsidRDefault="00347E00"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 contrast, metformin, </w:t>
      </w:r>
      <w:proofErr w:type="spellStart"/>
      <w:r w:rsidRPr="00041C7F">
        <w:rPr>
          <w:rFonts w:ascii="Times New Roman" w:hAnsi="Times New Roman" w:cs="Times New Roman"/>
          <w:sz w:val="24"/>
          <w:szCs w:val="24"/>
        </w:rPr>
        <w:t>voglibose</w:t>
      </w:r>
      <w:proofErr w:type="spellEnd"/>
      <w:r w:rsidRPr="00041C7F">
        <w:rPr>
          <w:rFonts w:ascii="Times New Roman" w:hAnsi="Times New Roman" w:cs="Times New Roman"/>
          <w:sz w:val="24"/>
          <w:szCs w:val="24"/>
        </w:rPr>
        <w:t xml:space="preserve">, and glimepiride are rarely associated with dermatologic reactions and even more rarely with vasculitis, lacking mechanistic support and consistent case reports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{"citationID":"pqtJU88T","properties":{"formattedCitation":"(10)","plainCitation":"(10)","noteIndex":0},"citationItems":[{"id":250,"uris":["http://zotero.org/users/14869331/items/PYA6BYU9"],"itemData":{"id":250,"type":"article-journal","abstract":"PDF | Type 2 diabetes (T2DM) is a chronic metabolic disease with a steadily increasing prevalence worldwide. Diabetes affects the function of many... | Find, read and cite all the research you need on ResearchGate","container-title":"ResearchGate","DOI":"10.3390/ph17070847","language":"en","source":"www.researchgate.net","title":"(PDF) Skin-Related Adverse Reactions Induced by Oral Antidiabetic Drugs—A Review of Literature and Case Reports","URL":"https://www.researchgate.net/publication/381820905_Skin-Related_Adverse_Reactions_Induced_by_Oral_Antidiabetic_Drugs-A_Review_of_Literature_and_Case_Reports","accessed":{"date-parts":[["2025",10,6]]},"issued":{"date-parts":[["2025",5,3]]}}}],"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(10)</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xml:space="preserve">. DPP-4 inhibitor–induced vasculitis, though uncommon, has been reported with sitagliptin, supporting a class effect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{"citationID":"ixGKO2hH","properties":{"formattedCitation":"(4)","plainCitation":"(4)","noteIndex":0},"citationItems":[{"id":238,"uris":["http://zotero.org/users/14869331/items/2T2PX33N"],"itemData":{"id":238,"type":"article-journal","abstract":"T2DM is a global health concern requiring effective glycaemic management to reduce complications. While DPP-4 inhibitors like vildagliptin and sitagliptin are widely used in combination with metformin, limited studies have compared their efficacy in lowering plasma glucose levels. This study aims to address this gap by evaluating the effectiveness of these combinations in glycaemic control. This study aims to address this gap by evaluating the effectiveness of these combinations in glycemic control.","container-title":"Global Journal of Obesity, Diabetes and Metabolic Syndrome","DOI":"10.17352/gjodms.000068","ISSN":"2455-8583","issue":"1","journalAbbreviation":"Glob J Obes Diabetes Metab Syndr","language":"en","license":"2025 Abubakar M, et al.","note":"publisher: peertechzpublications","page":"016-025","source":"www.clinsurggroup.us","title":"The Glycemic Outcomes of Metformin with Add-on Vildagliptin or Sitagliptin in T2DM","volume":"12","author":[{"family":"Abubakar","given":"Mohammed"},{"family":"Priya","given":"Burra Sindu"},{"family":"Himaja","given":"Yeddanapudi Sree"},{"family":"Harini","given":"Nallandhigal"},{"family":"Abubakar","given":"Mohammed"},{"family":"Priya","given":"Burra Sindu"},{"family":"Himaja","given":"Yeddanapudi Sree"},{"family":"Harini","given":"Nallandhigal"}],"issued":{"date-parts":[["2025",8,29]]}}}],"schema":"https://github.com/citation-style-language/schema/raw/master/csl-citation.json"}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(4)</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Thus, the temporal sequence (worsening with rechallenge, improvement with withdrawal) together with existing albeit limited literature support justifies labelling this as a probable vildagliptin-associated bullous vasculitis in our case.</w:t>
      </w:r>
    </w:p>
    <w:p w:rsidR="00347E00" w:rsidRPr="00041C7F" w:rsidRDefault="00347E00"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Bullous vasculitis can result from drugs, infections, cancers, or systemic autoimmune disorders. Drug-induced causes are most common, typically via immune complex–mediated small-vessel injury, with antibiotics, NSAIDs, hydralazine, allopurinol, and others implicated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{"citationID":"8un7SDSE","properties":{"formattedCitation":"(11,12)","plainCitation":"(11,12)","noteIndex":0},"citationItems":[{"id":253,"uris":["http://zotero.org/users/14869331/items/9ZIDMVEL"],"itemData":{"id":253,"type":"article-journal","abstract":"Sitagliptin/Metformin Related Cutaneous Leukocytoclastic Vasculitis in a Patient with Type-2 Diabetes Mellitus - Journal of Academic Research in Medicine","container-title":"Journal of Academic Research in Medicine","DOI":"10.4274/jarem.galenos.2018.2019","ISSN":"2147-1894","note":"publisher: Journal of Academic Research in Medicine","source":"jarem.org","title":"Sitagliptin/Metformin Related Cutaneous Leukocytoclastic Vasculitis in a Patient with Type-2 Diabetes Mellitus","URL":"https://jarem.org/articles/sitagliptinmetformin-related-cutaneous-leukocytoclastic-vasculitis-in-a-patient-with-type-2-diabetes-mellitus/jarem.galenos.2018.2019","author":[{"family":"Sargın","given":"Gökhan"},{"family":"Köse","given":"Reyhan"},{"family":"Şentürk","given":"Taşkın"},{"family":"Sargın","given":"Gökhan"},{"family":"Köse","given":"Reyhan"},{"family":"Şentürk","given":"Taşkın"}],"accessed":{"date-parts":[["2025",10,6]]},"issued":{"date-parts":[["2020",4,30]]}}},{"id":257,"uris":["http://zotero.org/users/14869331/items/ZNEZEL2B"],"itemData":{"id":257,"type":"article-journal","abstract":"Case Presentation: A 51-year-old female with no past medical history presented with a rash that developed a week ago which started on her right calf and then progressed all over her body. She was on ibuprofen for right knee pain for the 3 weeks before her presentation. Vital signs were normal. Laboratory tests revealed leukocytosis, [...]","container-title":"Journal of Hospital Medicine","language":"en-US","note":"event-title: SHM Converge 2025","source":"shmabstracts.org","title":"A Rare Case Of Ibuprofen-induced Bullous Leukocytoclastic Vasculitis","URL":"https://shmabstracts.org/abstract/a-rare-case-of-ibuprofen-induced-bullous-leukocytoclastic-vasculitis/","author":[{"family":"Sharma","given":"Shorabh"}],"accessed":{"date-parts":[["2025",10,6]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(11,12)</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w:t>
      </w:r>
    </w:p>
    <w:p w:rsidR="00347E00" w:rsidRPr="00041C7F" w:rsidRDefault="00347E00"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Infections (hepatitis B/C, streptococcal) and autoimmune diseases (SLE, RA, Sjögren’s) can also trigger vasculitis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{"citationID":"uJ6Xzdwi","properties":{"formattedCitation":"(13)","plainCitation":"(13)","noteIndex":0},"citationItems":[{"id":258,"uris":["http://zotero.org/users/14869331/items/VW2WIVXQ"],"itemData":{"id":258,"type":"webpage","title":"Vasculitis Information for Patients | RDS","URL":"https://www.rheumaderm-society.org/vasculitis-information-for-patients/?utm","accessed":{"date-parts":[["2025",10,6]]}}}],"schema":"https://github.com/citation-style-language/schema/raw/master/csl-citation.json"}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(13)</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our patient had no recent infections or autoimmune disease, and skin biopsy confirmed bullous vasculitis.</w:t>
      </w:r>
    </w:p>
    <w:p w:rsidR="00C73B4F"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sz w:val="24"/>
          <w:szCs w:val="24"/>
        </w:rPr>
        <w:t xml:space="preserve">Initial </w:t>
      </w:r>
      <w:r w:rsidR="00C73B4F" w:rsidRPr="00041C7F">
        <w:rPr>
          <w:rFonts w:ascii="Times New Roman" w:hAnsi="Times New Roman" w:cs="Times New Roman"/>
          <w:sz w:val="24"/>
          <w:szCs w:val="24"/>
        </w:rPr>
        <w:t xml:space="preserve">management included bed rest, leg elevation, and wound care to promote healing and prevent secondary infections. Systemic corticosteroids were used for extensive disease: IV dexamethasone (1 cc daily) controlled inflammation rapidly with minimal fluid retention, while oral prednisone (0.5–1 mg/kg/day) is effective and tapered over 3–6 weeks </w:t>
      </w:r>
      <w:r w:rsidR="00164F0C" w:rsidRPr="00041C7F">
        <w:rPr>
          <w:rFonts w:ascii="Times New Roman" w:hAnsi="Times New Roman" w:cs="Times New Roman"/>
          <w:sz w:val="24"/>
          <w:szCs w:val="24"/>
        </w:rPr>
        <w:fldChar w:fldCharType="begin"/>
      </w:r>
      <w:r w:rsidR="00C73B4F" w:rsidRPr="00041C7F">
        <w:rPr>
          <w:rFonts w:ascii="Times New Roman" w:hAnsi="Times New Roman" w:cs="Times New Roman"/>
          <w:sz w:val="24"/>
          <w:szCs w:val="24"/>
        </w:rPr>
        <w:instrText xml:space="preserve"> ADDIN ZOTERO_ITEM CSL_CITATION {"citationID":"CHsMrxit","properties":{"formattedCitation":"(14)","plainCitation":"(14)","noteIndex":0},"citationItems":[{"id":260,"uris":["http://zotero.org/users/14869331/items/U2FSTDP5"],"itemData":{"id":260,"type":"webpage","abstract":"Cutaneous small vessel vasculitis, Hypersensitivity vasculitis, Immune complex small vessel vasculitis, Hypersensitivity angiitis. Authoritative facts from DermNet New Zealand.","container-title":"DermNet®","language":"en","title":"Cutaneous small vessel vasculitis","URL":"https://dermnetnz.org/topics/cutaneous-small-vessel-vasculitis","accessed":{"date-parts":[["2025",10,6]]},"issued":{"date-parts":[["2023",10,26]]}}}],"schema":"https://github.com/citation-style-language/schema/raw/master/csl-citation.json"} </w:instrText>
      </w:r>
      <w:r w:rsidR="00164F0C" w:rsidRPr="00041C7F">
        <w:rPr>
          <w:rFonts w:ascii="Times New Roman" w:hAnsi="Times New Roman" w:cs="Times New Roman"/>
          <w:sz w:val="24"/>
          <w:szCs w:val="24"/>
        </w:rPr>
        <w:fldChar w:fldCharType="separate"/>
      </w:r>
      <w:r w:rsidR="00C73B4F" w:rsidRPr="00041C7F">
        <w:rPr>
          <w:rFonts w:ascii="Times New Roman" w:hAnsi="Times New Roman" w:cs="Times New Roman"/>
          <w:sz w:val="24"/>
          <w:szCs w:val="24"/>
        </w:rPr>
        <w:t>(14)</w:t>
      </w:r>
      <w:r w:rsidR="00164F0C" w:rsidRPr="00041C7F">
        <w:rPr>
          <w:rFonts w:ascii="Times New Roman" w:hAnsi="Times New Roman" w:cs="Times New Roman"/>
          <w:sz w:val="24"/>
          <w:szCs w:val="24"/>
        </w:rPr>
        <w:fldChar w:fldCharType="end"/>
      </w:r>
      <w:r w:rsidR="00C73B4F" w:rsidRPr="00041C7F">
        <w:rPr>
          <w:rFonts w:ascii="Times New Roman" w:hAnsi="Times New Roman" w:cs="Times New Roman"/>
          <w:sz w:val="24"/>
          <w:szCs w:val="24"/>
        </w:rPr>
        <w:t>.</w:t>
      </w:r>
    </w:p>
    <w:p w:rsidR="005A0E34" w:rsidRPr="00041C7F" w:rsidRDefault="00C73B4F" w:rsidP="00CF6F62">
      <w:pPr>
        <w:spacing w:after="0" w:line="480" w:lineRule="auto"/>
        <w:rPr>
          <w:rFonts w:ascii="Times New Roman" w:hAnsi="Times New Roman" w:cs="Times New Roman"/>
          <w:sz w:val="24"/>
          <w:szCs w:val="24"/>
        </w:rPr>
      </w:pPr>
      <w:r w:rsidRPr="00041C7F">
        <w:rPr>
          <w:rFonts w:ascii="Times New Roman" w:hAnsi="Times New Roman" w:cs="Times New Roman"/>
          <w:sz w:val="24"/>
          <w:szCs w:val="24"/>
        </w:rPr>
        <w:t xml:space="preserve">For chronic, recurrent, or steroid-dependent cases, steroid-sparing agents are considered: colchicine (0.5–0.6 mg twice daily) for its anti-neutrophilic effects, dapsone (50–100 mg/day, G6PD monitored), azathioprine, mycophenolate mofetil, and methotrexate </w:t>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{"citationID":"5QZ6bSpQ","properties":{"formattedCitation":"(14)","plainCitation":"(14)","noteIndex":0},"citationItems":[{"id":260,"uris":["http://zotero.org/users/14869331/items/U2FSTDP5"],"itemData":{"id":260,"type":"webpage","abstract":"Cutaneous small vessel vasculitis, Hypersensitivity vasculitis, Immune complex small vessel vasculitis, Hypersensitivity angiitis. Authoritative facts from DermNet New Zealand.","container-title":"DermNet®","language":"en","title":"Cutaneous small vessel vasculitis","URL":"https://dermnetnz.org/topics/cutaneous-small-vessel-vasculitis","accessed":{"date-parts":[["2025",10,6]]},"issued":{"date-parts":[["2023",10,26]]}}}],"schema":"https://github.com/citation-style-language/schema/raw/master/csl-citation.json"}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(14</w:t>
      </w:r>
      <w:r w:rsidR="00164F0C" w:rsidRPr="00041C7F">
        <w:rPr>
          <w:rFonts w:ascii="Times New Roman" w:hAnsi="Times New Roman" w:cs="Times New Roman"/>
          <w:sz w:val="24"/>
          <w:szCs w:val="24"/>
        </w:rPr>
        <w:fldChar w:fldCharType="end"/>
      </w:r>
      <w:r w:rsidR="00164F0C" w:rsidRPr="00041C7F">
        <w:rPr>
          <w:rFonts w:ascii="Times New Roman" w:hAnsi="Times New Roman" w:cs="Times New Roman"/>
          <w:sz w:val="24"/>
          <w:szCs w:val="24"/>
        </w:rPr>
        <w:fldChar w:fldCharType="begin"/>
      </w:r>
      <w:r w:rsidRPr="00041C7F">
        <w:rPr>
          <w:rFonts w:ascii="Times New Roman" w:hAnsi="Times New Roman" w:cs="Times New Roman"/>
          <w:sz w:val="24"/>
          <w:szCs w:val="24"/>
        </w:rPr>
        <w:instrText xml:space="preserve"> ADDIN ZOTERO_ITEM CSL_CITATION {"citationID":"0AM3H1s5","properties":{"formattedCitation":"(15)","plainCitation":"(15)","noteIndex":0},"citationItems":[{"id":261,"uris":["http://zotero.org/users/14869331/items/L8USEQGC"],"itemData":{"id":261,"type":"article-journal","abstract":"Cutaneous vasculitis encompasses a spectrum of disease states, with varied morphology, severity, and potential for systemic involvement. Even vasculitis which is skin-limited can have a significant quality-of-life impact, necessitating treatment. This manuscript summarizes the available evidence for management of various types of skin-limited vasculitis and provides a proposed therapeutic ladder based on published studies and expert opinion.","container-title":"Frontiers in Medicine","DOI":"10.3389/fmed.2022.1059612","ISSN":"2296-858X","journalAbbreviation":"Front Med (Lausanne)","note":"PMID: 36465944\nPMCID: PMC9716566","page":"1059612","source":"PubMed Central","title":"Treatment of cutaneous vasculitis","volume":"9","author":[{"family":"Micheletti","given":"Robert G."}],"issued":{"date-parts":[["2022",11,18]]}}}],"schema":"https://github.com/citation-style-language/schema/raw/master/csl-citation.json"} </w:instrText>
      </w:r>
      <w:r w:rsidR="00164F0C" w:rsidRPr="00041C7F">
        <w:rPr>
          <w:rFonts w:ascii="Times New Roman" w:hAnsi="Times New Roman" w:cs="Times New Roman"/>
          <w:sz w:val="24"/>
          <w:szCs w:val="24"/>
        </w:rPr>
        <w:fldChar w:fldCharType="separate"/>
      </w:r>
      <w:r w:rsidRPr="00041C7F">
        <w:rPr>
          <w:rFonts w:ascii="Times New Roman" w:hAnsi="Times New Roman" w:cs="Times New Roman"/>
          <w:sz w:val="24"/>
          <w:szCs w:val="24"/>
        </w:rPr>
        <w:t>,15)</w:t>
      </w:r>
      <w:r w:rsidR="00164F0C" w:rsidRPr="00041C7F">
        <w:rPr>
          <w:rFonts w:ascii="Times New Roman" w:hAnsi="Times New Roman" w:cs="Times New Roman"/>
          <w:sz w:val="24"/>
          <w:szCs w:val="24"/>
        </w:rPr>
        <w:fldChar w:fldCharType="end"/>
      </w:r>
      <w:r w:rsidRPr="00041C7F">
        <w:rPr>
          <w:rFonts w:ascii="Times New Roman" w:hAnsi="Times New Roman" w:cs="Times New Roman"/>
          <w:sz w:val="24"/>
          <w:szCs w:val="24"/>
        </w:rPr>
        <w:t>. IVIG or plasmapheresis may be reserved for refractory cases. Ongoing wound care and infection monitoring are essential to ensure proper healing (14).</w:t>
      </w:r>
    </w:p>
    <w:p w:rsidR="005A0E34" w:rsidRPr="00041C7F" w:rsidRDefault="005A0E34"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lastRenderedPageBreak/>
        <w:t>Conclusion:</w:t>
      </w:r>
      <w:r w:rsidRPr="00041C7F">
        <w:rPr>
          <w:rFonts w:ascii="Times New Roman" w:hAnsi="Times New Roman" w:cs="Times New Roman"/>
          <w:sz w:val="24"/>
          <w:szCs w:val="24"/>
        </w:rPr>
        <w:br/>
        <w:t xml:space="preserve">This case highlights a rare occurrence of bullous vasculitis potentially triggered by vildagliptin in a patient with type 2 diabetes mellitus. The temporal relationship between drug exposure, symptom exacerbation upon rechallenge and healing after drug discontinuation suggests a probable causative role. Prompt recognition, withdrawal of the offending agent, and appropriate systemic therapy, such as corticosteroids, are essential for effective management and </w:t>
      </w:r>
      <w:r w:rsidR="00C73B4F" w:rsidRPr="00041C7F">
        <w:rPr>
          <w:rFonts w:ascii="Times New Roman" w:hAnsi="Times New Roman" w:cs="Times New Roman"/>
          <w:sz w:val="24"/>
          <w:szCs w:val="24"/>
        </w:rPr>
        <w:t>favourable</w:t>
      </w:r>
      <w:r w:rsidRPr="00041C7F">
        <w:rPr>
          <w:rFonts w:ascii="Times New Roman" w:hAnsi="Times New Roman" w:cs="Times New Roman"/>
          <w:sz w:val="24"/>
          <w:szCs w:val="24"/>
        </w:rPr>
        <w:t xml:space="preserve"> outcomes.</w:t>
      </w:r>
    </w:p>
    <w:p w:rsidR="000862EB" w:rsidRPr="000862EB" w:rsidRDefault="000862EB" w:rsidP="000862EB">
      <w:pPr>
        <w:spacing w:line="480" w:lineRule="auto"/>
        <w:rPr>
          <w:rFonts w:ascii="Times New Roman" w:hAnsi="Times New Roman" w:cs="Times New Roman"/>
          <w:b/>
          <w:bCs/>
          <w:sz w:val="24"/>
          <w:szCs w:val="24"/>
        </w:rPr>
      </w:pPr>
      <w:r w:rsidRPr="000862EB">
        <w:rPr>
          <w:rFonts w:ascii="Times New Roman" w:hAnsi="Times New Roman" w:cs="Times New Roman"/>
          <w:b/>
          <w:bCs/>
          <w:sz w:val="24"/>
          <w:szCs w:val="24"/>
        </w:rPr>
        <w:t>COMPETING INTERESTS DISCLAIMER:</w:t>
      </w:r>
    </w:p>
    <w:p w:rsidR="000862EB" w:rsidRPr="000862EB" w:rsidRDefault="000862EB" w:rsidP="000862EB">
      <w:pPr>
        <w:spacing w:line="480" w:lineRule="auto"/>
        <w:rPr>
          <w:rFonts w:ascii="Times New Roman" w:hAnsi="Times New Roman" w:cs="Times New Roman"/>
          <w:b/>
          <w:bCs/>
          <w:sz w:val="24"/>
          <w:szCs w:val="24"/>
        </w:rPr>
      </w:pPr>
    </w:p>
    <w:p w:rsidR="000862EB" w:rsidRDefault="000862EB" w:rsidP="000862EB">
      <w:pPr>
        <w:spacing w:line="480" w:lineRule="auto"/>
        <w:rPr>
          <w:rFonts w:ascii="Times New Roman" w:hAnsi="Times New Roman" w:cs="Times New Roman"/>
          <w:b/>
          <w:bCs/>
          <w:sz w:val="24"/>
          <w:szCs w:val="24"/>
        </w:rPr>
      </w:pPr>
      <w:r w:rsidRPr="000862EB">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rsidR="00CF6F62" w:rsidRPr="00041C7F" w:rsidRDefault="00CF6F62" w:rsidP="000862EB">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Consent: </w:t>
      </w:r>
      <w:r w:rsidRPr="00041C7F">
        <w:rPr>
          <w:rFonts w:ascii="Times New Roman" w:hAnsi="Times New Roman" w:cs="Times New Roman"/>
          <w:sz w:val="24"/>
          <w:szCs w:val="24"/>
        </w:rPr>
        <w:t>Written informed consent was obtained from the patient.</w:t>
      </w:r>
    </w:p>
    <w:p w:rsidR="000B7B06" w:rsidRPr="00041C7F" w:rsidRDefault="000B7B06"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t xml:space="preserve">REFERENCES </w:t>
      </w:r>
    </w:p>
    <w:p w:rsidR="000B7B06" w:rsidRPr="00041C7F" w:rsidRDefault="00164F0C"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b/>
          <w:bCs/>
          <w:sz w:val="24"/>
          <w:szCs w:val="24"/>
        </w:rPr>
        <w:fldChar w:fldCharType="begin"/>
      </w:r>
      <w:r w:rsidR="000B7B06" w:rsidRPr="00041C7F">
        <w:rPr>
          <w:rFonts w:ascii="Times New Roman" w:hAnsi="Times New Roman" w:cs="Times New Roman"/>
          <w:b/>
          <w:bCs/>
          <w:sz w:val="24"/>
          <w:szCs w:val="24"/>
        </w:rPr>
        <w:instrText xml:space="preserve"> ADDIN ZOTERO_BIBL {"uncited":[],"omitted":[],"custom":[]} CSL_BIBLIOGRAPHY </w:instrText>
      </w:r>
      <w:r w:rsidRPr="00041C7F">
        <w:rPr>
          <w:rFonts w:ascii="Times New Roman" w:hAnsi="Times New Roman" w:cs="Times New Roman"/>
          <w:b/>
          <w:bCs/>
          <w:sz w:val="24"/>
          <w:szCs w:val="24"/>
        </w:rPr>
        <w:fldChar w:fldCharType="separate"/>
      </w:r>
      <w:r w:rsidR="000B7B06" w:rsidRPr="00041C7F">
        <w:rPr>
          <w:rFonts w:ascii="Times New Roman" w:hAnsi="Times New Roman" w:cs="Times New Roman"/>
          <w:sz w:val="24"/>
          <w:szCs w:val="24"/>
        </w:rPr>
        <w:t>1.</w:t>
      </w:r>
      <w:r w:rsidR="000B7B06" w:rsidRPr="00041C7F">
        <w:rPr>
          <w:rFonts w:ascii="Times New Roman" w:hAnsi="Times New Roman" w:cs="Times New Roman"/>
          <w:sz w:val="24"/>
          <w:szCs w:val="24"/>
        </w:rPr>
        <w:tab/>
        <w:t xml:space="preserve">Zaresharifi S, Niroomand M, Borran S, Dadkhahfar S. Dermatological side effects of dipeptidyl Peptidase-4 inhibitors in diabetes management: a comprehensive review. Clin Diabetes Endocrinol. 2024 Mar 25;10(1):6. </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2.</w:t>
      </w:r>
      <w:r w:rsidRPr="00041C7F">
        <w:rPr>
          <w:rFonts w:ascii="Times New Roman" w:hAnsi="Times New Roman" w:cs="Times New Roman"/>
          <w:sz w:val="24"/>
          <w:szCs w:val="24"/>
        </w:rPr>
        <w:tab/>
        <w:t>Bullous small vessel vasculitis. In: Wikipedia [Internet]. 2024 [cited 2025 Oct 5]. Available from: https://en.wikipedia.org/w/index.php?title=Bullous_small_vessel_vasculitis&amp;oldid=1225072904</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lastRenderedPageBreak/>
        <w:t>3.</w:t>
      </w:r>
      <w:r w:rsidRPr="00041C7F">
        <w:rPr>
          <w:rFonts w:ascii="Times New Roman" w:hAnsi="Times New Roman" w:cs="Times New Roman"/>
          <w:sz w:val="24"/>
          <w:szCs w:val="24"/>
        </w:rPr>
        <w:tab/>
        <w:t xml:space="preserve">Kalra S, Zargar AH, Sridhar G, Das AK, Ahmed J, Mohan JC, et al. Expert eValuation of Efficacy and Rationality of Vildagliptin “EVER-Vilda”: An Indian Perspective. Clin Med Insights Endocrinol Diabetes. 2024 Feb 22;17:11795514231203911. </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4.</w:t>
      </w:r>
      <w:r w:rsidRPr="00041C7F">
        <w:rPr>
          <w:rFonts w:ascii="Times New Roman" w:hAnsi="Times New Roman" w:cs="Times New Roman"/>
          <w:sz w:val="24"/>
          <w:szCs w:val="24"/>
        </w:rPr>
        <w:tab/>
        <w:t xml:space="preserve">Abubakar M, Priya BS, Himaja YS, Harini N, Abubakar M, Priya BS, et al. The Glycemic Outcomes of Metformin with Add-on Vildagliptin or Sitagliptin in T2DM. Glob J Obes Diabetes Metab Syndr. 2025 Aug 29;12(1):016–25. </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5.</w:t>
      </w:r>
      <w:r w:rsidRPr="00041C7F">
        <w:rPr>
          <w:rFonts w:ascii="Times New Roman" w:hAnsi="Times New Roman" w:cs="Times New Roman"/>
          <w:sz w:val="24"/>
          <w:szCs w:val="24"/>
        </w:rPr>
        <w:tab/>
        <w:t xml:space="preserve">Parmar N, Gupta AK, Jhaveri K, A B, Chhaya G, Kansara S, et al. Real-World Assessment of Personalized Approach With Voglibose Fixed-Dose Combination in Type 2 Diabetes Mellitus. Cureus. 16(4):e57494. </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6.</w:t>
      </w:r>
      <w:r w:rsidRPr="00041C7F">
        <w:rPr>
          <w:rFonts w:ascii="Times New Roman" w:hAnsi="Times New Roman" w:cs="Times New Roman"/>
          <w:sz w:val="24"/>
          <w:szCs w:val="24"/>
        </w:rPr>
        <w:tab/>
        <w:t xml:space="preserve">Das AK, Wangnoo SK, Chawla R, Shaikh A, Bantwal G, Kalra P, et al. Expert Consensus on Triple Combination of Glimepiride, Metformin, and Voglibose Usage in Patients with Type 2 Diabetes Mellitus in Indian Settings. J Diabetol. 2022 June;13(2):145. </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7.</w:t>
      </w:r>
      <w:r w:rsidRPr="00041C7F">
        <w:rPr>
          <w:rFonts w:ascii="Times New Roman" w:hAnsi="Times New Roman" w:cs="Times New Roman"/>
          <w:sz w:val="24"/>
          <w:szCs w:val="24"/>
        </w:rPr>
        <w:tab/>
        <w:t xml:space="preserve">Zaresharifi S, Niroomand M, Borran S, Dadkhahfar S. Dermatological side effects of dipeptidyl Peptidase-4 inhibitors in diabetes management: a comprehensive review. Clin Diabetes Endocrinol. 2024 Mar 25;10:6. </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8.</w:t>
      </w:r>
      <w:r w:rsidRPr="00041C7F">
        <w:rPr>
          <w:rFonts w:ascii="Times New Roman" w:hAnsi="Times New Roman" w:cs="Times New Roman"/>
          <w:sz w:val="24"/>
          <w:szCs w:val="24"/>
        </w:rPr>
        <w:tab/>
        <w:t>Medicine Science | Vildagliptin induced cutaneous leukocytoclastic vasculitis: A case report [Internet]. [cited 2025 Dec 6]. Available from: https://www.medicinescience.org/article/1640?utm_source</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9.</w:t>
      </w:r>
      <w:r w:rsidRPr="00041C7F">
        <w:rPr>
          <w:rFonts w:ascii="Times New Roman" w:hAnsi="Times New Roman" w:cs="Times New Roman"/>
          <w:sz w:val="24"/>
          <w:szCs w:val="24"/>
        </w:rPr>
        <w:tab/>
        <w:t>(PDF) Vildagliptin induced cutaneous leukocytoclastic vasculitis: A case report. ResearchGate [Internet]. [cited 2025 Oct 6]; Available from: https://www.researchgate.net/publication/321815695_Vildagliptin_induced_cutaneous_leukocytoclastic_vasculitis_A_case_report</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lastRenderedPageBreak/>
        <w:t>10.</w:t>
      </w:r>
      <w:r w:rsidRPr="00041C7F">
        <w:rPr>
          <w:rFonts w:ascii="Times New Roman" w:hAnsi="Times New Roman" w:cs="Times New Roman"/>
          <w:sz w:val="24"/>
          <w:szCs w:val="24"/>
        </w:rPr>
        <w:tab/>
        <w:t>(PDF) Skin-Related Adverse Reactions Induced by Oral Antidiabetic Drugs—A Review of Literature and Case Reports. ResearchGate [Internet]. 2025 May 3 [cited 2025 Oct 6]; Available from: https://www.researchgate.net/publication/381820905_Skin-Related_Adverse_Reactions_Induced_by_Oral_Antidiabetic_Drugs-A_Review_of_Literature_and_Case_Reports</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11.</w:t>
      </w:r>
      <w:r w:rsidRPr="00041C7F">
        <w:rPr>
          <w:rFonts w:ascii="Times New Roman" w:hAnsi="Times New Roman" w:cs="Times New Roman"/>
          <w:sz w:val="24"/>
          <w:szCs w:val="24"/>
        </w:rPr>
        <w:tab/>
        <w:t>Sargın G, Köse R, Şentürk T, Sargın G, Köse R, Şentürk T. Sitagliptin/Metformin Related Cutaneous Leukocytoclastic Vasculitis in a Patient with Type-2 Diabetes Mellitus. J Acad Res Med [Internet]. 2020 Apr 30 [cited 2025 Oct 6]; Available from: https://jarem.org/articles/sitagliptinmetformin-related-cutaneous-leukocytoclastic-vasculitis-in-a-patient-with-type-2-diabetes-mellitus/jarem.galenos.2018.2019</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12.</w:t>
      </w:r>
      <w:r w:rsidRPr="00041C7F">
        <w:rPr>
          <w:rFonts w:ascii="Times New Roman" w:hAnsi="Times New Roman" w:cs="Times New Roman"/>
          <w:sz w:val="24"/>
          <w:szCs w:val="24"/>
        </w:rPr>
        <w:tab/>
        <w:t>Sharma S. A Rare Case Of Ibuprofen-induced Bullous Leukocytoclastic Vasculitis. J Hosp Med [Internet]. [cited 2025 Oct 6]; Available from: https://shmabstracts.org/abstract/a-rare-case-of-ibuprofen-induced-bullous-leukocytoclastic-vasculitis/</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13.</w:t>
      </w:r>
      <w:r w:rsidRPr="00041C7F">
        <w:rPr>
          <w:rFonts w:ascii="Times New Roman" w:hAnsi="Times New Roman" w:cs="Times New Roman"/>
          <w:sz w:val="24"/>
          <w:szCs w:val="24"/>
        </w:rPr>
        <w:tab/>
        <w:t>Vasculitis Information for Patients | RDS [Internet]. [cited 2025 Oct 6]. Available from: https://www.rheumaderm-society.org/vasculitis-information-for-patients/?utm</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14.</w:t>
      </w:r>
      <w:r w:rsidRPr="00041C7F">
        <w:rPr>
          <w:rFonts w:ascii="Times New Roman" w:hAnsi="Times New Roman" w:cs="Times New Roman"/>
          <w:sz w:val="24"/>
          <w:szCs w:val="24"/>
        </w:rPr>
        <w:tab/>
        <w:t>DermNet® [Internet]. 2023 [cited 2025 Oct 6]. Cutaneous small vessel vasculitis. Available from: https://dermnetnz.org/topics/cutaneous-small-vessel-vasculitis</w:t>
      </w:r>
    </w:p>
    <w:p w:rsidR="000B7B06" w:rsidRPr="00041C7F" w:rsidRDefault="000B7B06" w:rsidP="00CF6F62">
      <w:pPr>
        <w:pStyle w:val="Bibliography"/>
        <w:spacing w:line="480" w:lineRule="auto"/>
        <w:rPr>
          <w:rFonts w:ascii="Times New Roman" w:hAnsi="Times New Roman" w:cs="Times New Roman"/>
          <w:sz w:val="24"/>
          <w:szCs w:val="24"/>
        </w:rPr>
      </w:pPr>
      <w:r w:rsidRPr="00041C7F">
        <w:rPr>
          <w:rFonts w:ascii="Times New Roman" w:hAnsi="Times New Roman" w:cs="Times New Roman"/>
          <w:sz w:val="24"/>
          <w:szCs w:val="24"/>
        </w:rPr>
        <w:t>15.</w:t>
      </w:r>
      <w:r w:rsidRPr="00041C7F">
        <w:rPr>
          <w:rFonts w:ascii="Times New Roman" w:hAnsi="Times New Roman" w:cs="Times New Roman"/>
          <w:sz w:val="24"/>
          <w:szCs w:val="24"/>
        </w:rPr>
        <w:tab/>
        <w:t xml:space="preserve">Micheletti RG. Treatment of cutaneous vasculitis. Front Med. 2022 Nov 18;9:1059612. </w:t>
      </w:r>
    </w:p>
    <w:p w:rsidR="00CF352C" w:rsidRPr="00041C7F" w:rsidRDefault="00164F0C" w:rsidP="00CF6F62">
      <w:pPr>
        <w:spacing w:line="480" w:lineRule="auto"/>
        <w:rPr>
          <w:rFonts w:ascii="Times New Roman" w:hAnsi="Times New Roman" w:cs="Times New Roman"/>
          <w:b/>
          <w:bCs/>
          <w:sz w:val="24"/>
          <w:szCs w:val="24"/>
        </w:rPr>
      </w:pPr>
      <w:r w:rsidRPr="00041C7F">
        <w:rPr>
          <w:rFonts w:ascii="Times New Roman" w:hAnsi="Times New Roman" w:cs="Times New Roman"/>
          <w:b/>
          <w:bCs/>
          <w:sz w:val="24"/>
          <w:szCs w:val="24"/>
        </w:rPr>
        <w:fldChar w:fldCharType="end"/>
      </w:r>
    </w:p>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Table 1:</w:t>
      </w:r>
      <w:r w:rsidRPr="00041C7F">
        <w:rPr>
          <w:rFonts w:ascii="Times New Roman" w:hAnsi="Times New Roman" w:cs="Times New Roman"/>
          <w:sz w:val="24"/>
          <w:szCs w:val="24"/>
        </w:rPr>
        <w:t xml:space="preserve"> The probability of vildagliptin-induced bullous vasculitis was assessed using the Naranjo Adverse Drug Reaction scoring system</w:t>
      </w:r>
    </w:p>
    <w:tbl>
      <w:tblPr>
        <w:tblW w:w="9639" w:type="dxa"/>
        <w:tblCellSpacing w:w="15" w:type="dxa"/>
        <w:tblBorders>
          <w:bottom w:val="single" w:sz="4" w:space="0" w:color="auto"/>
        </w:tblBorders>
        <w:shd w:val="clear" w:color="auto" w:fill="FFF2CC" w:themeFill="accent4" w:themeFillTint="33"/>
        <w:tblCellMar>
          <w:top w:w="15" w:type="dxa"/>
          <w:left w:w="15" w:type="dxa"/>
          <w:bottom w:w="15" w:type="dxa"/>
          <w:right w:w="15" w:type="dxa"/>
        </w:tblCellMar>
        <w:tblLook w:val="04A0" w:firstRow="1" w:lastRow="0" w:firstColumn="1" w:lastColumn="0" w:noHBand="0" w:noVBand="1"/>
      </w:tblPr>
      <w:tblGrid>
        <w:gridCol w:w="4277"/>
        <w:gridCol w:w="945"/>
        <w:gridCol w:w="925"/>
        <w:gridCol w:w="1296"/>
        <w:gridCol w:w="1008"/>
        <w:gridCol w:w="1188"/>
      </w:tblGrid>
      <w:tr w:rsidR="00CF352C" w:rsidRPr="00041C7F" w:rsidTr="00DE75E1">
        <w:trPr>
          <w:tblHeade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lastRenderedPageBreak/>
              <w:t>Question</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Yes (Score)</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No (Score)</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Don’t Know (Score)</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Answer</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b/>
                <w:bCs/>
                <w:sz w:val="24"/>
                <w:szCs w:val="24"/>
              </w:rPr>
            </w:pPr>
            <w:r w:rsidRPr="00041C7F">
              <w:rPr>
                <w:rFonts w:ascii="Times New Roman" w:hAnsi="Times New Roman" w:cs="Times New Roman"/>
                <w:b/>
                <w:bCs/>
                <w:sz w:val="24"/>
                <w:szCs w:val="24"/>
              </w:rPr>
              <w:t>Score</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1. Are there previous conclusive reports on this reaction?</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2. Did the adverse event appear after the suspected drug was given?</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3. Did the reaction improve when the drug was discontinued?</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4. Did the reaction reappear on rechallenge?</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5. Are there alternative causes that could explain the reaction?</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+2</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+2</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6. Did the reaction reappear with placebo?</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Don’t know</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7. Was the drug detected in toxic concentrations?</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Don’t know</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8. Was the reaction worse with dose increase or better with dose decrease?</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9. Did the patient have a similar reaction in the past to the same or similar drugs?</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No</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0</w:t>
            </w:r>
          </w:p>
        </w:tc>
      </w:tr>
      <w:tr w:rsidR="00CF352C" w:rsidRPr="00041C7F" w:rsidTr="00DE75E1">
        <w:trPr>
          <w:tblCellSpacing w:w="15" w:type="dxa"/>
        </w:trPr>
        <w:tc>
          <w:tcPr>
            <w:tcW w:w="0" w:type="auto"/>
            <w:shd w:val="clear" w:color="auto" w:fill="FFF2CC" w:themeFill="accent4" w:themeFillTint="33"/>
            <w:vAlign w:val="center"/>
            <w:hideMark/>
          </w:tcPr>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lastRenderedPageBreak/>
              <w:t>10. Was the adverse event confirmed by objective evidence?</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+1</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sz w:val="24"/>
                <w:szCs w:val="24"/>
              </w:rPr>
              <w:t>0</w:t>
            </w:r>
          </w:p>
        </w:tc>
        <w:tc>
          <w:tcPr>
            <w:tcW w:w="0" w:type="auto"/>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Yes</w:t>
            </w:r>
          </w:p>
        </w:tc>
        <w:tc>
          <w:tcPr>
            <w:tcW w:w="1143" w:type="dxa"/>
            <w:shd w:val="clear" w:color="auto" w:fill="FFF2CC" w:themeFill="accent4" w:themeFillTint="33"/>
            <w:vAlign w:val="center"/>
            <w:hideMark/>
          </w:tcPr>
          <w:p w:rsidR="00CF352C" w:rsidRPr="00041C7F" w:rsidRDefault="00CF352C" w:rsidP="00CF6F62">
            <w:pPr>
              <w:spacing w:line="480" w:lineRule="auto"/>
              <w:jc w:val="center"/>
              <w:rPr>
                <w:rFonts w:ascii="Times New Roman" w:hAnsi="Times New Roman" w:cs="Times New Roman"/>
                <w:sz w:val="24"/>
                <w:szCs w:val="24"/>
              </w:rPr>
            </w:pPr>
            <w:r w:rsidRPr="00041C7F">
              <w:rPr>
                <w:rFonts w:ascii="Times New Roman" w:hAnsi="Times New Roman" w:cs="Times New Roman"/>
                <w:b/>
                <w:bCs/>
                <w:sz w:val="24"/>
                <w:szCs w:val="24"/>
              </w:rPr>
              <w:t>+1</w:t>
            </w:r>
          </w:p>
        </w:tc>
      </w:tr>
    </w:tbl>
    <w:p w:rsidR="000B7B06" w:rsidRPr="00041C7F" w:rsidRDefault="000B7B06" w:rsidP="00CF6F62">
      <w:pPr>
        <w:spacing w:line="480" w:lineRule="auto"/>
        <w:rPr>
          <w:rFonts w:ascii="Times New Roman" w:hAnsi="Times New Roman" w:cs="Times New Roman"/>
          <w:sz w:val="24"/>
          <w:szCs w:val="24"/>
        </w:rPr>
      </w:pPr>
    </w:p>
    <w:p w:rsidR="00CF352C" w:rsidRPr="00041C7F" w:rsidRDefault="00CF352C" w:rsidP="00CF6F62">
      <w:pPr>
        <w:spacing w:line="480" w:lineRule="auto"/>
        <w:rPr>
          <w:rFonts w:ascii="Times New Roman" w:hAnsi="Times New Roman" w:cs="Times New Roman"/>
          <w:b/>
          <w:bCs/>
          <w:sz w:val="24"/>
          <w:szCs w:val="24"/>
        </w:rPr>
      </w:pPr>
    </w:p>
    <w:p w:rsidR="00D54B1C" w:rsidRPr="00041C7F" w:rsidRDefault="00D54B1C" w:rsidP="00CF6F62">
      <w:pPr>
        <w:spacing w:line="480" w:lineRule="auto"/>
        <w:rPr>
          <w:rFonts w:ascii="Times New Roman" w:hAnsi="Times New Roman" w:cs="Times New Roman"/>
          <w:b/>
          <w:bCs/>
          <w:sz w:val="24"/>
          <w:szCs w:val="24"/>
        </w:rPr>
      </w:pPr>
    </w:p>
    <w:p w:rsidR="00D54B1C" w:rsidRPr="00041C7F" w:rsidRDefault="00D54B1C" w:rsidP="00CF6F62">
      <w:pPr>
        <w:spacing w:line="480" w:lineRule="auto"/>
        <w:rPr>
          <w:rFonts w:ascii="Times New Roman" w:hAnsi="Times New Roman" w:cs="Times New Roman"/>
          <w:b/>
          <w:bCs/>
          <w:sz w:val="24"/>
          <w:szCs w:val="24"/>
        </w:rPr>
      </w:pPr>
    </w:p>
    <w:p w:rsidR="00CF352C" w:rsidRPr="00041C7F" w:rsidRDefault="00CF352C"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Table 2:</w:t>
      </w:r>
      <w:r w:rsidRPr="00041C7F">
        <w:rPr>
          <w:rFonts w:ascii="Times New Roman" w:hAnsi="Times New Roman" w:cs="Times New Roman"/>
          <w:sz w:val="24"/>
          <w:szCs w:val="24"/>
        </w:rPr>
        <w:t xml:space="preserve"> Naranjo Scale Interpretation</w:t>
      </w:r>
    </w:p>
    <w:tbl>
      <w:tblPr>
        <w:tblStyle w:val="TableGrid"/>
        <w:tblW w:w="5086" w:type="dxa"/>
        <w:tblInd w:w="720" w:type="dxa"/>
        <w:tblLook w:val="04A0" w:firstRow="1" w:lastRow="0" w:firstColumn="1" w:lastColumn="0" w:noHBand="0" w:noVBand="1"/>
      </w:tblPr>
      <w:tblGrid>
        <w:gridCol w:w="2399"/>
        <w:gridCol w:w="2687"/>
      </w:tblGrid>
      <w:tr w:rsidR="00CF352C" w:rsidRPr="00041C7F" w:rsidTr="00DE75E1">
        <w:trPr>
          <w:trHeight w:val="335"/>
        </w:trPr>
        <w:tc>
          <w:tcPr>
            <w:tcW w:w="0" w:type="auto"/>
            <w:shd w:val="clear" w:color="auto" w:fill="FFF2CC" w:themeFill="accent4" w:themeFillTint="33"/>
            <w:hideMark/>
          </w:tcPr>
          <w:p w:rsidR="00CF352C" w:rsidRPr="00041C7F" w:rsidRDefault="00CF352C" w:rsidP="00CF6F62">
            <w:pPr>
              <w:spacing w:line="480" w:lineRule="auto"/>
              <w:jc w:val="center"/>
              <w:rPr>
                <w:rFonts w:ascii="Times New Roman" w:eastAsia="Times New Roman" w:hAnsi="Times New Roman" w:cs="Times New Roman"/>
                <w:b/>
                <w:bCs/>
                <w:kern w:val="0"/>
                <w:sz w:val="24"/>
                <w:szCs w:val="24"/>
                <w:lang w:eastAsia="en-IN"/>
              </w:rPr>
            </w:pPr>
            <w:r w:rsidRPr="00041C7F">
              <w:rPr>
                <w:rFonts w:ascii="Times New Roman" w:eastAsia="Times New Roman" w:hAnsi="Times New Roman" w:cs="Times New Roman"/>
                <w:b/>
                <w:bCs/>
                <w:kern w:val="0"/>
                <w:sz w:val="24"/>
                <w:szCs w:val="24"/>
                <w:lang w:eastAsia="en-IN"/>
              </w:rPr>
              <w:t>Score Range</w:t>
            </w:r>
          </w:p>
        </w:tc>
        <w:tc>
          <w:tcPr>
            <w:tcW w:w="0" w:type="auto"/>
            <w:shd w:val="clear" w:color="auto" w:fill="FFF2CC" w:themeFill="accent4" w:themeFillTint="33"/>
            <w:hideMark/>
          </w:tcPr>
          <w:p w:rsidR="00CF352C" w:rsidRPr="00041C7F" w:rsidRDefault="00CF352C" w:rsidP="00CF6F62">
            <w:pPr>
              <w:spacing w:line="480" w:lineRule="auto"/>
              <w:jc w:val="center"/>
              <w:rPr>
                <w:rFonts w:ascii="Times New Roman" w:eastAsia="Times New Roman" w:hAnsi="Times New Roman" w:cs="Times New Roman"/>
                <w:b/>
                <w:bCs/>
                <w:kern w:val="0"/>
                <w:sz w:val="24"/>
                <w:szCs w:val="24"/>
                <w:lang w:eastAsia="en-IN"/>
              </w:rPr>
            </w:pPr>
            <w:r w:rsidRPr="00041C7F">
              <w:rPr>
                <w:rFonts w:ascii="Times New Roman" w:eastAsia="Times New Roman" w:hAnsi="Times New Roman" w:cs="Times New Roman"/>
                <w:b/>
                <w:bCs/>
                <w:kern w:val="0"/>
                <w:sz w:val="24"/>
                <w:szCs w:val="24"/>
                <w:lang w:eastAsia="en-IN"/>
              </w:rPr>
              <w:t>Interpretation</w:t>
            </w:r>
          </w:p>
        </w:tc>
      </w:tr>
      <w:tr w:rsidR="00CF352C" w:rsidRPr="00041C7F" w:rsidTr="00DE75E1">
        <w:trPr>
          <w:trHeight w:val="335"/>
        </w:trPr>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 9</w:t>
            </w:r>
          </w:p>
        </w:tc>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Definite ADR</w:t>
            </w:r>
          </w:p>
        </w:tc>
      </w:tr>
      <w:tr w:rsidR="00CF352C" w:rsidRPr="00041C7F" w:rsidTr="00DE75E1">
        <w:trPr>
          <w:trHeight w:val="322"/>
        </w:trPr>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5–8</w:t>
            </w:r>
          </w:p>
        </w:tc>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Probable ADR</w:t>
            </w:r>
          </w:p>
        </w:tc>
      </w:tr>
      <w:tr w:rsidR="00CF352C" w:rsidRPr="00041C7F" w:rsidTr="00DE75E1">
        <w:trPr>
          <w:trHeight w:val="335"/>
        </w:trPr>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1–4</w:t>
            </w:r>
          </w:p>
        </w:tc>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Possible ADR</w:t>
            </w:r>
          </w:p>
        </w:tc>
      </w:tr>
      <w:tr w:rsidR="00CF352C" w:rsidRPr="00041C7F" w:rsidTr="00DE75E1">
        <w:trPr>
          <w:trHeight w:val="335"/>
        </w:trPr>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b/>
                <w:bCs/>
                <w:kern w:val="0"/>
                <w:sz w:val="24"/>
                <w:szCs w:val="24"/>
                <w:lang w:eastAsia="en-IN"/>
              </w:rPr>
              <w:t>≤ 0</w:t>
            </w:r>
          </w:p>
        </w:tc>
        <w:tc>
          <w:tcPr>
            <w:tcW w:w="0" w:type="auto"/>
            <w:shd w:val="clear" w:color="auto" w:fill="FFF2CC" w:themeFill="accent4" w:themeFillTint="33"/>
            <w:hideMark/>
          </w:tcPr>
          <w:p w:rsidR="00CF352C" w:rsidRPr="00041C7F" w:rsidRDefault="00CF352C" w:rsidP="00CF6F62">
            <w:pPr>
              <w:spacing w:line="480" w:lineRule="auto"/>
              <w:rPr>
                <w:rFonts w:ascii="Times New Roman" w:eastAsia="Times New Roman" w:hAnsi="Times New Roman" w:cs="Times New Roman"/>
                <w:kern w:val="0"/>
                <w:sz w:val="24"/>
                <w:szCs w:val="24"/>
                <w:lang w:eastAsia="en-IN"/>
              </w:rPr>
            </w:pPr>
            <w:r w:rsidRPr="00041C7F">
              <w:rPr>
                <w:rFonts w:ascii="Times New Roman" w:eastAsia="Times New Roman" w:hAnsi="Times New Roman" w:cs="Times New Roman"/>
                <w:kern w:val="0"/>
                <w:sz w:val="24"/>
                <w:szCs w:val="24"/>
                <w:lang w:eastAsia="en-IN"/>
              </w:rPr>
              <w:t>Doubtful ADR</w:t>
            </w:r>
          </w:p>
        </w:tc>
      </w:tr>
    </w:tbl>
    <w:p w:rsidR="00CF352C" w:rsidRPr="00041C7F" w:rsidRDefault="00CF352C" w:rsidP="00CF6F62">
      <w:pPr>
        <w:spacing w:line="480" w:lineRule="auto"/>
        <w:rPr>
          <w:rFonts w:ascii="Times New Roman" w:hAnsi="Times New Roman" w:cs="Times New Roman"/>
          <w:sz w:val="24"/>
          <w:szCs w:val="24"/>
        </w:rPr>
      </w:pPr>
    </w:p>
    <w:p w:rsidR="000B7B06"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Figure Legends</w:t>
      </w:r>
    </w:p>
    <w:p w:rsidR="005A0E34" w:rsidRPr="00041C7F" w:rsidRDefault="000B7B06" w:rsidP="00CF6F62">
      <w:pPr>
        <w:spacing w:line="480" w:lineRule="auto"/>
        <w:rPr>
          <w:rFonts w:ascii="Times New Roman" w:hAnsi="Times New Roman" w:cs="Times New Roman"/>
          <w:sz w:val="24"/>
          <w:szCs w:val="24"/>
        </w:rPr>
      </w:pPr>
      <w:r w:rsidRPr="00041C7F">
        <w:rPr>
          <w:rFonts w:ascii="Times New Roman" w:hAnsi="Times New Roman" w:cs="Times New Roman"/>
          <w:b/>
          <w:bCs/>
          <w:sz w:val="24"/>
          <w:szCs w:val="24"/>
        </w:rPr>
        <w:t>Figure 1:</w:t>
      </w:r>
      <w:r w:rsidRPr="00041C7F">
        <w:rPr>
          <w:rFonts w:ascii="Times New Roman" w:hAnsi="Times New Roman" w:cs="Times New Roman"/>
          <w:sz w:val="24"/>
          <w:szCs w:val="24"/>
        </w:rPr>
        <w:t xml:space="preserve"> Bullous and ulcerative lesions over lower limbs at presentation.</w:t>
      </w:r>
      <w:r w:rsidRPr="00041C7F">
        <w:rPr>
          <w:rFonts w:ascii="Times New Roman" w:hAnsi="Times New Roman" w:cs="Times New Roman"/>
          <w:sz w:val="24"/>
          <w:szCs w:val="24"/>
        </w:rPr>
        <w:br/>
      </w:r>
      <w:r w:rsidRPr="00041C7F">
        <w:rPr>
          <w:rFonts w:ascii="Times New Roman" w:hAnsi="Times New Roman" w:cs="Times New Roman"/>
          <w:b/>
          <w:bCs/>
          <w:sz w:val="24"/>
          <w:szCs w:val="24"/>
        </w:rPr>
        <w:t>Figure 2:</w:t>
      </w:r>
      <w:r w:rsidRPr="00041C7F">
        <w:rPr>
          <w:rFonts w:ascii="Times New Roman" w:hAnsi="Times New Roman" w:cs="Times New Roman"/>
          <w:sz w:val="24"/>
          <w:szCs w:val="24"/>
        </w:rPr>
        <w:t xml:space="preserve"> Clinical improvement of lesions after three months following discontinuation of vildagliptin.</w:t>
      </w:r>
    </w:p>
    <w:p w:rsidR="00CF6F62" w:rsidRPr="00041C7F" w:rsidRDefault="00CF6F62" w:rsidP="00CF6F62">
      <w:pPr>
        <w:spacing w:line="480" w:lineRule="auto"/>
        <w:rPr>
          <w:rFonts w:ascii="Times New Roman" w:hAnsi="Times New Roman" w:cs="Times New Roman"/>
          <w:b/>
          <w:bCs/>
          <w:color w:val="EE0000"/>
          <w:sz w:val="24"/>
          <w:szCs w:val="24"/>
        </w:rPr>
      </w:pPr>
    </w:p>
    <w:sectPr w:rsidR="00CF6F62" w:rsidRPr="00041C7F" w:rsidSect="005102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83C" w:rsidRDefault="00D7383C" w:rsidP="00CA1683">
      <w:pPr>
        <w:spacing w:after="0" w:line="240" w:lineRule="auto"/>
      </w:pPr>
      <w:r>
        <w:separator/>
      </w:r>
    </w:p>
  </w:endnote>
  <w:endnote w:type="continuationSeparator" w:id="0">
    <w:p w:rsidR="00D7383C" w:rsidRDefault="00D7383C" w:rsidP="00CA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0F" w:rsidRDefault="00A83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0F" w:rsidRDefault="00A83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0F" w:rsidRDefault="00A8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83C" w:rsidRDefault="00D7383C" w:rsidP="00CA1683">
      <w:pPr>
        <w:spacing w:after="0" w:line="240" w:lineRule="auto"/>
      </w:pPr>
      <w:r>
        <w:separator/>
      </w:r>
    </w:p>
  </w:footnote>
  <w:footnote w:type="continuationSeparator" w:id="0">
    <w:p w:rsidR="00D7383C" w:rsidRDefault="00D7383C" w:rsidP="00CA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0F" w:rsidRDefault="00A83D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683" w:rsidRDefault="00A83D0F">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7"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023733847"/>
        <w:docPartObj>
          <w:docPartGallery w:val="Page Numbers (Top of Page)"/>
          <w:docPartUnique/>
        </w:docPartObj>
      </w:sdtPr>
      <w:sdtEndPr>
        <w:rPr>
          <w:noProof/>
        </w:rPr>
      </w:sdtEndPr>
      <w:sdtContent>
        <w:r w:rsidR="00164F0C">
          <w:fldChar w:fldCharType="begin"/>
        </w:r>
        <w:r w:rsidR="00CA1683">
          <w:instrText xml:space="preserve"> PAGE   \* MERGEFORMAT </w:instrText>
        </w:r>
        <w:r w:rsidR="00164F0C">
          <w:fldChar w:fldCharType="separate"/>
        </w:r>
        <w:r w:rsidR="000862EB">
          <w:rPr>
            <w:noProof/>
          </w:rPr>
          <w:t>7</w:t>
        </w:r>
        <w:r w:rsidR="00164F0C">
          <w:rPr>
            <w:noProof/>
          </w:rPr>
          <w:fldChar w:fldCharType="end"/>
        </w:r>
      </w:sdtContent>
    </w:sdt>
  </w:p>
  <w:p w:rsidR="00CA1683" w:rsidRDefault="00CA1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0F" w:rsidRDefault="00A83D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73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A46EE"/>
    <w:multiLevelType w:val="multilevel"/>
    <w:tmpl w:val="928C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B39"/>
    <w:rsid w:val="00011356"/>
    <w:rsid w:val="00041C7F"/>
    <w:rsid w:val="000862EB"/>
    <w:rsid w:val="000B7B06"/>
    <w:rsid w:val="00145002"/>
    <w:rsid w:val="00164F0C"/>
    <w:rsid w:val="001805CE"/>
    <w:rsid w:val="00197AE4"/>
    <w:rsid w:val="001B58E3"/>
    <w:rsid w:val="0028375A"/>
    <w:rsid w:val="002A3270"/>
    <w:rsid w:val="002C6D86"/>
    <w:rsid w:val="002E548C"/>
    <w:rsid w:val="002F543E"/>
    <w:rsid w:val="003024F6"/>
    <w:rsid w:val="00347E00"/>
    <w:rsid w:val="003560F0"/>
    <w:rsid w:val="00364789"/>
    <w:rsid w:val="003725AE"/>
    <w:rsid w:val="003925FF"/>
    <w:rsid w:val="003D19BB"/>
    <w:rsid w:val="003F4FD1"/>
    <w:rsid w:val="00445F5D"/>
    <w:rsid w:val="0045269B"/>
    <w:rsid w:val="00471567"/>
    <w:rsid w:val="00510273"/>
    <w:rsid w:val="0053462D"/>
    <w:rsid w:val="005A0E34"/>
    <w:rsid w:val="005C47E5"/>
    <w:rsid w:val="005D156E"/>
    <w:rsid w:val="006A5916"/>
    <w:rsid w:val="00722A77"/>
    <w:rsid w:val="0075085E"/>
    <w:rsid w:val="00794B39"/>
    <w:rsid w:val="00897C23"/>
    <w:rsid w:val="008B0EBD"/>
    <w:rsid w:val="008C38D3"/>
    <w:rsid w:val="009C2F32"/>
    <w:rsid w:val="00A353DB"/>
    <w:rsid w:val="00A83D0F"/>
    <w:rsid w:val="00AD1AC6"/>
    <w:rsid w:val="00B00A6E"/>
    <w:rsid w:val="00B10D11"/>
    <w:rsid w:val="00B525C8"/>
    <w:rsid w:val="00B718E0"/>
    <w:rsid w:val="00BA1D4B"/>
    <w:rsid w:val="00BE772D"/>
    <w:rsid w:val="00C17DD7"/>
    <w:rsid w:val="00C71C8A"/>
    <w:rsid w:val="00C73B4F"/>
    <w:rsid w:val="00CA1683"/>
    <w:rsid w:val="00CD2908"/>
    <w:rsid w:val="00CF352C"/>
    <w:rsid w:val="00CF6F62"/>
    <w:rsid w:val="00D54B1C"/>
    <w:rsid w:val="00D7383C"/>
    <w:rsid w:val="00F17AEB"/>
    <w:rsid w:val="00F474F6"/>
    <w:rsid w:val="00F525A1"/>
    <w:rsid w:val="00F819BC"/>
    <w:rsid w:val="00F96109"/>
    <w:rsid w:val="00FA2027"/>
    <w:rsid w:val="00FC5BA0"/>
    <w:rsid w:val="00FC5C84"/>
    <w:rsid w:val="00FE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D483F15-8DC7-41BB-9D34-E605D7C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F0C"/>
  </w:style>
  <w:style w:type="paragraph" w:styleId="Heading1">
    <w:name w:val="heading 1"/>
    <w:basedOn w:val="Normal"/>
    <w:next w:val="Normal"/>
    <w:link w:val="Heading1Char"/>
    <w:uiPriority w:val="9"/>
    <w:qFormat/>
    <w:rsid w:val="00794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B39"/>
    <w:rPr>
      <w:rFonts w:eastAsiaTheme="majorEastAsia" w:cstheme="majorBidi"/>
      <w:color w:val="272727" w:themeColor="text1" w:themeTint="D8"/>
    </w:rPr>
  </w:style>
  <w:style w:type="paragraph" w:styleId="Title">
    <w:name w:val="Title"/>
    <w:basedOn w:val="Normal"/>
    <w:next w:val="Normal"/>
    <w:link w:val="TitleChar"/>
    <w:uiPriority w:val="10"/>
    <w:qFormat/>
    <w:rsid w:val="00794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B39"/>
    <w:pPr>
      <w:spacing w:before="160"/>
      <w:jc w:val="center"/>
    </w:pPr>
    <w:rPr>
      <w:i/>
      <w:iCs/>
      <w:color w:val="404040" w:themeColor="text1" w:themeTint="BF"/>
    </w:rPr>
  </w:style>
  <w:style w:type="character" w:customStyle="1" w:styleId="QuoteChar">
    <w:name w:val="Quote Char"/>
    <w:basedOn w:val="DefaultParagraphFont"/>
    <w:link w:val="Quote"/>
    <w:uiPriority w:val="29"/>
    <w:rsid w:val="00794B39"/>
    <w:rPr>
      <w:i/>
      <w:iCs/>
      <w:color w:val="404040" w:themeColor="text1" w:themeTint="BF"/>
    </w:rPr>
  </w:style>
  <w:style w:type="paragraph" w:styleId="ListParagraph">
    <w:name w:val="List Paragraph"/>
    <w:basedOn w:val="Normal"/>
    <w:uiPriority w:val="34"/>
    <w:qFormat/>
    <w:rsid w:val="00794B39"/>
    <w:pPr>
      <w:ind w:left="720"/>
      <w:contextualSpacing/>
    </w:pPr>
  </w:style>
  <w:style w:type="character" w:styleId="IntenseEmphasis">
    <w:name w:val="Intense Emphasis"/>
    <w:basedOn w:val="DefaultParagraphFont"/>
    <w:uiPriority w:val="21"/>
    <w:qFormat/>
    <w:rsid w:val="00794B39"/>
    <w:rPr>
      <w:i/>
      <w:iCs/>
      <w:color w:val="2F5496" w:themeColor="accent1" w:themeShade="BF"/>
    </w:rPr>
  </w:style>
  <w:style w:type="paragraph" w:styleId="IntenseQuote">
    <w:name w:val="Intense Quote"/>
    <w:basedOn w:val="Normal"/>
    <w:next w:val="Normal"/>
    <w:link w:val="IntenseQuoteChar"/>
    <w:uiPriority w:val="30"/>
    <w:qFormat/>
    <w:rsid w:val="00794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B39"/>
    <w:rPr>
      <w:i/>
      <w:iCs/>
      <w:color w:val="2F5496" w:themeColor="accent1" w:themeShade="BF"/>
    </w:rPr>
  </w:style>
  <w:style w:type="character" w:styleId="IntenseReference">
    <w:name w:val="Intense Reference"/>
    <w:basedOn w:val="DefaultParagraphFont"/>
    <w:uiPriority w:val="32"/>
    <w:qFormat/>
    <w:rsid w:val="00794B39"/>
    <w:rPr>
      <w:b/>
      <w:bCs/>
      <w:smallCaps/>
      <w:color w:val="2F5496" w:themeColor="accent1" w:themeShade="BF"/>
      <w:spacing w:val="5"/>
    </w:rPr>
  </w:style>
  <w:style w:type="table" w:styleId="TableGrid">
    <w:name w:val="Table Grid"/>
    <w:basedOn w:val="TableNormal"/>
    <w:uiPriority w:val="39"/>
    <w:rsid w:val="005A0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10273"/>
  </w:style>
  <w:style w:type="paragraph" w:styleId="Header">
    <w:name w:val="header"/>
    <w:basedOn w:val="Normal"/>
    <w:link w:val="HeaderChar"/>
    <w:uiPriority w:val="99"/>
    <w:unhideWhenUsed/>
    <w:rsid w:val="00CA1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683"/>
  </w:style>
  <w:style w:type="paragraph" w:styleId="Footer">
    <w:name w:val="footer"/>
    <w:basedOn w:val="Normal"/>
    <w:link w:val="FooterChar"/>
    <w:uiPriority w:val="99"/>
    <w:unhideWhenUsed/>
    <w:rsid w:val="00CA1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683"/>
  </w:style>
  <w:style w:type="paragraph" w:styleId="Bibliography">
    <w:name w:val="Bibliography"/>
    <w:basedOn w:val="Normal"/>
    <w:next w:val="Normal"/>
    <w:uiPriority w:val="37"/>
    <w:unhideWhenUsed/>
    <w:rsid w:val="000B7B06"/>
  </w:style>
  <w:style w:type="character" w:styleId="Hyperlink">
    <w:name w:val="Hyperlink"/>
    <w:basedOn w:val="DefaultParagraphFont"/>
    <w:uiPriority w:val="99"/>
    <w:unhideWhenUsed/>
    <w:rsid w:val="002F543E"/>
    <w:rPr>
      <w:color w:val="0563C1" w:themeColor="hyperlink"/>
      <w:u w:val="single"/>
    </w:rPr>
  </w:style>
  <w:style w:type="character" w:customStyle="1" w:styleId="UnresolvedMention1">
    <w:name w:val="Unresolved Mention1"/>
    <w:basedOn w:val="DefaultParagraphFont"/>
    <w:uiPriority w:val="99"/>
    <w:semiHidden/>
    <w:unhideWhenUsed/>
    <w:rsid w:val="002F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500A-C1F8-464A-BDF6-D624D089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saagarika</dc:creator>
  <cp:keywords/>
  <dc:description/>
  <cp:lastModifiedBy>SDI 1166</cp:lastModifiedBy>
  <cp:revision>12</cp:revision>
  <dcterms:created xsi:type="dcterms:W3CDTF">2026-03-29T19:19:00Z</dcterms:created>
  <dcterms:modified xsi:type="dcterms:W3CDTF">2026-03-30T12:32:00Z</dcterms:modified>
</cp:coreProperties>
</file>