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4FE66" w14:textId="77777777" w:rsidR="0039520D" w:rsidRDefault="0039520D" w:rsidP="0039520D">
      <w:pPr>
        <w:jc w:val="center"/>
        <w:rPr>
          <w:rFonts w:ascii="Times New Roman" w:hAnsi="Times New Roman" w:cs="Times New Roman"/>
          <w:b/>
          <w:sz w:val="28"/>
          <w:szCs w:val="28"/>
          <w:lang w:val="en-US"/>
        </w:rPr>
      </w:pPr>
      <w:r w:rsidRPr="00FF3665">
        <w:rPr>
          <w:rFonts w:ascii="Times New Roman" w:hAnsi="Times New Roman" w:cs="Times New Roman"/>
          <w:b/>
          <w:sz w:val="28"/>
          <w:szCs w:val="28"/>
          <w:lang w:val="en-US"/>
        </w:rPr>
        <w:t>Reframing Digital Transformation in Greek Education: Artificial Intelligence, Systemic Challenges, and Strategic Policy Pathways</w:t>
      </w:r>
    </w:p>
    <w:p w14:paraId="38E20A5A" w14:textId="77777777" w:rsidR="005B0B8B" w:rsidRDefault="005B0B8B" w:rsidP="0039520D">
      <w:pPr>
        <w:jc w:val="center"/>
        <w:rPr>
          <w:rFonts w:ascii="Times New Roman" w:hAnsi="Times New Roman" w:cs="Times New Roman"/>
          <w:b/>
          <w:sz w:val="28"/>
          <w:szCs w:val="28"/>
          <w:lang w:val="en-US"/>
        </w:rPr>
      </w:pPr>
    </w:p>
    <w:p w14:paraId="004053B1" w14:textId="77777777" w:rsidR="0039520D" w:rsidRPr="00990661" w:rsidRDefault="0039520D" w:rsidP="0039520D">
      <w:pPr>
        <w:rPr>
          <w:rFonts w:ascii="Times New Roman" w:hAnsi="Times New Roman" w:cs="Times New Roman"/>
          <w:b/>
          <w:sz w:val="24"/>
          <w:szCs w:val="24"/>
          <w:lang w:val="en-US"/>
        </w:rPr>
      </w:pPr>
      <w:bookmarkStart w:id="0" w:name="_GoBack"/>
      <w:bookmarkEnd w:id="0"/>
    </w:p>
    <w:p w14:paraId="69DBEA9E" w14:textId="47C5322E" w:rsidR="0039520D" w:rsidRPr="00990661" w:rsidRDefault="0039520D" w:rsidP="0039520D">
      <w:pPr>
        <w:rPr>
          <w:rFonts w:ascii="Times New Roman" w:hAnsi="Times New Roman" w:cs="Times New Roman"/>
          <w:b/>
          <w:sz w:val="24"/>
          <w:szCs w:val="24"/>
          <w:lang w:val="en-US"/>
        </w:rPr>
      </w:pPr>
      <w:r w:rsidRPr="00990661">
        <w:rPr>
          <w:rFonts w:ascii="Times New Roman" w:hAnsi="Times New Roman" w:cs="Times New Roman"/>
          <w:b/>
          <w:sz w:val="24"/>
          <w:szCs w:val="24"/>
          <w:lang w:val="en-US"/>
        </w:rPr>
        <w:t>Abstract</w:t>
      </w:r>
    </w:p>
    <w:p w14:paraId="026EB17F" w14:textId="7006E7AC"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This paper examines the evolving role of artificial intelligence (AI) in the digital transformation of the Greek educational system, providing a comprehensive narrative review of developments across all levels of education. Drawing on academic literature, policy documents, and institutional reports from 2018 to 2025, the study explores the extent of AI integration, institutional readiness, stakeholder perceptions, and the systemic challenges that shape implementation.</w:t>
      </w:r>
      <w:r w:rsidR="008B4E81" w:rsidRPr="00990661">
        <w:rPr>
          <w:rFonts w:ascii="Times New Roman" w:hAnsi="Times New Roman" w:cs="Times New Roman"/>
          <w:sz w:val="24"/>
          <w:szCs w:val="24"/>
          <w:lang w:val="en-US"/>
        </w:rPr>
        <w:t xml:space="preserve"> </w:t>
      </w:r>
      <w:r w:rsidRPr="00990661">
        <w:rPr>
          <w:rFonts w:ascii="Times New Roman" w:hAnsi="Times New Roman" w:cs="Times New Roman"/>
          <w:sz w:val="24"/>
          <w:szCs w:val="24"/>
          <w:lang w:val="en-US"/>
        </w:rPr>
        <w:t>The findings indicate that, despite notable progress</w:t>
      </w:r>
      <w:r w:rsidR="008B4E81" w:rsidRPr="00990661">
        <w:rPr>
          <w:rFonts w:ascii="Times New Roman" w:hAnsi="Times New Roman" w:cs="Times New Roman"/>
          <w:sz w:val="24"/>
          <w:szCs w:val="24"/>
          <w:lang w:val="en-US"/>
        </w:rPr>
        <w:t xml:space="preserve">, </w:t>
      </w:r>
      <w:r w:rsidRPr="00990661">
        <w:rPr>
          <w:rFonts w:ascii="Times New Roman" w:hAnsi="Times New Roman" w:cs="Times New Roman"/>
          <w:sz w:val="24"/>
          <w:szCs w:val="24"/>
          <w:lang w:val="en-US"/>
        </w:rPr>
        <w:t>particularly accelerated by the COVID-19 pandemic</w:t>
      </w:r>
      <w:r w:rsidR="008B4E81" w:rsidRPr="00990661">
        <w:rPr>
          <w:rFonts w:ascii="Times New Roman" w:hAnsi="Times New Roman" w:cs="Times New Roman"/>
          <w:sz w:val="24"/>
          <w:szCs w:val="24"/>
          <w:lang w:val="en-US"/>
        </w:rPr>
        <w:t xml:space="preserve">, </w:t>
      </w:r>
      <w:r w:rsidRPr="00990661">
        <w:rPr>
          <w:rFonts w:ascii="Times New Roman" w:hAnsi="Times New Roman" w:cs="Times New Roman"/>
          <w:sz w:val="24"/>
          <w:szCs w:val="24"/>
          <w:lang w:val="en-US"/>
        </w:rPr>
        <w:t>AI adoption in Greece remains uneven and fragmented. Higher education institutions lead in the integration of advanced technologies, while primary and secondary education lag behind due to infrastructural limitations, insufficient teacher training, and lack of coordinated policy frameworks. Stakeholder analysis reveals cautious optimism among educators, strong adaptability among students, and strategic awareness among policymakers, though often without effective execution mechanisms.</w:t>
      </w:r>
      <w:r w:rsidR="008B4E81" w:rsidRPr="00990661">
        <w:rPr>
          <w:rFonts w:ascii="Times New Roman" w:hAnsi="Times New Roman" w:cs="Times New Roman"/>
          <w:sz w:val="24"/>
          <w:szCs w:val="24"/>
          <w:lang w:val="en-US"/>
        </w:rPr>
        <w:t xml:space="preserve"> </w:t>
      </w:r>
      <w:r w:rsidRPr="00990661">
        <w:rPr>
          <w:rFonts w:ascii="Times New Roman" w:hAnsi="Times New Roman" w:cs="Times New Roman"/>
          <w:sz w:val="24"/>
          <w:szCs w:val="24"/>
          <w:lang w:val="en-US"/>
        </w:rPr>
        <w:t>The paper identifies key barriers, including digital inequalities, limited professional development opportunities, and unresolved ethical and regulatory concerns. It argues that without a cohesive national strategy, AI integration risks reinforcing existing disparities rather than promoting educational equity.</w:t>
      </w:r>
    </w:p>
    <w:p w14:paraId="6B9C11E7" w14:textId="77777777"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In response, the study proposes a multi-level strategic framework that emphasizes investment in infrastructure, systematic teacher training, and the establishment of clear ethical governance structures. Aligning national efforts with European Union priorities is highlighted as a critical pathway for sustainable and inclusive digital transformation. The paper concludes by outlining directions for future research, including long-term impact assessment, comparative European analysis, and the development of culturally adaptive AI systems tailored to the Greek educational context.</w:t>
      </w:r>
    </w:p>
    <w:p w14:paraId="5D67B0AC" w14:textId="535B1CAD"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 xml:space="preserve">Keywords: </w:t>
      </w:r>
      <w:r w:rsidRPr="00990661">
        <w:rPr>
          <w:rFonts w:ascii="Times New Roman" w:hAnsi="Times New Roman" w:cs="Times New Roman"/>
          <w:sz w:val="24"/>
          <w:szCs w:val="24"/>
          <w:lang w:val="en-US"/>
        </w:rPr>
        <w:t>Artificial Intelligence; Digital Transformation; Greek Education System; Educational Policy; E-learning; Teacher Training; Educational Technology; Systemic Challenges; AI Ethics</w:t>
      </w:r>
    </w:p>
    <w:p w14:paraId="6DF19AA9" w14:textId="77777777" w:rsidR="0039520D" w:rsidRPr="00990661" w:rsidRDefault="0039520D" w:rsidP="0039520D">
      <w:pPr>
        <w:jc w:val="both"/>
        <w:rPr>
          <w:rFonts w:ascii="Times New Roman" w:hAnsi="Times New Roman" w:cs="Times New Roman"/>
          <w:sz w:val="24"/>
          <w:szCs w:val="24"/>
          <w:lang w:val="en-US"/>
        </w:rPr>
      </w:pPr>
    </w:p>
    <w:p w14:paraId="68C73FFA"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1. Introduction</w:t>
      </w:r>
    </w:p>
    <w:p w14:paraId="3EEE39F4" w14:textId="32B8DC6D"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Artificial intelligence (AI) is rapidly reshaping educational systems worldwide, introducing new possibilities for personalized learning, automation of administrative processes, and advanced analysis of educational data. Its integration into education is no longer a future prospect but an evolving reality that is transforming both pedagogical practices and policy design</w:t>
      </w:r>
      <w:r w:rsidR="00150A9A">
        <w:rPr>
          <w:rFonts w:ascii="Times New Roman" w:hAnsi="Times New Roman" w:cs="Times New Roman"/>
          <w:sz w:val="24"/>
          <w:szCs w:val="24"/>
          <w:lang w:val="en-US"/>
        </w:rPr>
        <w:t xml:space="preserve"> [1-3].</w:t>
      </w:r>
      <w:r w:rsidRPr="00990661">
        <w:rPr>
          <w:rFonts w:ascii="Times New Roman" w:hAnsi="Times New Roman" w:cs="Times New Roman"/>
          <w:sz w:val="24"/>
          <w:szCs w:val="24"/>
          <w:lang w:val="en-US"/>
        </w:rPr>
        <w:t xml:space="preserve"> AI-driven tools such as adaptive learning platforms, intelligent tutoring systems, and data analytics frameworks are enabling more individualized learning pathways, supporting real-time feedback, and enhancing </w:t>
      </w:r>
      <w:r w:rsidRPr="00990661">
        <w:rPr>
          <w:rFonts w:ascii="Times New Roman" w:hAnsi="Times New Roman" w:cs="Times New Roman"/>
          <w:sz w:val="24"/>
          <w:szCs w:val="24"/>
          <w:lang w:val="en-US"/>
        </w:rPr>
        <w:lastRenderedPageBreak/>
        <w:t>decision-making at both classroom and institutional levels. At the same time, these developments are redefining the roles of teachers and learners, shifting the focus from knowledge transmission to facilitation, critical thinking, and digital literacy. As a result, education systems are increasingly required to adapt not only technologically but also structurally and culturally in order to fully leverage the potential of AI while addressing emerging ethical and pedagogical challenges</w:t>
      </w:r>
      <w:r w:rsidR="00150A9A">
        <w:rPr>
          <w:rFonts w:ascii="Times New Roman" w:hAnsi="Times New Roman" w:cs="Times New Roman"/>
          <w:sz w:val="24"/>
          <w:szCs w:val="24"/>
          <w:lang w:val="en-US"/>
        </w:rPr>
        <w:t xml:space="preserve"> </w:t>
      </w:r>
      <w:r w:rsidR="00150A9A" w:rsidRPr="00150A9A">
        <w:rPr>
          <w:rFonts w:ascii="Times New Roman" w:hAnsi="Times New Roman" w:cs="Times New Roman"/>
          <w:sz w:val="24"/>
          <w:szCs w:val="24"/>
          <w:lang w:val="en-US"/>
        </w:rPr>
        <w:t>[1-3].</w:t>
      </w:r>
    </w:p>
    <w:p w14:paraId="54322134" w14:textId="3DC5DFE5"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Within this global context, Greece presents a distinctive case shaped by its centralized governance structure, prolonged economic constraints, and uneven distribution of digital infrastructure. These factors significantly influence both the pace and the nature of technological adoption across educational levels</w:t>
      </w:r>
      <w:r w:rsidR="00150A9A">
        <w:rPr>
          <w:rFonts w:ascii="Times New Roman" w:hAnsi="Times New Roman" w:cs="Times New Roman"/>
          <w:sz w:val="24"/>
          <w:szCs w:val="24"/>
          <w:lang w:val="en-US"/>
        </w:rPr>
        <w:t xml:space="preserve"> </w:t>
      </w:r>
      <w:r w:rsidR="00150A9A" w:rsidRPr="00150A9A">
        <w:rPr>
          <w:rFonts w:ascii="Times New Roman" w:hAnsi="Times New Roman" w:cs="Times New Roman"/>
          <w:sz w:val="24"/>
          <w:szCs w:val="24"/>
          <w:lang w:val="en-US"/>
        </w:rPr>
        <w:t>[</w:t>
      </w:r>
      <w:r w:rsidR="00150A9A">
        <w:rPr>
          <w:rFonts w:ascii="Times New Roman" w:hAnsi="Times New Roman" w:cs="Times New Roman"/>
          <w:sz w:val="24"/>
          <w:szCs w:val="24"/>
          <w:lang w:val="en-US"/>
        </w:rPr>
        <w:t>2</w:t>
      </w:r>
      <w:r w:rsidR="00150A9A" w:rsidRPr="00150A9A">
        <w:rPr>
          <w:rFonts w:ascii="Times New Roman" w:hAnsi="Times New Roman" w:cs="Times New Roman"/>
          <w:sz w:val="24"/>
          <w:szCs w:val="24"/>
          <w:lang w:val="en-US"/>
        </w:rPr>
        <w:t>-</w:t>
      </w:r>
      <w:r w:rsidR="00150A9A">
        <w:rPr>
          <w:rFonts w:ascii="Times New Roman" w:hAnsi="Times New Roman" w:cs="Times New Roman"/>
          <w:sz w:val="24"/>
          <w:szCs w:val="24"/>
          <w:lang w:val="en-US"/>
        </w:rPr>
        <w:t>4</w:t>
      </w:r>
      <w:r w:rsidR="00150A9A" w:rsidRPr="00150A9A">
        <w:rPr>
          <w:rFonts w:ascii="Times New Roman" w:hAnsi="Times New Roman" w:cs="Times New Roman"/>
          <w:sz w:val="24"/>
          <w:szCs w:val="24"/>
          <w:lang w:val="en-US"/>
        </w:rPr>
        <w:t>].</w:t>
      </w:r>
    </w:p>
    <w:p w14:paraId="2230A062" w14:textId="572AE105"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The COVID-19 pandemic functioned as a critical catalyst for digital transformation in Greek education. The abrupt shift to remote learning exposed both strengths such as adaptability and rapid platform deployment and systemic weaknesses, including insufficient infrastructure, limited digital competencies among educators, and the absence of long-term strategic planning</w:t>
      </w:r>
      <w:r w:rsidR="00150A9A">
        <w:rPr>
          <w:rFonts w:ascii="Times New Roman" w:hAnsi="Times New Roman" w:cs="Times New Roman"/>
          <w:sz w:val="24"/>
          <w:szCs w:val="24"/>
          <w:lang w:val="en-US"/>
        </w:rPr>
        <w:t xml:space="preserve"> </w:t>
      </w:r>
      <w:r w:rsidR="00150A9A" w:rsidRPr="00150A9A">
        <w:rPr>
          <w:rFonts w:ascii="Times New Roman" w:hAnsi="Times New Roman" w:cs="Times New Roman"/>
          <w:sz w:val="24"/>
          <w:szCs w:val="24"/>
          <w:lang w:val="en-US"/>
        </w:rPr>
        <w:t>[2-4].</w:t>
      </w:r>
    </w:p>
    <w:p w14:paraId="3E8596EF" w14:textId="77777777" w:rsidR="0039520D" w:rsidRPr="00990661" w:rsidRDefault="0039520D" w:rsidP="0039520D">
      <w:pPr>
        <w:jc w:val="both"/>
        <w:rPr>
          <w:rFonts w:ascii="Times New Roman" w:hAnsi="Times New Roman" w:cs="Times New Roman"/>
          <w:sz w:val="24"/>
          <w:szCs w:val="24"/>
          <w:lang w:val="en-US"/>
        </w:rPr>
      </w:pPr>
    </w:p>
    <w:p w14:paraId="25FC25AB"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2. Literature Review</w:t>
      </w:r>
    </w:p>
    <w:p w14:paraId="553DD89A" w14:textId="77777777" w:rsidR="0039520D" w:rsidRPr="00990661" w:rsidRDefault="0039520D" w:rsidP="0039520D">
      <w:pPr>
        <w:jc w:val="both"/>
        <w:rPr>
          <w:rFonts w:ascii="Times New Roman" w:hAnsi="Times New Roman" w:cs="Times New Roman"/>
          <w:sz w:val="24"/>
          <w:szCs w:val="24"/>
          <w:lang w:val="en-US"/>
        </w:rPr>
      </w:pPr>
    </w:p>
    <w:p w14:paraId="40AB70B9" w14:textId="3E3143D7"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International literature consistently highlights the transformative potential of AI in education, emphasizing applications such as adaptive learning systems, intelligent tutoring systems, automated assessment tools, and learning analytics. These technologies are increasingly used to support personalized learning pathways, allowing educational content to be tailored to individual student needs, learning speeds, and cognitive profiles. Moreover, AI-driven analytics enable educators and institutions to monitor student performance in real time, identify learning gaps, and implement targeted interventions. As a result, numerous studies associate the integration of AI with improved academic outcomes, higher levels of student engagement, and more efficient management of educational processes at both micro and macro levels</w:t>
      </w:r>
      <w:r w:rsidR="00150A9A" w:rsidRPr="00150A9A">
        <w:rPr>
          <w:lang w:val="en-US"/>
        </w:rPr>
        <w:t xml:space="preserve"> </w:t>
      </w:r>
      <w:r w:rsidR="00150A9A" w:rsidRPr="00150A9A">
        <w:rPr>
          <w:rFonts w:ascii="Times New Roman" w:hAnsi="Times New Roman" w:cs="Times New Roman"/>
          <w:sz w:val="24"/>
          <w:szCs w:val="24"/>
          <w:lang w:val="en-US"/>
        </w:rPr>
        <w:t>[</w:t>
      </w:r>
      <w:r w:rsidR="00150A9A">
        <w:rPr>
          <w:rFonts w:ascii="Times New Roman" w:hAnsi="Times New Roman" w:cs="Times New Roman"/>
          <w:sz w:val="24"/>
          <w:szCs w:val="24"/>
          <w:lang w:val="en-US"/>
        </w:rPr>
        <w:t>4</w:t>
      </w:r>
      <w:r w:rsidR="00150A9A" w:rsidRPr="00150A9A">
        <w:rPr>
          <w:rFonts w:ascii="Times New Roman" w:hAnsi="Times New Roman" w:cs="Times New Roman"/>
          <w:sz w:val="24"/>
          <w:szCs w:val="24"/>
          <w:lang w:val="en-US"/>
        </w:rPr>
        <w:t>-</w:t>
      </w:r>
      <w:r w:rsidR="00150A9A">
        <w:rPr>
          <w:rFonts w:ascii="Times New Roman" w:hAnsi="Times New Roman" w:cs="Times New Roman"/>
          <w:sz w:val="24"/>
          <w:szCs w:val="24"/>
          <w:lang w:val="en-US"/>
        </w:rPr>
        <w:t>6</w:t>
      </w:r>
      <w:r w:rsidR="00150A9A" w:rsidRPr="00150A9A">
        <w:rPr>
          <w:rFonts w:ascii="Times New Roman" w:hAnsi="Times New Roman" w:cs="Times New Roman"/>
          <w:sz w:val="24"/>
          <w:szCs w:val="24"/>
          <w:lang w:val="en-US"/>
        </w:rPr>
        <w:t>].</w:t>
      </w:r>
    </w:p>
    <w:p w14:paraId="0C104ED0" w14:textId="07E1D4E2"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Beyond instructional benefits, the literature also points to the growing role of AI in administrative and institutional decision-making. Automated systems can streamline routine tasks such as grading, scheduling, and student support services, thereby reducing workload pressures on educators and allowing them to focus more on pedagogical innovation. Additionally, AI contributes to evidence-based policymaking by providing large-scale data insights that inform curriculum design, resource allocation, and long-term educational planning. However, the effectiveness of these applications largely depends on the quality of data, technological infrastructure, and the digital competencies of educators and administrators</w:t>
      </w:r>
      <w:r w:rsidR="00150A9A" w:rsidRPr="00150A9A">
        <w:rPr>
          <w:lang w:val="en-US"/>
        </w:rPr>
        <w:t xml:space="preserve"> </w:t>
      </w:r>
      <w:r w:rsidR="00150A9A" w:rsidRPr="00150A9A">
        <w:rPr>
          <w:rFonts w:ascii="Times New Roman" w:hAnsi="Times New Roman" w:cs="Times New Roman"/>
          <w:sz w:val="24"/>
          <w:szCs w:val="24"/>
          <w:lang w:val="en-US"/>
        </w:rPr>
        <w:t>[4-6].</w:t>
      </w:r>
    </w:p>
    <w:p w14:paraId="68AC40BA" w14:textId="05498173"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At the same time, scholars underline critical concerns related to data privacy, ethical governance, algorithmic bias, and the risk of exacerbating existing inequalities. The use of large datasets raises important questions about the protection of personal information, consent, and transparency in algorithmic decision-making. There is also increasing awareness that AI systems, if not carefully designed and regulated, may </w:t>
      </w:r>
      <w:r w:rsidRPr="00990661">
        <w:rPr>
          <w:rFonts w:ascii="Times New Roman" w:hAnsi="Times New Roman" w:cs="Times New Roman"/>
          <w:sz w:val="24"/>
          <w:szCs w:val="24"/>
          <w:lang w:val="en-US"/>
        </w:rPr>
        <w:lastRenderedPageBreak/>
        <w:t>reproduce or even amplify social and educational disparities, particularly among disadvantaged student populations. Consequently, the need for comprehensive regulatory frameworks, ethical guidelines, and responsible innovation is widely acknowledged in the international discourse</w:t>
      </w:r>
      <w:r w:rsidR="00150A9A" w:rsidRPr="00150A9A">
        <w:rPr>
          <w:lang w:val="en-US"/>
        </w:rPr>
        <w:t xml:space="preserve"> </w:t>
      </w:r>
      <w:r w:rsidR="00150A9A" w:rsidRPr="00150A9A">
        <w:rPr>
          <w:rFonts w:ascii="Times New Roman" w:hAnsi="Times New Roman" w:cs="Times New Roman"/>
          <w:sz w:val="24"/>
          <w:szCs w:val="24"/>
          <w:lang w:val="en-US"/>
        </w:rPr>
        <w:t>[</w:t>
      </w:r>
      <w:r w:rsidR="00150A9A">
        <w:rPr>
          <w:rFonts w:ascii="Times New Roman" w:hAnsi="Times New Roman" w:cs="Times New Roman"/>
          <w:sz w:val="24"/>
          <w:szCs w:val="24"/>
          <w:lang w:val="en-US"/>
        </w:rPr>
        <w:t>6</w:t>
      </w:r>
      <w:r w:rsidR="00150A9A" w:rsidRPr="00150A9A">
        <w:rPr>
          <w:rFonts w:ascii="Times New Roman" w:hAnsi="Times New Roman" w:cs="Times New Roman"/>
          <w:sz w:val="24"/>
          <w:szCs w:val="24"/>
          <w:lang w:val="en-US"/>
        </w:rPr>
        <w:t>-</w:t>
      </w:r>
      <w:r w:rsidR="009F038A">
        <w:rPr>
          <w:rFonts w:ascii="Times New Roman" w:hAnsi="Times New Roman" w:cs="Times New Roman"/>
          <w:sz w:val="24"/>
          <w:szCs w:val="24"/>
          <w:lang w:val="en-US"/>
        </w:rPr>
        <w:t>9</w:t>
      </w:r>
      <w:r w:rsidR="00150A9A" w:rsidRPr="00150A9A">
        <w:rPr>
          <w:rFonts w:ascii="Times New Roman" w:hAnsi="Times New Roman" w:cs="Times New Roman"/>
          <w:sz w:val="24"/>
          <w:szCs w:val="24"/>
          <w:lang w:val="en-US"/>
        </w:rPr>
        <w:t>].</w:t>
      </w:r>
    </w:p>
    <w:p w14:paraId="333BFE22" w14:textId="2C1406E0"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In the Greek context, research on AI in education remains relatively limited but is steadily expanding. Existing studies primarily focus on digital readiness, the implementation of e-learning platforms, and the challenges faced by educators during the transition to online teaching. These studies highlight issues such as uneven access to digital tools, varying levels of teacher preparedness, and the lack of systematic professional development programs. While they provide valuable insights into the broader process of digital transformation, there is still a notable gap in research specifically addressing the pedagogical, institutional, and ethical dimensions of AI integration</w:t>
      </w:r>
      <w:r w:rsidR="009F038A" w:rsidRPr="009F038A">
        <w:rPr>
          <w:lang w:val="en-US"/>
        </w:rPr>
        <w:t xml:space="preserve"> </w:t>
      </w:r>
      <w:r w:rsidR="009F038A" w:rsidRPr="009F038A">
        <w:rPr>
          <w:rFonts w:ascii="Times New Roman" w:hAnsi="Times New Roman" w:cs="Times New Roman"/>
          <w:sz w:val="24"/>
          <w:szCs w:val="24"/>
          <w:lang w:val="en-US"/>
        </w:rPr>
        <w:t>[6-9].</w:t>
      </w:r>
    </w:p>
    <w:p w14:paraId="1F911AAC" w14:textId="7FD53871"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sz w:val="24"/>
          <w:szCs w:val="24"/>
          <w:lang w:val="en-US"/>
        </w:rPr>
        <w:t>Furthermore, emerging research in Greece begins to explore the long-term implications of digital technologies on teaching practices and educational policy, but comprehensive and empirically grounded analyses of AI adoption remain scarce. This indicates a clear need for more focused and interdisciplinary studies that examine not only technological implementation but also its impact on learning outcomes, equity, and the overall structure of the educational system</w:t>
      </w:r>
      <w:r w:rsidR="009F038A" w:rsidRPr="009F038A">
        <w:rPr>
          <w:lang w:val="en-US"/>
        </w:rPr>
        <w:t xml:space="preserve"> </w:t>
      </w:r>
      <w:r w:rsidR="009F038A" w:rsidRPr="009F038A">
        <w:rPr>
          <w:rFonts w:ascii="Times New Roman" w:hAnsi="Times New Roman" w:cs="Times New Roman"/>
          <w:sz w:val="24"/>
          <w:szCs w:val="24"/>
          <w:lang w:val="en-US"/>
        </w:rPr>
        <w:t>[6-9].</w:t>
      </w:r>
    </w:p>
    <w:p w14:paraId="1CB8F46E" w14:textId="77777777" w:rsidR="0039520D" w:rsidRPr="00990661" w:rsidRDefault="0039520D" w:rsidP="0039520D">
      <w:pPr>
        <w:jc w:val="both"/>
        <w:rPr>
          <w:rFonts w:ascii="Times New Roman" w:hAnsi="Times New Roman" w:cs="Times New Roman"/>
          <w:b/>
          <w:sz w:val="24"/>
          <w:szCs w:val="24"/>
          <w:lang w:val="en-US"/>
        </w:rPr>
      </w:pPr>
    </w:p>
    <w:p w14:paraId="7E85DF6C"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3. Methodology</w:t>
      </w:r>
    </w:p>
    <w:p w14:paraId="70D92CAA" w14:textId="77777777"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This study adopts a narrative review methodology, enabling the synthesis of a wide range of academic, institutional, and policy-related sources published between 2018 and 2025. This approach is particularly suitable for capturing the complexity and multidimensional nature of artificial intelligence integration in education, as it allows for the inclusion of heterogeneous evidence and perspectives. Sources were selected based on their relevance to the research topic, academic credibility, and temporal proximity, ensuring that the analysis reflects the most recent developments in the field. By combining scholarly literature with policy documents and institutional reports, the study aims to bridge the gap between theoretical discourse and practical implementation.</w:t>
      </w:r>
    </w:p>
    <w:p w14:paraId="7101BD0B" w14:textId="23339C5B"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Particular attention was given to European policy frameworks and national strategic initiatives that shape digital education in Greece. Documents related to European Union priorities such as digital transformation strategies, AI governance guidelines, and educational innovation programs were examined alongside national reforms and governmental actions. This dual focus ensures that the analysis captures both top-down policy influences and country-specific dynamics, providing a more nuanced understanding of how international directives are interpreted and implemented within the Greek educational context. As a result, the study situates Greece within the broader European landscape while highlighting its unique structural and institutional characteristics.</w:t>
      </w:r>
    </w:p>
    <w:p w14:paraId="6ABE4BD3" w14:textId="0F0A4D16"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The analytical process was guided by thematic analysis, through which recurring patterns and key themes were systematically identified and categorized. Three core </w:t>
      </w:r>
      <w:r w:rsidRPr="00990661">
        <w:rPr>
          <w:rFonts w:ascii="Times New Roman" w:hAnsi="Times New Roman" w:cs="Times New Roman"/>
          <w:sz w:val="24"/>
          <w:szCs w:val="24"/>
          <w:lang w:val="en-US"/>
        </w:rPr>
        <w:lastRenderedPageBreak/>
        <w:t>dimensions emerged as central to the investigation: AI applications in education, stakeholder perceptions, and systemic challenges affecting implementation. Each theme was examined across different educational levels and institutional settings, allowing for comparative insights and the identification of common trends. This methodological approach facilitates a comprehensive and integrative understanding of the current landscape, while also supporting the development of informed conclusions and policy-relevant recommendations</w:t>
      </w:r>
      <w:r w:rsidR="0000511E">
        <w:rPr>
          <w:rFonts w:ascii="Times New Roman" w:hAnsi="Times New Roman" w:cs="Times New Roman"/>
          <w:sz w:val="24"/>
          <w:szCs w:val="24"/>
          <w:lang w:val="en-US"/>
        </w:rPr>
        <w:t xml:space="preserve"> (fig.1).</w:t>
      </w:r>
    </w:p>
    <w:p w14:paraId="216FCF2C" w14:textId="77777777" w:rsidR="0039520D" w:rsidRPr="00990661" w:rsidRDefault="0039520D" w:rsidP="0039520D">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 </w:t>
      </w:r>
    </w:p>
    <w:p w14:paraId="596B8594" w14:textId="77777777" w:rsidR="0039520D" w:rsidRPr="00990661" w:rsidRDefault="0039520D" w:rsidP="0039520D">
      <w:pPr>
        <w:pStyle w:val="NormalWeb"/>
        <w:rPr>
          <w:lang w:val="en-US"/>
        </w:rPr>
      </w:pPr>
      <w:r w:rsidRPr="00990661">
        <w:rPr>
          <w:noProof/>
        </w:rPr>
        <mc:AlternateContent>
          <mc:Choice Requires="wps">
            <w:drawing>
              <wp:inline distT="0" distB="0" distL="0" distR="0" wp14:anchorId="604B67BB" wp14:editId="47D74E4B">
                <wp:extent cx="304800" cy="304800"/>
                <wp:effectExtent l="0" t="0" r="0" b="0"/>
                <wp:docPr id="1" name="Ορθογώνιο 1" descr="Μεθοδολογία Έρευνας σε 4 Βήματ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7221F0" id="Ορθογώνιο 1" o:spid="_x0000_s1026" alt="Μεθοδολογία Έρευνας σε 4 Βήματ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&#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dJn16BgMAAAI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990661">
        <w:rPr>
          <w:noProof/>
          <w:lang w:val="en-US"/>
        </w:rPr>
        <w:t xml:space="preserve"> </w:t>
      </w:r>
      <w:r w:rsidRPr="00990661">
        <w:rPr>
          <w:noProof/>
        </w:rPr>
        <mc:AlternateContent>
          <mc:Choice Requires="wps">
            <w:drawing>
              <wp:inline distT="0" distB="0" distL="0" distR="0" wp14:anchorId="544552F7" wp14:editId="3EA9B963">
                <wp:extent cx="304800" cy="304800"/>
                <wp:effectExtent l="0" t="0" r="0" b="0"/>
                <wp:docPr id="2" name="AutoShape 2" descr="Μεθοδολογία Έρευνας σε 4 Βήματ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A13D12" id="AutoShape 2" o:spid="_x0000_s1026" alt="Μεθοδολογία Έρευνας σε 4 Βήματ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1/1if/AgAA+QU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990661">
        <w:rPr>
          <w:noProof/>
          <w:lang w:val="en-US"/>
        </w:rPr>
        <w:t xml:space="preserve"> </w:t>
      </w:r>
      <w:r w:rsidRPr="00990661">
        <w:rPr>
          <w:noProof/>
        </w:rPr>
        <w:drawing>
          <wp:inline distT="0" distB="0" distL="0" distR="0" wp14:anchorId="0A648340" wp14:editId="76BE71C8">
            <wp:extent cx="4352925" cy="2895600"/>
            <wp:effectExtent l="0" t="0" r="9525" b="0"/>
            <wp:docPr id="5" name="Εικόνα 5" descr="C:\Users\User\Downloads\Μεθοδολογία Έρευνας σε 4 Βήματ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Μεθοδολογία Έρευνας σε 4 Βήματ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8260" cy="2899149"/>
                    </a:xfrm>
                    <a:prstGeom prst="rect">
                      <a:avLst/>
                    </a:prstGeom>
                    <a:noFill/>
                    <a:ln>
                      <a:noFill/>
                    </a:ln>
                  </pic:spPr>
                </pic:pic>
              </a:graphicData>
            </a:graphic>
          </wp:inline>
        </w:drawing>
      </w:r>
    </w:p>
    <w:p w14:paraId="0CF05A42" w14:textId="77777777" w:rsidR="0039520D" w:rsidRPr="00990661" w:rsidRDefault="0039520D" w:rsidP="0039520D">
      <w:pPr>
        <w:jc w:val="both"/>
        <w:rPr>
          <w:rFonts w:ascii="Times New Roman" w:hAnsi="Times New Roman" w:cs="Times New Roman"/>
          <w:sz w:val="24"/>
          <w:szCs w:val="24"/>
          <w:lang w:val="en-US"/>
        </w:rPr>
      </w:pPr>
    </w:p>
    <w:p w14:paraId="7BC34122" w14:textId="77777777" w:rsidR="0039520D" w:rsidRPr="00990661" w:rsidRDefault="0039520D" w:rsidP="0039520D">
      <w:pPr>
        <w:jc w:val="both"/>
        <w:rPr>
          <w:rFonts w:ascii="Times New Roman" w:hAnsi="Times New Roman" w:cs="Times New Roman"/>
          <w:sz w:val="24"/>
          <w:szCs w:val="24"/>
          <w:lang w:val="en-US"/>
        </w:rPr>
      </w:pPr>
    </w:p>
    <w:p w14:paraId="0CA6A72C"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4. AI Applications in Greek Education</w:t>
      </w:r>
    </w:p>
    <w:p w14:paraId="7067F329" w14:textId="77777777" w:rsidR="0039520D" w:rsidRPr="00990661" w:rsidRDefault="0039520D" w:rsidP="0039520D">
      <w:pPr>
        <w:jc w:val="both"/>
        <w:rPr>
          <w:rFonts w:ascii="Times New Roman" w:hAnsi="Times New Roman" w:cs="Times New Roman"/>
          <w:sz w:val="24"/>
          <w:szCs w:val="24"/>
          <w:lang w:val="en-US"/>
        </w:rPr>
      </w:pPr>
    </w:p>
    <w:p w14:paraId="1459FA7C" w14:textId="4C575E72"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AI applications in Greek education display significant variation across different levels of the system, reflecting broader structural and institutional dynamics. Higher education institutions are leading the way in adoption, integrating advanced data analytics platforms, intelligent tutoring systems, and research-oriented AI initiatives into both teaching and administrative processes. Universities increasingly utilize machine learning algorithms to personalize learning experiences, support academic research, and optimize institutional decision-making. This progress is often driven by access to funding, collaboration with international research networks, and a greater degree of institutional autonomy</w:t>
      </w:r>
      <w:r w:rsidR="009F038A">
        <w:rPr>
          <w:rFonts w:ascii="Times New Roman" w:hAnsi="Times New Roman" w:cs="Times New Roman"/>
          <w:sz w:val="24"/>
          <w:szCs w:val="24"/>
          <w:lang w:val="en-US"/>
        </w:rPr>
        <w:t xml:space="preserve"> </w:t>
      </w:r>
      <w:r w:rsidR="009F038A" w:rsidRPr="009F038A">
        <w:rPr>
          <w:rFonts w:ascii="Times New Roman" w:hAnsi="Times New Roman" w:cs="Times New Roman"/>
          <w:sz w:val="24"/>
          <w:szCs w:val="24"/>
          <w:lang w:val="en-US"/>
        </w:rPr>
        <w:t>[</w:t>
      </w:r>
      <w:r w:rsidR="009F038A">
        <w:rPr>
          <w:rFonts w:ascii="Times New Roman" w:hAnsi="Times New Roman" w:cs="Times New Roman"/>
          <w:sz w:val="24"/>
          <w:szCs w:val="24"/>
          <w:lang w:val="en-US"/>
        </w:rPr>
        <w:t>9</w:t>
      </w:r>
      <w:r w:rsidR="009F038A" w:rsidRPr="009F038A">
        <w:rPr>
          <w:rFonts w:ascii="Times New Roman" w:hAnsi="Times New Roman" w:cs="Times New Roman"/>
          <w:sz w:val="24"/>
          <w:szCs w:val="24"/>
          <w:lang w:val="en-US"/>
        </w:rPr>
        <w:t>-</w:t>
      </w:r>
      <w:r w:rsidR="009F038A">
        <w:rPr>
          <w:rFonts w:ascii="Times New Roman" w:hAnsi="Times New Roman" w:cs="Times New Roman"/>
          <w:sz w:val="24"/>
          <w:szCs w:val="24"/>
          <w:lang w:val="en-US"/>
        </w:rPr>
        <w:t>11</w:t>
      </w:r>
      <w:r w:rsidR="009F038A" w:rsidRPr="009F038A">
        <w:rPr>
          <w:rFonts w:ascii="Times New Roman" w:hAnsi="Times New Roman" w:cs="Times New Roman"/>
          <w:sz w:val="24"/>
          <w:szCs w:val="24"/>
          <w:lang w:val="en-US"/>
        </w:rPr>
        <w:t>].</w:t>
      </w:r>
    </w:p>
    <w:p w14:paraId="5AEB32B9" w14:textId="3D19053A"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In contrast, primary and secondary education in Greece continue to rely predominantly on traditional, teacher-centered instructional methods. The integration of AI technologies at these levels remains limited and largely experimental, often confined to pilot programs or isolated initiatives. Key structural barriers such as inadequate digital infrastructure, limited access to modern technological tools, and a lack of systematic, </w:t>
      </w:r>
      <w:r w:rsidRPr="00990661">
        <w:rPr>
          <w:rFonts w:ascii="Times New Roman" w:hAnsi="Times New Roman" w:cs="Times New Roman"/>
          <w:sz w:val="24"/>
          <w:szCs w:val="24"/>
          <w:lang w:val="en-US"/>
        </w:rPr>
        <w:lastRenderedPageBreak/>
        <w:t>targeted teacher training, significantly impede widespread implementation. Furthermore, curriculum rigidity and administrative constraints make it difficult to incorporate innovative digital practices into everyday classroom settings</w:t>
      </w:r>
      <w:r w:rsidR="009F038A" w:rsidRPr="009F038A">
        <w:rPr>
          <w:lang w:val="en-US"/>
        </w:rPr>
        <w:t xml:space="preserve"> </w:t>
      </w:r>
      <w:r w:rsidR="009F038A" w:rsidRPr="009F038A">
        <w:rPr>
          <w:rFonts w:ascii="Times New Roman" w:hAnsi="Times New Roman" w:cs="Times New Roman"/>
          <w:sz w:val="24"/>
          <w:szCs w:val="24"/>
          <w:lang w:val="en-US"/>
        </w:rPr>
        <w:t>[</w:t>
      </w:r>
      <w:r w:rsidR="009F038A">
        <w:rPr>
          <w:rFonts w:ascii="Times New Roman" w:hAnsi="Times New Roman" w:cs="Times New Roman"/>
          <w:sz w:val="24"/>
          <w:szCs w:val="24"/>
          <w:lang w:val="en-US"/>
        </w:rPr>
        <w:t>11</w:t>
      </w:r>
      <w:r w:rsidR="009F038A" w:rsidRPr="009F038A">
        <w:rPr>
          <w:rFonts w:ascii="Times New Roman" w:hAnsi="Times New Roman" w:cs="Times New Roman"/>
          <w:sz w:val="24"/>
          <w:szCs w:val="24"/>
          <w:lang w:val="en-US"/>
        </w:rPr>
        <w:t>-1</w:t>
      </w:r>
      <w:r w:rsidR="009F038A">
        <w:rPr>
          <w:rFonts w:ascii="Times New Roman" w:hAnsi="Times New Roman" w:cs="Times New Roman"/>
          <w:sz w:val="24"/>
          <w:szCs w:val="24"/>
          <w:lang w:val="en-US"/>
        </w:rPr>
        <w:t>2</w:t>
      </w:r>
      <w:r w:rsidR="009F038A" w:rsidRPr="009F038A">
        <w:rPr>
          <w:rFonts w:ascii="Times New Roman" w:hAnsi="Times New Roman" w:cs="Times New Roman"/>
          <w:sz w:val="24"/>
          <w:szCs w:val="24"/>
          <w:lang w:val="en-US"/>
        </w:rPr>
        <w:t>].</w:t>
      </w:r>
    </w:p>
    <w:p w14:paraId="0C05CE95" w14:textId="5564D188" w:rsidR="0039520D"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Despite these challenges, there are clear signs of gradual progress. Emerging technologies, including educational chatbots, automated assessment systems, and adaptive learning platforms, are beginning to appear within the Greek educational landscape. These tools have the potential to enhance student engagement, provide personalized feedback, and reduce administrative burdens on educators. However, their adoption remains fragmented and uneven, often depending on individual school initiatives or external funding opportunities. For AI to be more effectively integrated across all levels of Greek education, a coordinated national strategy is required, one that prioritizes infrastructure development, continuous professional development for teachers, and the alignment of technological innovation with pedagogical goals</w:t>
      </w:r>
      <w:r w:rsidR="009F038A" w:rsidRPr="009F038A">
        <w:rPr>
          <w:rFonts w:ascii="Times New Roman" w:hAnsi="Times New Roman" w:cs="Times New Roman"/>
          <w:sz w:val="24"/>
          <w:szCs w:val="24"/>
          <w:lang w:val="en-US"/>
        </w:rPr>
        <w:t xml:space="preserve"> [11-12].</w:t>
      </w:r>
    </w:p>
    <w:p w14:paraId="55D2E8C5" w14:textId="77777777" w:rsidR="00DE1C03" w:rsidRPr="00990661" w:rsidRDefault="00DE1C03" w:rsidP="0039520D">
      <w:pPr>
        <w:jc w:val="both"/>
        <w:rPr>
          <w:rFonts w:ascii="Times New Roman" w:hAnsi="Times New Roman" w:cs="Times New Roman"/>
          <w:b/>
          <w:sz w:val="24"/>
          <w:szCs w:val="24"/>
          <w:lang w:val="en-US"/>
        </w:rPr>
      </w:pPr>
    </w:p>
    <w:p w14:paraId="1738A1B7"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5. Stakeholder Perceptions</w:t>
      </w:r>
    </w:p>
    <w:p w14:paraId="72A09C47" w14:textId="77777777" w:rsidR="00DE1C03" w:rsidRPr="00990661" w:rsidRDefault="00DE1C03" w:rsidP="00DE1C03">
      <w:pPr>
        <w:jc w:val="both"/>
        <w:rPr>
          <w:rFonts w:ascii="Times New Roman" w:hAnsi="Times New Roman" w:cs="Times New Roman"/>
          <w:sz w:val="24"/>
          <w:szCs w:val="24"/>
          <w:lang w:val="en-US"/>
        </w:rPr>
      </w:pPr>
    </w:p>
    <w:p w14:paraId="169855D8" w14:textId="2CC6EB69"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Stakeholder perceptions play a pivotal role in shaping both the pace and direction of AI adoption in education, particularly within the Greek context. Among educators, attitudes are often characterized by cautious optimism. Teachers recognize the transformative potential of AI to enhance instructional practices, streamline administrative tasks, and support differentiated learning. However, this openness is tempered by legitimate concerns, including insufficient professional training, limited institutional support, and uncertainty about how AI might alter traditional pedagogical roles. Many educators also express apprehension about the potential erosion of human interaction in the classroom, emphasizing the importance of preserving the relational and social dimensions of teaching that technology cannot fully replicate</w:t>
      </w:r>
      <w:r w:rsidR="0067745D">
        <w:rPr>
          <w:rFonts w:ascii="Times New Roman" w:hAnsi="Times New Roman" w:cs="Times New Roman"/>
          <w:sz w:val="24"/>
          <w:szCs w:val="24"/>
          <w:lang w:val="en-US"/>
        </w:rPr>
        <w:t xml:space="preserve"> </w:t>
      </w:r>
      <w:r w:rsidR="0067745D" w:rsidRPr="0067745D">
        <w:rPr>
          <w:rFonts w:ascii="Times New Roman" w:hAnsi="Times New Roman" w:cs="Times New Roman"/>
          <w:sz w:val="24"/>
          <w:szCs w:val="24"/>
          <w:lang w:val="en-US"/>
        </w:rPr>
        <w:t>[12</w:t>
      </w:r>
      <w:r w:rsidR="0067745D">
        <w:rPr>
          <w:rFonts w:ascii="Times New Roman" w:hAnsi="Times New Roman" w:cs="Times New Roman"/>
          <w:sz w:val="24"/>
          <w:szCs w:val="24"/>
          <w:lang w:val="en-US"/>
        </w:rPr>
        <w:t>-14</w:t>
      </w:r>
      <w:r w:rsidR="0067745D" w:rsidRPr="0067745D">
        <w:rPr>
          <w:rFonts w:ascii="Times New Roman" w:hAnsi="Times New Roman" w:cs="Times New Roman"/>
          <w:sz w:val="24"/>
          <w:szCs w:val="24"/>
          <w:lang w:val="en-US"/>
        </w:rPr>
        <w:t>].</w:t>
      </w:r>
    </w:p>
    <w:p w14:paraId="4A32C26E" w14:textId="4749CDAD"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Students, especially those belonging to younger, digitally native generations, tend to approach AI with a high degree of familiarity and adaptability. Having grown up in technology-rich environments, they often perceive AI tools as a natural and expected component of modern education. For them, applications such as personalized learning platforms, automated feedback systems, and educational chatbots can enhance engagement and provide more flexible learning pathways. At the same time, their comfort with technology does not necessarily imply critical awareness; there is an increasing need to equip students with digital literacy skills that enable them to understand the ethical implications, limitations, and responsible use of AI systems in educational settings</w:t>
      </w:r>
      <w:r w:rsidR="0067745D">
        <w:rPr>
          <w:rFonts w:ascii="Times New Roman" w:hAnsi="Times New Roman" w:cs="Times New Roman"/>
          <w:sz w:val="24"/>
          <w:szCs w:val="24"/>
          <w:lang w:val="en-US"/>
        </w:rPr>
        <w:t xml:space="preserve"> </w:t>
      </w:r>
      <w:r w:rsidR="0067745D" w:rsidRPr="0067745D">
        <w:rPr>
          <w:rFonts w:ascii="Times New Roman" w:hAnsi="Times New Roman" w:cs="Times New Roman"/>
          <w:sz w:val="24"/>
          <w:szCs w:val="24"/>
          <w:lang w:val="en-US"/>
        </w:rPr>
        <w:t>[12-14].</w:t>
      </w:r>
    </w:p>
    <w:p w14:paraId="1859DD4A" w14:textId="4DF5FF2D"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At the policy level, there is a clear recognition of the strategic importance of integrating AI into education as part of broader digital transformation efforts. Greek policymakers frequently highlight AI as a key driver of innovation, competitiveness, and alignment with European digital agendas. Nevertheless, this recognition often fails to translate into coherent and actionable policies. The absence of a comprehensive national framework, combined with bureaucratic complexity and limited cross-sector </w:t>
      </w:r>
      <w:r w:rsidRPr="00990661">
        <w:rPr>
          <w:rFonts w:ascii="Times New Roman" w:hAnsi="Times New Roman" w:cs="Times New Roman"/>
          <w:sz w:val="24"/>
          <w:szCs w:val="24"/>
          <w:lang w:val="en-US"/>
        </w:rPr>
        <w:lastRenderedPageBreak/>
        <w:t>collaboration, leads to fragmented initiatives that lack scalability and long-term impact. To address these challenges, a more coordinated approach is required, one that aligns stakeholder perspectives, invests in teacher training, fosters public-private partnerships, and ensures that AI integration is guided by clear pedagogical and ethical principles</w:t>
      </w:r>
      <w:r w:rsidR="0067745D">
        <w:rPr>
          <w:rFonts w:ascii="Times New Roman" w:hAnsi="Times New Roman" w:cs="Times New Roman"/>
          <w:sz w:val="24"/>
          <w:szCs w:val="24"/>
          <w:lang w:val="en-US"/>
        </w:rPr>
        <w:t xml:space="preserve"> </w:t>
      </w:r>
      <w:r w:rsidR="0067745D" w:rsidRPr="0067745D">
        <w:rPr>
          <w:rFonts w:ascii="Times New Roman" w:hAnsi="Times New Roman" w:cs="Times New Roman"/>
          <w:sz w:val="24"/>
          <w:szCs w:val="24"/>
          <w:lang w:val="en-US"/>
        </w:rPr>
        <w:t>[1</w:t>
      </w:r>
      <w:r w:rsidR="0067745D">
        <w:rPr>
          <w:rFonts w:ascii="Times New Roman" w:hAnsi="Times New Roman" w:cs="Times New Roman"/>
          <w:sz w:val="24"/>
          <w:szCs w:val="24"/>
          <w:lang w:val="en-US"/>
        </w:rPr>
        <w:t>3</w:t>
      </w:r>
      <w:r w:rsidR="0067745D" w:rsidRPr="0067745D">
        <w:rPr>
          <w:rFonts w:ascii="Times New Roman" w:hAnsi="Times New Roman" w:cs="Times New Roman"/>
          <w:sz w:val="24"/>
          <w:szCs w:val="24"/>
          <w:lang w:val="en-US"/>
        </w:rPr>
        <w:t>-1</w:t>
      </w:r>
      <w:r w:rsidR="0067745D">
        <w:rPr>
          <w:rFonts w:ascii="Times New Roman" w:hAnsi="Times New Roman" w:cs="Times New Roman"/>
          <w:sz w:val="24"/>
          <w:szCs w:val="24"/>
          <w:lang w:val="en-US"/>
        </w:rPr>
        <w:t>6</w:t>
      </w:r>
      <w:r w:rsidR="0067745D" w:rsidRPr="0067745D">
        <w:rPr>
          <w:rFonts w:ascii="Times New Roman" w:hAnsi="Times New Roman" w:cs="Times New Roman"/>
          <w:sz w:val="24"/>
          <w:szCs w:val="24"/>
          <w:lang w:val="en-US"/>
        </w:rPr>
        <w:t>].</w:t>
      </w:r>
    </w:p>
    <w:p w14:paraId="4A8B25DE" w14:textId="77777777" w:rsidR="0039520D" w:rsidRPr="00990661" w:rsidRDefault="0039520D" w:rsidP="0039520D">
      <w:pPr>
        <w:jc w:val="both"/>
        <w:rPr>
          <w:rFonts w:ascii="Times New Roman" w:hAnsi="Times New Roman" w:cs="Times New Roman"/>
          <w:sz w:val="24"/>
          <w:szCs w:val="24"/>
          <w:lang w:val="en-US"/>
        </w:rPr>
      </w:pPr>
    </w:p>
    <w:p w14:paraId="2DE5D71A" w14:textId="436DDECD" w:rsidR="00DE1C03"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6. Challenges</w:t>
      </w:r>
    </w:p>
    <w:p w14:paraId="6579DE7A" w14:textId="0450A2BF"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Several systemic challenges continue to hinder the effective integration of AI in Greek education, reflecting both infrastructural and organizational limitations. One of the most pressing issues is the pronounced inequality in digital infrastructure between urban and rural areas. Schools in major cities often have better access to high-speed internet, modern devices, and advanced software, whereas those in rural or remote regions face significant deficits. This digital divide not only limits the equitable distribution of AI-enabled educational tools but also risks exacerbating existing socio-economic and educational disparities, leaving some students at a clear disadvantage</w:t>
      </w:r>
      <w:r w:rsidR="0067745D" w:rsidRPr="0067745D">
        <w:rPr>
          <w:lang w:val="en-US"/>
        </w:rPr>
        <w:t xml:space="preserve"> </w:t>
      </w:r>
      <w:r w:rsidR="0067745D" w:rsidRPr="0067745D">
        <w:rPr>
          <w:rFonts w:ascii="Times New Roman" w:hAnsi="Times New Roman" w:cs="Times New Roman"/>
          <w:sz w:val="24"/>
          <w:szCs w:val="24"/>
          <w:lang w:val="en-US"/>
        </w:rPr>
        <w:t>[1</w:t>
      </w:r>
      <w:r w:rsidR="0067745D">
        <w:rPr>
          <w:rFonts w:ascii="Times New Roman" w:hAnsi="Times New Roman" w:cs="Times New Roman"/>
          <w:sz w:val="24"/>
          <w:szCs w:val="24"/>
          <w:lang w:val="en-US"/>
        </w:rPr>
        <w:t>6</w:t>
      </w:r>
      <w:r w:rsidR="0067745D" w:rsidRPr="0067745D">
        <w:rPr>
          <w:rFonts w:ascii="Times New Roman" w:hAnsi="Times New Roman" w:cs="Times New Roman"/>
          <w:sz w:val="24"/>
          <w:szCs w:val="24"/>
          <w:lang w:val="en-US"/>
        </w:rPr>
        <w:t>-1</w:t>
      </w:r>
      <w:r w:rsidR="0067745D">
        <w:rPr>
          <w:rFonts w:ascii="Times New Roman" w:hAnsi="Times New Roman" w:cs="Times New Roman"/>
          <w:sz w:val="24"/>
          <w:szCs w:val="24"/>
          <w:lang w:val="en-US"/>
        </w:rPr>
        <w:t>9</w:t>
      </w:r>
      <w:r w:rsidR="0067745D" w:rsidRPr="0067745D">
        <w:rPr>
          <w:rFonts w:ascii="Times New Roman" w:hAnsi="Times New Roman" w:cs="Times New Roman"/>
          <w:sz w:val="24"/>
          <w:szCs w:val="24"/>
          <w:lang w:val="en-US"/>
        </w:rPr>
        <w:t>].</w:t>
      </w:r>
    </w:p>
    <w:p w14:paraId="0F58ECF4" w14:textId="14B903D6"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Equally critical is the lack of continuous professional development for educators. While teachers are increasingly expected to integrate AI technologies into their classrooms, training programs remain sporadic, insufficiently tailored, and often disconnected from practical pedagogical needs. Many educators report feeling underprepared to use AI tools effectively, which can lead to reluctance in adoption, suboptimal implementation, or reliance on superficial applications that fail to enhance learning outcomes. Without systematic, ongoing support, even well-designed AI initiatives struggle to achieve meaningful classroom impact</w:t>
      </w:r>
      <w:r w:rsidR="0067745D" w:rsidRPr="0067745D">
        <w:rPr>
          <w:lang w:val="en-US"/>
        </w:rPr>
        <w:t xml:space="preserve"> </w:t>
      </w:r>
      <w:r w:rsidR="0067745D" w:rsidRPr="0067745D">
        <w:rPr>
          <w:rFonts w:ascii="Times New Roman" w:hAnsi="Times New Roman" w:cs="Times New Roman"/>
          <w:sz w:val="24"/>
          <w:szCs w:val="24"/>
          <w:lang w:val="en-US"/>
        </w:rPr>
        <w:t>[16-19].</w:t>
      </w:r>
    </w:p>
    <w:p w14:paraId="6186FF11" w14:textId="58B548A0" w:rsidR="0039520D"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Ethical and regulatory concerns further complicate the landscape. Issues such as data privacy, algorithmic transparency, and accountability for AI-driven decisions raise significant challenges for schools, teachers, and policymakers alike. The absence of clear, comprehensive regulatory frameworks creates uncertainty, making institutions hesitant to fully embrace AI solutions. These ethical and legal ambiguities are compounded by broader societal questions about the role of AI in shaping educational experiences, underscoring the need for policies that safeguard student rights, ensure fairness, and promote responsible innovation in education. Addressing these systemic challenges requires coordinated national strategies that combine infrastructure investment, teacher training, and robust ethical guidelines to enable AI to realize its full potential across the Greek educational system</w:t>
      </w:r>
      <w:r w:rsidR="0067745D">
        <w:rPr>
          <w:rFonts w:ascii="Times New Roman" w:hAnsi="Times New Roman" w:cs="Times New Roman"/>
          <w:sz w:val="24"/>
          <w:szCs w:val="24"/>
          <w:lang w:val="en-US"/>
        </w:rPr>
        <w:t xml:space="preserve"> </w:t>
      </w:r>
      <w:r w:rsidR="0067745D" w:rsidRPr="0067745D">
        <w:rPr>
          <w:rFonts w:ascii="Times New Roman" w:hAnsi="Times New Roman" w:cs="Times New Roman"/>
          <w:sz w:val="24"/>
          <w:szCs w:val="24"/>
          <w:lang w:val="en-US"/>
        </w:rPr>
        <w:t>[1</w:t>
      </w:r>
      <w:r w:rsidR="0067745D">
        <w:rPr>
          <w:rFonts w:ascii="Times New Roman" w:hAnsi="Times New Roman" w:cs="Times New Roman"/>
          <w:sz w:val="24"/>
          <w:szCs w:val="24"/>
          <w:lang w:val="en-US"/>
        </w:rPr>
        <w:t>9</w:t>
      </w:r>
      <w:r w:rsidR="0067745D" w:rsidRPr="0067745D">
        <w:rPr>
          <w:rFonts w:ascii="Times New Roman" w:hAnsi="Times New Roman" w:cs="Times New Roman"/>
          <w:sz w:val="24"/>
          <w:szCs w:val="24"/>
          <w:lang w:val="en-US"/>
        </w:rPr>
        <w:t>-</w:t>
      </w:r>
      <w:r w:rsidR="0067745D">
        <w:rPr>
          <w:rFonts w:ascii="Times New Roman" w:hAnsi="Times New Roman" w:cs="Times New Roman"/>
          <w:sz w:val="24"/>
          <w:szCs w:val="24"/>
          <w:lang w:val="en-US"/>
        </w:rPr>
        <w:t>22</w:t>
      </w:r>
      <w:r w:rsidR="0067745D" w:rsidRPr="0067745D">
        <w:rPr>
          <w:rFonts w:ascii="Times New Roman" w:hAnsi="Times New Roman" w:cs="Times New Roman"/>
          <w:sz w:val="24"/>
          <w:szCs w:val="24"/>
          <w:lang w:val="en-US"/>
        </w:rPr>
        <w:t>].</w:t>
      </w:r>
    </w:p>
    <w:p w14:paraId="3871FFF6" w14:textId="77777777" w:rsidR="00DE1C03" w:rsidRPr="00990661" w:rsidRDefault="00DE1C03" w:rsidP="00DE1C03">
      <w:pPr>
        <w:jc w:val="both"/>
        <w:rPr>
          <w:rFonts w:ascii="Times New Roman" w:hAnsi="Times New Roman" w:cs="Times New Roman"/>
          <w:sz w:val="24"/>
          <w:szCs w:val="24"/>
          <w:lang w:val="en-US"/>
        </w:rPr>
      </w:pPr>
    </w:p>
    <w:p w14:paraId="168BB207" w14:textId="2F454A22" w:rsidR="0039520D" w:rsidRPr="0015382F"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7. Discussion</w:t>
      </w:r>
    </w:p>
    <w:p w14:paraId="08397017" w14:textId="22E414D7"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The Greek educational system is currently navigating a transitional phase, striving to reconcile its traditional, centralized structures with the increasing demands of digital transformation. Centralized governance offers the advantage of maintaining consistency and uniform standards across the country, yet it can also constrain institutional flexibility and limit the capacity for innovation at the local level. Schools </w:t>
      </w:r>
      <w:r w:rsidRPr="00990661">
        <w:rPr>
          <w:rFonts w:ascii="Times New Roman" w:hAnsi="Times New Roman" w:cs="Times New Roman"/>
          <w:sz w:val="24"/>
          <w:szCs w:val="24"/>
          <w:lang w:val="en-US"/>
        </w:rPr>
        <w:lastRenderedPageBreak/>
        <w:t>and universities often face bureaucratic hurdles that slow the adoption of new technologies, including AI, and hinder experimentation with novel teaching and learning approaches</w:t>
      </w:r>
      <w:r w:rsidR="0067745D">
        <w:rPr>
          <w:rFonts w:ascii="Times New Roman" w:hAnsi="Times New Roman" w:cs="Times New Roman"/>
          <w:sz w:val="24"/>
          <w:szCs w:val="24"/>
          <w:lang w:val="en-US"/>
        </w:rPr>
        <w:t xml:space="preserve"> </w:t>
      </w:r>
      <w:r w:rsidR="0067745D" w:rsidRPr="0067745D">
        <w:rPr>
          <w:rFonts w:ascii="Times New Roman" w:hAnsi="Times New Roman" w:cs="Times New Roman"/>
          <w:sz w:val="24"/>
          <w:szCs w:val="24"/>
          <w:lang w:val="en-US"/>
        </w:rPr>
        <w:t>[</w:t>
      </w:r>
      <w:r w:rsidR="0067745D">
        <w:rPr>
          <w:rFonts w:ascii="Times New Roman" w:hAnsi="Times New Roman" w:cs="Times New Roman"/>
          <w:sz w:val="24"/>
          <w:szCs w:val="24"/>
          <w:lang w:val="en-US"/>
        </w:rPr>
        <w:t>23</w:t>
      </w:r>
      <w:r w:rsidR="0067745D" w:rsidRPr="0067745D">
        <w:rPr>
          <w:rFonts w:ascii="Times New Roman" w:hAnsi="Times New Roman" w:cs="Times New Roman"/>
          <w:sz w:val="24"/>
          <w:szCs w:val="24"/>
          <w:lang w:val="en-US"/>
        </w:rPr>
        <w:t>-2</w:t>
      </w:r>
      <w:r w:rsidR="0067745D">
        <w:rPr>
          <w:rFonts w:ascii="Times New Roman" w:hAnsi="Times New Roman" w:cs="Times New Roman"/>
          <w:sz w:val="24"/>
          <w:szCs w:val="24"/>
          <w:lang w:val="en-US"/>
        </w:rPr>
        <w:t>8</w:t>
      </w:r>
      <w:r w:rsidR="0067745D" w:rsidRPr="0067745D">
        <w:rPr>
          <w:rFonts w:ascii="Times New Roman" w:hAnsi="Times New Roman" w:cs="Times New Roman"/>
          <w:sz w:val="24"/>
          <w:szCs w:val="24"/>
          <w:lang w:val="en-US"/>
        </w:rPr>
        <w:t>].</w:t>
      </w:r>
    </w:p>
    <w:p w14:paraId="1E8DE904" w14:textId="78739669"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At the same time, Greece’s alignment with broader European Union educational and digital initiatives offers significant opportunities. Access to EU funding programs, research networks, and knowledge-exchange platforms can support the integration of AI and other emerging technologies, provided that these resources are strategically managed. Effective utilization of such opportunities requires not only administrative capacity but also long-term planning, coordination between ministries, and collaboration with local institutions to ensure that investments translate into meaningful educational improvements rather than isolated projects</w:t>
      </w:r>
      <w:r w:rsidR="0067745D" w:rsidRPr="0067745D">
        <w:rPr>
          <w:lang w:val="en-US"/>
        </w:rPr>
        <w:t xml:space="preserve"> </w:t>
      </w:r>
      <w:r w:rsidR="0067745D" w:rsidRPr="0067745D">
        <w:rPr>
          <w:rFonts w:ascii="Times New Roman" w:hAnsi="Times New Roman" w:cs="Times New Roman"/>
          <w:sz w:val="24"/>
          <w:szCs w:val="24"/>
          <w:lang w:val="en-US"/>
        </w:rPr>
        <w:t>[23-28].</w:t>
      </w:r>
    </w:p>
    <w:p w14:paraId="4530FCF1" w14:textId="12CCA8BB" w:rsidR="0039520D"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AI holds considerable potential to serve as a transformative force in Greek education, enhancing personalized learning, improving administrative efficiency, and supporting data-driven decision-making. However, without a coherent, long-term policy framework, these technologies risk reinforcing existing inequalities rather than mitigating them. To harness AI effectively, policymakers must integrate digital innovation into broader strategic plans that address infrastructure disparities, teacher training, ethical considerations, and pedagogical objectives, ensuring that the benefits of AI are accessible and equitable across all levels of the educational system</w:t>
      </w:r>
      <w:r w:rsidR="0067745D" w:rsidRPr="0067745D">
        <w:rPr>
          <w:lang w:val="en-US"/>
        </w:rPr>
        <w:t xml:space="preserve"> </w:t>
      </w:r>
      <w:r w:rsidR="0067745D" w:rsidRPr="0067745D">
        <w:rPr>
          <w:rFonts w:ascii="Times New Roman" w:hAnsi="Times New Roman" w:cs="Times New Roman"/>
          <w:sz w:val="24"/>
          <w:szCs w:val="24"/>
          <w:lang w:val="en-US"/>
        </w:rPr>
        <w:t>[2</w:t>
      </w:r>
      <w:r w:rsidR="0067745D">
        <w:rPr>
          <w:rFonts w:ascii="Times New Roman" w:hAnsi="Times New Roman" w:cs="Times New Roman"/>
          <w:sz w:val="24"/>
          <w:szCs w:val="24"/>
          <w:lang w:val="en-US"/>
        </w:rPr>
        <w:t>9</w:t>
      </w:r>
      <w:r w:rsidR="0067745D" w:rsidRPr="0067745D">
        <w:rPr>
          <w:rFonts w:ascii="Times New Roman" w:hAnsi="Times New Roman" w:cs="Times New Roman"/>
          <w:sz w:val="24"/>
          <w:szCs w:val="24"/>
          <w:lang w:val="en-US"/>
        </w:rPr>
        <w:t>-</w:t>
      </w:r>
      <w:r w:rsidR="00B726F8">
        <w:rPr>
          <w:rFonts w:ascii="Times New Roman" w:hAnsi="Times New Roman" w:cs="Times New Roman"/>
          <w:sz w:val="24"/>
          <w:szCs w:val="24"/>
          <w:lang w:val="en-US"/>
        </w:rPr>
        <w:t>33</w:t>
      </w:r>
      <w:r w:rsidR="0067745D" w:rsidRPr="0067745D">
        <w:rPr>
          <w:rFonts w:ascii="Times New Roman" w:hAnsi="Times New Roman" w:cs="Times New Roman"/>
          <w:sz w:val="24"/>
          <w:szCs w:val="24"/>
          <w:lang w:val="en-US"/>
        </w:rPr>
        <w:t>].</w:t>
      </w:r>
    </w:p>
    <w:p w14:paraId="03649620" w14:textId="77777777" w:rsidR="00DE1C03" w:rsidRPr="00990661" w:rsidRDefault="00DE1C03" w:rsidP="00DE1C03">
      <w:pPr>
        <w:jc w:val="both"/>
        <w:rPr>
          <w:rFonts w:ascii="Times New Roman" w:hAnsi="Times New Roman" w:cs="Times New Roman"/>
          <w:sz w:val="24"/>
          <w:szCs w:val="24"/>
          <w:lang w:val="en-US"/>
        </w:rPr>
      </w:pPr>
    </w:p>
    <w:p w14:paraId="44E004AB" w14:textId="77777777" w:rsidR="0039520D" w:rsidRPr="00990661" w:rsidRDefault="0039520D" w:rsidP="0039520D">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8. Conclusion</w:t>
      </w:r>
    </w:p>
    <w:p w14:paraId="611FF30E" w14:textId="377317E3"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The integration of artificial intelligence into Greek education presents a complex mix of opportunities and challenges. In recent years, particularly during the COVID-19 pandemic, significant progress was made in adopting digital tools and online learning platforms, creating a foundation for AI-driven innovation. These developments have demonstrated the potential of AI to enhance personalized learning, support educators, and improve administrative efficiency, highlighting the transformative possibilities for the Greek educational system when technology is effectively leveraged</w:t>
      </w:r>
      <w:r w:rsidR="00B726F8">
        <w:rPr>
          <w:rFonts w:ascii="Times New Roman" w:hAnsi="Times New Roman" w:cs="Times New Roman"/>
          <w:sz w:val="24"/>
          <w:szCs w:val="24"/>
          <w:lang w:val="en-US"/>
        </w:rPr>
        <w:t xml:space="preserve"> </w:t>
      </w:r>
      <w:r w:rsidR="00B726F8" w:rsidRPr="00B726F8">
        <w:rPr>
          <w:rFonts w:ascii="Times New Roman" w:hAnsi="Times New Roman" w:cs="Times New Roman"/>
          <w:sz w:val="24"/>
          <w:szCs w:val="24"/>
          <w:lang w:val="en-US"/>
        </w:rPr>
        <w:t>[29-33].</w:t>
      </w:r>
    </w:p>
    <w:p w14:paraId="21BC3F3F" w14:textId="7A650E43"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Despite these advances, systemic barriers continue to limit the full realization of AI’s potential. Fragmented initiatives, uneven infrastructure, and a lack of coordinated national planning hinder consistent implementation across schools and regions. Without a comprehensive and strategic framework, technological advancements risk remaining isolated or superficial, producing limited impact on teaching quality, student engagement, and educational equity. The absence of structured teacher training and clear policies further compounds these challenges, preventing AI from being fully integrated into everyday classroom practice</w:t>
      </w:r>
      <w:r w:rsidR="00B726F8" w:rsidRPr="00B726F8">
        <w:rPr>
          <w:lang w:val="en-US"/>
        </w:rPr>
        <w:t xml:space="preserve"> </w:t>
      </w:r>
      <w:r w:rsidR="00B726F8" w:rsidRPr="00B726F8">
        <w:rPr>
          <w:rFonts w:ascii="Times New Roman" w:hAnsi="Times New Roman" w:cs="Times New Roman"/>
          <w:sz w:val="24"/>
          <w:szCs w:val="24"/>
          <w:lang w:val="en-US"/>
        </w:rPr>
        <w:t>[</w:t>
      </w:r>
      <w:r w:rsidR="00B726F8">
        <w:rPr>
          <w:rFonts w:ascii="Times New Roman" w:hAnsi="Times New Roman" w:cs="Times New Roman"/>
          <w:sz w:val="24"/>
          <w:szCs w:val="24"/>
          <w:lang w:val="en-US"/>
        </w:rPr>
        <w:t>33</w:t>
      </w:r>
      <w:r w:rsidR="00B726F8" w:rsidRPr="00B726F8">
        <w:rPr>
          <w:rFonts w:ascii="Times New Roman" w:hAnsi="Times New Roman" w:cs="Times New Roman"/>
          <w:sz w:val="24"/>
          <w:szCs w:val="24"/>
          <w:lang w:val="en-US"/>
        </w:rPr>
        <w:t>-3</w:t>
      </w:r>
      <w:r w:rsidR="00B726F8">
        <w:rPr>
          <w:rFonts w:ascii="Times New Roman" w:hAnsi="Times New Roman" w:cs="Times New Roman"/>
          <w:sz w:val="24"/>
          <w:szCs w:val="24"/>
          <w:lang w:val="en-US"/>
        </w:rPr>
        <w:t>6</w:t>
      </w:r>
      <w:r w:rsidR="00B726F8" w:rsidRPr="00B726F8">
        <w:rPr>
          <w:rFonts w:ascii="Times New Roman" w:hAnsi="Times New Roman" w:cs="Times New Roman"/>
          <w:sz w:val="24"/>
          <w:szCs w:val="24"/>
          <w:lang w:val="en-US"/>
        </w:rPr>
        <w:t>].</w:t>
      </w:r>
    </w:p>
    <w:p w14:paraId="4DD32196" w14:textId="6686EAAD" w:rsidR="0039520D"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 xml:space="preserve">To achieve sustainable transformation, a balanced approach is essential—one that prioritizes innovation while ensuring inclusivity and ethical responsibility. Investments in infrastructure, professional development, and regulatory frameworks must be paired with careful attention to data protection, algorithmic transparency, and equitable access. By aligning technological adoption with pedagogical goals and social considerations, Greece can harness AI not only as a tool for efficiency but also as a means to enhance </w:t>
      </w:r>
      <w:r w:rsidRPr="00990661">
        <w:rPr>
          <w:rFonts w:ascii="Times New Roman" w:hAnsi="Times New Roman" w:cs="Times New Roman"/>
          <w:sz w:val="24"/>
          <w:szCs w:val="24"/>
          <w:lang w:val="en-US"/>
        </w:rPr>
        <w:lastRenderedPageBreak/>
        <w:t>learning outcomes and foster a more inclusive, forward-looking educational system</w:t>
      </w:r>
      <w:r w:rsidR="00B726F8">
        <w:rPr>
          <w:rFonts w:ascii="Times New Roman" w:hAnsi="Times New Roman" w:cs="Times New Roman"/>
          <w:sz w:val="24"/>
          <w:szCs w:val="24"/>
          <w:lang w:val="en-US"/>
        </w:rPr>
        <w:t xml:space="preserve"> </w:t>
      </w:r>
      <w:r w:rsidR="00B726F8" w:rsidRPr="00B726F8">
        <w:rPr>
          <w:rFonts w:ascii="Times New Roman" w:hAnsi="Times New Roman" w:cs="Times New Roman"/>
          <w:sz w:val="24"/>
          <w:szCs w:val="24"/>
          <w:lang w:val="en-US"/>
        </w:rPr>
        <w:t>[3</w:t>
      </w:r>
      <w:r w:rsidR="006D6DBC">
        <w:rPr>
          <w:rFonts w:ascii="Times New Roman" w:hAnsi="Times New Roman" w:cs="Times New Roman"/>
          <w:sz w:val="24"/>
          <w:szCs w:val="24"/>
          <w:lang w:val="en-US"/>
        </w:rPr>
        <w:t>7-41</w:t>
      </w:r>
      <w:r w:rsidR="00B726F8" w:rsidRPr="00B726F8">
        <w:rPr>
          <w:rFonts w:ascii="Times New Roman" w:hAnsi="Times New Roman" w:cs="Times New Roman"/>
          <w:sz w:val="24"/>
          <w:szCs w:val="24"/>
          <w:lang w:val="en-US"/>
        </w:rPr>
        <w:t>].</w:t>
      </w:r>
    </w:p>
    <w:p w14:paraId="37BC5F32" w14:textId="77777777" w:rsidR="0039520D" w:rsidRPr="00990661" w:rsidRDefault="0039520D" w:rsidP="0039520D">
      <w:pPr>
        <w:jc w:val="both"/>
        <w:rPr>
          <w:rFonts w:ascii="Times New Roman" w:hAnsi="Times New Roman" w:cs="Times New Roman"/>
          <w:sz w:val="24"/>
          <w:szCs w:val="24"/>
          <w:lang w:val="en-US"/>
        </w:rPr>
      </w:pPr>
    </w:p>
    <w:p w14:paraId="2909AF63" w14:textId="59BBA8BF" w:rsidR="00DE1C03" w:rsidRPr="006A717F" w:rsidRDefault="0039520D" w:rsidP="00DE1C03">
      <w:pPr>
        <w:jc w:val="both"/>
        <w:rPr>
          <w:rFonts w:ascii="Times New Roman" w:hAnsi="Times New Roman" w:cs="Times New Roman"/>
          <w:b/>
          <w:sz w:val="24"/>
          <w:szCs w:val="24"/>
          <w:lang w:val="en-US"/>
        </w:rPr>
      </w:pPr>
      <w:r w:rsidRPr="00990661">
        <w:rPr>
          <w:rFonts w:ascii="Times New Roman" w:hAnsi="Times New Roman" w:cs="Times New Roman"/>
          <w:b/>
          <w:sz w:val="24"/>
          <w:szCs w:val="24"/>
          <w:lang w:val="en-US"/>
        </w:rPr>
        <w:t>9. Recommendations</w:t>
      </w:r>
    </w:p>
    <w:p w14:paraId="739A2FC5" w14:textId="1C520133"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Developing a national strategy for AI in education is essential to guide its effective and equitable integration across Greece. This strategy should include clearly defined objectives, realistic timelines, and robust evaluation mechanisms to monitor progress and measure impact. Aligning the strategy with broader European policies and frameworks will not only facilitate access to funding and resources but also ensure that Greece benefits from shared knowledge, best practices, and collaborative initiatives across the EU</w:t>
      </w:r>
      <w:r w:rsidR="00B726F8">
        <w:rPr>
          <w:rFonts w:ascii="Times New Roman" w:hAnsi="Times New Roman" w:cs="Times New Roman"/>
          <w:sz w:val="24"/>
          <w:szCs w:val="24"/>
          <w:lang w:val="en-US"/>
        </w:rPr>
        <w:t xml:space="preserve"> </w:t>
      </w:r>
      <w:r w:rsidR="00B726F8" w:rsidRPr="00B726F8">
        <w:rPr>
          <w:rFonts w:ascii="Times New Roman" w:hAnsi="Times New Roman" w:cs="Times New Roman"/>
          <w:sz w:val="24"/>
          <w:szCs w:val="24"/>
          <w:lang w:val="en-US"/>
        </w:rPr>
        <w:t>[3</w:t>
      </w:r>
      <w:r w:rsidR="00B726F8">
        <w:rPr>
          <w:rFonts w:ascii="Times New Roman" w:hAnsi="Times New Roman" w:cs="Times New Roman"/>
          <w:sz w:val="24"/>
          <w:szCs w:val="24"/>
          <w:lang w:val="en-US"/>
        </w:rPr>
        <w:t>7</w:t>
      </w:r>
      <w:r w:rsidR="006D6DBC">
        <w:rPr>
          <w:rFonts w:ascii="Times New Roman" w:hAnsi="Times New Roman" w:cs="Times New Roman"/>
          <w:sz w:val="24"/>
          <w:szCs w:val="24"/>
          <w:lang w:val="en-US"/>
        </w:rPr>
        <w:t>-38</w:t>
      </w:r>
      <w:r w:rsidR="00B726F8" w:rsidRPr="00B726F8">
        <w:rPr>
          <w:rFonts w:ascii="Times New Roman" w:hAnsi="Times New Roman" w:cs="Times New Roman"/>
          <w:sz w:val="24"/>
          <w:szCs w:val="24"/>
          <w:lang w:val="en-US"/>
        </w:rPr>
        <w:t>].</w:t>
      </w:r>
    </w:p>
    <w:p w14:paraId="7D278B5A" w14:textId="46BD657B" w:rsidR="00DE1C03"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Investment in digital infrastructure is a critical component of this strategy, ensuring that all schools, regardless of location, have access to the necessary hardware, software, and connectivity. Equally important is comprehensive teacher training, which must equip educators with the practical skills and pedagogical understanding needed to effectively implement AI tools in the classroom. Continuous professional development programs should be designed to address both technical competencies and instructional strategies for integrating AI into everyday teaching</w:t>
      </w:r>
      <w:r w:rsidR="00B726F8" w:rsidRPr="00B726F8">
        <w:rPr>
          <w:lang w:val="en-US"/>
        </w:rPr>
        <w:t xml:space="preserve"> </w:t>
      </w:r>
      <w:r w:rsidR="00B726F8" w:rsidRPr="00B726F8">
        <w:rPr>
          <w:rFonts w:ascii="Times New Roman" w:hAnsi="Times New Roman" w:cs="Times New Roman"/>
          <w:sz w:val="24"/>
          <w:szCs w:val="24"/>
          <w:lang w:val="en-US"/>
        </w:rPr>
        <w:t>[3</w:t>
      </w:r>
      <w:r w:rsidR="006D6DBC">
        <w:rPr>
          <w:rFonts w:ascii="Times New Roman" w:hAnsi="Times New Roman" w:cs="Times New Roman"/>
          <w:sz w:val="24"/>
          <w:szCs w:val="24"/>
          <w:lang w:val="en-US"/>
        </w:rPr>
        <w:t>9-40</w:t>
      </w:r>
      <w:r w:rsidR="00B726F8" w:rsidRPr="00B726F8">
        <w:rPr>
          <w:rFonts w:ascii="Times New Roman" w:hAnsi="Times New Roman" w:cs="Times New Roman"/>
          <w:sz w:val="24"/>
          <w:szCs w:val="24"/>
          <w:lang w:val="en-US"/>
        </w:rPr>
        <w:t>].</w:t>
      </w:r>
    </w:p>
    <w:p w14:paraId="711A0663" w14:textId="3BDFDBF7" w:rsidR="0039520D" w:rsidRPr="00990661" w:rsidRDefault="00DE1C03" w:rsidP="00DE1C03">
      <w:pPr>
        <w:jc w:val="both"/>
        <w:rPr>
          <w:rFonts w:ascii="Times New Roman" w:hAnsi="Times New Roman" w:cs="Times New Roman"/>
          <w:sz w:val="24"/>
          <w:szCs w:val="24"/>
          <w:lang w:val="en-US"/>
        </w:rPr>
      </w:pPr>
      <w:r w:rsidRPr="00990661">
        <w:rPr>
          <w:rFonts w:ascii="Times New Roman" w:hAnsi="Times New Roman" w:cs="Times New Roman"/>
          <w:sz w:val="24"/>
          <w:szCs w:val="24"/>
          <w:lang w:val="en-US"/>
        </w:rPr>
        <w:t>In parallel, the establishment of ethical and regulatory frameworks is crucial to safeguard responsible AI use and protect personal data. Clear guidelines on data privacy, algorithmic transparency, and accountability will help build trust among educators, students, and parents. Together, these measures can create a supportive ecosystem where AI contributes meaningfully to educational innovation while promoting inclusivity, equity, and ethical responsibility</w:t>
      </w:r>
      <w:r w:rsidR="006A717F">
        <w:rPr>
          <w:rFonts w:ascii="Times New Roman" w:hAnsi="Times New Roman" w:cs="Times New Roman"/>
          <w:sz w:val="24"/>
          <w:szCs w:val="24"/>
          <w:lang w:val="en-US"/>
        </w:rPr>
        <w:t xml:space="preserve"> </w:t>
      </w:r>
      <w:r w:rsidR="006D6DBC" w:rsidRPr="006D6DBC">
        <w:rPr>
          <w:rFonts w:ascii="Times New Roman" w:hAnsi="Times New Roman" w:cs="Times New Roman"/>
          <w:sz w:val="24"/>
          <w:szCs w:val="24"/>
          <w:lang w:val="en-US"/>
        </w:rPr>
        <w:t>[3</w:t>
      </w:r>
      <w:r w:rsidR="0006010B">
        <w:rPr>
          <w:rFonts w:ascii="Times New Roman" w:hAnsi="Times New Roman" w:cs="Times New Roman"/>
          <w:sz w:val="24"/>
          <w:szCs w:val="24"/>
          <w:lang w:val="en-US"/>
        </w:rPr>
        <w:t>8</w:t>
      </w:r>
      <w:r w:rsidR="006D6DBC" w:rsidRPr="006D6DBC">
        <w:rPr>
          <w:rFonts w:ascii="Times New Roman" w:hAnsi="Times New Roman" w:cs="Times New Roman"/>
          <w:sz w:val="24"/>
          <w:szCs w:val="24"/>
          <w:lang w:val="en-US"/>
        </w:rPr>
        <w:t>-41].</w:t>
      </w:r>
    </w:p>
    <w:p w14:paraId="0E73E633" w14:textId="77777777" w:rsidR="0039520D" w:rsidRPr="006A717F" w:rsidRDefault="0039520D" w:rsidP="0039520D">
      <w:pPr>
        <w:jc w:val="both"/>
        <w:rPr>
          <w:rFonts w:ascii="Times New Roman" w:hAnsi="Times New Roman" w:cs="Times New Roman"/>
          <w:sz w:val="24"/>
          <w:szCs w:val="24"/>
          <w:lang w:val="en-US"/>
        </w:rPr>
      </w:pPr>
    </w:p>
    <w:p w14:paraId="7B11FD3D" w14:textId="0C90AAB5" w:rsidR="0039520D" w:rsidRPr="006A717F" w:rsidRDefault="0039520D" w:rsidP="0039520D">
      <w:pPr>
        <w:jc w:val="both"/>
        <w:rPr>
          <w:rFonts w:ascii="Times New Roman" w:hAnsi="Times New Roman" w:cs="Times New Roman"/>
          <w:b/>
          <w:sz w:val="24"/>
          <w:szCs w:val="24"/>
          <w:lang w:val="en-US"/>
        </w:rPr>
      </w:pPr>
      <w:r w:rsidRPr="006A717F">
        <w:rPr>
          <w:rFonts w:ascii="Times New Roman" w:hAnsi="Times New Roman" w:cs="Times New Roman"/>
          <w:b/>
          <w:sz w:val="24"/>
          <w:szCs w:val="24"/>
          <w:lang w:val="en-US"/>
        </w:rPr>
        <w:t>10. Future Research</w:t>
      </w:r>
    </w:p>
    <w:p w14:paraId="6594CF7B" w14:textId="799ED488" w:rsidR="00DE1C03" w:rsidRPr="006A717F" w:rsidRDefault="00DE1C03" w:rsidP="00DE1C03">
      <w:pPr>
        <w:jc w:val="both"/>
        <w:rPr>
          <w:rFonts w:ascii="Times New Roman" w:hAnsi="Times New Roman" w:cs="Times New Roman"/>
          <w:sz w:val="24"/>
          <w:szCs w:val="24"/>
          <w:lang w:val="en-US"/>
        </w:rPr>
      </w:pPr>
      <w:r w:rsidRPr="006A717F">
        <w:rPr>
          <w:rFonts w:ascii="Times New Roman" w:hAnsi="Times New Roman" w:cs="Times New Roman"/>
          <w:sz w:val="24"/>
          <w:szCs w:val="24"/>
          <w:lang w:val="en-US"/>
        </w:rPr>
        <w:t>Future research on AI in Greek education should focus on examining its long-term effects on learning outcomes, teaching methodologies, and educational equity. Empirical studies are essential to provide evidence of the actual impact of AI applications, identifying both benefits and potential drawbacks. Such research will help educators and policymakers make informed decisions about the adoption and integration of AI tools in different educational contexts</w:t>
      </w:r>
      <w:r w:rsidR="00B726F8" w:rsidRPr="006A717F">
        <w:rPr>
          <w:rFonts w:ascii="Times New Roman" w:hAnsi="Times New Roman" w:cs="Times New Roman"/>
          <w:lang w:val="en-US"/>
        </w:rPr>
        <w:t xml:space="preserve"> </w:t>
      </w:r>
      <w:r w:rsidR="006D6DBC" w:rsidRPr="006D6DBC">
        <w:rPr>
          <w:rFonts w:ascii="Times New Roman" w:hAnsi="Times New Roman" w:cs="Times New Roman"/>
          <w:sz w:val="24"/>
          <w:szCs w:val="24"/>
          <w:lang w:val="en-US"/>
        </w:rPr>
        <w:t>[4</w:t>
      </w:r>
      <w:r w:rsidR="0006010B">
        <w:rPr>
          <w:rFonts w:ascii="Times New Roman" w:hAnsi="Times New Roman" w:cs="Times New Roman"/>
          <w:sz w:val="24"/>
          <w:szCs w:val="24"/>
          <w:lang w:val="en-US"/>
        </w:rPr>
        <w:t>0</w:t>
      </w:r>
      <w:r w:rsidR="006D6DBC">
        <w:rPr>
          <w:rFonts w:ascii="Times New Roman" w:hAnsi="Times New Roman" w:cs="Times New Roman"/>
          <w:sz w:val="24"/>
          <w:szCs w:val="24"/>
          <w:lang w:val="en-US"/>
        </w:rPr>
        <w:t>-43</w:t>
      </w:r>
      <w:r w:rsidR="006D6DBC" w:rsidRPr="006D6DBC">
        <w:rPr>
          <w:rFonts w:ascii="Times New Roman" w:hAnsi="Times New Roman" w:cs="Times New Roman"/>
          <w:sz w:val="24"/>
          <w:szCs w:val="24"/>
          <w:lang w:val="en-US"/>
        </w:rPr>
        <w:t>].</w:t>
      </w:r>
    </w:p>
    <w:p w14:paraId="18E8918E" w14:textId="52DD7FA9" w:rsidR="00DE1C03" w:rsidRPr="006A717F" w:rsidRDefault="00DE1C03" w:rsidP="00DE1C03">
      <w:pPr>
        <w:jc w:val="both"/>
        <w:rPr>
          <w:rFonts w:ascii="Times New Roman" w:hAnsi="Times New Roman" w:cs="Times New Roman"/>
          <w:sz w:val="24"/>
          <w:szCs w:val="24"/>
          <w:lang w:val="en-US"/>
        </w:rPr>
      </w:pPr>
      <w:r w:rsidRPr="006A717F">
        <w:rPr>
          <w:rFonts w:ascii="Times New Roman" w:hAnsi="Times New Roman" w:cs="Times New Roman"/>
          <w:sz w:val="24"/>
          <w:szCs w:val="24"/>
          <w:lang w:val="en-US"/>
        </w:rPr>
        <w:t>Comparative analyses with other European education systems can offer valuable insights and highlight best practices. By studying how AI is implemented elsewhere, Greece can learn from successes and challenges in similar contexts, supporting evidence-based policy development and more strategic planning. These comparisons can also inform the design of AI initiatives that are both effective and adaptable to local conditions</w:t>
      </w:r>
      <w:r w:rsidR="00B726F8" w:rsidRPr="006A717F">
        <w:rPr>
          <w:rFonts w:ascii="Times New Roman" w:hAnsi="Times New Roman" w:cs="Times New Roman"/>
          <w:lang w:val="en-US"/>
        </w:rPr>
        <w:t xml:space="preserve"> </w:t>
      </w:r>
      <w:r w:rsidR="006D6DBC" w:rsidRPr="006D6DBC">
        <w:rPr>
          <w:rFonts w:ascii="Times New Roman" w:hAnsi="Times New Roman" w:cs="Times New Roman"/>
          <w:sz w:val="24"/>
          <w:szCs w:val="24"/>
          <w:lang w:val="en-US"/>
        </w:rPr>
        <w:t>[4</w:t>
      </w:r>
      <w:r w:rsidR="0006010B">
        <w:rPr>
          <w:rFonts w:ascii="Times New Roman" w:hAnsi="Times New Roman" w:cs="Times New Roman"/>
          <w:sz w:val="24"/>
          <w:szCs w:val="24"/>
          <w:lang w:val="en-US"/>
        </w:rPr>
        <w:t>4-49</w:t>
      </w:r>
      <w:r w:rsidR="006D6DBC" w:rsidRPr="006D6DBC">
        <w:rPr>
          <w:rFonts w:ascii="Times New Roman" w:hAnsi="Times New Roman" w:cs="Times New Roman"/>
          <w:sz w:val="24"/>
          <w:szCs w:val="24"/>
          <w:lang w:val="en-US"/>
        </w:rPr>
        <w:t>].</w:t>
      </w:r>
    </w:p>
    <w:p w14:paraId="736712F0" w14:textId="370C746E" w:rsidR="00DE1C03" w:rsidRDefault="00DE1C03" w:rsidP="00DE1C03">
      <w:pPr>
        <w:jc w:val="both"/>
        <w:rPr>
          <w:rFonts w:ascii="Times New Roman" w:hAnsi="Times New Roman" w:cs="Times New Roman"/>
          <w:sz w:val="24"/>
          <w:szCs w:val="24"/>
          <w:lang w:val="en-US"/>
        </w:rPr>
      </w:pPr>
      <w:r w:rsidRPr="006A717F">
        <w:rPr>
          <w:rFonts w:ascii="Times New Roman" w:hAnsi="Times New Roman" w:cs="Times New Roman"/>
          <w:sz w:val="24"/>
          <w:szCs w:val="24"/>
          <w:lang w:val="en-US"/>
        </w:rPr>
        <w:t xml:space="preserve">Finally, research should prioritize the development of culturally adaptive AI systems tailored to the specific needs and characteristics of Greek education. Ensuring that AI tools are relevant, context-sensitive, and pedagogically appropriate will enhance their </w:t>
      </w:r>
      <w:r w:rsidRPr="006A717F">
        <w:rPr>
          <w:rFonts w:ascii="Times New Roman" w:hAnsi="Times New Roman" w:cs="Times New Roman"/>
          <w:sz w:val="24"/>
          <w:szCs w:val="24"/>
          <w:lang w:val="en-US"/>
        </w:rPr>
        <w:lastRenderedPageBreak/>
        <w:t>effectiveness and foster greater acceptance among educators and students. By focusing on culturally aligned and evidence-based approaches, Greece can maximize the potential of AI to support meaningful and inclusive educational transformation</w:t>
      </w:r>
      <w:r w:rsidR="00B726F8" w:rsidRPr="006A717F">
        <w:rPr>
          <w:rFonts w:ascii="Times New Roman" w:hAnsi="Times New Roman" w:cs="Times New Roman"/>
          <w:lang w:val="en-US"/>
        </w:rPr>
        <w:t xml:space="preserve"> </w:t>
      </w:r>
      <w:r w:rsidR="006D6DBC" w:rsidRPr="006D6DBC">
        <w:rPr>
          <w:rFonts w:ascii="Times New Roman" w:hAnsi="Times New Roman" w:cs="Times New Roman"/>
          <w:sz w:val="24"/>
          <w:szCs w:val="24"/>
          <w:lang w:val="en-US"/>
        </w:rPr>
        <w:t>[4</w:t>
      </w:r>
      <w:r w:rsidR="00C90889">
        <w:rPr>
          <w:rFonts w:ascii="Times New Roman" w:hAnsi="Times New Roman" w:cs="Times New Roman"/>
          <w:sz w:val="24"/>
          <w:szCs w:val="24"/>
          <w:lang w:val="en-US"/>
        </w:rPr>
        <w:t>9</w:t>
      </w:r>
      <w:r w:rsidR="006D6DBC" w:rsidRPr="006D6DBC">
        <w:rPr>
          <w:rFonts w:ascii="Times New Roman" w:hAnsi="Times New Roman" w:cs="Times New Roman"/>
          <w:sz w:val="24"/>
          <w:szCs w:val="24"/>
          <w:lang w:val="en-US"/>
        </w:rPr>
        <w:t>-</w:t>
      </w:r>
      <w:r w:rsidR="00C90889">
        <w:rPr>
          <w:rFonts w:ascii="Times New Roman" w:hAnsi="Times New Roman" w:cs="Times New Roman"/>
          <w:sz w:val="24"/>
          <w:szCs w:val="24"/>
          <w:lang w:val="en-US"/>
        </w:rPr>
        <w:t>5</w:t>
      </w:r>
      <w:r w:rsidR="003B4047">
        <w:rPr>
          <w:rFonts w:ascii="Times New Roman" w:hAnsi="Times New Roman" w:cs="Times New Roman"/>
          <w:sz w:val="24"/>
          <w:szCs w:val="24"/>
          <w:lang w:val="en-US"/>
        </w:rPr>
        <w:t>2</w:t>
      </w:r>
      <w:r w:rsidR="006D6DBC" w:rsidRPr="006D6DBC">
        <w:rPr>
          <w:rFonts w:ascii="Times New Roman" w:hAnsi="Times New Roman" w:cs="Times New Roman"/>
          <w:sz w:val="24"/>
          <w:szCs w:val="24"/>
          <w:lang w:val="en-US"/>
        </w:rPr>
        <w:t>].</w:t>
      </w:r>
    </w:p>
    <w:p w14:paraId="6D74A612" w14:textId="77777777" w:rsidR="00F64A63" w:rsidRPr="00F64A63" w:rsidRDefault="00F64A63" w:rsidP="00F64A63">
      <w:pPr>
        <w:jc w:val="both"/>
        <w:rPr>
          <w:rFonts w:ascii="Times New Roman" w:hAnsi="Times New Roman" w:cs="Times New Roman"/>
          <w:sz w:val="24"/>
          <w:szCs w:val="24"/>
          <w:lang w:val="en-US"/>
        </w:rPr>
      </w:pPr>
    </w:p>
    <w:p w14:paraId="2F13EBC3" w14:textId="77777777" w:rsidR="00F64A63" w:rsidRPr="00F64A63" w:rsidRDefault="00F64A63" w:rsidP="00F64A63">
      <w:pPr>
        <w:jc w:val="both"/>
        <w:rPr>
          <w:rFonts w:ascii="Times New Roman" w:hAnsi="Times New Roman" w:cs="Times New Roman"/>
          <w:sz w:val="24"/>
          <w:szCs w:val="24"/>
          <w:lang w:val="en-US"/>
        </w:rPr>
      </w:pPr>
      <w:r w:rsidRPr="00F64A63">
        <w:rPr>
          <w:rFonts w:ascii="Times New Roman" w:hAnsi="Times New Roman" w:cs="Times New Roman"/>
          <w:sz w:val="24"/>
          <w:szCs w:val="24"/>
          <w:lang w:val="en-US"/>
        </w:rPr>
        <w:t>COMPETING INTERESTS DISCLAIMER</w:t>
      </w:r>
    </w:p>
    <w:p w14:paraId="2A486EFC" w14:textId="77777777" w:rsidR="00F64A63" w:rsidRPr="00F64A63" w:rsidRDefault="00F64A63" w:rsidP="00F64A63">
      <w:pPr>
        <w:jc w:val="both"/>
        <w:rPr>
          <w:rFonts w:ascii="Times New Roman" w:hAnsi="Times New Roman" w:cs="Times New Roman"/>
          <w:sz w:val="24"/>
          <w:szCs w:val="24"/>
          <w:lang w:val="en-US"/>
        </w:rPr>
      </w:pPr>
      <w:r w:rsidRPr="00F64A63">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37D6768A" w14:textId="77777777" w:rsidR="00F64A63" w:rsidRPr="00F64A63" w:rsidRDefault="00F64A63" w:rsidP="00F64A63">
      <w:pPr>
        <w:jc w:val="both"/>
        <w:rPr>
          <w:rFonts w:ascii="Times New Roman" w:hAnsi="Times New Roman" w:cs="Times New Roman"/>
          <w:sz w:val="24"/>
          <w:szCs w:val="24"/>
          <w:lang w:val="en-US"/>
        </w:rPr>
      </w:pPr>
    </w:p>
    <w:p w14:paraId="398E606E" w14:textId="77777777" w:rsidR="00F64A63" w:rsidRPr="00F64A63" w:rsidRDefault="00F64A63" w:rsidP="00F64A63">
      <w:pPr>
        <w:jc w:val="both"/>
        <w:rPr>
          <w:rFonts w:ascii="Times New Roman" w:hAnsi="Times New Roman" w:cs="Times New Roman"/>
          <w:sz w:val="24"/>
          <w:szCs w:val="24"/>
          <w:lang w:val="en-US"/>
        </w:rPr>
      </w:pPr>
      <w:r w:rsidRPr="00F64A63">
        <w:rPr>
          <w:rFonts w:ascii="Times New Roman" w:hAnsi="Times New Roman" w:cs="Times New Roman"/>
          <w:sz w:val="24"/>
          <w:szCs w:val="24"/>
          <w:lang w:val="en-US"/>
        </w:rPr>
        <w:t>Disclaimer (Artificial intelligence)</w:t>
      </w:r>
    </w:p>
    <w:p w14:paraId="20060239" w14:textId="26161CB3" w:rsidR="00F64A63" w:rsidRDefault="00F64A63" w:rsidP="00F64A63">
      <w:pPr>
        <w:jc w:val="both"/>
        <w:rPr>
          <w:rFonts w:ascii="Times New Roman" w:hAnsi="Times New Roman" w:cs="Times New Roman"/>
          <w:sz w:val="24"/>
          <w:szCs w:val="24"/>
          <w:lang w:val="en-US"/>
        </w:rPr>
      </w:pPr>
      <w:r w:rsidRPr="00F64A63">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2C0E4ACA" w14:textId="77777777" w:rsidR="00F64A63" w:rsidRDefault="00F64A63" w:rsidP="00DE1C03">
      <w:pPr>
        <w:jc w:val="both"/>
        <w:rPr>
          <w:rFonts w:ascii="Times New Roman" w:hAnsi="Times New Roman" w:cs="Times New Roman"/>
          <w:sz w:val="24"/>
          <w:szCs w:val="24"/>
          <w:lang w:val="en-US"/>
        </w:rPr>
      </w:pPr>
    </w:p>
    <w:p w14:paraId="3892EC22" w14:textId="77777777" w:rsidR="00F64A63" w:rsidRDefault="00F64A63" w:rsidP="00DE1C03">
      <w:pPr>
        <w:jc w:val="both"/>
        <w:rPr>
          <w:rFonts w:ascii="Times New Roman" w:hAnsi="Times New Roman" w:cs="Times New Roman"/>
          <w:sz w:val="24"/>
          <w:szCs w:val="24"/>
          <w:lang w:val="en-US"/>
        </w:rPr>
      </w:pPr>
    </w:p>
    <w:p w14:paraId="0F9B5C51" w14:textId="77777777" w:rsidR="00F64A63" w:rsidRDefault="00F64A63" w:rsidP="00DE1C03">
      <w:pPr>
        <w:jc w:val="both"/>
        <w:rPr>
          <w:rFonts w:ascii="Times New Roman" w:hAnsi="Times New Roman" w:cs="Times New Roman"/>
          <w:sz w:val="24"/>
          <w:szCs w:val="24"/>
          <w:lang w:val="en-US"/>
        </w:rPr>
      </w:pPr>
    </w:p>
    <w:p w14:paraId="3A8FED36" w14:textId="77777777" w:rsidR="00F64A63" w:rsidRPr="003930EE" w:rsidRDefault="00F64A63" w:rsidP="00DE1C03">
      <w:pPr>
        <w:jc w:val="both"/>
        <w:rPr>
          <w:rFonts w:ascii="Times New Roman" w:hAnsi="Times New Roman" w:cs="Times New Roman"/>
          <w:sz w:val="24"/>
          <w:szCs w:val="24"/>
          <w:lang w:val="en-US"/>
        </w:rPr>
      </w:pPr>
    </w:p>
    <w:p w14:paraId="544E70D4" w14:textId="77777777" w:rsidR="0039520D" w:rsidRPr="00990661" w:rsidRDefault="0039520D" w:rsidP="0039520D">
      <w:pPr>
        <w:jc w:val="both"/>
        <w:rPr>
          <w:b/>
          <w:sz w:val="24"/>
          <w:szCs w:val="24"/>
          <w:lang w:val="en-US"/>
        </w:rPr>
      </w:pPr>
      <w:r w:rsidRPr="00990661">
        <w:rPr>
          <w:b/>
          <w:sz w:val="24"/>
          <w:szCs w:val="24"/>
          <w:lang w:val="en-US"/>
        </w:rPr>
        <w:t>References</w:t>
      </w:r>
    </w:p>
    <w:p w14:paraId="01F16772" w14:textId="77777777" w:rsidR="00744C6E" w:rsidRPr="00744C6E" w:rsidRDefault="00744C6E" w:rsidP="00744C6E">
      <w:pPr>
        <w:spacing w:line="360" w:lineRule="auto"/>
        <w:jc w:val="both"/>
        <w:rPr>
          <w:rFonts w:ascii="Times New Roman" w:eastAsia="Aptos" w:hAnsi="Times New Roman" w:cs="Times New Roman"/>
          <w:b/>
          <w:bCs/>
          <w:kern w:val="2"/>
          <w:sz w:val="24"/>
          <w:szCs w:val="24"/>
          <w:lang w:val="en-US"/>
          <w14:ligatures w14:val="standardContextual"/>
        </w:rPr>
      </w:pPr>
    </w:p>
    <w:p w14:paraId="251A37F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w:t>
      </w:r>
      <w:r w:rsidRPr="00744C6E">
        <w:rPr>
          <w:rFonts w:ascii="Times New Roman" w:eastAsia="Aptos" w:hAnsi="Times New Roman" w:cs="Times New Roman"/>
          <w:kern w:val="2"/>
          <w:sz w:val="24"/>
          <w:szCs w:val="24"/>
          <w:lang w:val="en-US"/>
          <w14:ligatures w14:val="standardContextual"/>
        </w:rPr>
        <w:tab/>
        <w:t xml:space="preserve">Giotopoulos, K. (2024). A systematic review in digital entrepreneurship ecosystems.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Social Sciences Journal, 61(1), 279–297. https://doi.org/10.47577/tssj.v61i1.11562</w:t>
      </w:r>
    </w:p>
    <w:p w14:paraId="79E0BC84"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w:t>
      </w:r>
      <w:r w:rsidRPr="00744C6E">
        <w:rPr>
          <w:rFonts w:ascii="Times New Roman" w:eastAsia="Aptos" w:hAnsi="Times New Roman" w:cs="Times New Roman"/>
          <w:kern w:val="2"/>
          <w:sz w:val="24"/>
          <w:szCs w:val="24"/>
          <w:lang w:val="en-US"/>
          <w14:ligatures w14:val="standardContextual"/>
        </w:rPr>
        <w:tab/>
        <w:t xml:space="preserve">Antonopoulou, H. (2024). </w:t>
      </w:r>
      <w:proofErr w:type="spellStart"/>
      <w:r w:rsidRPr="00744C6E">
        <w:rPr>
          <w:rFonts w:ascii="Times New Roman" w:eastAsia="Aptos" w:hAnsi="Times New Roman" w:cs="Times New Roman"/>
          <w:kern w:val="2"/>
          <w:sz w:val="24"/>
          <w:szCs w:val="24"/>
          <w:lang w:val="en-US"/>
          <w14:ligatures w14:val="standardContextual"/>
        </w:rPr>
        <w:t>Neuroleadership</w:t>
      </w:r>
      <w:proofErr w:type="spellEnd"/>
      <w:r w:rsidRPr="00744C6E">
        <w:rPr>
          <w:rFonts w:ascii="Times New Roman" w:eastAsia="Aptos" w:hAnsi="Times New Roman" w:cs="Times New Roman"/>
          <w:kern w:val="2"/>
          <w:sz w:val="24"/>
          <w:szCs w:val="24"/>
          <w:lang w:val="en-US"/>
          <w14:ligatures w14:val="standardContextual"/>
        </w:rPr>
        <w:t xml:space="preserve"> and Its Role in Educational Settings: A Review of Current Practices.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Education and Humanities, 10, 143–154. https://doi.org/10.47577/teh.v10i.11976</w:t>
      </w:r>
    </w:p>
    <w:p w14:paraId="3DAD0BFD"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w:t>
      </w:r>
      <w:r w:rsidRPr="00744C6E">
        <w:rPr>
          <w:rFonts w:ascii="Times New Roman" w:eastAsia="Aptos" w:hAnsi="Times New Roman" w:cs="Times New Roman"/>
          <w:kern w:val="2"/>
          <w:sz w:val="24"/>
          <w:szCs w:val="24"/>
          <w:lang w:val="en-US"/>
          <w14:ligatures w14:val="standardContextual"/>
        </w:rPr>
        <w:tab/>
        <w:t xml:space="preserve">Antonopoulou, H. (2024). The Role of Gamification in Enhancing Cognitive and Neuropsychological Learning: A Review. Tech. </w:t>
      </w:r>
      <w:proofErr w:type="spellStart"/>
      <w:r w:rsidRPr="00744C6E">
        <w:rPr>
          <w:rFonts w:ascii="Times New Roman" w:eastAsia="Aptos" w:hAnsi="Times New Roman" w:cs="Times New Roman"/>
          <w:kern w:val="2"/>
          <w:sz w:val="24"/>
          <w:szCs w:val="24"/>
          <w:lang w:val="en-US"/>
          <w14:ligatures w14:val="standardContextual"/>
        </w:rPr>
        <w:t>BioChemMed</w:t>
      </w:r>
      <w:proofErr w:type="spellEnd"/>
      <w:r w:rsidRPr="00744C6E">
        <w:rPr>
          <w:rFonts w:ascii="Times New Roman" w:eastAsia="Aptos" w:hAnsi="Times New Roman" w:cs="Times New Roman"/>
          <w:kern w:val="2"/>
          <w:sz w:val="24"/>
          <w:szCs w:val="24"/>
          <w:lang w:val="en-US"/>
          <w14:ligatures w14:val="standardContextual"/>
        </w:rPr>
        <w:t>, 11, 45–46.</w:t>
      </w:r>
    </w:p>
    <w:p w14:paraId="32B1C27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w:t>
      </w:r>
      <w:r w:rsidRPr="00744C6E">
        <w:rPr>
          <w:rFonts w:ascii="Times New Roman" w:eastAsia="Aptos" w:hAnsi="Times New Roman" w:cs="Times New Roman"/>
          <w:kern w:val="2"/>
          <w:sz w:val="24"/>
          <w:szCs w:val="24"/>
          <w:lang w:val="en-US"/>
          <w14:ligatures w14:val="standardContextual"/>
        </w:rPr>
        <w:tab/>
        <w:t>Black, P., &amp;amp; Wiliam, D. (2009). Developing the theory of formative assessment. Educational Assessment, Evaluation and Accountability, 21(1), 5–31. https://doi.org/10.1007/s11092-008-9068-5</w:t>
      </w:r>
    </w:p>
    <w:p w14:paraId="687D91F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5.</w:t>
      </w:r>
      <w:r w:rsidRPr="00744C6E">
        <w:rPr>
          <w:rFonts w:ascii="Times New Roman" w:eastAsia="Aptos" w:hAnsi="Times New Roman" w:cs="Times New Roman"/>
          <w:kern w:val="2"/>
          <w:sz w:val="24"/>
          <w:szCs w:val="24"/>
          <w:lang w:val="en-US"/>
          <w14:ligatures w14:val="standardContextual"/>
        </w:rPr>
        <w:tab/>
        <w:t>Bond, M., Zawacki-Richter, O., &amp;amp; Nichols, M. (2020). Revisiting five decades of educational technology research. British Journal of Educational Technology, 51(4), 1131–1148.https://doi.org/10.1111/bjet.12921</w:t>
      </w:r>
    </w:p>
    <w:p w14:paraId="34548E1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6.</w:t>
      </w:r>
      <w:r w:rsidRPr="00744C6E">
        <w:rPr>
          <w:rFonts w:ascii="Times New Roman" w:eastAsia="Aptos" w:hAnsi="Times New Roman" w:cs="Times New Roman"/>
          <w:kern w:val="2"/>
          <w:sz w:val="24"/>
          <w:szCs w:val="24"/>
          <w:lang w:val="en-US"/>
          <w14:ligatures w14:val="standardContextual"/>
        </w:rPr>
        <w:tab/>
        <w:t>Dede, C., Richards, J., &amp;amp; Saxberg, B. (2019). Learning engineering for online education. Educational Technology, 59(2), 13–21. https://doi.org/10.1007/978-3-030-11212-1</w:t>
      </w:r>
    </w:p>
    <w:p w14:paraId="2ADAC88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7.</w:t>
      </w:r>
      <w:r w:rsidRPr="00744C6E">
        <w:rPr>
          <w:rFonts w:ascii="Times New Roman" w:eastAsia="Aptos" w:hAnsi="Times New Roman" w:cs="Times New Roman"/>
          <w:kern w:val="2"/>
          <w:sz w:val="24"/>
          <w:szCs w:val="24"/>
          <w:lang w:val="en-US"/>
          <w14:ligatures w14:val="standardContextual"/>
        </w:rPr>
        <w:tab/>
        <w:t>Ertmer, P. A., &amp;amp; Ottenbreit-Leftwich, A. T. (2013). Teacher technology change. Journal of Research on Technology in Education, 45(3), 255–284. https://doi.org/10.1080/15391523.2012.10782536</w:t>
      </w:r>
    </w:p>
    <w:p w14:paraId="264C2FF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8.</w:t>
      </w:r>
      <w:r w:rsidRPr="00744C6E">
        <w:rPr>
          <w:rFonts w:ascii="Times New Roman" w:eastAsia="Aptos" w:hAnsi="Times New Roman" w:cs="Times New Roman"/>
          <w:kern w:val="2"/>
          <w:sz w:val="24"/>
          <w:szCs w:val="24"/>
          <w:lang w:val="en-US"/>
          <w14:ligatures w14:val="standardContextual"/>
        </w:rPr>
        <w:tab/>
        <w:t>Florian, L., &amp;amp; Black-Hawkins, K. (2011). Exploring inclusive pedagogy. Cambridge Journal of Education, 41 (4), 441–459. https://doi.org/10.1080/0305764X.2011.618205</w:t>
      </w:r>
    </w:p>
    <w:p w14:paraId="53D9352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9.</w:t>
      </w:r>
      <w:r w:rsidRPr="00744C6E">
        <w:rPr>
          <w:rFonts w:ascii="Times New Roman" w:eastAsia="Aptos" w:hAnsi="Times New Roman" w:cs="Times New Roman"/>
          <w:kern w:val="2"/>
          <w:sz w:val="24"/>
          <w:szCs w:val="24"/>
          <w:lang w:val="en-US"/>
          <w14:ligatures w14:val="standardContextual"/>
        </w:rPr>
        <w:tab/>
        <w:t>Gee, J. P. (2007). What video games have to teach us about learning and literacy. Palgrave Macmillan. https://doi.org/10.1057/9780230601994</w:t>
      </w:r>
    </w:p>
    <w:p w14:paraId="4ED80C6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10.</w:t>
      </w:r>
      <w:r w:rsidRPr="00744C6E">
        <w:rPr>
          <w:rFonts w:ascii="Times New Roman" w:eastAsia="Aptos" w:hAnsi="Times New Roman" w:cs="Times New Roman"/>
          <w:kern w:val="2"/>
          <w:sz w:val="24"/>
          <w:szCs w:val="24"/>
          <w:lang w:val="en-US"/>
          <w14:ligatures w14:val="standardContextual"/>
        </w:rPr>
        <w:tab/>
        <w:t xml:space="preserve">Giotopoulos, K. C., Michalopoulos, D., </w:t>
      </w:r>
      <w:proofErr w:type="spellStart"/>
      <w:r w:rsidRPr="00744C6E">
        <w:rPr>
          <w:rFonts w:ascii="Times New Roman" w:eastAsia="Aptos" w:hAnsi="Times New Roman" w:cs="Times New Roman"/>
          <w:kern w:val="2"/>
          <w:sz w:val="24"/>
          <w:szCs w:val="24"/>
          <w:lang w:val="en-US"/>
          <w14:ligatures w14:val="standardContextual"/>
        </w:rPr>
        <w:t>Vonitsanos</w:t>
      </w:r>
      <w:proofErr w:type="spellEnd"/>
      <w:r w:rsidRPr="00744C6E">
        <w:rPr>
          <w:rFonts w:ascii="Times New Roman" w:eastAsia="Aptos" w:hAnsi="Times New Roman" w:cs="Times New Roman"/>
          <w:kern w:val="2"/>
          <w:sz w:val="24"/>
          <w:szCs w:val="24"/>
          <w:lang w:val="en-US"/>
          <w14:ligatures w14:val="standardContextual"/>
        </w:rPr>
        <w:t xml:space="preserve">, G., Papadopoulos, D., </w:t>
      </w:r>
      <w:proofErr w:type="spellStart"/>
      <w:r w:rsidRPr="00744C6E">
        <w:rPr>
          <w:rFonts w:ascii="Times New Roman" w:eastAsia="Aptos" w:hAnsi="Times New Roman" w:cs="Times New Roman"/>
          <w:kern w:val="2"/>
          <w:sz w:val="24"/>
          <w:szCs w:val="24"/>
          <w:lang w:val="en-US"/>
          <w14:ligatures w14:val="standardContextual"/>
        </w:rPr>
        <w:t>Giannoukou</w:t>
      </w:r>
      <w:proofErr w:type="spellEnd"/>
      <w:r w:rsidRPr="00744C6E">
        <w:rPr>
          <w:rFonts w:ascii="Times New Roman" w:eastAsia="Aptos" w:hAnsi="Times New Roman" w:cs="Times New Roman"/>
          <w:kern w:val="2"/>
          <w:sz w:val="24"/>
          <w:szCs w:val="24"/>
          <w:lang w:val="en-US"/>
          <w14:ligatures w14:val="standardContextual"/>
        </w:rPr>
        <w:t xml:space="preserve">, I., &amp; </w:t>
      </w:r>
      <w:proofErr w:type="spellStart"/>
      <w:r w:rsidRPr="00744C6E">
        <w:rPr>
          <w:rFonts w:ascii="Times New Roman" w:eastAsia="Aptos" w:hAnsi="Times New Roman" w:cs="Times New Roman"/>
          <w:kern w:val="2"/>
          <w:sz w:val="24"/>
          <w:szCs w:val="24"/>
          <w:lang w:val="en-US"/>
          <w14:ligatures w14:val="standardContextual"/>
        </w:rPr>
        <w:t>Sioutas</w:t>
      </w:r>
      <w:proofErr w:type="spellEnd"/>
      <w:r w:rsidRPr="00744C6E">
        <w:rPr>
          <w:rFonts w:ascii="Times New Roman" w:eastAsia="Aptos" w:hAnsi="Times New Roman" w:cs="Times New Roman"/>
          <w:kern w:val="2"/>
          <w:sz w:val="24"/>
          <w:szCs w:val="24"/>
          <w:lang w:val="en-US"/>
          <w14:ligatures w14:val="standardContextual"/>
        </w:rPr>
        <w:t>, S. (2024). Dynamic workload management system in the public sector. Information, 15(6), 335. https://doi.org/10.3390/info15060335</w:t>
      </w:r>
    </w:p>
    <w:p w14:paraId="515FB37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11.</w:t>
      </w:r>
      <w:r w:rsidRPr="00744C6E">
        <w:rPr>
          <w:rFonts w:ascii="Times New Roman" w:eastAsia="Aptos" w:hAnsi="Times New Roman" w:cs="Times New Roman"/>
          <w:kern w:val="2"/>
          <w:sz w:val="24"/>
          <w:szCs w:val="24"/>
          <w:lang w:val="en-US"/>
          <w14:ligatures w14:val="standardContextual"/>
        </w:rPr>
        <w:tab/>
        <w:t xml:space="preserve">Giotopoulos, K., </w:t>
      </w:r>
      <w:proofErr w:type="spellStart"/>
      <w:r w:rsidRPr="00744C6E">
        <w:rPr>
          <w:rFonts w:ascii="Times New Roman" w:eastAsia="Aptos" w:hAnsi="Times New Roman" w:cs="Times New Roman"/>
          <w:kern w:val="2"/>
          <w:sz w:val="24"/>
          <w:szCs w:val="24"/>
          <w:lang w:val="en-US"/>
          <w14:ligatures w14:val="standardContextual"/>
        </w:rPr>
        <w:t>Halkiopoulos</w:t>
      </w:r>
      <w:proofErr w:type="spellEnd"/>
      <w:r w:rsidRPr="00744C6E">
        <w:rPr>
          <w:rFonts w:ascii="Times New Roman" w:eastAsia="Aptos" w:hAnsi="Times New Roman" w:cs="Times New Roman"/>
          <w:kern w:val="2"/>
          <w:sz w:val="24"/>
          <w:szCs w:val="24"/>
          <w:lang w:val="en-US"/>
          <w14:ligatures w14:val="standardContextual"/>
        </w:rPr>
        <w:t>, C., Papadopoulos, D., &amp; Antonopoulou, H. (2019). Towards Bring Your Own Device marketing policy. International Journal of Technology Marketing, 13(2), 156–164.</w:t>
      </w:r>
    </w:p>
    <w:p w14:paraId="5F74A7F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12.</w:t>
      </w:r>
      <w:r w:rsidRPr="00744C6E">
        <w:rPr>
          <w:rFonts w:ascii="Times New Roman" w:eastAsia="Aptos" w:hAnsi="Times New Roman" w:cs="Times New Roman"/>
          <w:kern w:val="2"/>
          <w:sz w:val="24"/>
          <w:szCs w:val="24"/>
          <w:lang w:val="en-US"/>
          <w14:ligatures w14:val="standardContextual"/>
        </w:rPr>
        <w:tab/>
        <w:t>Hamari, J., Koivisto, J., &amp;amp; Sarsa, H. (2016). Does gamification work? Computers in Human Behavior, 54, 170–179. https://doi.org/10.1016/j.chb.2015.07.047</w:t>
      </w:r>
    </w:p>
    <w:p w14:paraId="195D3A87"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13.</w:t>
      </w:r>
      <w:r w:rsidRPr="00744C6E">
        <w:rPr>
          <w:rFonts w:ascii="Times New Roman" w:eastAsia="Aptos" w:hAnsi="Times New Roman" w:cs="Times New Roman"/>
          <w:kern w:val="2"/>
          <w:sz w:val="24"/>
          <w:szCs w:val="24"/>
          <w:lang w:val="en-US"/>
          <w14:ligatures w14:val="standardContextual"/>
        </w:rPr>
        <w:tab/>
        <w:t>Hattie, J. (2017). Visible learning. Routledge. https://doi.org/10.4324/9781315709133</w:t>
      </w:r>
    </w:p>
    <w:p w14:paraId="289B079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14.</w:t>
      </w:r>
      <w:r w:rsidRPr="00744C6E">
        <w:rPr>
          <w:rFonts w:ascii="Times New Roman" w:eastAsia="Aptos" w:hAnsi="Times New Roman" w:cs="Times New Roman"/>
          <w:kern w:val="2"/>
          <w:sz w:val="24"/>
          <w:szCs w:val="24"/>
          <w:lang w:val="en-US"/>
          <w14:ligatures w14:val="standardContextual"/>
        </w:rPr>
        <w:tab/>
        <w:t>Holmes, W., Bialik, M., &amp;amp; Fadel, C. (2019). Artificial intelligence in education. OECD Publishing. https://doi.org/10.1787/9789264316149-en</w:t>
      </w:r>
    </w:p>
    <w:p w14:paraId="5E7DF3D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15.</w:t>
      </w:r>
      <w:r w:rsidRPr="00744C6E">
        <w:rPr>
          <w:rFonts w:ascii="Times New Roman" w:eastAsia="Aptos" w:hAnsi="Times New Roman" w:cs="Times New Roman"/>
          <w:kern w:val="2"/>
          <w:sz w:val="24"/>
          <w:szCs w:val="24"/>
          <w:lang w:val="en-US"/>
          <w14:ligatures w14:val="standardContextual"/>
        </w:rPr>
        <w:tab/>
      </w:r>
      <w:proofErr w:type="spellStart"/>
      <w:r w:rsidRPr="00744C6E">
        <w:rPr>
          <w:rFonts w:ascii="Times New Roman" w:eastAsia="Aptos" w:hAnsi="Times New Roman" w:cs="Times New Roman"/>
          <w:kern w:val="2"/>
          <w:sz w:val="24"/>
          <w:szCs w:val="24"/>
          <w:lang w:val="en-US"/>
          <w14:ligatures w14:val="standardContextual"/>
        </w:rPr>
        <w:t>Kalliampakou</w:t>
      </w:r>
      <w:proofErr w:type="spellEnd"/>
      <w:r w:rsidRPr="00744C6E">
        <w:rPr>
          <w:rFonts w:ascii="Times New Roman" w:eastAsia="Aptos" w:hAnsi="Times New Roman" w:cs="Times New Roman"/>
          <w:kern w:val="2"/>
          <w:sz w:val="24"/>
          <w:szCs w:val="24"/>
          <w:lang w:val="en-US"/>
          <w14:ligatures w14:val="standardContextual"/>
        </w:rPr>
        <w:t xml:space="preserve">, I., &amp; Antonopoulou, H. (2024). Behavioral Insights into Shopping Addiction: Emotional and Cognitive Drivers.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Romanian Journal </w:t>
      </w:r>
      <w:r w:rsidRPr="00744C6E">
        <w:rPr>
          <w:rFonts w:ascii="Times New Roman" w:eastAsia="Aptos" w:hAnsi="Times New Roman" w:cs="Times New Roman"/>
          <w:kern w:val="2"/>
          <w:sz w:val="24"/>
          <w:szCs w:val="24"/>
          <w:lang w:val="en-US"/>
          <w14:ligatures w14:val="standardContextual"/>
        </w:rPr>
        <w:lastRenderedPageBreak/>
        <w:t>of Applied Sciences and Technology, 24, 103–120. https://doi.org/10.47577/technium.v24i.11972</w:t>
      </w:r>
    </w:p>
    <w:p w14:paraId="2100080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16.</w:t>
      </w:r>
      <w:r w:rsidRPr="00744C6E">
        <w:rPr>
          <w:rFonts w:ascii="Times New Roman" w:eastAsia="Aptos" w:hAnsi="Times New Roman" w:cs="Times New Roman"/>
          <w:kern w:val="2"/>
          <w:sz w:val="24"/>
          <w:szCs w:val="24"/>
          <w:lang w:val="en-US"/>
          <w14:ligatures w14:val="standardContextual"/>
        </w:rPr>
        <w:tab/>
      </w:r>
      <w:proofErr w:type="spellStart"/>
      <w:r w:rsidRPr="00744C6E">
        <w:rPr>
          <w:rFonts w:ascii="Times New Roman" w:eastAsia="Aptos" w:hAnsi="Times New Roman" w:cs="Times New Roman"/>
          <w:kern w:val="2"/>
          <w:sz w:val="24"/>
          <w:szCs w:val="24"/>
          <w:lang w:val="en-US"/>
          <w14:ligatures w14:val="standardContextual"/>
        </w:rPr>
        <w:t>Kalliampakou</w:t>
      </w:r>
      <w:proofErr w:type="spellEnd"/>
      <w:r w:rsidRPr="00744C6E">
        <w:rPr>
          <w:rFonts w:ascii="Times New Roman" w:eastAsia="Aptos" w:hAnsi="Times New Roman" w:cs="Times New Roman"/>
          <w:kern w:val="2"/>
          <w:sz w:val="24"/>
          <w:szCs w:val="24"/>
          <w:lang w:val="en-US"/>
          <w14:ligatures w14:val="standardContextual"/>
        </w:rPr>
        <w:t xml:space="preserve">, I., &amp; Antonopoulou, H. (2025). The influence of emotional intelligence on consumer decision-making: Insights from recent studies.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Soc. Sci. J., 67, 451.</w:t>
      </w:r>
    </w:p>
    <w:p w14:paraId="1940994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17.</w:t>
      </w:r>
      <w:r w:rsidRPr="00744C6E">
        <w:rPr>
          <w:rFonts w:ascii="Times New Roman" w:eastAsia="Aptos" w:hAnsi="Times New Roman" w:cs="Times New Roman"/>
          <w:kern w:val="2"/>
          <w:sz w:val="24"/>
          <w:szCs w:val="24"/>
          <w:lang w:val="en-US"/>
          <w14:ligatures w14:val="standardContextual"/>
        </w:rPr>
        <w:tab/>
        <w:t>Kalogeratos, G., &amp; Pierrakeas, C. (2021). The COVID-19 pandemic as a reason for accelerating the transformation of the Greek primary school into a learning organization. In EDULEARN21 Proceedings (pp. 10333–10340). IATED.</w:t>
      </w:r>
    </w:p>
    <w:p w14:paraId="5E4452F7"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18.</w:t>
      </w:r>
      <w:r w:rsidRPr="00744C6E">
        <w:rPr>
          <w:rFonts w:ascii="Times New Roman" w:eastAsia="Aptos" w:hAnsi="Times New Roman" w:cs="Times New Roman"/>
          <w:kern w:val="2"/>
          <w:sz w:val="24"/>
          <w:szCs w:val="24"/>
          <w:lang w:val="en-US"/>
          <w14:ligatures w14:val="standardContextual"/>
        </w:rPr>
        <w:tab/>
        <w:t xml:space="preserve">Kalogeratos, G., &amp; Pierrakeas, C. (2024). Use of learning theories and visual programming (scratch) in education.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Education and Humanities, 10, 41–54. https://doi.org/10.47577/teh.v10i.11688</w:t>
      </w:r>
    </w:p>
    <w:p w14:paraId="7E2FAD5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19.</w:t>
      </w:r>
      <w:r w:rsidRPr="00744C6E">
        <w:rPr>
          <w:rFonts w:ascii="Times New Roman" w:eastAsia="Aptos" w:hAnsi="Times New Roman" w:cs="Times New Roman"/>
          <w:kern w:val="2"/>
          <w:sz w:val="24"/>
          <w:szCs w:val="24"/>
          <w:lang w:val="en-US"/>
          <w14:ligatures w14:val="standardContextual"/>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0619B3C2"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20.</w:t>
      </w:r>
      <w:r w:rsidRPr="00744C6E">
        <w:rPr>
          <w:rFonts w:ascii="Times New Roman" w:eastAsia="Aptos" w:hAnsi="Times New Roman" w:cs="Times New Roman"/>
          <w:kern w:val="2"/>
          <w:sz w:val="24"/>
          <w:szCs w:val="24"/>
          <w:lang w:val="en-US"/>
          <w14:ligatures w14:val="standardContextual"/>
        </w:rPr>
        <w:tab/>
        <w:t xml:space="preserve">Kalogeratos, G., Anastasopoulou, E., &amp; Pierrakeas, C. (2024). </w:t>
      </w:r>
      <w:proofErr w:type="spellStart"/>
      <w:r w:rsidRPr="00744C6E">
        <w:rPr>
          <w:rFonts w:ascii="Times New Roman" w:eastAsia="Aptos" w:hAnsi="Times New Roman" w:cs="Times New Roman"/>
          <w:kern w:val="2"/>
          <w:sz w:val="24"/>
          <w:szCs w:val="24"/>
          <w:lang w:val="en-US"/>
          <w14:ligatures w14:val="standardContextual"/>
        </w:rPr>
        <w:t>Myschool</w:t>
      </w:r>
      <w:proofErr w:type="spellEnd"/>
      <w:r w:rsidRPr="00744C6E">
        <w:rPr>
          <w:rFonts w:ascii="Times New Roman" w:eastAsia="Aptos" w:hAnsi="Times New Roman" w:cs="Times New Roman"/>
          <w:kern w:val="2"/>
          <w:sz w:val="24"/>
          <w:szCs w:val="24"/>
          <w:lang w:val="en-US"/>
          <w14:ligatures w14:val="standardContextual"/>
        </w:rPr>
        <w:t>: The key role of the information system in the Greek public school. A case study on the prefecture of Achaia. In EDULEARN24 Proceedings (pp. 9700–9706). IATED.</w:t>
      </w:r>
    </w:p>
    <w:p w14:paraId="2311C22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21.</w:t>
      </w:r>
      <w:r w:rsidRPr="00744C6E">
        <w:rPr>
          <w:rFonts w:ascii="Times New Roman" w:eastAsia="Aptos" w:hAnsi="Times New Roman" w:cs="Times New Roman"/>
          <w:kern w:val="2"/>
          <w:sz w:val="24"/>
          <w:szCs w:val="24"/>
          <w:lang w:val="en-US"/>
          <w14:ligatures w14:val="standardContextual"/>
        </w:rPr>
        <w:tab/>
        <w:t>Kalogeratos, G., Anastasopoulou, E., &amp; Pierrakeas, C. (2024). Novel technologies using educational scenarios for elementary school and kindergarten students. EDULEARN24 Proceedings, 9682–9693.</w:t>
      </w:r>
    </w:p>
    <w:p w14:paraId="7B5290E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22.</w:t>
      </w:r>
      <w:r w:rsidRPr="00744C6E">
        <w:rPr>
          <w:rFonts w:ascii="Times New Roman" w:eastAsia="Aptos" w:hAnsi="Times New Roman" w:cs="Times New Roman"/>
          <w:kern w:val="2"/>
          <w:sz w:val="24"/>
          <w:szCs w:val="24"/>
          <w:lang w:val="en-US"/>
          <w14:ligatures w14:val="standardContextual"/>
        </w:rPr>
        <w:tab/>
        <w:t xml:space="preserve">Kalogeratos, G., Anastasopoulou, E., </w:t>
      </w:r>
      <w:proofErr w:type="spellStart"/>
      <w:r w:rsidRPr="00744C6E">
        <w:rPr>
          <w:rFonts w:ascii="Times New Roman" w:eastAsia="Aptos" w:hAnsi="Times New Roman" w:cs="Times New Roman"/>
          <w:kern w:val="2"/>
          <w:sz w:val="24"/>
          <w:szCs w:val="24"/>
          <w:lang w:val="en-US"/>
          <w14:ligatures w14:val="standardContextual"/>
        </w:rPr>
        <w:t>Stavrogiannopoulos</w:t>
      </w:r>
      <w:proofErr w:type="spellEnd"/>
      <w:r w:rsidRPr="00744C6E">
        <w:rPr>
          <w:rFonts w:ascii="Times New Roman" w:eastAsia="Aptos" w:hAnsi="Times New Roman" w:cs="Times New Roman"/>
          <w:kern w:val="2"/>
          <w:sz w:val="24"/>
          <w:szCs w:val="24"/>
          <w:lang w:val="en-US"/>
          <w14:ligatures w14:val="standardContextual"/>
        </w:rPr>
        <w:t xml:space="preserve">, A., Tsagri, A., Tsogka, D., &amp; Lourida, K. (2023). Enhancing emotional intelligence in pervasive developmental disorders: The autism paradigm.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Education and Humanities, 6, 61–69.</w:t>
      </w:r>
    </w:p>
    <w:p w14:paraId="298F0C3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23.</w:t>
      </w:r>
      <w:r w:rsidRPr="00744C6E">
        <w:rPr>
          <w:rFonts w:ascii="Times New Roman" w:eastAsia="Aptos" w:hAnsi="Times New Roman" w:cs="Times New Roman"/>
          <w:kern w:val="2"/>
          <w:sz w:val="24"/>
          <w:szCs w:val="24"/>
          <w:lang w:val="en-US"/>
          <w14:ligatures w14:val="standardContextual"/>
        </w:rPr>
        <w:tab/>
        <w:t xml:space="preserve">Kalogeratos, G., Anastasopoulou, E., Tsagri, A., Tseremegklis, C., &amp; </w:t>
      </w:r>
      <w:proofErr w:type="spellStart"/>
      <w:r w:rsidRPr="00744C6E">
        <w:rPr>
          <w:rFonts w:ascii="Times New Roman" w:eastAsia="Aptos" w:hAnsi="Times New Roman" w:cs="Times New Roman"/>
          <w:kern w:val="2"/>
          <w:sz w:val="24"/>
          <w:szCs w:val="24"/>
          <w:lang w:val="en-US"/>
          <w14:ligatures w14:val="standardContextual"/>
        </w:rPr>
        <w:t>Kriparopoulou</w:t>
      </w:r>
      <w:proofErr w:type="spellEnd"/>
      <w:r w:rsidRPr="00744C6E">
        <w:rPr>
          <w:rFonts w:ascii="Times New Roman" w:eastAsia="Aptos" w:hAnsi="Times New Roman" w:cs="Times New Roman"/>
          <w:kern w:val="2"/>
          <w:sz w:val="24"/>
          <w:szCs w:val="24"/>
          <w:lang w:val="en-US"/>
          <w14:ligatures w14:val="standardContextual"/>
        </w:rPr>
        <w:t xml:space="preserve">, A. (2024). </w:t>
      </w:r>
      <w:proofErr w:type="spellStart"/>
      <w:r w:rsidRPr="00744C6E">
        <w:rPr>
          <w:rFonts w:ascii="Times New Roman" w:eastAsia="Aptos" w:hAnsi="Times New Roman" w:cs="Times New Roman"/>
          <w:kern w:val="2"/>
          <w:sz w:val="24"/>
          <w:szCs w:val="24"/>
          <w:lang w:val="en-US"/>
          <w14:ligatures w14:val="standardContextual"/>
        </w:rPr>
        <w:t>Psychotraumatic</w:t>
      </w:r>
      <w:proofErr w:type="spellEnd"/>
      <w:r w:rsidRPr="00744C6E">
        <w:rPr>
          <w:rFonts w:ascii="Times New Roman" w:eastAsia="Aptos" w:hAnsi="Times New Roman" w:cs="Times New Roman"/>
          <w:kern w:val="2"/>
          <w:sz w:val="24"/>
          <w:szCs w:val="24"/>
          <w:lang w:val="en-US"/>
          <w14:ligatures w14:val="standardContextual"/>
        </w:rPr>
        <w:t xml:space="preserve"> childhood experiences and anxiety in educational settings.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Education and Humanities, 7, 29–41.</w:t>
      </w:r>
    </w:p>
    <w:p w14:paraId="6FD3BF3D"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24.</w:t>
      </w:r>
      <w:r w:rsidRPr="00744C6E">
        <w:rPr>
          <w:rFonts w:ascii="Times New Roman" w:eastAsia="Aptos" w:hAnsi="Times New Roman" w:cs="Times New Roman"/>
          <w:kern w:val="2"/>
          <w:sz w:val="24"/>
          <w:szCs w:val="24"/>
          <w:lang w:val="en-US"/>
          <w14:ligatures w14:val="standardContextual"/>
        </w:rPr>
        <w:tab/>
        <w:t xml:space="preserve">Kalogeratos, G., Anastasopoulou, E., Tsagri, A., Tseremegklis, C., &amp; Asimakopoulou, S. (2023). Interpersonal skills with a focus on creativity in attention deficit hyperactivity disorder.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Soc. Sci. J., 52, 197.</w:t>
      </w:r>
    </w:p>
    <w:p w14:paraId="295C88A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25.</w:t>
      </w:r>
      <w:r w:rsidRPr="00744C6E">
        <w:rPr>
          <w:rFonts w:ascii="Times New Roman" w:eastAsia="Aptos" w:hAnsi="Times New Roman" w:cs="Times New Roman"/>
          <w:kern w:val="2"/>
          <w:sz w:val="24"/>
          <w:szCs w:val="24"/>
          <w:lang w:val="en-US"/>
          <w14:ligatures w14:val="standardContextual"/>
        </w:rPr>
        <w:tab/>
        <w:t xml:space="preserve">Kalogeratos, G., Anastasopoulou, E., Tsagri, A., Tseremegklis, C., Tsogka, D., Lourida, K., &amp; Drongitis, A. (2024). Adolescent Trauma and Impact of the COVID-19 Pandemic in the School Context.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Soc. Sci. J., 55, 262.</w:t>
      </w:r>
    </w:p>
    <w:p w14:paraId="5DF2AA42"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26.</w:t>
      </w:r>
      <w:r w:rsidRPr="00744C6E">
        <w:rPr>
          <w:rFonts w:ascii="Times New Roman" w:eastAsia="Aptos" w:hAnsi="Times New Roman" w:cs="Times New Roman"/>
          <w:kern w:val="2"/>
          <w:sz w:val="24"/>
          <w:szCs w:val="24"/>
          <w:lang w:val="en-US"/>
          <w14:ligatures w14:val="standardContextual"/>
        </w:rPr>
        <w:tab/>
        <w:t xml:space="preserve">Kalogeratos, G., Anastasopoulou, E., Tseremegklis, C., &amp; </w:t>
      </w:r>
      <w:proofErr w:type="spellStart"/>
      <w:r w:rsidRPr="00744C6E">
        <w:rPr>
          <w:rFonts w:ascii="Times New Roman" w:eastAsia="Aptos" w:hAnsi="Times New Roman" w:cs="Times New Roman"/>
          <w:kern w:val="2"/>
          <w:sz w:val="24"/>
          <w:szCs w:val="24"/>
          <w:lang w:val="en-US"/>
          <w14:ligatures w14:val="standardContextual"/>
        </w:rPr>
        <w:t>Avramidi</w:t>
      </w:r>
      <w:proofErr w:type="spellEnd"/>
      <w:r w:rsidRPr="00744C6E">
        <w:rPr>
          <w:rFonts w:ascii="Times New Roman" w:eastAsia="Aptos" w:hAnsi="Times New Roman" w:cs="Times New Roman"/>
          <w:kern w:val="2"/>
          <w:sz w:val="24"/>
          <w:szCs w:val="24"/>
          <w:lang w:val="en-US"/>
          <w14:ligatures w14:val="standardContextual"/>
        </w:rPr>
        <w:t xml:space="preserve">, E. (2024). Enhancing quality of life for caregivers of adolescents with emotional disorders through digital skills.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Education and Humanities, 8, 58–77.</w:t>
      </w:r>
    </w:p>
    <w:p w14:paraId="417A860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27.</w:t>
      </w:r>
      <w:r w:rsidRPr="00744C6E">
        <w:rPr>
          <w:rFonts w:ascii="Times New Roman" w:eastAsia="Aptos" w:hAnsi="Times New Roman" w:cs="Times New Roman"/>
          <w:kern w:val="2"/>
          <w:sz w:val="24"/>
          <w:szCs w:val="24"/>
          <w:lang w:val="en-US"/>
          <w14:ligatures w14:val="standardContextual"/>
        </w:rPr>
        <w:tab/>
        <w:t>Kalogeratos, G., Gkekas, K., Tseremegklis, C., Anastasopoulou, E., &amp; Pierrakeas, C. (2024). The contribution of Erasmus+ KA2 to improvement of educational work: The case of the school units of the region of Western Greece. In ICERI2024 Proceedings (pp. 4258–4263). IATED.</w:t>
      </w:r>
    </w:p>
    <w:p w14:paraId="1474DBDE"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28.</w:t>
      </w:r>
      <w:r w:rsidRPr="00744C6E">
        <w:rPr>
          <w:rFonts w:ascii="Times New Roman" w:eastAsia="Aptos" w:hAnsi="Times New Roman" w:cs="Times New Roman"/>
          <w:kern w:val="2"/>
          <w:sz w:val="24"/>
          <w:szCs w:val="24"/>
          <w:lang w:val="en-US"/>
          <w14:ligatures w14:val="standardContextual"/>
        </w:rPr>
        <w:tab/>
        <w:t>Kalogeratos, G., Lourida, K., Anastasopoulou, E., Tsogka, D., &amp; Pierrakeas, C. (2024). Information systems usage in the Greek primary school: The case of the Prefecture of Achaia. INTED2024 Proceedings, 1652–1657.</w:t>
      </w:r>
    </w:p>
    <w:p w14:paraId="622389E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29.</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Cognitive foundations of effective educational leadership: A comprehensive review. In EDULEARN25 Proceedings (pp. 5915–5925). IATED.</w:t>
      </w:r>
    </w:p>
    <w:p w14:paraId="086E0384"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30.</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The interplay of cognitive and non-cognitive skills in educational leadership: A systematic review of leadership effectiveness. In EDULEARN25 Proceedings (pp. 5854–5864). IATED.</w:t>
      </w:r>
    </w:p>
    <w:p w14:paraId="7F8992F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31.</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outcomes through digital skills: Addressing lifelong learning and distance education challenges. INTED2025 Proceedings, 6720–6730.</w:t>
      </w:r>
    </w:p>
    <w:p w14:paraId="5BD776B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32.</w:t>
      </w:r>
      <w:r w:rsidRPr="00744C6E">
        <w:rPr>
          <w:rFonts w:ascii="Times New Roman" w:eastAsia="Aptos" w:hAnsi="Times New Roman" w:cs="Times New Roman"/>
          <w:kern w:val="2"/>
          <w:sz w:val="24"/>
          <w:szCs w:val="24"/>
          <w:lang w:val="en-US"/>
          <w14:ligatures w14:val="standardContextual"/>
        </w:rPr>
        <w:tab/>
        <w:t xml:space="preserve">Kalogeratos, G., Travlou, C., Tseremegklis, C., Anastasopoulou, E., Lourida, K., &amp; Pierrakeas, C. (2025). The interplay of cognitive and non-cognitive skills in </w:t>
      </w:r>
      <w:r w:rsidRPr="00744C6E">
        <w:rPr>
          <w:rFonts w:ascii="Times New Roman" w:eastAsia="Aptos" w:hAnsi="Times New Roman" w:cs="Times New Roman"/>
          <w:kern w:val="2"/>
          <w:sz w:val="24"/>
          <w:szCs w:val="24"/>
          <w:lang w:val="en-US"/>
          <w14:ligatures w14:val="standardContextual"/>
        </w:rPr>
        <w:lastRenderedPageBreak/>
        <w:t>educational leadership: A systematic review of leadership effectiveness. INTED2025 Proceedings, 5854–5864.</w:t>
      </w:r>
    </w:p>
    <w:p w14:paraId="73F2A08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33.</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The interplay of cognitive and non-cognitive skills in educational leadership: A systematic review of leadership effectiveness. EDULEARN25 Proceedings, 5854–5864.</w:t>
      </w:r>
    </w:p>
    <w:p w14:paraId="3E06190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34.</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Cognitive foundations of effective educational leadership: A comprehensive review. EDULEARN25 Proceedings, 5915–5925.</w:t>
      </w:r>
    </w:p>
    <w:p w14:paraId="0AFB69F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35.</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leadership through gamification: Theory and practice in primary schools. INTED2025 Proceedings, 6690–6700.</w:t>
      </w:r>
    </w:p>
    <w:p w14:paraId="6A1D716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36.</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outcomes through digital skills: Addressing lifelong learning and distance education challenges. INTED2025 Proceedings, 6720–6730.</w:t>
      </w:r>
    </w:p>
    <w:p w14:paraId="0693CD7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37.</w:t>
      </w:r>
      <w:r w:rsidRPr="00744C6E">
        <w:rPr>
          <w:rFonts w:ascii="Times New Roman" w:eastAsia="Aptos" w:hAnsi="Times New Roman" w:cs="Times New Roman"/>
          <w:kern w:val="2"/>
          <w:sz w:val="24"/>
          <w:szCs w:val="24"/>
          <w:lang w:val="en-US"/>
          <w14:ligatures w14:val="standardContextual"/>
        </w:rPr>
        <w:tab/>
        <w:t>Kalogeratos, G., Tsogka, D., Tseremegklis, C., Anastasopoulou, E., &amp; Pierrakeas, C. (2024). Digital skills in education: Bridging the gap between traditional learning and modern technology. ICERI2024 Proceedings, 4409–4418.</w:t>
      </w:r>
    </w:p>
    <w:p w14:paraId="6F3D1FC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38.</w:t>
      </w:r>
      <w:r w:rsidRPr="00744C6E">
        <w:rPr>
          <w:rFonts w:ascii="Times New Roman" w:eastAsia="Aptos" w:hAnsi="Times New Roman" w:cs="Times New Roman"/>
          <w:kern w:val="2"/>
          <w:sz w:val="24"/>
          <w:szCs w:val="24"/>
          <w:lang w:val="en-US"/>
          <w14:ligatures w14:val="standardContextual"/>
        </w:rPr>
        <w:tab/>
        <w:t>Kalogeratos, G., Tsogka, D., Tseremegklis, C., Anastasopoulou, E., &amp; Pierrakeas, C. (2024). The contribution of Erasmus+ KA2 to improvement of educational work: The case of the school units of the region of Western Greece. ICERI2024 Proceedings, 4258–4263.</w:t>
      </w:r>
    </w:p>
    <w:p w14:paraId="16F9B45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39.</w:t>
      </w:r>
      <w:r w:rsidRPr="00744C6E">
        <w:rPr>
          <w:rFonts w:ascii="Times New Roman" w:eastAsia="Aptos" w:hAnsi="Times New Roman" w:cs="Times New Roman"/>
          <w:kern w:val="2"/>
          <w:sz w:val="24"/>
          <w:szCs w:val="24"/>
          <w:lang w:val="en-US"/>
          <w14:ligatures w14:val="standardContextual"/>
        </w:rPr>
        <w:tab/>
        <w:t xml:space="preserve">Karras, A., </w:t>
      </w:r>
      <w:proofErr w:type="spellStart"/>
      <w:r w:rsidRPr="00744C6E">
        <w:rPr>
          <w:rFonts w:ascii="Times New Roman" w:eastAsia="Aptos" w:hAnsi="Times New Roman" w:cs="Times New Roman"/>
          <w:kern w:val="2"/>
          <w:sz w:val="24"/>
          <w:szCs w:val="24"/>
          <w:lang w:val="en-US"/>
          <w14:ligatures w14:val="standardContextual"/>
        </w:rPr>
        <w:t>Giannaros</w:t>
      </w:r>
      <w:proofErr w:type="spellEnd"/>
      <w:r w:rsidRPr="00744C6E">
        <w:rPr>
          <w:rFonts w:ascii="Times New Roman" w:eastAsia="Aptos" w:hAnsi="Times New Roman" w:cs="Times New Roman"/>
          <w:kern w:val="2"/>
          <w:sz w:val="24"/>
          <w:szCs w:val="24"/>
          <w:lang w:val="en-US"/>
          <w14:ligatures w14:val="standardContextual"/>
        </w:rPr>
        <w:t xml:space="preserve">, A., Theodorakopoulos, L., </w:t>
      </w:r>
      <w:proofErr w:type="spellStart"/>
      <w:r w:rsidRPr="00744C6E">
        <w:rPr>
          <w:rFonts w:ascii="Times New Roman" w:eastAsia="Aptos" w:hAnsi="Times New Roman" w:cs="Times New Roman"/>
          <w:kern w:val="2"/>
          <w:sz w:val="24"/>
          <w:szCs w:val="24"/>
          <w:lang w:val="en-US"/>
          <w14:ligatures w14:val="standardContextual"/>
        </w:rPr>
        <w:t>Krimpas</w:t>
      </w:r>
      <w:proofErr w:type="spellEnd"/>
      <w:r w:rsidRPr="00744C6E">
        <w:rPr>
          <w:rFonts w:ascii="Times New Roman" w:eastAsia="Aptos" w:hAnsi="Times New Roman" w:cs="Times New Roman"/>
          <w:kern w:val="2"/>
          <w:sz w:val="24"/>
          <w:szCs w:val="24"/>
          <w:lang w:val="en-US"/>
          <w14:ligatures w14:val="standardContextual"/>
        </w:rPr>
        <w:t xml:space="preserve">, G. A., Kalogeratos, G., Karras, C., &amp; </w:t>
      </w:r>
      <w:proofErr w:type="spellStart"/>
      <w:r w:rsidRPr="00744C6E">
        <w:rPr>
          <w:rFonts w:ascii="Times New Roman" w:eastAsia="Aptos" w:hAnsi="Times New Roman" w:cs="Times New Roman"/>
          <w:kern w:val="2"/>
          <w:sz w:val="24"/>
          <w:szCs w:val="24"/>
          <w:lang w:val="en-US"/>
          <w14:ligatures w14:val="standardContextual"/>
        </w:rPr>
        <w:t>Sioutas</w:t>
      </w:r>
      <w:proofErr w:type="spellEnd"/>
      <w:r w:rsidRPr="00744C6E">
        <w:rPr>
          <w:rFonts w:ascii="Times New Roman" w:eastAsia="Aptos" w:hAnsi="Times New Roman" w:cs="Times New Roman"/>
          <w:kern w:val="2"/>
          <w:sz w:val="24"/>
          <w:szCs w:val="24"/>
          <w:lang w:val="en-US"/>
          <w14:ligatures w14:val="standardContextual"/>
        </w:rPr>
        <w:t>, S. (2023). FLIBD: A federated learning-based IoT big data management approach for privacy-preserving over Apache Spark with FATE. Electronics, 12(22), 4633.</w:t>
      </w:r>
    </w:p>
    <w:p w14:paraId="048868B7"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40.</w:t>
      </w:r>
      <w:r w:rsidRPr="00744C6E">
        <w:rPr>
          <w:rFonts w:ascii="Times New Roman" w:eastAsia="Aptos" w:hAnsi="Times New Roman" w:cs="Times New Roman"/>
          <w:kern w:val="2"/>
          <w:sz w:val="24"/>
          <w:szCs w:val="24"/>
          <w:lang w:val="en-US"/>
          <w14:ligatures w14:val="standardContextual"/>
        </w:rPr>
        <w:tab/>
        <w:t xml:space="preserve">Karras, A., Karras, C., Giotopoulos, K. C., Tsolis, D., Oikonomou, K., &amp; </w:t>
      </w:r>
      <w:proofErr w:type="spellStart"/>
      <w:r w:rsidRPr="00744C6E">
        <w:rPr>
          <w:rFonts w:ascii="Times New Roman" w:eastAsia="Aptos" w:hAnsi="Times New Roman" w:cs="Times New Roman"/>
          <w:kern w:val="2"/>
          <w:sz w:val="24"/>
          <w:szCs w:val="24"/>
          <w:lang w:val="en-US"/>
          <w14:ligatures w14:val="standardContextual"/>
        </w:rPr>
        <w:t>Sioutas</w:t>
      </w:r>
      <w:proofErr w:type="spellEnd"/>
      <w:r w:rsidRPr="00744C6E">
        <w:rPr>
          <w:rFonts w:ascii="Times New Roman" w:eastAsia="Aptos" w:hAnsi="Times New Roman" w:cs="Times New Roman"/>
          <w:kern w:val="2"/>
          <w:sz w:val="24"/>
          <w:szCs w:val="24"/>
          <w:lang w:val="en-US"/>
          <w14:ligatures w14:val="standardContextual"/>
        </w:rPr>
        <w:t>, S. (2023). Federated edge intelligence and edge caching mechanisms. Information, 14(7), 414. https://doi.org/10.3390/info14070414</w:t>
      </w:r>
    </w:p>
    <w:p w14:paraId="0025F8A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41.</w:t>
      </w:r>
      <w:r w:rsidRPr="00744C6E">
        <w:rPr>
          <w:rFonts w:ascii="Times New Roman" w:eastAsia="Aptos" w:hAnsi="Times New Roman" w:cs="Times New Roman"/>
          <w:kern w:val="2"/>
          <w:sz w:val="24"/>
          <w:szCs w:val="24"/>
          <w:lang w:val="en-US"/>
          <w14:ligatures w14:val="standardContextual"/>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744C6E">
        <w:rPr>
          <w:rFonts w:ascii="Times New Roman" w:eastAsia="Aptos" w:hAnsi="Times New Roman" w:cs="Times New Roman"/>
          <w:kern w:val="2"/>
          <w:sz w:val="24"/>
          <w:szCs w:val="24"/>
          <w:lang w:val="en-US"/>
          <w14:ligatures w14:val="standardContextual"/>
        </w:rPr>
        <w:t>BigData</w:t>
      </w:r>
      <w:proofErr w:type="spellEnd"/>
      <w:r w:rsidRPr="00744C6E">
        <w:rPr>
          <w:rFonts w:ascii="Times New Roman" w:eastAsia="Aptos" w:hAnsi="Times New Roman" w:cs="Times New Roman"/>
          <w:kern w:val="2"/>
          <w:sz w:val="24"/>
          <w:szCs w:val="24"/>
          <w:lang w:val="en-US"/>
          <w14:ligatures w14:val="standardContextual"/>
        </w:rPr>
        <w:t>) (pp. 2635–2644). IEEE.</w:t>
      </w:r>
    </w:p>
    <w:p w14:paraId="4BC176D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42.</w:t>
      </w:r>
      <w:r w:rsidRPr="00744C6E">
        <w:rPr>
          <w:rFonts w:ascii="Times New Roman" w:eastAsia="Aptos" w:hAnsi="Times New Roman" w:cs="Times New Roman"/>
          <w:kern w:val="2"/>
          <w:sz w:val="24"/>
          <w:szCs w:val="24"/>
          <w:lang w:val="en-US"/>
          <w14:ligatures w14:val="standardContextual"/>
        </w:rPr>
        <w:tab/>
        <w:t xml:space="preserve">Karras, A., Theodorakopoulos, L., Karras, C., Theodoropoulou, A., </w:t>
      </w:r>
      <w:proofErr w:type="spellStart"/>
      <w:r w:rsidRPr="00744C6E">
        <w:rPr>
          <w:rFonts w:ascii="Times New Roman" w:eastAsia="Aptos" w:hAnsi="Times New Roman" w:cs="Times New Roman"/>
          <w:kern w:val="2"/>
          <w:sz w:val="24"/>
          <w:szCs w:val="24"/>
          <w:lang w:val="en-US"/>
          <w14:ligatures w14:val="standardContextual"/>
        </w:rPr>
        <w:t>Kalliampakou</w:t>
      </w:r>
      <w:proofErr w:type="spellEnd"/>
      <w:r w:rsidRPr="00744C6E">
        <w:rPr>
          <w:rFonts w:ascii="Times New Roman" w:eastAsia="Aptos" w:hAnsi="Times New Roman" w:cs="Times New Roman"/>
          <w:kern w:val="2"/>
          <w:sz w:val="24"/>
          <w:szCs w:val="24"/>
          <w:lang w:val="en-US"/>
          <w14:ligatures w14:val="standardContextual"/>
        </w:rPr>
        <w:t>, I., &amp; Kalogeratos, G. (2025). LLMs for cybersecurity in the big data era: A comprehensive review of applications, challenges, and future directions. Information, 16(11), 957.</w:t>
      </w:r>
    </w:p>
    <w:p w14:paraId="57F8CAD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43.</w:t>
      </w:r>
      <w:r w:rsidRPr="00744C6E">
        <w:rPr>
          <w:rFonts w:ascii="Times New Roman" w:eastAsia="Aptos" w:hAnsi="Times New Roman" w:cs="Times New Roman"/>
          <w:kern w:val="2"/>
          <w:sz w:val="24"/>
          <w:szCs w:val="24"/>
          <w:lang w:val="en-US"/>
          <w14:ligatures w14:val="standardContextual"/>
        </w:rPr>
        <w:tab/>
        <w:t>Makransky, G., &amp; Petersen, G. B. (2019). Immersive virtual reality and learning. Educational Psychology Review, 31(4), 1013–1034. https://doi.org/10.1007/s10648-019-09482-9</w:t>
      </w:r>
    </w:p>
    <w:p w14:paraId="7E8B16F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44.</w:t>
      </w:r>
      <w:r w:rsidRPr="00744C6E">
        <w:rPr>
          <w:rFonts w:ascii="Times New Roman" w:eastAsia="Aptos" w:hAnsi="Times New Roman" w:cs="Times New Roman"/>
          <w:kern w:val="2"/>
          <w:sz w:val="24"/>
          <w:szCs w:val="24"/>
          <w:lang w:val="en-US"/>
          <w14:ligatures w14:val="standardContextual"/>
        </w:rPr>
        <w:tab/>
        <w:t>Mishra, P., &amp; Koehler, M. J. (2006). Technological pedagogical content knowledge. Teachers College Record, 108(6), 1017–1054. https://doi.org/10.1111/j.1467- 9620.2006.00684.</w:t>
      </w:r>
    </w:p>
    <w:p w14:paraId="38FDC32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45.</w:t>
      </w:r>
      <w:r w:rsidRPr="00744C6E">
        <w:rPr>
          <w:rFonts w:ascii="Times New Roman" w:eastAsia="Aptos" w:hAnsi="Times New Roman" w:cs="Times New Roman"/>
          <w:kern w:val="2"/>
          <w:sz w:val="24"/>
          <w:szCs w:val="24"/>
          <w:lang w:val="en-US"/>
          <w14:ligatures w14:val="standardContextual"/>
        </w:rPr>
        <w:tab/>
        <w:t xml:space="preserve">Mourelatos, E., </w:t>
      </w:r>
      <w:proofErr w:type="spellStart"/>
      <w:r w:rsidRPr="00744C6E">
        <w:rPr>
          <w:rFonts w:ascii="Times New Roman" w:eastAsia="Aptos" w:hAnsi="Times New Roman" w:cs="Times New Roman"/>
          <w:kern w:val="2"/>
          <w:sz w:val="24"/>
          <w:szCs w:val="24"/>
          <w:lang w:val="en-US"/>
          <w14:ligatures w14:val="standardContextual"/>
        </w:rPr>
        <w:t>Krimpas</w:t>
      </w:r>
      <w:proofErr w:type="spellEnd"/>
      <w:r w:rsidRPr="00744C6E">
        <w:rPr>
          <w:rFonts w:ascii="Times New Roman" w:eastAsia="Aptos" w:hAnsi="Times New Roman" w:cs="Times New Roman"/>
          <w:kern w:val="2"/>
          <w:sz w:val="24"/>
          <w:szCs w:val="24"/>
          <w:lang w:val="en-US"/>
          <w14:ligatures w14:val="standardContextual"/>
        </w:rPr>
        <w:t xml:space="preserve">, G., &amp; </w:t>
      </w:r>
      <w:proofErr w:type="spellStart"/>
      <w:r w:rsidRPr="00744C6E">
        <w:rPr>
          <w:rFonts w:ascii="Times New Roman" w:eastAsia="Aptos" w:hAnsi="Times New Roman" w:cs="Times New Roman"/>
          <w:kern w:val="2"/>
          <w:sz w:val="24"/>
          <w:szCs w:val="24"/>
          <w:lang w:val="en-US"/>
          <w14:ligatures w14:val="standardContextual"/>
        </w:rPr>
        <w:t>Giotopoulos</w:t>
      </w:r>
      <w:proofErr w:type="spellEnd"/>
      <w:r w:rsidRPr="00744C6E">
        <w:rPr>
          <w:rFonts w:ascii="Times New Roman" w:eastAsia="Aptos" w:hAnsi="Times New Roman" w:cs="Times New Roman"/>
          <w:kern w:val="2"/>
          <w:sz w:val="24"/>
          <w:szCs w:val="24"/>
          <w:lang w:val="en-US"/>
          <w14:ligatures w14:val="standardContextual"/>
        </w:rPr>
        <w:t>, K. (2024). Sexual identity and gender gap in political leadership ambition: An experiment. Review of Behavioral Economics, 11(1), 73–121. http://dx.doi.org/10.1561/105.00000181</w:t>
      </w:r>
    </w:p>
    <w:p w14:paraId="7A35521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46.</w:t>
      </w:r>
      <w:r w:rsidRPr="00744C6E">
        <w:rPr>
          <w:rFonts w:ascii="Times New Roman" w:eastAsia="Aptos" w:hAnsi="Times New Roman" w:cs="Times New Roman"/>
          <w:kern w:val="2"/>
          <w:sz w:val="24"/>
          <w:szCs w:val="24"/>
          <w:lang w:val="en-US"/>
          <w14:ligatures w14:val="standardContextual"/>
        </w:rPr>
        <w:tab/>
        <w:t>Papadopoulos, D. F. (2024). A parametric six-step method for second-order IVPs with oscillating solutions. Mathematics, 12(23), 3824. https://doi.org/10.3390/math12233824</w:t>
      </w:r>
    </w:p>
    <w:p w14:paraId="6A9C084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47.</w:t>
      </w:r>
      <w:r w:rsidRPr="00744C6E">
        <w:rPr>
          <w:rFonts w:ascii="Times New Roman" w:eastAsia="Aptos" w:hAnsi="Times New Roman" w:cs="Times New Roman"/>
          <w:kern w:val="2"/>
          <w:sz w:val="24"/>
          <w:szCs w:val="24"/>
          <w:lang w:val="en-US"/>
          <w14:ligatures w14:val="standardContextual"/>
        </w:rPr>
        <w:tab/>
        <w:t xml:space="preserve">Petropoulou, A., Antonopoulou, H., </w:t>
      </w:r>
      <w:proofErr w:type="spellStart"/>
      <w:r w:rsidRPr="00744C6E">
        <w:rPr>
          <w:rFonts w:ascii="Times New Roman" w:eastAsia="Aptos" w:hAnsi="Times New Roman" w:cs="Times New Roman"/>
          <w:kern w:val="2"/>
          <w:sz w:val="24"/>
          <w:szCs w:val="24"/>
          <w:lang w:val="en-US"/>
          <w14:ligatures w14:val="standardContextual"/>
        </w:rPr>
        <w:t>Vlachou</w:t>
      </w:r>
      <w:proofErr w:type="spellEnd"/>
      <w:r w:rsidRPr="00744C6E">
        <w:rPr>
          <w:rFonts w:ascii="Times New Roman" w:eastAsia="Aptos" w:hAnsi="Times New Roman" w:cs="Times New Roman"/>
          <w:kern w:val="2"/>
          <w:sz w:val="24"/>
          <w:szCs w:val="24"/>
          <w:lang w:val="en-US"/>
          <w14:ligatures w14:val="standardContextual"/>
        </w:rPr>
        <w:t xml:space="preserve">, A. A., </w:t>
      </w:r>
      <w:proofErr w:type="spellStart"/>
      <w:r w:rsidRPr="00744C6E">
        <w:rPr>
          <w:rFonts w:ascii="Times New Roman" w:eastAsia="Aptos" w:hAnsi="Times New Roman" w:cs="Times New Roman"/>
          <w:kern w:val="2"/>
          <w:sz w:val="24"/>
          <w:szCs w:val="24"/>
          <w:lang w:val="en-US"/>
          <w14:ligatures w14:val="standardContextual"/>
        </w:rPr>
        <w:t>Gkintoni</w:t>
      </w:r>
      <w:proofErr w:type="spellEnd"/>
      <w:r w:rsidRPr="00744C6E">
        <w:rPr>
          <w:rFonts w:ascii="Times New Roman" w:eastAsia="Aptos" w:hAnsi="Times New Roman" w:cs="Times New Roman"/>
          <w:kern w:val="2"/>
          <w:sz w:val="24"/>
          <w:szCs w:val="24"/>
          <w:lang w:val="en-US"/>
          <w14:ligatures w14:val="standardContextual"/>
        </w:rPr>
        <w:t xml:space="preserve">, E., &amp; </w:t>
      </w:r>
      <w:proofErr w:type="spellStart"/>
      <w:r w:rsidRPr="00744C6E">
        <w:rPr>
          <w:rFonts w:ascii="Times New Roman" w:eastAsia="Aptos" w:hAnsi="Times New Roman" w:cs="Times New Roman"/>
          <w:kern w:val="2"/>
          <w:sz w:val="24"/>
          <w:szCs w:val="24"/>
          <w:lang w:val="en-US"/>
          <w14:ligatures w14:val="standardContextual"/>
        </w:rPr>
        <w:t>Halkiopoulos</w:t>
      </w:r>
      <w:proofErr w:type="spellEnd"/>
      <w:r w:rsidRPr="00744C6E">
        <w:rPr>
          <w:rFonts w:ascii="Times New Roman" w:eastAsia="Aptos" w:hAnsi="Times New Roman" w:cs="Times New Roman"/>
          <w:kern w:val="2"/>
          <w:sz w:val="24"/>
          <w:szCs w:val="24"/>
          <w:lang w:val="en-US"/>
          <w14:ligatures w14:val="standardContextual"/>
        </w:rPr>
        <w:t>, C. (2025). Social–Cognitive Factors in Antisocial Behavior and School Violence: A Cross-Sectional Analysis of Greek Vocational Students. Children, 12(12), 1647.</w:t>
      </w:r>
    </w:p>
    <w:p w14:paraId="7EF6CC2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48.</w:t>
      </w:r>
      <w:r w:rsidRPr="00744C6E">
        <w:rPr>
          <w:rFonts w:ascii="Times New Roman" w:eastAsia="Aptos" w:hAnsi="Times New Roman" w:cs="Times New Roman"/>
          <w:kern w:val="2"/>
          <w:sz w:val="24"/>
          <w:szCs w:val="24"/>
          <w:lang w:val="en-US"/>
          <w14:ligatures w14:val="standardContextual"/>
        </w:rPr>
        <w:tab/>
        <w:t>Ryan, R. M., &amp; Deci, E. L. (2000). Intrinsic and extrinsic motivations. Contemporary Educational Psychology, 25(1), 54–67. https://doi.org/10.1006/ceps.1999.1020</w:t>
      </w:r>
    </w:p>
    <w:p w14:paraId="5D02189B"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49.</w:t>
      </w:r>
      <w:r w:rsidRPr="00744C6E">
        <w:rPr>
          <w:rFonts w:ascii="Times New Roman" w:eastAsia="Aptos" w:hAnsi="Times New Roman" w:cs="Times New Roman"/>
          <w:kern w:val="2"/>
          <w:sz w:val="24"/>
          <w:szCs w:val="24"/>
          <w:lang w:val="en-US"/>
          <w14:ligatures w14:val="standardContextual"/>
        </w:rPr>
        <w:tab/>
        <w:t xml:space="preserve">Theodorakopoulos, L., </w:t>
      </w:r>
      <w:proofErr w:type="spellStart"/>
      <w:r w:rsidRPr="00744C6E">
        <w:rPr>
          <w:rFonts w:ascii="Times New Roman" w:eastAsia="Aptos" w:hAnsi="Times New Roman" w:cs="Times New Roman"/>
          <w:kern w:val="2"/>
          <w:sz w:val="24"/>
          <w:szCs w:val="24"/>
          <w:lang w:val="en-US"/>
          <w14:ligatures w14:val="standardContextual"/>
        </w:rPr>
        <w:t>Kalliampakou</w:t>
      </w:r>
      <w:proofErr w:type="spellEnd"/>
      <w:r w:rsidRPr="00744C6E">
        <w:rPr>
          <w:rFonts w:ascii="Times New Roman" w:eastAsia="Aptos" w:hAnsi="Times New Roman" w:cs="Times New Roman"/>
          <w:kern w:val="2"/>
          <w:sz w:val="24"/>
          <w:szCs w:val="24"/>
          <w:lang w:val="en-US"/>
          <w14:ligatures w14:val="standardContextual"/>
        </w:rPr>
        <w:t xml:space="preserve">, I., Theodoropoulou, A., &amp; Kalogeratos, G. (2025). Pandemic-driven innovations: Utilizing online learning and big data analysis for decision-making in educational environments. In Y. </w:t>
      </w:r>
      <w:proofErr w:type="spellStart"/>
      <w:r w:rsidRPr="00744C6E">
        <w:rPr>
          <w:rFonts w:ascii="Times New Roman" w:eastAsia="Aptos" w:hAnsi="Times New Roman" w:cs="Times New Roman"/>
          <w:kern w:val="2"/>
          <w:sz w:val="24"/>
          <w:szCs w:val="24"/>
          <w:lang w:val="en-US"/>
          <w14:ligatures w14:val="standardContextual"/>
        </w:rPr>
        <w:t>Dimotikalis</w:t>
      </w:r>
      <w:proofErr w:type="spellEnd"/>
      <w:r w:rsidRPr="00744C6E">
        <w:rPr>
          <w:rFonts w:ascii="Times New Roman" w:eastAsia="Aptos" w:hAnsi="Times New Roman" w:cs="Times New Roman"/>
          <w:kern w:val="2"/>
          <w:sz w:val="24"/>
          <w:szCs w:val="24"/>
          <w:lang w:val="en-US"/>
          <w14:ligatures w14:val="standardContextual"/>
        </w:rPr>
        <w:t xml:space="preserve"> &amp; C. H. Skiadas </w:t>
      </w:r>
      <w:r w:rsidRPr="00744C6E">
        <w:rPr>
          <w:rFonts w:ascii="Times New Roman" w:eastAsia="Aptos" w:hAnsi="Times New Roman" w:cs="Times New Roman"/>
          <w:kern w:val="2"/>
          <w:sz w:val="24"/>
          <w:szCs w:val="24"/>
          <w:lang w:val="en-US"/>
          <w14:ligatures w14:val="standardContextual"/>
        </w:rPr>
        <w:lastRenderedPageBreak/>
        <w:t>(Eds.), Data Analysis and Related Applications 5 (pp. 259–279). Wiley. https://doi.org/10.1002/9781394401604.ch18</w:t>
      </w:r>
    </w:p>
    <w:p w14:paraId="3476CDA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50.</w:t>
      </w:r>
      <w:r w:rsidRPr="00744C6E">
        <w:rPr>
          <w:rFonts w:ascii="Times New Roman" w:eastAsia="Aptos" w:hAnsi="Times New Roman" w:cs="Times New Roman"/>
          <w:kern w:val="2"/>
          <w:sz w:val="24"/>
          <w:szCs w:val="24"/>
          <w:lang w:val="en-US"/>
          <w14:ligatures w14:val="standardContextual"/>
        </w:rPr>
        <w:tab/>
        <w:t>Van Dijk, J. (2020). The digital divide. Polity Press. https://doi.org/10.1002/9781119243092</w:t>
      </w:r>
    </w:p>
    <w:p w14:paraId="4CBC1CE4"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51.</w:t>
      </w:r>
      <w:r w:rsidRPr="00744C6E">
        <w:rPr>
          <w:rFonts w:ascii="Times New Roman" w:eastAsia="Aptos" w:hAnsi="Times New Roman" w:cs="Times New Roman"/>
          <w:kern w:val="2"/>
          <w:sz w:val="24"/>
          <w:szCs w:val="24"/>
          <w:lang w:val="en-US"/>
          <w14:ligatures w14:val="standardContextual"/>
        </w:rPr>
        <w:tab/>
        <w:t xml:space="preserve">Vasilopoulos, Ch., Theodorakopoulos, L. L., &amp; </w:t>
      </w:r>
      <w:proofErr w:type="spellStart"/>
      <w:r w:rsidRPr="00744C6E">
        <w:rPr>
          <w:rFonts w:ascii="Times New Roman" w:eastAsia="Aptos" w:hAnsi="Times New Roman" w:cs="Times New Roman"/>
          <w:kern w:val="2"/>
          <w:sz w:val="24"/>
          <w:szCs w:val="24"/>
          <w:lang w:val="en-US"/>
          <w14:ligatures w14:val="standardContextual"/>
        </w:rPr>
        <w:t>Giotopoulos</w:t>
      </w:r>
      <w:proofErr w:type="spellEnd"/>
      <w:r w:rsidRPr="00744C6E">
        <w:rPr>
          <w:rFonts w:ascii="Times New Roman" w:eastAsia="Aptos" w:hAnsi="Times New Roman" w:cs="Times New Roman"/>
          <w:kern w:val="2"/>
          <w:sz w:val="24"/>
          <w:szCs w:val="24"/>
          <w:lang w:val="en-US"/>
          <w14:ligatures w14:val="standardContextual"/>
        </w:rPr>
        <w:t xml:space="preserve">, K. K. (2023). The promise and peril of big data in driving consumer engagement. </w:t>
      </w:r>
      <w:proofErr w:type="spellStart"/>
      <w:r w:rsidRPr="00744C6E">
        <w:rPr>
          <w:rFonts w:ascii="Times New Roman" w:eastAsia="Aptos" w:hAnsi="Times New Roman" w:cs="Times New Roman"/>
          <w:kern w:val="2"/>
          <w:sz w:val="24"/>
          <w:szCs w:val="24"/>
          <w:lang w:val="en-US"/>
          <w14:ligatures w14:val="standardContextual"/>
        </w:rPr>
        <w:t>Technium</w:t>
      </w:r>
      <w:proofErr w:type="spellEnd"/>
      <w:r w:rsidRPr="00744C6E">
        <w:rPr>
          <w:rFonts w:ascii="Times New Roman" w:eastAsia="Aptos" w:hAnsi="Times New Roman" w:cs="Times New Roman"/>
          <w:kern w:val="2"/>
          <w:sz w:val="24"/>
          <w:szCs w:val="24"/>
          <w:lang w:val="en-US"/>
          <w14:ligatures w14:val="standardContextual"/>
        </w:rPr>
        <w:t xml:space="preserve"> Social Sciences Journal, 45, 489–499.</w:t>
      </w:r>
    </w:p>
    <w:p w14:paraId="67AD2A8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52.</w:t>
      </w:r>
      <w:r w:rsidRPr="00744C6E">
        <w:rPr>
          <w:rFonts w:ascii="Times New Roman" w:eastAsia="Aptos" w:hAnsi="Times New Roman" w:cs="Times New Roman"/>
          <w:kern w:val="2"/>
          <w:sz w:val="24"/>
          <w:szCs w:val="24"/>
          <w:lang w:val="en-US"/>
          <w14:ligatures w14:val="standardContextual"/>
        </w:rPr>
        <w:tab/>
        <w:t>Williamson, B. (2017). Big data in education. SAGE.</w:t>
      </w:r>
      <w:r w:rsidRPr="00744C6E">
        <w:rPr>
          <w:rFonts w:ascii="Times New Roman" w:eastAsia="Aptos" w:hAnsi="Times New Roman" w:cs="Times New Roman"/>
          <w:kern w:val="2"/>
          <w:sz w:val="24"/>
          <w:szCs w:val="24"/>
          <w14:ligatures w14:val="standardContextual"/>
        </w:rPr>
        <w:t xml:space="preserve"> </w:t>
      </w:r>
      <w:r w:rsidRPr="00744C6E">
        <w:rPr>
          <w:rFonts w:ascii="Times New Roman" w:eastAsia="Aptos" w:hAnsi="Times New Roman" w:cs="Times New Roman"/>
          <w:kern w:val="2"/>
          <w:sz w:val="24"/>
          <w:szCs w:val="24"/>
          <w:lang w:val="en-US"/>
          <w14:ligatures w14:val="standardContextual"/>
        </w:rPr>
        <w:t>https://doi.org/10.4135/9781529714920</w:t>
      </w:r>
    </w:p>
    <w:p w14:paraId="79452C6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6DC5171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3D14166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020D4975" w14:textId="28DF6645" w:rsidR="00114CC2" w:rsidRPr="003930EE" w:rsidRDefault="00114CC2" w:rsidP="00744C6E">
      <w:pPr>
        <w:pStyle w:val="ListParagraph"/>
        <w:jc w:val="both"/>
        <w:rPr>
          <w:rFonts w:ascii="Times New Roman" w:hAnsi="Times New Roman" w:cs="Times New Roman"/>
          <w:bCs/>
          <w:sz w:val="24"/>
          <w:szCs w:val="24"/>
          <w:lang w:val="en-US"/>
        </w:rPr>
      </w:pPr>
    </w:p>
    <w:sectPr w:rsidR="00114CC2" w:rsidRPr="003930E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D23DE" w14:textId="77777777" w:rsidR="00D67097" w:rsidRDefault="00D67097" w:rsidP="00630D7E">
      <w:pPr>
        <w:spacing w:after="0" w:line="240" w:lineRule="auto"/>
      </w:pPr>
      <w:r>
        <w:separator/>
      </w:r>
    </w:p>
  </w:endnote>
  <w:endnote w:type="continuationSeparator" w:id="0">
    <w:p w14:paraId="23D375BB" w14:textId="77777777" w:rsidR="00D67097" w:rsidRDefault="00D67097" w:rsidP="0063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C211" w14:textId="77777777" w:rsidR="00630D7E" w:rsidRDefault="0063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CB21" w14:textId="77777777" w:rsidR="00630D7E" w:rsidRDefault="0063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48B5" w14:textId="77777777" w:rsidR="00630D7E" w:rsidRDefault="0063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2694B" w14:textId="77777777" w:rsidR="00D67097" w:rsidRDefault="00D67097" w:rsidP="00630D7E">
      <w:pPr>
        <w:spacing w:after="0" w:line="240" w:lineRule="auto"/>
      </w:pPr>
      <w:r>
        <w:separator/>
      </w:r>
    </w:p>
  </w:footnote>
  <w:footnote w:type="continuationSeparator" w:id="0">
    <w:p w14:paraId="4C240AC5" w14:textId="77777777" w:rsidR="00D67097" w:rsidRDefault="00D67097" w:rsidP="0063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042C" w14:textId="60B0E2D2" w:rsidR="00630D7E" w:rsidRDefault="00630D7E">
    <w:pPr>
      <w:pStyle w:val="Header"/>
    </w:pPr>
    <w:r>
      <w:rPr>
        <w:noProof/>
      </w:rPr>
      <w:pict w14:anchorId="58B2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6948" w14:textId="6808DFDE" w:rsidR="00630D7E" w:rsidRDefault="00630D7E">
    <w:pPr>
      <w:pStyle w:val="Header"/>
    </w:pPr>
    <w:r>
      <w:rPr>
        <w:noProof/>
      </w:rPr>
      <w:pict w14:anchorId="0E8D9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BBAE" w14:textId="12F3BF8A" w:rsidR="00630D7E" w:rsidRDefault="00630D7E">
    <w:pPr>
      <w:pStyle w:val="Header"/>
    </w:pPr>
    <w:r>
      <w:rPr>
        <w:noProof/>
      </w:rPr>
      <w:pict w14:anchorId="6C123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A652A"/>
    <w:multiLevelType w:val="hybridMultilevel"/>
    <w:tmpl w:val="72EC38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0D"/>
    <w:rsid w:val="0000511E"/>
    <w:rsid w:val="0006010B"/>
    <w:rsid w:val="00114CC2"/>
    <w:rsid w:val="00150A9A"/>
    <w:rsid w:val="0015382F"/>
    <w:rsid w:val="003930EE"/>
    <w:rsid w:val="0039520D"/>
    <w:rsid w:val="003A262A"/>
    <w:rsid w:val="003B4047"/>
    <w:rsid w:val="003D23F1"/>
    <w:rsid w:val="004715B6"/>
    <w:rsid w:val="00543378"/>
    <w:rsid w:val="005B0B8B"/>
    <w:rsid w:val="00630D7E"/>
    <w:rsid w:val="0067745D"/>
    <w:rsid w:val="006A717F"/>
    <w:rsid w:val="006D6DBC"/>
    <w:rsid w:val="00744C6E"/>
    <w:rsid w:val="00786F28"/>
    <w:rsid w:val="008A7E82"/>
    <w:rsid w:val="008B4E81"/>
    <w:rsid w:val="008E2CE5"/>
    <w:rsid w:val="009824D1"/>
    <w:rsid w:val="00990661"/>
    <w:rsid w:val="009A011F"/>
    <w:rsid w:val="009D0D8F"/>
    <w:rsid w:val="009F038A"/>
    <w:rsid w:val="00A02DD2"/>
    <w:rsid w:val="00AA4B93"/>
    <w:rsid w:val="00B53874"/>
    <w:rsid w:val="00B726F8"/>
    <w:rsid w:val="00C90889"/>
    <w:rsid w:val="00D67097"/>
    <w:rsid w:val="00DE1C03"/>
    <w:rsid w:val="00F64A63"/>
    <w:rsid w:val="00FF3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758EB0"/>
  <w15:chartTrackingRefBased/>
  <w15:docId w15:val="{78924525-131F-4C07-84AB-266033A8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2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FF3665"/>
    <w:pPr>
      <w:ind w:left="720"/>
      <w:contextualSpacing/>
    </w:pPr>
  </w:style>
  <w:style w:type="character" w:styleId="Hyperlink">
    <w:name w:val="Hyperlink"/>
    <w:basedOn w:val="DefaultParagraphFont"/>
    <w:uiPriority w:val="99"/>
    <w:unhideWhenUsed/>
    <w:rsid w:val="00B53874"/>
    <w:rPr>
      <w:color w:val="0563C1" w:themeColor="hyperlink"/>
      <w:u w:val="single"/>
    </w:rPr>
  </w:style>
  <w:style w:type="character" w:styleId="UnresolvedMention">
    <w:name w:val="Unresolved Mention"/>
    <w:basedOn w:val="DefaultParagraphFont"/>
    <w:uiPriority w:val="99"/>
    <w:semiHidden/>
    <w:unhideWhenUsed/>
    <w:rsid w:val="00B53874"/>
    <w:rPr>
      <w:color w:val="605E5C"/>
      <w:shd w:val="clear" w:color="auto" w:fill="E1DFDD"/>
    </w:rPr>
  </w:style>
  <w:style w:type="paragraph" w:styleId="Header">
    <w:name w:val="header"/>
    <w:basedOn w:val="Normal"/>
    <w:link w:val="HeaderChar"/>
    <w:uiPriority w:val="99"/>
    <w:unhideWhenUsed/>
    <w:rsid w:val="00630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7E"/>
  </w:style>
  <w:style w:type="paragraph" w:styleId="Footer">
    <w:name w:val="footer"/>
    <w:basedOn w:val="Normal"/>
    <w:link w:val="FooterChar"/>
    <w:uiPriority w:val="99"/>
    <w:unhideWhenUsed/>
    <w:rsid w:val="00630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5282</Words>
  <Characters>30111</Characters>
  <Application>Microsoft Office Word</Application>
  <DocSecurity>0</DocSecurity>
  <Lines>250</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2026-04-04T05:53:00Z</dcterms:created>
  <dcterms:modified xsi:type="dcterms:W3CDTF">2026-04-08T13:51:00Z</dcterms:modified>
</cp:coreProperties>
</file>