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DF890" w14:textId="77777777" w:rsidR="000A5A16" w:rsidRPr="00F91479" w:rsidRDefault="000A5A16" w:rsidP="00F91479">
      <w:pPr>
        <w:spacing w:line="360" w:lineRule="auto"/>
        <w:jc w:val="center"/>
        <w:rPr>
          <w:rFonts w:ascii="Times New Roman" w:hAnsi="Times New Roman" w:cs="Times New Roman"/>
          <w:b/>
          <w:bCs/>
          <w:sz w:val="36"/>
          <w:szCs w:val="36"/>
        </w:rPr>
      </w:pPr>
      <w:r w:rsidRPr="00F91479">
        <w:rPr>
          <w:rFonts w:ascii="Times New Roman" w:hAnsi="Times New Roman" w:cs="Times New Roman"/>
          <w:b/>
          <w:bCs/>
          <w:sz w:val="36"/>
          <w:szCs w:val="36"/>
        </w:rPr>
        <w:t>Robust Healthcare AI Frameworks Mitigating Adversarial Attacks and Personal Data Stress Anxiety</w:t>
      </w:r>
    </w:p>
    <w:p w14:paraId="28BED6FE" w14:textId="77777777" w:rsidR="008F0B54" w:rsidRDefault="008F0B54" w:rsidP="00F91479">
      <w:pPr>
        <w:spacing w:line="360" w:lineRule="auto"/>
        <w:jc w:val="both"/>
        <w:rPr>
          <w:rFonts w:ascii="Times New Roman" w:hAnsi="Times New Roman" w:cs="Times New Roman"/>
          <w:b/>
          <w:bCs/>
        </w:rPr>
      </w:pPr>
      <w:bookmarkStart w:id="0" w:name="_GoBack"/>
      <w:bookmarkEnd w:id="0"/>
    </w:p>
    <w:p w14:paraId="76A3AE2E" w14:textId="77777777"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b/>
          <w:bCs/>
        </w:rPr>
        <w:t>Abstract</w:t>
      </w:r>
    </w:p>
    <w:p w14:paraId="005E1D2A" w14:textId="0DCBCDFF" w:rsidR="000A5A16" w:rsidRPr="00F91479" w:rsidRDefault="000A5A16" w:rsidP="00F91479">
      <w:pPr>
        <w:spacing w:line="360" w:lineRule="auto"/>
        <w:jc w:val="both"/>
        <w:rPr>
          <w:rFonts w:ascii="Times New Roman" w:hAnsi="Times New Roman" w:cs="Times New Roman"/>
          <w:i/>
          <w:iCs/>
        </w:rPr>
      </w:pPr>
      <w:r w:rsidRPr="00F91479">
        <w:rPr>
          <w:rFonts w:ascii="Times New Roman" w:hAnsi="Times New Roman" w:cs="Times New Roman"/>
          <w:i/>
          <w:iCs/>
        </w:rPr>
        <w:t xml:space="preserve">This research developed a hybrid federated learning and explainable artificial intelligence framework, termed </w:t>
      </w:r>
      <w:r w:rsidR="00F91479" w:rsidRPr="00F91479">
        <w:rPr>
          <w:rFonts w:ascii="Times New Roman" w:hAnsi="Times New Roman" w:cs="Times New Roman"/>
          <w:i/>
          <w:iCs/>
        </w:rPr>
        <w:t>Robust FL</w:t>
      </w:r>
      <w:r w:rsidRPr="00F91479">
        <w:rPr>
          <w:rFonts w:ascii="Times New Roman" w:hAnsi="Times New Roman" w:cs="Times New Roman"/>
          <w:i/>
          <w:iCs/>
        </w:rPr>
        <w:t>, to mitigate adversarial attacks on medical imaging models while addressing personal data stress anxiety through privacy-preserving mechanisms. The study systematically reviewed existing adversarial threats and privacy challenges</w:t>
      </w:r>
      <w:r w:rsidR="00F91479">
        <w:rPr>
          <w:rFonts w:ascii="Times New Roman" w:hAnsi="Times New Roman" w:cs="Times New Roman"/>
          <w:i/>
          <w:iCs/>
        </w:rPr>
        <w:t xml:space="preserve"> </w:t>
      </w:r>
      <w:r w:rsidRPr="00F91479">
        <w:rPr>
          <w:rFonts w:ascii="Times New Roman" w:hAnsi="Times New Roman" w:cs="Times New Roman"/>
          <w:i/>
          <w:iCs/>
        </w:rPr>
        <w:t xml:space="preserve">particularly for chest X-ray analysis. A simulation-driven methodology was implemented using publicly available datasets partitioned in a non-IID manner across simulated clients. The framework extended federated averaging with adversarial training via projected gradient descent, differential privacy stochastic gradient descent, and SHAP-based explanations. Results demonstrated robust performance with 69-70% accuracy under FGSM and PGD attacks, an adversarial success rate of approximately 30-31%, a balanced privacy budget of ε=1.0 yielding an F1-score of 0.88, and a perfect trust score proxy of 1.0 indicating high explanation consistency. These outcomes confirm that integrated </w:t>
      </w:r>
      <w:r w:rsidR="00F91479" w:rsidRPr="00F91479">
        <w:rPr>
          <w:rFonts w:ascii="Times New Roman" w:hAnsi="Times New Roman" w:cs="Times New Roman"/>
          <w:i/>
          <w:iCs/>
        </w:rPr>
        <w:t>defenses</w:t>
      </w:r>
      <w:r w:rsidRPr="00F91479">
        <w:rPr>
          <w:rFonts w:ascii="Times New Roman" w:hAnsi="Times New Roman" w:cs="Times New Roman"/>
          <w:i/>
          <w:iCs/>
        </w:rPr>
        <w:t xml:space="preserve"> can maintain diagnostic utility while enhancing transparency and reducing perceived data-related anxiety in resource-constrained environments. The framework</w:t>
      </w:r>
      <w:r w:rsidR="00F91479">
        <w:rPr>
          <w:rFonts w:ascii="Times New Roman" w:hAnsi="Times New Roman" w:cs="Times New Roman"/>
          <w:i/>
          <w:iCs/>
        </w:rPr>
        <w:t xml:space="preserve"> </w:t>
      </w:r>
      <w:r w:rsidRPr="00F91479">
        <w:rPr>
          <w:rFonts w:ascii="Times New Roman" w:hAnsi="Times New Roman" w:cs="Times New Roman"/>
          <w:i/>
          <w:iCs/>
        </w:rPr>
        <w:t>contributes a practical pathway toward trustworthy, privacy-aware healthcare AI systems. Limitations include small simulated dataset size and computational proxies for anxiety metrics. Future work should focus on larger-scale validation and real-world clinical integration.</w:t>
      </w:r>
    </w:p>
    <w:p w14:paraId="359190E0" w14:textId="77777777"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b/>
          <w:bCs/>
        </w:rPr>
        <w:t>Keywords</w:t>
      </w:r>
      <w:r w:rsidRPr="00F91479">
        <w:rPr>
          <w:rFonts w:ascii="Times New Roman" w:hAnsi="Times New Roman" w:cs="Times New Roman"/>
        </w:rPr>
        <w:t>: Federated Learning, Adversarial Robustness, Explainable AI, Medical Imaging, Data Privacy Anxiety</w:t>
      </w:r>
    </w:p>
    <w:p w14:paraId="09369AFB" w14:textId="77777777" w:rsidR="000A5A16" w:rsidRPr="00F91479" w:rsidRDefault="000A5A16" w:rsidP="00F91479">
      <w:pPr>
        <w:spacing w:line="360" w:lineRule="auto"/>
        <w:jc w:val="both"/>
        <w:rPr>
          <w:rFonts w:ascii="Times New Roman" w:hAnsi="Times New Roman" w:cs="Times New Roman"/>
          <w:b/>
          <w:bCs/>
        </w:rPr>
      </w:pPr>
    </w:p>
    <w:p w14:paraId="2B60ED0D" w14:textId="2DAF7C0C" w:rsidR="000A5A16" w:rsidRPr="00F91479" w:rsidRDefault="004845FD" w:rsidP="00F91479">
      <w:pPr>
        <w:spacing w:line="360" w:lineRule="auto"/>
        <w:jc w:val="both"/>
        <w:rPr>
          <w:rFonts w:ascii="Times New Roman" w:hAnsi="Times New Roman" w:cs="Times New Roman"/>
        </w:rPr>
      </w:pPr>
      <w:r>
        <w:rPr>
          <w:rFonts w:ascii="Times New Roman" w:hAnsi="Times New Roman" w:cs="Times New Roman"/>
          <w:b/>
          <w:bCs/>
        </w:rPr>
        <w:t>1.</w:t>
      </w:r>
      <w:r>
        <w:rPr>
          <w:rFonts w:ascii="Times New Roman" w:hAnsi="Times New Roman" w:cs="Times New Roman"/>
          <w:b/>
          <w:bCs/>
        </w:rPr>
        <w:tab/>
      </w:r>
      <w:r w:rsidRPr="00F91479">
        <w:rPr>
          <w:rFonts w:ascii="Times New Roman" w:hAnsi="Times New Roman" w:cs="Times New Roman"/>
          <w:b/>
          <w:bCs/>
        </w:rPr>
        <w:t>Introduction</w:t>
      </w:r>
    </w:p>
    <w:p w14:paraId="4072D66D" w14:textId="6075F6B8" w:rsidR="000A5A16" w:rsidRPr="003A4C61" w:rsidRDefault="000A5A16" w:rsidP="003A4C61">
      <w:pPr>
        <w:pStyle w:val="NoSpacing"/>
        <w:spacing w:line="360" w:lineRule="auto"/>
        <w:jc w:val="both"/>
        <w:rPr>
          <w:rFonts w:ascii="Times New Roman" w:hAnsi="Times New Roman" w:cs="Times New Roman"/>
          <w:sz w:val="24"/>
          <w:szCs w:val="24"/>
          <w:lang w:val="es-ES"/>
        </w:rPr>
      </w:pPr>
      <w:r w:rsidRPr="003A4C61">
        <w:rPr>
          <w:rFonts w:ascii="Times New Roman" w:hAnsi="Times New Roman" w:cs="Times New Roman"/>
          <w:sz w:val="24"/>
          <w:szCs w:val="24"/>
        </w:rPr>
        <w:t>The integration of artificial intelligence (AI) has revolutionized diagnostics, treatment planning, and patient monitoring</w:t>
      </w:r>
      <w:r w:rsidR="004845FD" w:rsidRPr="003A4C61">
        <w:rPr>
          <w:rFonts w:ascii="Times New Roman" w:hAnsi="Times New Roman" w:cs="Times New Roman"/>
          <w:sz w:val="24"/>
          <w:szCs w:val="24"/>
        </w:rPr>
        <w:t xml:space="preserve"> in healthcare</w:t>
      </w:r>
      <w:r w:rsidRPr="003A4C61">
        <w:rPr>
          <w:rFonts w:ascii="Times New Roman" w:hAnsi="Times New Roman" w:cs="Times New Roman"/>
          <w:sz w:val="24"/>
          <w:szCs w:val="24"/>
        </w:rPr>
        <w:t xml:space="preserve">. Machine learning models applied to medical imaging and electronic health records (EHRs) enable accurate analysis of complex data, improving outcomes </w:t>
      </w:r>
      <w:r w:rsidRPr="003A4C61">
        <w:rPr>
          <w:rFonts w:ascii="Times New Roman" w:hAnsi="Times New Roman" w:cs="Times New Roman"/>
          <w:sz w:val="24"/>
          <w:szCs w:val="24"/>
        </w:rPr>
        <w:lastRenderedPageBreak/>
        <w:t>in areas like cancer detection and disease classification (Ravikumar et al., 2024; Javed et al., 2024). However, these systems are vulnerable to adversarial attacks, which involve subtle, human-imperceptible perturbations to input data that cause models to produce incorrect outputs (</w:t>
      </w:r>
      <w:proofErr w:type="spellStart"/>
      <w:r w:rsidRPr="003A4C61">
        <w:rPr>
          <w:rFonts w:ascii="Times New Roman" w:hAnsi="Times New Roman" w:cs="Times New Roman"/>
          <w:sz w:val="24"/>
          <w:szCs w:val="24"/>
        </w:rPr>
        <w:t>Selvakkumar</w:t>
      </w:r>
      <w:proofErr w:type="spellEnd"/>
      <w:r w:rsidRPr="003A4C61">
        <w:rPr>
          <w:rFonts w:ascii="Times New Roman" w:hAnsi="Times New Roman" w:cs="Times New Roman"/>
          <w:sz w:val="24"/>
          <w:szCs w:val="24"/>
        </w:rPr>
        <w:t xml:space="preserve"> et al., 2021; Newaz et al., 2020</w:t>
      </w:r>
      <w:r w:rsidR="003A4C61" w:rsidRPr="003A4C61">
        <w:rPr>
          <w:rFonts w:ascii="Times New Roman" w:hAnsi="Times New Roman" w:cs="Times New Roman"/>
          <w:sz w:val="24"/>
          <w:szCs w:val="24"/>
        </w:rPr>
        <w:t xml:space="preserve">; </w:t>
      </w:r>
      <w:r w:rsidR="003A4C61" w:rsidRPr="003A4C61">
        <w:rPr>
          <w:rFonts w:ascii="Times New Roman" w:hAnsi="Times New Roman" w:cs="Times New Roman"/>
          <w:sz w:val="24"/>
          <w:szCs w:val="24"/>
          <w:lang w:val="es-ES"/>
        </w:rPr>
        <w:t>Udechukwu et al., 2025</w:t>
      </w:r>
      <w:r w:rsidRPr="003A4C61">
        <w:rPr>
          <w:rFonts w:ascii="Times New Roman" w:hAnsi="Times New Roman" w:cs="Times New Roman"/>
          <w:sz w:val="24"/>
          <w:szCs w:val="24"/>
        </w:rPr>
        <w:t>). Such attacks threaten the integrity of high-stakes applications, potentially leading to misdiagnoses with severe consequences for patients.</w:t>
      </w:r>
    </w:p>
    <w:p w14:paraId="1098F11D" w14:textId="77777777"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rPr>
        <w:t xml:space="preserve">Simultaneously, the extensive use of personal health data in AI development raises significant privacy concerns. Patients and healthcare professionals report high levels of apprehension regarding data breaches, re-identification risks, and misuse, resulting in elevated stress and anxiety levels (Richardson et al., 2021; Yang et al., 2025). This ‘data stress anxiety’ stems from perceived loss of control over sensitive information, particularly in AI-driven monitoring devices. Federated learning (FL) offers a solution by facilitating collaborative training across decentralized data sources without sharing raw data, thereby addressing some privacy issues (Batista et al., 2025; </w:t>
      </w:r>
      <w:proofErr w:type="spellStart"/>
      <w:r w:rsidRPr="00F91479">
        <w:rPr>
          <w:rFonts w:ascii="Times New Roman" w:hAnsi="Times New Roman" w:cs="Times New Roman"/>
        </w:rPr>
        <w:t>Almaiah</w:t>
      </w:r>
      <w:proofErr w:type="spellEnd"/>
      <w:r w:rsidRPr="00F91479">
        <w:rPr>
          <w:rFonts w:ascii="Times New Roman" w:hAnsi="Times New Roman" w:cs="Times New Roman"/>
        </w:rPr>
        <w:t xml:space="preserve"> et al., 2025). Yet, FL frameworks remain susceptible to adversarial threats, including model poisoning that can compromise the shared global model (</w:t>
      </w:r>
      <w:proofErr w:type="spellStart"/>
      <w:r w:rsidRPr="00F91479">
        <w:rPr>
          <w:rFonts w:ascii="Times New Roman" w:hAnsi="Times New Roman" w:cs="Times New Roman"/>
        </w:rPr>
        <w:t>Almaiah</w:t>
      </w:r>
      <w:proofErr w:type="spellEnd"/>
      <w:r w:rsidRPr="00F91479">
        <w:rPr>
          <w:rFonts w:ascii="Times New Roman" w:hAnsi="Times New Roman" w:cs="Times New Roman"/>
        </w:rPr>
        <w:t xml:space="preserve"> et al., 2025).</w:t>
      </w:r>
    </w:p>
    <w:p w14:paraId="56668D05" w14:textId="64055964"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rPr>
        <w:t xml:space="preserve">In the domain of medical imaging AI, these challenges are acute. Convolutional neural networks </w:t>
      </w:r>
      <w:r w:rsidR="004845FD">
        <w:rPr>
          <w:rFonts w:ascii="Times New Roman" w:hAnsi="Times New Roman" w:cs="Times New Roman"/>
        </w:rPr>
        <w:t xml:space="preserve">(CNN) </w:t>
      </w:r>
      <w:r w:rsidRPr="00F91479">
        <w:rPr>
          <w:rFonts w:ascii="Times New Roman" w:hAnsi="Times New Roman" w:cs="Times New Roman"/>
        </w:rPr>
        <w:t>processing X-rays, MRIs, or skin lesion images can be fooled by attacks like the fast gradient sign method (FGSM), leading to dramatic accuracy reductions (</w:t>
      </w:r>
      <w:proofErr w:type="spellStart"/>
      <w:r w:rsidRPr="00F91479">
        <w:rPr>
          <w:rFonts w:ascii="Times New Roman" w:hAnsi="Times New Roman" w:cs="Times New Roman"/>
        </w:rPr>
        <w:t>Fazelnia</w:t>
      </w:r>
      <w:proofErr w:type="spellEnd"/>
      <w:r w:rsidRPr="00F91479">
        <w:rPr>
          <w:rFonts w:ascii="Times New Roman" w:hAnsi="Times New Roman" w:cs="Times New Roman"/>
        </w:rPr>
        <w:t xml:space="preserve"> et al., 2022; Watson &amp; Al Moubayed, 2021). For example, models trained on chest X-rays for pneumonia detection have shown vulnerability to perturbations that drop performance substantially (</w:t>
      </w:r>
      <w:proofErr w:type="spellStart"/>
      <w:r w:rsidRPr="00F91479">
        <w:rPr>
          <w:rFonts w:ascii="Times New Roman" w:hAnsi="Times New Roman" w:cs="Times New Roman"/>
        </w:rPr>
        <w:t>Selvakkumar</w:t>
      </w:r>
      <w:proofErr w:type="spellEnd"/>
      <w:r w:rsidRPr="00F91479">
        <w:rPr>
          <w:rFonts w:ascii="Times New Roman" w:hAnsi="Times New Roman" w:cs="Times New Roman"/>
        </w:rPr>
        <w:t xml:space="preserve"> et al., 2021). Privacy anxieties further compound the issue, as patients worry about how their imaging data might be used or exposed in AI systems.</w:t>
      </w:r>
    </w:p>
    <w:p w14:paraId="55F128C1" w14:textId="77777777" w:rsidR="003A4C61" w:rsidRDefault="000A5A16" w:rsidP="003A4C61">
      <w:pPr>
        <w:spacing w:line="360" w:lineRule="auto"/>
        <w:jc w:val="both"/>
        <w:rPr>
          <w:rFonts w:ascii="Times New Roman" w:hAnsi="Times New Roman" w:cs="Times New Roman"/>
        </w:rPr>
      </w:pPr>
      <w:r w:rsidRPr="00F91479">
        <w:rPr>
          <w:rFonts w:ascii="Times New Roman" w:hAnsi="Times New Roman" w:cs="Times New Roman"/>
        </w:rPr>
        <w:t>The historical context of AI in healthcare</w:t>
      </w:r>
      <w:r w:rsidR="004845FD">
        <w:rPr>
          <w:rFonts w:ascii="Times New Roman" w:hAnsi="Times New Roman" w:cs="Times New Roman"/>
        </w:rPr>
        <w:t xml:space="preserve"> </w:t>
      </w:r>
      <w:r w:rsidRPr="00F91479">
        <w:rPr>
          <w:rFonts w:ascii="Times New Roman" w:hAnsi="Times New Roman" w:cs="Times New Roman"/>
        </w:rPr>
        <w:t>accelerated by the need for remote and efficient care solutions. Early studies highlighted vulnerabilities in smart healthcare systems, with some attacks achieving high misclassification rates (Kereopa-Yorke, 2024; Newaz et al., 2020). While regulations like HIPAA and GDPR seek to protect patient data, gaps in compliance persist due to the data-intensive nature of AI development. Robust frameworks combining explainable AI (XAI), differential privacy, and adversarial training are thus critical to enhancing trustworthiness (Gujar, 2024; Watson &amp; Al Moubayed, 2021).</w:t>
      </w:r>
    </w:p>
    <w:p w14:paraId="3794B8B9" w14:textId="418993A0" w:rsidR="000A5A16" w:rsidRPr="003A4C61" w:rsidRDefault="000A5A16" w:rsidP="003A4C61">
      <w:pPr>
        <w:spacing w:line="360" w:lineRule="auto"/>
        <w:jc w:val="both"/>
        <w:rPr>
          <w:rFonts w:ascii="Times New Roman" w:hAnsi="Times New Roman" w:cs="Times New Roman"/>
        </w:rPr>
      </w:pPr>
      <w:r w:rsidRPr="003A4C61">
        <w:rPr>
          <w:rFonts w:ascii="Times New Roman" w:hAnsi="Times New Roman" w:cs="Times New Roman"/>
        </w:rPr>
        <w:lastRenderedPageBreak/>
        <w:t>The core research problem is the persistent susceptibility of healthcare AI, particularly medical imaging models, to adversarial attacks that undermine reliability and lead to potentially life-threatening errors. Despite advancements in defenses such as adversarial training, comprehensive robustness against evolving threats in federated environments is lacking (Ravikumar et al., 2024; Javed et al., 2024</w:t>
      </w:r>
      <w:r w:rsidR="003A4C61" w:rsidRPr="003A4C61">
        <w:rPr>
          <w:rFonts w:ascii="Times New Roman" w:hAnsi="Times New Roman" w:cs="Times New Roman"/>
        </w:rPr>
        <w:t xml:space="preserve">; </w:t>
      </w:r>
      <w:proofErr w:type="spellStart"/>
      <w:r w:rsidR="003A4C61" w:rsidRPr="003A4C61">
        <w:rPr>
          <w:rFonts w:ascii="Times New Roman" w:hAnsi="Times New Roman" w:cs="Times New Roman"/>
        </w:rPr>
        <w:t>Olutimehin</w:t>
      </w:r>
      <w:proofErr w:type="spellEnd"/>
      <w:r w:rsidR="003A4C61" w:rsidRPr="003A4C61">
        <w:rPr>
          <w:rFonts w:ascii="Times New Roman" w:hAnsi="Times New Roman" w:cs="Times New Roman"/>
        </w:rPr>
        <w:t xml:space="preserve"> et al., 2025</w:t>
      </w:r>
      <w:r w:rsidRPr="003A4C61">
        <w:rPr>
          <w:rFonts w:ascii="Times New Roman" w:hAnsi="Times New Roman" w:cs="Times New Roman"/>
        </w:rPr>
        <w:t xml:space="preserve">). This is worsened by the psychological impact of data handling, where privacy fears contribute to patient anxiety and reduced acceptance of AI technologies (Richardson et al., 2021; Yang et al., 2025). Existing approaches often fail to integrate adversarial defenses with privacy-preserving methods like homomorphic encryption or blockchain, and there is limited attention to patient-centric outcomes such as anxiety reduction (Batista et al., 2025; </w:t>
      </w:r>
      <w:proofErr w:type="spellStart"/>
      <w:r w:rsidRPr="003A4C61">
        <w:rPr>
          <w:rFonts w:ascii="Times New Roman" w:hAnsi="Times New Roman" w:cs="Times New Roman"/>
        </w:rPr>
        <w:t>Fazelnia</w:t>
      </w:r>
      <w:proofErr w:type="spellEnd"/>
      <w:r w:rsidRPr="003A4C61">
        <w:rPr>
          <w:rFonts w:ascii="Times New Roman" w:hAnsi="Times New Roman" w:cs="Times New Roman"/>
        </w:rPr>
        <w:t xml:space="preserve"> et al., 2022).</w:t>
      </w:r>
    </w:p>
    <w:p w14:paraId="5F7F7037" w14:textId="6CCACDF6"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rPr>
        <w:t>These issues are particularly relevant for research conducted in</w:t>
      </w:r>
      <w:r w:rsidR="00F91479">
        <w:rPr>
          <w:rFonts w:ascii="Times New Roman" w:hAnsi="Times New Roman" w:cs="Times New Roman"/>
        </w:rPr>
        <w:t xml:space="preserve"> </w:t>
      </w:r>
      <w:r w:rsidRPr="00F91479">
        <w:rPr>
          <w:rFonts w:ascii="Times New Roman" w:hAnsi="Times New Roman" w:cs="Times New Roman"/>
        </w:rPr>
        <w:t>remote settings, where access to physical laboratories is restricted. Simulation-based evaluations using publicly available datasets, such as those for chest X-rays or dermatology images, become essential for rigorous analysis (</w:t>
      </w:r>
      <w:proofErr w:type="spellStart"/>
      <w:r w:rsidRPr="00F91479">
        <w:rPr>
          <w:rFonts w:ascii="Times New Roman" w:hAnsi="Times New Roman" w:cs="Times New Roman"/>
        </w:rPr>
        <w:t>Selvakkumar</w:t>
      </w:r>
      <w:proofErr w:type="spellEnd"/>
      <w:r w:rsidRPr="00F91479">
        <w:rPr>
          <w:rFonts w:ascii="Times New Roman" w:hAnsi="Times New Roman" w:cs="Times New Roman"/>
        </w:rPr>
        <w:t xml:space="preserve"> et al., 2021). The literature underscores gaps in unified frameworks that address both security and privacy while providing explainable outputs to build user trust (Yang et al., 2024; Kereopa-Yorke, 2024). Without such integrated solutions, healthcare AI risks eroding public confidence and limiting its potential benefits.</w:t>
      </w:r>
    </w:p>
    <w:p w14:paraId="3700D41C" w14:textId="77777777"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rPr>
        <w:t>This study is significant as it seeks to develop frameworks that improve adversarial robustness and privacy protection in healthcare AI. Clinicians in resource-limited environments would benefit from more reliable diagnostic tools less prone to attack-induced failures (Javed et al., 2024; Ravikumar et al., 2024). Patients stand to gain from reduced data stress anxiety through transparent, privacy-focused models that enhance trust in AI-assisted healthcare (Richardson et al., 2021; Yang et al., 2025). Academically, the research advances the field of trustworthy AI by exploring novel combinations of techniques, such as stable diffusion for defenses and federated governance structures (Gujar, 2024; Batista et al., 2025). For policymakers, it provides evidence to inform regulations on AI security and FL implementation in healthcare (</w:t>
      </w:r>
      <w:proofErr w:type="spellStart"/>
      <w:r w:rsidRPr="00F91479">
        <w:rPr>
          <w:rFonts w:ascii="Times New Roman" w:hAnsi="Times New Roman" w:cs="Times New Roman"/>
        </w:rPr>
        <w:t>Almaiah</w:t>
      </w:r>
      <w:proofErr w:type="spellEnd"/>
      <w:r w:rsidRPr="00F91479">
        <w:rPr>
          <w:rFonts w:ascii="Times New Roman" w:hAnsi="Times New Roman" w:cs="Times New Roman"/>
        </w:rPr>
        <w:t xml:space="preserve"> et al., 2025). Furthermore, by relying on simulation with public datasets, it supports remote research contributions in a post-pandemic world (Newaz et al., 2020; </w:t>
      </w:r>
      <w:proofErr w:type="spellStart"/>
      <w:r w:rsidRPr="00F91479">
        <w:rPr>
          <w:rFonts w:ascii="Times New Roman" w:hAnsi="Times New Roman" w:cs="Times New Roman"/>
        </w:rPr>
        <w:t>Fazelnia</w:t>
      </w:r>
      <w:proofErr w:type="spellEnd"/>
      <w:r w:rsidRPr="00F91479">
        <w:rPr>
          <w:rFonts w:ascii="Times New Roman" w:hAnsi="Times New Roman" w:cs="Times New Roman"/>
        </w:rPr>
        <w:t xml:space="preserve"> et al., 2022).</w:t>
      </w:r>
    </w:p>
    <w:p w14:paraId="35D5FFC1" w14:textId="3B4C43FD"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rPr>
        <w:t xml:space="preserve">The scope is confined to medical imaging AI applications involving modalities like chest X-rays and skin lesion analysis, leveraging public datasets. It addresses white-box, black-box, and </w:t>
      </w:r>
      <w:r w:rsidRPr="00F91479">
        <w:rPr>
          <w:rFonts w:ascii="Times New Roman" w:hAnsi="Times New Roman" w:cs="Times New Roman"/>
        </w:rPr>
        <w:lastRenderedPageBreak/>
        <w:t>poisoning attacks along with FL and privacy techniques but does not include hardware implementation or non-imaging data. The review draws on literature from 2020 to 2026 to capture contemporary developments (Kereopa-Yorke, 2024). Additionally, by incorporating patient perception surveys, the study ensures that technical solutions are aligned with real-world human needs, thereby bridging the gap between technological innovation and psychological well-being in healthcare AI applications (Yang et al., 2025). This comprehensive approach not only strengthens the technical aspects of AI systems but also contributes to the broader goal of ethical and trustworthy AI deployment in medical fields worldwide. The focus remains on robust FL frameworks that integrate adversarial defenses with privacy-enhancing tools to mitigate threats and alleviate associated patient anxieties.</w:t>
      </w:r>
    </w:p>
    <w:p w14:paraId="71420766" w14:textId="77777777" w:rsidR="00273EEE" w:rsidRDefault="000A5A16" w:rsidP="00F91479">
      <w:pPr>
        <w:spacing w:line="360" w:lineRule="auto"/>
        <w:jc w:val="both"/>
        <w:rPr>
          <w:rFonts w:ascii="Times New Roman" w:hAnsi="Times New Roman" w:cs="Times New Roman"/>
        </w:rPr>
      </w:pPr>
      <w:r w:rsidRPr="00F91479">
        <w:rPr>
          <w:rFonts w:ascii="Times New Roman" w:hAnsi="Times New Roman" w:cs="Times New Roman"/>
        </w:rPr>
        <w:t>The aim of this study is to design and evaluate robust</w:t>
      </w:r>
      <w:r w:rsidR="00273EEE">
        <w:rPr>
          <w:rFonts w:ascii="Times New Roman" w:hAnsi="Times New Roman" w:cs="Times New Roman"/>
        </w:rPr>
        <w:t xml:space="preserve"> </w:t>
      </w:r>
      <w:r w:rsidRPr="00F91479">
        <w:rPr>
          <w:rFonts w:ascii="Times New Roman" w:hAnsi="Times New Roman" w:cs="Times New Roman"/>
        </w:rPr>
        <w:t>AI frameworks using federated learning and explainable AI to mitigate adversarial attacks on medical imaging models while reducing personal data stress anxiety through privacy-preserving mechanisms. The research objectives are</w:t>
      </w:r>
      <w:r w:rsidR="00273EEE">
        <w:rPr>
          <w:rFonts w:ascii="Times New Roman" w:hAnsi="Times New Roman" w:cs="Times New Roman"/>
        </w:rPr>
        <w:t xml:space="preserve"> to</w:t>
      </w:r>
      <w:r w:rsidRPr="00F91479">
        <w:rPr>
          <w:rFonts w:ascii="Times New Roman" w:hAnsi="Times New Roman" w:cs="Times New Roman"/>
        </w:rPr>
        <w:t xml:space="preserve">: </w:t>
      </w:r>
    </w:p>
    <w:p w14:paraId="0FCA1591" w14:textId="77777777" w:rsidR="00273EEE" w:rsidRDefault="00273EEE" w:rsidP="00273EEE">
      <w:pPr>
        <w:pStyle w:val="ListParagraph"/>
        <w:numPr>
          <w:ilvl w:val="0"/>
          <w:numId w:val="1"/>
        </w:numPr>
        <w:spacing w:line="360" w:lineRule="auto"/>
        <w:jc w:val="both"/>
        <w:rPr>
          <w:rFonts w:ascii="Times New Roman" w:hAnsi="Times New Roman" w:cs="Times New Roman"/>
        </w:rPr>
      </w:pPr>
      <w:r w:rsidRPr="00273EEE">
        <w:rPr>
          <w:rFonts w:ascii="Times New Roman" w:hAnsi="Times New Roman" w:cs="Times New Roman"/>
        </w:rPr>
        <w:t>S</w:t>
      </w:r>
      <w:r w:rsidR="000A5A16" w:rsidRPr="00273EEE">
        <w:rPr>
          <w:rFonts w:ascii="Times New Roman" w:hAnsi="Times New Roman" w:cs="Times New Roman"/>
        </w:rPr>
        <w:t xml:space="preserve">ystematically review existing adversarial attacks and privacy challenges in AI with focus on medical imaging datasets. </w:t>
      </w:r>
    </w:p>
    <w:p w14:paraId="4368E653" w14:textId="77777777" w:rsidR="00273EEE" w:rsidRDefault="00273EEE" w:rsidP="00273EEE">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P</w:t>
      </w:r>
      <w:r w:rsidR="000A5A16" w:rsidRPr="00273EEE">
        <w:rPr>
          <w:rFonts w:ascii="Times New Roman" w:hAnsi="Times New Roman" w:cs="Times New Roman"/>
        </w:rPr>
        <w:t xml:space="preserve">ropose a hybrid FL-XAI framework incorporating adversarial training and differential privacy. </w:t>
      </w:r>
    </w:p>
    <w:p w14:paraId="6DC150D3" w14:textId="7D5866B3" w:rsidR="000A5A16" w:rsidRPr="00273EEE" w:rsidRDefault="00273EEE" w:rsidP="00273EEE">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V</w:t>
      </w:r>
      <w:r w:rsidR="000A5A16" w:rsidRPr="00273EEE">
        <w:rPr>
          <w:rFonts w:ascii="Times New Roman" w:hAnsi="Times New Roman" w:cs="Times New Roman"/>
        </w:rPr>
        <w:t>alidate the framework via simulated attacks and user surveys for robustness and anxiety mitigation.</w:t>
      </w:r>
    </w:p>
    <w:p w14:paraId="50FD657E" w14:textId="77777777" w:rsidR="000A5A16" w:rsidRPr="00F91479" w:rsidRDefault="000A5A16" w:rsidP="00F91479">
      <w:pPr>
        <w:spacing w:line="360" w:lineRule="auto"/>
        <w:jc w:val="both"/>
        <w:rPr>
          <w:rFonts w:ascii="Times New Roman" w:hAnsi="Times New Roman" w:cs="Times New Roman"/>
        </w:rPr>
      </w:pPr>
    </w:p>
    <w:p w14:paraId="494C5246" w14:textId="77777777"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b/>
          <w:bCs/>
        </w:rPr>
        <w:t>2.</w:t>
      </w:r>
      <w:r w:rsidRPr="00F91479">
        <w:rPr>
          <w:rFonts w:ascii="Times New Roman" w:hAnsi="Times New Roman" w:cs="Times New Roman"/>
          <w:b/>
          <w:bCs/>
        </w:rPr>
        <w:tab/>
        <w:t>Literature Review</w:t>
      </w:r>
    </w:p>
    <w:p w14:paraId="0FFD2129" w14:textId="758B3840" w:rsidR="000A5A16" w:rsidRDefault="00273EEE" w:rsidP="00F91479">
      <w:pPr>
        <w:spacing w:line="360" w:lineRule="auto"/>
        <w:jc w:val="both"/>
        <w:rPr>
          <w:rFonts w:ascii="Times New Roman" w:hAnsi="Times New Roman" w:cs="Times New Roman"/>
        </w:rPr>
      </w:pPr>
      <w:r>
        <w:rPr>
          <w:rFonts w:ascii="Times New Roman" w:hAnsi="Times New Roman" w:cs="Times New Roman"/>
        </w:rPr>
        <w:t>T</w:t>
      </w:r>
      <w:r w:rsidR="000A5A16" w:rsidRPr="00F91479">
        <w:rPr>
          <w:rFonts w:ascii="Times New Roman" w:hAnsi="Times New Roman" w:cs="Times New Roman"/>
        </w:rPr>
        <w:t xml:space="preserve">his </w:t>
      </w:r>
      <w:r>
        <w:rPr>
          <w:rFonts w:ascii="Times New Roman" w:hAnsi="Times New Roman" w:cs="Times New Roman"/>
        </w:rPr>
        <w:t>review</w:t>
      </w:r>
      <w:r w:rsidR="000A5A16" w:rsidRPr="00F91479">
        <w:rPr>
          <w:rFonts w:ascii="Times New Roman" w:hAnsi="Times New Roman" w:cs="Times New Roman"/>
        </w:rPr>
        <w:t xml:space="preserve"> examines existing research through theoretical, conceptual, and empirical lenses. It identifies how prior studies have addressed robustness and privacy yet leave critical gaps in integrated frameworks suitable for federated, explainable, and simulation-driven environments. The review is </w:t>
      </w:r>
      <w:r w:rsidRPr="00F91479">
        <w:rPr>
          <w:rFonts w:ascii="Times New Roman" w:hAnsi="Times New Roman" w:cs="Times New Roman"/>
        </w:rPr>
        <w:t>organized</w:t>
      </w:r>
      <w:r w:rsidR="000A5A16" w:rsidRPr="00F91479">
        <w:rPr>
          <w:rFonts w:ascii="Times New Roman" w:hAnsi="Times New Roman" w:cs="Times New Roman"/>
        </w:rPr>
        <w:t xml:space="preserve"> into four major sections that trace the evolution of knowledge while highlighting opportunities for the present study.</w:t>
      </w:r>
    </w:p>
    <w:p w14:paraId="0F996907" w14:textId="77777777" w:rsidR="00247576" w:rsidRDefault="00247576" w:rsidP="00F91479">
      <w:pPr>
        <w:spacing w:line="360" w:lineRule="auto"/>
        <w:jc w:val="both"/>
        <w:rPr>
          <w:rFonts w:ascii="Times New Roman" w:hAnsi="Times New Roman" w:cs="Times New Roman"/>
        </w:rPr>
      </w:pPr>
    </w:p>
    <w:p w14:paraId="53D52A5C" w14:textId="77777777" w:rsidR="00247576" w:rsidRPr="00F91479" w:rsidRDefault="00247576" w:rsidP="00F91479">
      <w:pPr>
        <w:spacing w:line="360" w:lineRule="auto"/>
        <w:jc w:val="both"/>
        <w:rPr>
          <w:rFonts w:ascii="Times New Roman" w:hAnsi="Times New Roman" w:cs="Times New Roman"/>
        </w:rPr>
      </w:pPr>
    </w:p>
    <w:p w14:paraId="31CE99E5" w14:textId="77777777" w:rsidR="00273EEE" w:rsidRDefault="000A5A16" w:rsidP="00F91479">
      <w:pPr>
        <w:spacing w:line="360" w:lineRule="auto"/>
        <w:jc w:val="both"/>
        <w:rPr>
          <w:rFonts w:ascii="Times New Roman" w:hAnsi="Times New Roman" w:cs="Times New Roman"/>
        </w:rPr>
      </w:pPr>
      <w:r w:rsidRPr="00F91479">
        <w:rPr>
          <w:rFonts w:ascii="Times New Roman" w:hAnsi="Times New Roman" w:cs="Times New Roman"/>
          <w:b/>
          <w:bCs/>
        </w:rPr>
        <w:lastRenderedPageBreak/>
        <w:t>Theoretical Foundations of Adversarial Attacks and Robustness Mechanisms</w:t>
      </w:r>
      <w:r w:rsidRPr="00F91479">
        <w:rPr>
          <w:rFonts w:ascii="Times New Roman" w:hAnsi="Times New Roman" w:cs="Times New Roman"/>
        </w:rPr>
        <w:t xml:space="preserve"> </w:t>
      </w:r>
    </w:p>
    <w:p w14:paraId="79E57A98" w14:textId="22A524D8" w:rsidR="00273EEE" w:rsidRPr="00273EEE" w:rsidRDefault="000A5A16" w:rsidP="00F91479">
      <w:pPr>
        <w:spacing w:line="360" w:lineRule="auto"/>
        <w:jc w:val="both"/>
        <w:rPr>
          <w:rFonts w:ascii="Times New Roman" w:eastAsiaTheme="minorEastAsia" w:hAnsi="Times New Roman" w:cs="Times New Roman"/>
        </w:rPr>
      </w:pPr>
      <w:r w:rsidRPr="00F91479">
        <w:rPr>
          <w:rFonts w:ascii="Times New Roman" w:hAnsi="Times New Roman" w:cs="Times New Roman"/>
        </w:rPr>
        <w:t xml:space="preserve">Theoretical models of adversarial attacks in healthcare AI rest on the observation that deep neural networks, particularly convolutional architectures used for X-ray and MRI analysis, possess fragile decision boundaries exploitable by imperceptible perturbations (Ma et al., 2020). Early theoretical work demonstrated that the fast gradient sign method and projected gradient descent can reduce classification accuracy in medical imaging by crafting inputs that </w:t>
      </w:r>
      <w:r w:rsidR="00273EEE" w:rsidRPr="00F91479">
        <w:rPr>
          <w:rFonts w:ascii="Times New Roman" w:hAnsi="Times New Roman" w:cs="Times New Roman"/>
        </w:rPr>
        <w:t>maximize</w:t>
      </w:r>
      <w:r w:rsidRPr="00F91479">
        <w:rPr>
          <w:rFonts w:ascii="Times New Roman" w:hAnsi="Times New Roman" w:cs="Times New Roman"/>
        </w:rPr>
        <w:t xml:space="preserve"> loss while remaining visually indistinguishable (</w:t>
      </w:r>
      <w:proofErr w:type="spellStart"/>
      <w:r w:rsidRPr="00F91479">
        <w:rPr>
          <w:rFonts w:ascii="Times New Roman" w:hAnsi="Times New Roman" w:cs="Times New Roman"/>
        </w:rPr>
        <w:t>Brohi</w:t>
      </w:r>
      <w:proofErr w:type="spellEnd"/>
      <w:r w:rsidRPr="00F91479">
        <w:rPr>
          <w:rFonts w:ascii="Times New Roman" w:hAnsi="Times New Roman" w:cs="Times New Roman"/>
        </w:rPr>
        <w:t xml:space="preserve"> &amp; </w:t>
      </w:r>
      <w:proofErr w:type="spellStart"/>
      <w:r w:rsidRPr="00F91479">
        <w:rPr>
          <w:rFonts w:ascii="Times New Roman" w:hAnsi="Times New Roman" w:cs="Times New Roman"/>
        </w:rPr>
        <w:t>Mastoi</w:t>
      </w:r>
      <w:proofErr w:type="spellEnd"/>
      <w:r w:rsidRPr="00F91479">
        <w:rPr>
          <w:rFonts w:ascii="Times New Roman" w:hAnsi="Times New Roman" w:cs="Times New Roman"/>
        </w:rPr>
        <w:t xml:space="preserve">, 2025). In federated settings, these attacks extend to model poisoning, where malicious clients inject crafted updates that corrupt the global model without </w:t>
      </w:r>
      <w:r w:rsidR="00273EEE" w:rsidRPr="00F91479">
        <w:rPr>
          <w:rFonts w:ascii="Times New Roman" w:hAnsi="Times New Roman" w:cs="Times New Roman"/>
        </w:rPr>
        <w:t>centralized</w:t>
      </w:r>
      <w:r w:rsidRPr="00F91479">
        <w:rPr>
          <w:rFonts w:ascii="Times New Roman" w:hAnsi="Times New Roman" w:cs="Times New Roman"/>
        </w:rPr>
        <w:t xml:space="preserve"> data access (Darzi et al., 2024). Robustness theory has advanced through adversarial training, which incorporates perturbed examples during </w:t>
      </w:r>
      <w:r w:rsidR="00273EEE" w:rsidRPr="00F91479">
        <w:rPr>
          <w:rFonts w:ascii="Times New Roman" w:hAnsi="Times New Roman" w:cs="Times New Roman"/>
        </w:rPr>
        <w:t>optimization</w:t>
      </w:r>
      <w:r w:rsidRPr="00F91479">
        <w:rPr>
          <w:rFonts w:ascii="Times New Roman" w:hAnsi="Times New Roman" w:cs="Times New Roman"/>
        </w:rPr>
        <w:t xml:space="preserve"> to </w:t>
      </w:r>
      <w:r w:rsidR="00273EEE" w:rsidRPr="00F91479">
        <w:rPr>
          <w:rFonts w:ascii="Times New Roman" w:hAnsi="Times New Roman" w:cs="Times New Roman"/>
        </w:rPr>
        <w:t>minimize</w:t>
      </w:r>
      <w:r w:rsidRPr="00F91479">
        <w:rPr>
          <w:rFonts w:ascii="Times New Roman" w:hAnsi="Times New Roman" w:cs="Times New Roman"/>
        </w:rPr>
        <w:t xml:space="preserve"> worst-case loss, and through certified </w:t>
      </w:r>
      <w:r w:rsidR="00273EEE" w:rsidRPr="00F91479">
        <w:rPr>
          <w:rFonts w:ascii="Times New Roman" w:hAnsi="Times New Roman" w:cs="Times New Roman"/>
        </w:rPr>
        <w:t>defenses</w:t>
      </w:r>
      <w:r w:rsidRPr="00F91479">
        <w:rPr>
          <w:rFonts w:ascii="Times New Roman" w:hAnsi="Times New Roman" w:cs="Times New Roman"/>
        </w:rPr>
        <w:t xml:space="preserve"> that provide mathematical guarantees on model stability under bounded perturbations (</w:t>
      </w:r>
      <w:proofErr w:type="spellStart"/>
      <w:r w:rsidRPr="00F91479">
        <w:rPr>
          <w:rFonts w:ascii="Times New Roman" w:hAnsi="Times New Roman" w:cs="Times New Roman"/>
        </w:rPr>
        <w:t>Baniecki</w:t>
      </w:r>
      <w:proofErr w:type="spellEnd"/>
      <w:r w:rsidRPr="00F91479">
        <w:rPr>
          <w:rFonts w:ascii="Times New Roman" w:hAnsi="Times New Roman" w:cs="Times New Roman"/>
        </w:rPr>
        <w:t xml:space="preserve"> &amp; </w:t>
      </w:r>
      <w:proofErr w:type="spellStart"/>
      <w:r w:rsidRPr="00F91479">
        <w:rPr>
          <w:rFonts w:ascii="Times New Roman" w:hAnsi="Times New Roman" w:cs="Times New Roman"/>
        </w:rPr>
        <w:t>Biecek</w:t>
      </w:r>
      <w:proofErr w:type="spellEnd"/>
      <w:r w:rsidRPr="00F91479">
        <w:rPr>
          <w:rFonts w:ascii="Times New Roman" w:hAnsi="Times New Roman" w:cs="Times New Roman"/>
        </w:rPr>
        <w:t>, 2024). Differential privacy adds theoretical noise to gradients, bounding the influence of any single data point and thereby limiting inference risks. However, these mechanisms often trade off utility for security, with empirical analyses showing up</w:t>
      </w:r>
      <w:r w:rsidR="00273EEE">
        <w:rPr>
          <w:rFonts w:ascii="Times New Roman" w:hAnsi="Times New Roman" w:cs="Times New Roman"/>
        </w:rPr>
        <w:t xml:space="preserve"> </w:t>
      </w:r>
      <w:r w:rsidRPr="00F91479">
        <w:rPr>
          <w:rFonts w:ascii="Times New Roman" w:hAnsi="Times New Roman" w:cs="Times New Roman"/>
        </w:rPr>
        <w:t>accuracy degradation in heterogeneous medical datasets (Teo et al., 2024)</w:t>
      </w:r>
      <w:r w:rsidR="00273EEE">
        <w:rPr>
          <w:rFonts w:ascii="Times New Roman" w:hAnsi="Times New Roman" w:cs="Times New Roman"/>
        </w:rPr>
        <w:t>. The e</w:t>
      </w:r>
      <w:r w:rsidRPr="00F91479">
        <w:rPr>
          <w:rFonts w:ascii="Times New Roman" w:hAnsi="Times New Roman" w:cs="Times New Roman"/>
        </w:rPr>
        <w:t xml:space="preserve">quation </w:t>
      </w:r>
      <w:r w:rsidR="00273EEE">
        <w:rPr>
          <w:rFonts w:ascii="Times New Roman" w:hAnsi="Times New Roman" w:cs="Times New Roman"/>
        </w:rPr>
        <w:t xml:space="preserve">below </w:t>
      </w:r>
      <w:r w:rsidR="00273EEE" w:rsidRPr="00F91479">
        <w:rPr>
          <w:rFonts w:ascii="Times New Roman" w:hAnsi="Times New Roman" w:cs="Times New Roman"/>
        </w:rPr>
        <w:t>formalizes</w:t>
      </w:r>
      <w:r w:rsidRPr="00F91479">
        <w:rPr>
          <w:rFonts w:ascii="Times New Roman" w:hAnsi="Times New Roman" w:cs="Times New Roman"/>
        </w:rPr>
        <w:t xml:space="preserve"> a basic adversarial perturbation: </w:t>
      </w:r>
    </w:p>
    <w:p w14:paraId="6E83035B" w14:textId="77777777" w:rsidR="00273EEE" w:rsidRDefault="00AD3EAD" w:rsidP="00F91479">
      <w:pPr>
        <w:spacing w:line="360" w:lineRule="auto"/>
        <w:jc w:val="both"/>
        <w:rPr>
          <w:rFonts w:ascii="Times New Roman" w:eastAsiaTheme="minorEastAsia" w:hAnsi="Times New Roman" w:cs="Times New Roman"/>
        </w:rPr>
      </w:pPr>
      <m:oMathPara>
        <m:oMath>
          <m:sSup>
            <m:sSupPr>
              <m:ctrlPr>
                <w:rPr>
                  <w:rFonts w:ascii="Cambria Math" w:hAnsi="Cambria Math" w:cs="Times New Roman"/>
                </w:rPr>
              </m:ctrlPr>
            </m:sSupPr>
            <m:e>
              <m:r>
                <w:rPr>
                  <w:rFonts w:ascii="Cambria Math" w:hAnsi="Cambria Math" w:cs="Times New Roman"/>
                </w:rPr>
                <m:t>x</m:t>
              </m:r>
            </m:e>
            <m:sup>
              <m:r>
                <m:rPr>
                  <m:sty m:val="p"/>
                </m:rPr>
                <w:rPr>
                  <w:rFonts w:ascii="Cambria Math" w:hAnsi="Cambria Math" w:cs="Times New Roman"/>
                </w:rPr>
                <m:t>'</m:t>
              </m:r>
            </m:sup>
          </m:sSup>
          <m:r>
            <w:rPr>
              <w:rFonts w:ascii="Cambria Math" w:hAnsi="Cambria Math" w:cs="Times New Roman"/>
            </w:rPr>
            <m:t>=</m:t>
          </m:r>
          <m:r>
            <w:rPr>
              <w:rFonts w:ascii="Cambria Math" w:hAnsi="Cambria Math" w:cs="Times New Roman"/>
            </w:rPr>
            <m:t>x</m:t>
          </m:r>
          <m:r>
            <w:rPr>
              <w:rFonts w:ascii="Cambria Math" w:hAnsi="Cambria Math" w:cs="Times New Roman"/>
            </w:rPr>
            <m:t>+</m:t>
          </m:r>
          <m:r>
            <w:rPr>
              <w:rFonts w:ascii="Cambria Math" w:hAnsi="Cambria Math" w:cs="Times New Roman"/>
            </w:rPr>
            <m:t>ϵ</m:t>
          </m:r>
          <m:r>
            <w:rPr>
              <w:rFonts w:ascii="Cambria Math" w:hAnsi="Cambria Math" w:cs="Times New Roman"/>
            </w:rPr>
            <m:t>⋅</m:t>
          </m:r>
          <m:r>
            <m:rPr>
              <m:nor/>
            </m:rPr>
            <w:rPr>
              <w:rFonts w:ascii="Times New Roman" w:hAnsi="Times New Roman" w:cs="Times New Roman"/>
            </w:rPr>
            <m:t>sign</m:t>
          </m:r>
          <m: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m:t>
              </m:r>
            </m:e>
            <m:sub>
              <m:r>
                <w:rPr>
                  <w:rFonts w:ascii="Cambria Math" w:hAnsi="Cambria Math" w:cs="Times New Roman"/>
                </w:rPr>
                <m:t>x</m:t>
              </m:r>
            </m:sub>
          </m:sSub>
          <m:r>
            <w:rPr>
              <w:rFonts w:ascii="Cambria Math" w:hAnsi="Cambria Math" w:cs="Times New Roman"/>
            </w:rPr>
            <m:t>L</m:t>
          </m:r>
          <m:r>
            <w:rPr>
              <w:rFonts w:ascii="Cambria Math" w:hAnsi="Cambria Math" w:cs="Times New Roman"/>
            </w:rPr>
            <m:t>(</m:t>
          </m:r>
          <m:r>
            <w:rPr>
              <w:rFonts w:ascii="Cambria Math" w:hAnsi="Cambria Math" w:cs="Times New Roman"/>
            </w:rPr>
            <m:t>θ</m:t>
          </m:r>
          <m:r>
            <w:rPr>
              <w:rFonts w:ascii="Cambria Math" w:hAnsi="Cambria Math" w:cs="Times New Roman"/>
            </w:rPr>
            <m:t>,</m:t>
          </m:r>
          <m:r>
            <w:rPr>
              <w:rFonts w:ascii="Cambria Math" w:hAnsi="Cambria Math" w:cs="Times New Roman"/>
            </w:rPr>
            <m:t>x</m:t>
          </m:r>
          <m:r>
            <w:rPr>
              <w:rFonts w:ascii="Cambria Math" w:hAnsi="Cambria Math" w:cs="Times New Roman"/>
            </w:rPr>
            <m:t>,</m:t>
          </m:r>
          <m:r>
            <w:rPr>
              <w:rFonts w:ascii="Cambria Math" w:hAnsi="Cambria Math" w:cs="Times New Roman"/>
            </w:rPr>
            <m:t>y</m:t>
          </m:r>
          <m:r>
            <w:rPr>
              <w:rFonts w:ascii="Cambria Math" w:hAnsi="Cambria Math" w:cs="Times New Roman"/>
            </w:rPr>
            <m:t>))</m:t>
          </m:r>
        </m:oMath>
      </m:oMathPara>
    </w:p>
    <w:p w14:paraId="7CEDD5E4" w14:textId="6346F34D"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rPr>
        <w:t xml:space="preserve">where </w:t>
      </w:r>
      <m:oMath>
        <m:sSup>
          <m:sSupPr>
            <m:ctrlPr>
              <w:rPr>
                <w:rFonts w:ascii="Cambria Math" w:hAnsi="Cambria Math" w:cs="Times New Roman"/>
              </w:rPr>
            </m:ctrlPr>
          </m:sSupPr>
          <m:e>
            <m:r>
              <w:rPr>
                <w:rFonts w:ascii="Cambria Math" w:hAnsi="Cambria Math" w:cs="Times New Roman"/>
              </w:rPr>
              <m:t>x</m:t>
            </m:r>
          </m:e>
          <m:sup>
            <m:r>
              <m:rPr>
                <m:sty m:val="p"/>
              </m:rPr>
              <w:rPr>
                <w:rFonts w:ascii="Cambria Math" w:hAnsi="Cambria Math" w:cs="Times New Roman"/>
              </w:rPr>
              <m:t>'</m:t>
            </m:r>
          </m:sup>
        </m:sSup>
      </m:oMath>
      <w:r w:rsidR="00273EEE">
        <w:rPr>
          <w:rFonts w:ascii="Times New Roman" w:eastAsiaTheme="minorEastAsia" w:hAnsi="Times New Roman" w:cs="Times New Roman"/>
        </w:rPr>
        <w:t xml:space="preserve"> </w:t>
      </w:r>
      <w:r w:rsidRPr="00F91479">
        <w:rPr>
          <w:rFonts w:ascii="Times New Roman" w:hAnsi="Times New Roman" w:cs="Times New Roman"/>
        </w:rPr>
        <w:t xml:space="preserve">is the adversarial example, </w:t>
      </w:r>
      <m:oMath>
        <m:r>
          <w:rPr>
            <w:rFonts w:ascii="Cambria Math" w:hAnsi="Cambria Math" w:cs="Times New Roman"/>
          </w:rPr>
          <m:t>ϵ</m:t>
        </m:r>
      </m:oMath>
      <w:r w:rsidR="00273EEE">
        <w:rPr>
          <w:rFonts w:ascii="Times New Roman" w:eastAsiaTheme="minorEastAsia" w:hAnsi="Times New Roman" w:cs="Times New Roman"/>
        </w:rPr>
        <w:t xml:space="preserve"> </w:t>
      </w:r>
      <w:r w:rsidRPr="00F91479">
        <w:rPr>
          <w:rFonts w:ascii="Times New Roman" w:hAnsi="Times New Roman" w:cs="Times New Roman"/>
        </w:rPr>
        <w:t xml:space="preserve">controls perturbation magnitude, and </w:t>
      </w:r>
      <m:oMath>
        <m:r>
          <w:rPr>
            <w:rFonts w:ascii="Cambria Math" w:hAnsi="Cambria Math" w:cs="Times New Roman"/>
          </w:rPr>
          <m:t>L</m:t>
        </m:r>
      </m:oMath>
      <w:r w:rsidR="00273EEE">
        <w:rPr>
          <w:rFonts w:ascii="Times New Roman" w:eastAsiaTheme="minorEastAsia" w:hAnsi="Times New Roman" w:cs="Times New Roman"/>
        </w:rPr>
        <w:t xml:space="preserve"> </w:t>
      </w:r>
      <w:r w:rsidRPr="00F91479">
        <w:rPr>
          <w:rFonts w:ascii="Times New Roman" w:hAnsi="Times New Roman" w:cs="Times New Roman"/>
        </w:rPr>
        <w:t>denotes the loss function. Such foundations underscore the need for defen</w:t>
      </w:r>
      <w:r w:rsidR="006D3A45">
        <w:rPr>
          <w:rFonts w:ascii="Times New Roman" w:hAnsi="Times New Roman" w:cs="Times New Roman"/>
        </w:rPr>
        <w:t>s</w:t>
      </w:r>
      <w:r w:rsidRPr="00F91479">
        <w:rPr>
          <w:rFonts w:ascii="Times New Roman" w:hAnsi="Times New Roman" w:cs="Times New Roman"/>
        </w:rPr>
        <w:t>es that preserve diagnostic fidelity while resisting both evasion and poisoning threats.</w:t>
      </w:r>
    </w:p>
    <w:p w14:paraId="5E32E9C0" w14:textId="77777777" w:rsidR="00273EEE" w:rsidRDefault="000A5A16" w:rsidP="00F91479">
      <w:pPr>
        <w:spacing w:line="360" w:lineRule="auto"/>
        <w:jc w:val="both"/>
        <w:rPr>
          <w:rFonts w:ascii="Times New Roman" w:hAnsi="Times New Roman" w:cs="Times New Roman"/>
        </w:rPr>
      </w:pPr>
      <w:r w:rsidRPr="00F91479">
        <w:rPr>
          <w:rFonts w:ascii="Times New Roman" w:hAnsi="Times New Roman" w:cs="Times New Roman"/>
          <w:b/>
          <w:bCs/>
        </w:rPr>
        <w:t>Conceptual Frameworks Addressing Privacy Concerns and Data Stress Anxiety</w:t>
      </w:r>
      <w:r w:rsidRPr="00F91479">
        <w:rPr>
          <w:rFonts w:ascii="Times New Roman" w:hAnsi="Times New Roman" w:cs="Times New Roman"/>
        </w:rPr>
        <w:t xml:space="preserve"> </w:t>
      </w:r>
    </w:p>
    <w:p w14:paraId="4B338E47" w14:textId="37FECD50"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rPr>
        <w:t xml:space="preserve">Conceptual models link privacy threats directly to psychological outcomes, framing “data stress anxiety” as a measurable response to perceived loss of control over health information (Yang et al., 2025). Patient privacy concerns arise from re-identification risks in </w:t>
      </w:r>
      <w:r w:rsidR="00273EEE" w:rsidRPr="00F91479">
        <w:rPr>
          <w:rFonts w:ascii="Times New Roman" w:hAnsi="Times New Roman" w:cs="Times New Roman"/>
        </w:rPr>
        <w:t>centralized</w:t>
      </w:r>
      <w:r w:rsidRPr="00F91479">
        <w:rPr>
          <w:rFonts w:ascii="Times New Roman" w:hAnsi="Times New Roman" w:cs="Times New Roman"/>
        </w:rPr>
        <w:t xml:space="preserve"> AI pipelines, prompting frameworks that integrate homomorphic encryption and secure multi-party computation to enable computations on encrypted data without decryption (Williamson &amp; </w:t>
      </w:r>
      <w:proofErr w:type="spellStart"/>
      <w:r w:rsidRPr="00F91479">
        <w:rPr>
          <w:rFonts w:ascii="Times New Roman" w:hAnsi="Times New Roman" w:cs="Times New Roman"/>
        </w:rPr>
        <w:t>Prybutok</w:t>
      </w:r>
      <w:proofErr w:type="spellEnd"/>
      <w:r w:rsidRPr="00F91479">
        <w:rPr>
          <w:rFonts w:ascii="Times New Roman" w:hAnsi="Times New Roman" w:cs="Times New Roman"/>
        </w:rPr>
        <w:t xml:space="preserve">, 2024). In AI-driven monitoring, surveys reveal that anxiety symptoms correlate positively with privacy apprehension, with resilience and family health acting as moderators (Liu et al., 2025). Federated learning conceptually mitigates this by keeping raw images local while </w:t>
      </w:r>
      <w:r w:rsidRPr="00F91479">
        <w:rPr>
          <w:rFonts w:ascii="Times New Roman" w:hAnsi="Times New Roman" w:cs="Times New Roman"/>
        </w:rPr>
        <w:lastRenderedPageBreak/>
        <w:t>sharing only model updates, yet gradient inversion attacks can still reconstruct sensitive visuals, eroding trust (Rehman et al., 2023). Explainable AI layers add conceptual transparency through saliency maps and attention mechanisms, allowing clinicians to verify predictions and patients to understand data usage, thereby reducing anxiety (Van der Velden et al., 2022). These models highlight that privacy-preserving techniques alone insufficiently address the human dimension of anxiety unless paired with auditable, patient-centric governance.</w:t>
      </w:r>
    </w:p>
    <w:p w14:paraId="7DE81272" w14:textId="77777777" w:rsidR="00385BB1" w:rsidRDefault="000A5A16" w:rsidP="00F91479">
      <w:pPr>
        <w:spacing w:line="360" w:lineRule="auto"/>
        <w:jc w:val="both"/>
        <w:rPr>
          <w:rFonts w:ascii="Times New Roman" w:hAnsi="Times New Roman" w:cs="Times New Roman"/>
        </w:rPr>
      </w:pPr>
      <w:r w:rsidRPr="00F91479">
        <w:rPr>
          <w:rFonts w:ascii="Times New Roman" w:hAnsi="Times New Roman" w:cs="Times New Roman"/>
          <w:b/>
          <w:bCs/>
        </w:rPr>
        <w:t>Empirical Advances in Federated Learning and Explainable AI for Medical Imaging</w:t>
      </w:r>
    </w:p>
    <w:p w14:paraId="13E61CC7" w14:textId="286DE01A"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rPr>
        <w:t xml:space="preserve">Empirical studies validate federated learning’s efficacy in collaborative medical imaging while exposing persistent limitations. Multi-institutional experiments on brain </w:t>
      </w:r>
      <w:r w:rsidR="00385BB1" w:rsidRPr="00F91479">
        <w:rPr>
          <w:rFonts w:ascii="Times New Roman" w:hAnsi="Times New Roman" w:cs="Times New Roman"/>
        </w:rPr>
        <w:t>tumor</w:t>
      </w:r>
      <w:r w:rsidRPr="00F91479">
        <w:rPr>
          <w:rFonts w:ascii="Times New Roman" w:hAnsi="Times New Roman" w:cs="Times New Roman"/>
        </w:rPr>
        <w:t xml:space="preserve"> and chest X-ray datasets demonstrate that federated models achieve comparable performance to </w:t>
      </w:r>
      <w:r w:rsidR="00385BB1" w:rsidRPr="00F91479">
        <w:rPr>
          <w:rFonts w:ascii="Times New Roman" w:hAnsi="Times New Roman" w:cs="Times New Roman"/>
        </w:rPr>
        <w:t>centralized</w:t>
      </w:r>
      <w:r w:rsidRPr="00F91479">
        <w:rPr>
          <w:rFonts w:ascii="Times New Roman" w:hAnsi="Times New Roman" w:cs="Times New Roman"/>
        </w:rPr>
        <w:t xml:space="preserve"> counterparts when non-IID data distributions are mitigated through client weighting (Guan et al., 2024). Adversarial robustness evaluations reveal that domain-specific attacks succeed more frequently in federated environments, with success rates rising 25–40% under heterogeneous hospital data (Darzi et al., 2024; </w:t>
      </w:r>
      <w:proofErr w:type="spellStart"/>
      <w:r w:rsidRPr="00F91479">
        <w:rPr>
          <w:rFonts w:ascii="Times New Roman" w:hAnsi="Times New Roman" w:cs="Times New Roman"/>
        </w:rPr>
        <w:t>Alruwaili</w:t>
      </w:r>
      <w:proofErr w:type="spellEnd"/>
      <w:r w:rsidRPr="00F91479">
        <w:rPr>
          <w:rFonts w:ascii="Times New Roman" w:hAnsi="Times New Roman" w:cs="Times New Roman"/>
        </w:rPr>
        <w:t xml:space="preserve"> &amp; </w:t>
      </w:r>
      <w:proofErr w:type="spellStart"/>
      <w:r w:rsidRPr="00F91479">
        <w:rPr>
          <w:rFonts w:ascii="Times New Roman" w:hAnsi="Times New Roman" w:cs="Times New Roman"/>
        </w:rPr>
        <w:t>Moulahi</w:t>
      </w:r>
      <w:proofErr w:type="spellEnd"/>
      <w:r w:rsidRPr="00F91479">
        <w:rPr>
          <w:rFonts w:ascii="Times New Roman" w:hAnsi="Times New Roman" w:cs="Times New Roman"/>
        </w:rPr>
        <w:t>, 2026). Blockchain-augmented federated systems empirically enhance verifiability, recording model updates on immutable ledgers to detect poisoning with 95% precision (Shinde et al., 2026). Explainable AI integration further improves outcomes; ensemble class activation mapping on thoracic radiographs yields interpretable heatmaps that boost clinician confidence without sacrificing accuracy (Abbas et al., 2024). Real-world pilots confirm that differential privacy combined with XAI reduces reconstruction attack success</w:t>
      </w:r>
      <w:r w:rsidR="00385BB1">
        <w:rPr>
          <w:rFonts w:ascii="Times New Roman" w:hAnsi="Times New Roman" w:cs="Times New Roman"/>
        </w:rPr>
        <w:t xml:space="preserve"> </w:t>
      </w:r>
      <w:r w:rsidRPr="00F91479">
        <w:rPr>
          <w:rFonts w:ascii="Times New Roman" w:hAnsi="Times New Roman" w:cs="Times New Roman"/>
        </w:rPr>
        <w:t>while maintaining anxiety-mitigating transparency (Ahmed et al., 2026). Yet most evaluations remain simulation-based, relying on public benchmarks rather than live clinical workflows.</w:t>
      </w:r>
    </w:p>
    <w:p w14:paraId="2A7932D1" w14:textId="77777777" w:rsidR="00385BB1" w:rsidRDefault="000A5A16" w:rsidP="00F91479">
      <w:pPr>
        <w:spacing w:line="360" w:lineRule="auto"/>
        <w:jc w:val="both"/>
        <w:rPr>
          <w:rFonts w:ascii="Times New Roman" w:hAnsi="Times New Roman" w:cs="Times New Roman"/>
        </w:rPr>
      </w:pPr>
      <w:r w:rsidRPr="00F91479">
        <w:rPr>
          <w:rFonts w:ascii="Times New Roman" w:hAnsi="Times New Roman" w:cs="Times New Roman"/>
          <w:b/>
          <w:bCs/>
        </w:rPr>
        <w:t>Identified Gaps and Research Opportunities</w:t>
      </w:r>
      <w:r w:rsidRPr="00F91479">
        <w:rPr>
          <w:rFonts w:ascii="Times New Roman" w:hAnsi="Times New Roman" w:cs="Times New Roman"/>
        </w:rPr>
        <w:t xml:space="preserve"> </w:t>
      </w:r>
    </w:p>
    <w:p w14:paraId="7DEAAFBE" w14:textId="1B50FBDC"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rPr>
        <w:t>Despite substantial progress, critical gaps persist. Few studies jointly optimi</w:t>
      </w:r>
      <w:r w:rsidR="006D3A45">
        <w:rPr>
          <w:rFonts w:ascii="Times New Roman" w:hAnsi="Times New Roman" w:cs="Times New Roman"/>
        </w:rPr>
        <w:t>z</w:t>
      </w:r>
      <w:r w:rsidRPr="00F91479">
        <w:rPr>
          <w:rFonts w:ascii="Times New Roman" w:hAnsi="Times New Roman" w:cs="Times New Roman"/>
        </w:rPr>
        <w:t xml:space="preserve">e adversarial robustness, federated privacy, and anxiety reduction within a single framework, particularly for research using datasets such as ChestX-ray14 or ISIC (Teo et al., 2024; </w:t>
      </w:r>
      <w:proofErr w:type="spellStart"/>
      <w:r w:rsidRPr="00F91479">
        <w:rPr>
          <w:rFonts w:ascii="Times New Roman" w:hAnsi="Times New Roman" w:cs="Times New Roman"/>
        </w:rPr>
        <w:t>Brohi</w:t>
      </w:r>
      <w:proofErr w:type="spellEnd"/>
      <w:r w:rsidRPr="00F91479">
        <w:rPr>
          <w:rFonts w:ascii="Times New Roman" w:hAnsi="Times New Roman" w:cs="Times New Roman"/>
        </w:rPr>
        <w:t xml:space="preserve"> &amp; </w:t>
      </w:r>
      <w:proofErr w:type="spellStart"/>
      <w:r w:rsidRPr="00F91479">
        <w:rPr>
          <w:rFonts w:ascii="Times New Roman" w:hAnsi="Times New Roman" w:cs="Times New Roman"/>
        </w:rPr>
        <w:t>Mastoi</w:t>
      </w:r>
      <w:proofErr w:type="spellEnd"/>
      <w:r w:rsidRPr="00F91479">
        <w:rPr>
          <w:rFonts w:ascii="Times New Roman" w:hAnsi="Times New Roman" w:cs="Times New Roman"/>
        </w:rPr>
        <w:t xml:space="preserve">, 2025). Theoretical </w:t>
      </w:r>
      <w:r w:rsidR="00385BB1" w:rsidRPr="00F91479">
        <w:rPr>
          <w:rFonts w:ascii="Times New Roman" w:hAnsi="Times New Roman" w:cs="Times New Roman"/>
        </w:rPr>
        <w:t>defenses</w:t>
      </w:r>
      <w:r w:rsidRPr="00F91479">
        <w:rPr>
          <w:rFonts w:ascii="Times New Roman" w:hAnsi="Times New Roman" w:cs="Times New Roman"/>
        </w:rPr>
        <w:t xml:space="preserve"> rarely translate to empirical gains across white-box, black-box, and poisoning scenarios simultaneously, and conceptual models of data stress anxiety seldom incorporate quantitative patient metrics alongside technical performance (Yang et al., 2025; Liu et al., 2025). Empirical work overlooks blockchain-XAI synergies for auditable explanations and under-</w:t>
      </w:r>
      <w:r w:rsidRPr="00F91479">
        <w:rPr>
          <w:rFonts w:ascii="Times New Roman" w:hAnsi="Times New Roman" w:cs="Times New Roman"/>
        </w:rPr>
        <w:lastRenderedPageBreak/>
        <w:t xml:space="preserve">explores stable diffusion </w:t>
      </w:r>
      <w:r w:rsidR="00385BB1" w:rsidRPr="00F91479">
        <w:rPr>
          <w:rFonts w:ascii="Times New Roman" w:hAnsi="Times New Roman" w:cs="Times New Roman"/>
        </w:rPr>
        <w:t>defenses</w:t>
      </w:r>
      <w:r w:rsidRPr="00F91479">
        <w:rPr>
          <w:rFonts w:ascii="Times New Roman" w:hAnsi="Times New Roman" w:cs="Times New Roman"/>
        </w:rPr>
        <w:t xml:space="preserve"> in federated medical imaging (Shinde et al., 2026; </w:t>
      </w:r>
      <w:proofErr w:type="spellStart"/>
      <w:r w:rsidRPr="00F91479">
        <w:rPr>
          <w:rFonts w:ascii="Times New Roman" w:hAnsi="Times New Roman" w:cs="Times New Roman"/>
        </w:rPr>
        <w:t>Baniecki</w:t>
      </w:r>
      <w:proofErr w:type="spellEnd"/>
      <w:r w:rsidRPr="00F91479">
        <w:rPr>
          <w:rFonts w:ascii="Times New Roman" w:hAnsi="Times New Roman" w:cs="Times New Roman"/>
        </w:rPr>
        <w:t xml:space="preserve"> &amp; </w:t>
      </w:r>
      <w:proofErr w:type="spellStart"/>
      <w:r w:rsidRPr="00F91479">
        <w:rPr>
          <w:rFonts w:ascii="Times New Roman" w:hAnsi="Times New Roman" w:cs="Times New Roman"/>
        </w:rPr>
        <w:t>Biecek</w:t>
      </w:r>
      <w:proofErr w:type="spellEnd"/>
      <w:r w:rsidRPr="00F91479">
        <w:rPr>
          <w:rFonts w:ascii="Times New Roman" w:hAnsi="Times New Roman" w:cs="Times New Roman"/>
        </w:rPr>
        <w:t>, 2024). Scalability, communication overhead, and data revocation in dynamic healthcare networks remain unaddressed, while most XAI robustness tests ignore natural noise such as JPEG compression common in clinical pipelines (Ahmed et al., 2026; Van der Velden et al., 2022). These shortcomings create opportunities for hybrid frameworks that embed adversarial training, differential privacy, and explainable outputs within federated architectures, evaluated through simulated attacks and perception surveys. Such integration would bridge the technical–psychological divide, advancing trustworthy AI deployment and directly supporting the robust, privacy-centric objectives</w:t>
      </w:r>
      <w:r w:rsidR="00385BB1">
        <w:rPr>
          <w:rFonts w:ascii="Times New Roman" w:hAnsi="Times New Roman" w:cs="Times New Roman"/>
        </w:rPr>
        <w:t xml:space="preserve"> of the research</w:t>
      </w:r>
      <w:r w:rsidRPr="00F91479">
        <w:rPr>
          <w:rFonts w:ascii="Times New Roman" w:hAnsi="Times New Roman" w:cs="Times New Roman"/>
        </w:rPr>
        <w:t>.</w:t>
      </w:r>
    </w:p>
    <w:p w14:paraId="3CB6D135" w14:textId="77777777" w:rsidR="000A5A16" w:rsidRPr="00F91479" w:rsidRDefault="000A5A16" w:rsidP="00F91479">
      <w:pPr>
        <w:spacing w:line="360" w:lineRule="auto"/>
        <w:jc w:val="both"/>
        <w:rPr>
          <w:rFonts w:ascii="Times New Roman" w:hAnsi="Times New Roman" w:cs="Times New Roman"/>
        </w:rPr>
      </w:pPr>
    </w:p>
    <w:p w14:paraId="74C74200" w14:textId="77777777"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b/>
          <w:bCs/>
        </w:rPr>
        <w:t>3.</w:t>
      </w:r>
      <w:r w:rsidRPr="00F91479">
        <w:rPr>
          <w:rFonts w:ascii="Times New Roman" w:hAnsi="Times New Roman" w:cs="Times New Roman"/>
          <w:b/>
          <w:bCs/>
        </w:rPr>
        <w:tab/>
        <w:t>Research Methodology</w:t>
      </w:r>
    </w:p>
    <w:p w14:paraId="1B3BDD35" w14:textId="0BB45BFA"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rPr>
        <w:t>Th</w:t>
      </w:r>
      <w:r w:rsidR="00385BB1">
        <w:rPr>
          <w:rFonts w:ascii="Times New Roman" w:hAnsi="Times New Roman" w:cs="Times New Roman"/>
        </w:rPr>
        <w:t>e methodology</w:t>
      </w:r>
      <w:r w:rsidRPr="00F91479">
        <w:rPr>
          <w:rFonts w:ascii="Times New Roman" w:hAnsi="Times New Roman" w:cs="Times New Roman"/>
        </w:rPr>
        <w:t xml:space="preserve"> outlines the</w:t>
      </w:r>
      <w:r w:rsidR="00385BB1">
        <w:rPr>
          <w:rFonts w:ascii="Times New Roman" w:hAnsi="Times New Roman" w:cs="Times New Roman"/>
        </w:rPr>
        <w:t xml:space="preserve"> </w:t>
      </w:r>
      <w:r w:rsidRPr="00F91479">
        <w:rPr>
          <w:rFonts w:ascii="Times New Roman" w:hAnsi="Times New Roman" w:cs="Times New Roman"/>
        </w:rPr>
        <w:t xml:space="preserve">framework for developing and evaluating robust healthcare AI frameworks that mitigate adversarial attacks and personal data stress anxiety in medical imaging applications. The approach builds on the identified challenges of model vulnerability and privacy-induced psychological burden by employing a quantitative, simulation-driven experimental design. It </w:t>
      </w:r>
      <w:r w:rsidR="00385BB1" w:rsidRPr="00F91479">
        <w:rPr>
          <w:rFonts w:ascii="Times New Roman" w:hAnsi="Times New Roman" w:cs="Times New Roman"/>
        </w:rPr>
        <w:t>utilizes</w:t>
      </w:r>
      <w:r w:rsidRPr="00F91479">
        <w:rPr>
          <w:rFonts w:ascii="Times New Roman" w:hAnsi="Times New Roman" w:cs="Times New Roman"/>
        </w:rPr>
        <w:t xml:space="preserve"> publicly accessible medical imaging datasets to enable reproducible</w:t>
      </w:r>
      <w:r w:rsidR="00F91479">
        <w:rPr>
          <w:rFonts w:ascii="Times New Roman" w:hAnsi="Times New Roman" w:cs="Times New Roman"/>
        </w:rPr>
        <w:t xml:space="preserve"> and </w:t>
      </w:r>
      <w:r w:rsidRPr="00F91479">
        <w:rPr>
          <w:rFonts w:ascii="Times New Roman" w:hAnsi="Times New Roman" w:cs="Times New Roman"/>
        </w:rPr>
        <w:t>implementation</w:t>
      </w:r>
      <w:r w:rsidR="00385BB1">
        <w:rPr>
          <w:rFonts w:ascii="Times New Roman" w:hAnsi="Times New Roman" w:cs="Times New Roman"/>
        </w:rPr>
        <w:t>. This</w:t>
      </w:r>
      <w:r w:rsidRPr="00F91479">
        <w:rPr>
          <w:rFonts w:ascii="Times New Roman" w:hAnsi="Times New Roman" w:cs="Times New Roman"/>
        </w:rPr>
        <w:t xml:space="preserve"> align</w:t>
      </w:r>
      <w:r w:rsidR="00385BB1">
        <w:rPr>
          <w:rFonts w:ascii="Times New Roman" w:hAnsi="Times New Roman" w:cs="Times New Roman"/>
        </w:rPr>
        <w:t>s</w:t>
      </w:r>
      <w:r w:rsidRPr="00F91479">
        <w:rPr>
          <w:rFonts w:ascii="Times New Roman" w:hAnsi="Times New Roman" w:cs="Times New Roman"/>
        </w:rPr>
        <w:t xml:space="preserve"> with the aim of designing hybrid federated learning and explainable AI systems that enhance robustness and reduce perceived data-related anxiety through privacy-preserving mechanisms (Darzi et al., 2024; Adnan et al., 2022).</w:t>
      </w:r>
    </w:p>
    <w:p w14:paraId="62A2009C" w14:textId="0CB2A28B"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rPr>
        <w:t xml:space="preserve">The research adopts an iterative simulation-based design consisting of three interconnected phases. The first phase involves baseline model training on clean data using convolutional neural network architectures suitable for chest X-ray analysis. The second phase introduces adversarial perturbations to simulate real-world threats such as evasion and poisoning attacks. The third phase integrates </w:t>
      </w:r>
      <w:r w:rsidR="000F6B07" w:rsidRPr="00F91479">
        <w:rPr>
          <w:rFonts w:ascii="Times New Roman" w:hAnsi="Times New Roman" w:cs="Times New Roman"/>
        </w:rPr>
        <w:t>defense</w:t>
      </w:r>
      <w:r w:rsidRPr="00F91479">
        <w:rPr>
          <w:rFonts w:ascii="Times New Roman" w:hAnsi="Times New Roman" w:cs="Times New Roman"/>
        </w:rPr>
        <w:t xml:space="preserve"> mechanisms, including adversarial training, differential privacy, and explainable artificial intelligence components, to assess improvements in both technical robustness and proxy measures of anxiety mitigation. A hybrid architecture extends the standard federated averaging algorithm with adversarial training and SHAP-based explanations. Client clustering addresses non-independent and identically distributed data distributions common in healthcare settings, promoting </w:t>
      </w:r>
      <w:r w:rsidR="000F6B07" w:rsidRPr="00F91479">
        <w:rPr>
          <w:rFonts w:ascii="Times New Roman" w:hAnsi="Times New Roman" w:cs="Times New Roman"/>
        </w:rPr>
        <w:t>generalizability</w:t>
      </w:r>
      <w:r w:rsidRPr="00F91479">
        <w:rPr>
          <w:rFonts w:ascii="Times New Roman" w:hAnsi="Times New Roman" w:cs="Times New Roman"/>
        </w:rPr>
        <w:t xml:space="preserve"> across simulated institutional silos (Guan et al., 2024; Tzortzis et al., 2025).</w:t>
      </w:r>
    </w:p>
    <w:p w14:paraId="7BFE5003" w14:textId="77777777"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b/>
          <w:bCs/>
        </w:rPr>
        <w:lastRenderedPageBreak/>
        <w:t>Data Sources</w:t>
      </w:r>
    </w:p>
    <w:p w14:paraId="66508025" w14:textId="77777777"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rPr>
        <w:t xml:space="preserve">Data sources comprise openly available medical imaging repositories that support simulation of federated environments without requiring direct patient interaction or physical infrastructure. Key repositories include the MIMIC-CXR dataset containing 377,110 chest X-ray images with 14 diagnostic labels focused on conditions such as pneumonia and cardiomegaly, and the </w:t>
      </w:r>
      <w:proofErr w:type="spellStart"/>
      <w:r w:rsidRPr="00F91479">
        <w:rPr>
          <w:rFonts w:ascii="Times New Roman" w:hAnsi="Times New Roman" w:cs="Times New Roman"/>
        </w:rPr>
        <w:t>CheXpert</w:t>
      </w:r>
      <w:proofErr w:type="spellEnd"/>
      <w:r w:rsidRPr="00F91479">
        <w:rPr>
          <w:rFonts w:ascii="Times New Roman" w:hAnsi="Times New Roman" w:cs="Times New Roman"/>
        </w:rPr>
        <w:t xml:space="preserve"> dataset with 224,316 images accompanied by uncertainty-aware labels for 14 conditions. Supplementary sources encompass the NIH Chest X-ray dataset with 112,120 images and the </w:t>
      </w:r>
      <w:proofErr w:type="spellStart"/>
      <w:r w:rsidRPr="00F91479">
        <w:rPr>
          <w:rFonts w:ascii="Times New Roman" w:hAnsi="Times New Roman" w:cs="Times New Roman"/>
        </w:rPr>
        <w:t>PadChest</w:t>
      </w:r>
      <w:proofErr w:type="spellEnd"/>
      <w:r w:rsidRPr="00F91479">
        <w:rPr>
          <w:rFonts w:ascii="Times New Roman" w:hAnsi="Times New Roman" w:cs="Times New Roman"/>
        </w:rPr>
        <w:t xml:space="preserve"> dataset featuring approximately 160,000 multi-label chest radiographs. These resources facilitate partitioning across simulated clients to replicate multi-institutional collaboration while maintaining data locality (Johnson et al., 2019; Irvin et al., 2019).</w:t>
      </w:r>
    </w:p>
    <w:p w14:paraId="3950EB6D" w14:textId="4696B4C8"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rPr>
        <w:t xml:space="preserve">Datasets undergo preprocessing steps that include pixel </w:t>
      </w:r>
      <w:r w:rsidR="000F6B07" w:rsidRPr="00F91479">
        <w:rPr>
          <w:rFonts w:ascii="Times New Roman" w:hAnsi="Times New Roman" w:cs="Times New Roman"/>
        </w:rPr>
        <w:t>normalization</w:t>
      </w:r>
      <w:r w:rsidRPr="00F91479">
        <w:rPr>
          <w:rFonts w:ascii="Times New Roman" w:hAnsi="Times New Roman" w:cs="Times New Roman"/>
        </w:rPr>
        <w:t xml:space="preserve"> expressed as</w:t>
      </w:r>
      <w:r w:rsidR="000F6B07">
        <w:rPr>
          <w:rFonts w:ascii="Times New Roman" w:hAnsi="Times New Roman" w:cs="Times New Roman"/>
        </w:rPr>
        <w:t>:</w:t>
      </w:r>
      <w:r w:rsidRPr="00F91479">
        <w:rPr>
          <w:rFonts w:ascii="Times New Roman" w:hAnsi="Times New Roman" w:cs="Times New Roman"/>
        </w:rPr>
        <w:t xml:space="preserve"> </w:t>
      </w:r>
      <m:oMath>
        <m:sSup>
          <m:sSupPr>
            <m:ctrlPr>
              <w:rPr>
                <w:rFonts w:ascii="Cambria Math" w:hAnsi="Cambria Math" w:cs="Times New Roman"/>
              </w:rPr>
            </m:ctrlPr>
          </m:sSupPr>
          <m:e>
            <m:r>
              <w:rPr>
                <w:rFonts w:ascii="Cambria Math" w:hAnsi="Cambria Math" w:cs="Times New Roman"/>
              </w:rPr>
              <m:t>x</m:t>
            </m:r>
          </m:e>
          <m:sup>
            <m:r>
              <m:rPr>
                <m:sty m:val="p"/>
              </m:rPr>
              <w:rPr>
                <w:rFonts w:ascii="Cambria Math" w:hAnsi="Cambria Math" w:cs="Times New Roman"/>
              </w:rPr>
              <m:t>'</m:t>
            </m:r>
          </m:sup>
        </m:sSup>
        <m:r>
          <w:rPr>
            <w:rFonts w:ascii="Cambria Math" w:hAnsi="Cambria Math" w:cs="Times New Roman"/>
          </w:rPr>
          <m:t>=</m:t>
        </m:r>
        <m:f>
          <m:fPr>
            <m:ctrlPr>
              <w:rPr>
                <w:rFonts w:ascii="Cambria Math" w:hAnsi="Cambria Math" w:cs="Times New Roman"/>
              </w:rPr>
            </m:ctrlPr>
          </m:fPr>
          <m:num>
            <m:r>
              <w:rPr>
                <w:rFonts w:ascii="Cambria Math" w:hAnsi="Cambria Math" w:cs="Times New Roman"/>
              </w:rPr>
              <m:t>x-μ</m:t>
            </m:r>
          </m:num>
          <m:den>
            <m:r>
              <w:rPr>
                <w:rFonts w:ascii="Cambria Math" w:hAnsi="Cambria Math" w:cs="Times New Roman"/>
              </w:rPr>
              <m:t>σ</m:t>
            </m:r>
          </m:den>
        </m:f>
      </m:oMath>
      <w:r w:rsidRPr="00F91479">
        <w:rPr>
          <w:rFonts w:ascii="Times New Roman" w:hAnsi="Times New Roman" w:cs="Times New Roman"/>
        </w:rPr>
        <w:t xml:space="preserve">, where </w:t>
      </w:r>
      <m:oMath>
        <m:r>
          <w:rPr>
            <w:rFonts w:ascii="Cambria Math" w:hAnsi="Cambria Math" w:cs="Times New Roman"/>
          </w:rPr>
          <m:t>x</m:t>
        </m:r>
      </m:oMath>
      <w:r w:rsidR="000F6B07">
        <w:rPr>
          <w:rFonts w:ascii="Times New Roman" w:eastAsiaTheme="minorEastAsia" w:hAnsi="Times New Roman" w:cs="Times New Roman"/>
        </w:rPr>
        <w:t xml:space="preserve"> </w:t>
      </w:r>
      <w:r w:rsidRPr="00F91479">
        <w:rPr>
          <w:rFonts w:ascii="Times New Roman" w:hAnsi="Times New Roman" w:cs="Times New Roman"/>
        </w:rPr>
        <w:t xml:space="preserve">represents the original pixel intensity, </w:t>
      </w:r>
      <m:oMath>
        <m:r>
          <w:rPr>
            <w:rFonts w:ascii="Cambria Math" w:hAnsi="Cambria Math" w:cs="Times New Roman"/>
          </w:rPr>
          <m:t>μ</m:t>
        </m:r>
      </m:oMath>
      <w:r w:rsidRPr="00F91479">
        <w:rPr>
          <w:rFonts w:ascii="Times New Roman" w:hAnsi="Times New Roman" w:cs="Times New Roman"/>
        </w:rPr>
        <w:t xml:space="preserve">denotes the mean intensity, and </w:t>
      </w:r>
      <m:oMath>
        <m:r>
          <w:rPr>
            <w:rFonts w:ascii="Cambria Math" w:hAnsi="Cambria Math" w:cs="Times New Roman"/>
          </w:rPr>
          <m:t>σ</m:t>
        </m:r>
      </m:oMath>
      <w:r w:rsidRPr="00F91479">
        <w:rPr>
          <w:rFonts w:ascii="Times New Roman" w:hAnsi="Times New Roman" w:cs="Times New Roman"/>
        </w:rPr>
        <w:t>is the standard deviation. Images are resized to 224 by 224 pixels and augmented through random rotations and horizontal flipping to improve model generalisation. Partitioning creates non-independent and identically distributed distributions across 10 simulated clients using label skew ratios such as 80/20 to emulate heterogeneous hospital environments. All access complies with respective dataset licences through established public APIs, ensuring ethical reproducibility in remote research contexts (</w:t>
      </w:r>
      <w:proofErr w:type="spellStart"/>
      <w:r w:rsidRPr="00F91479">
        <w:rPr>
          <w:rFonts w:ascii="Times New Roman" w:hAnsi="Times New Roman" w:cs="Times New Roman"/>
        </w:rPr>
        <w:t>Ghamizi</w:t>
      </w:r>
      <w:proofErr w:type="spellEnd"/>
      <w:r w:rsidRPr="00F91479">
        <w:rPr>
          <w:rFonts w:ascii="Times New Roman" w:hAnsi="Times New Roman" w:cs="Times New Roman"/>
        </w:rPr>
        <w:t xml:space="preserve"> et al., 2023; </w:t>
      </w:r>
      <w:proofErr w:type="spellStart"/>
      <w:r w:rsidRPr="00F91479">
        <w:rPr>
          <w:rFonts w:ascii="Times New Roman" w:hAnsi="Times New Roman" w:cs="Times New Roman"/>
        </w:rPr>
        <w:t>Onireti</w:t>
      </w:r>
      <w:proofErr w:type="spellEnd"/>
      <w:r w:rsidRPr="00F91479">
        <w:rPr>
          <w:rFonts w:ascii="Times New Roman" w:hAnsi="Times New Roman" w:cs="Times New Roman"/>
        </w:rPr>
        <w:t xml:space="preserve"> et al., 2025).</w:t>
      </w:r>
    </w:p>
    <w:p w14:paraId="70648239" w14:textId="77777777"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b/>
          <w:bCs/>
        </w:rPr>
        <w:t>Analytical Approaches and Proposed Framework</w:t>
      </w:r>
    </w:p>
    <w:p w14:paraId="5AE4A570" w14:textId="15E83B54"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rPr>
        <w:t xml:space="preserve">Analytical procedures </w:t>
      </w:r>
      <w:r w:rsidR="000F6B07" w:rsidRPr="00F91479">
        <w:rPr>
          <w:rFonts w:ascii="Times New Roman" w:hAnsi="Times New Roman" w:cs="Times New Roman"/>
        </w:rPr>
        <w:t>center</w:t>
      </w:r>
      <w:r w:rsidRPr="00F91479">
        <w:rPr>
          <w:rFonts w:ascii="Times New Roman" w:hAnsi="Times New Roman" w:cs="Times New Roman"/>
        </w:rPr>
        <w:t xml:space="preserve"> on federated learning algorithms enhanced for robustness against adversarial threats while incorporating privacy safeguards that indirectly support reduced data stress anxiety. The baseline employs the federated averaging algorithm, denoted as </w:t>
      </w:r>
      <w:proofErr w:type="spellStart"/>
      <w:r w:rsidRPr="00F91479">
        <w:rPr>
          <w:rFonts w:ascii="Times New Roman" w:hAnsi="Times New Roman" w:cs="Times New Roman"/>
        </w:rPr>
        <w:t>FedAvg</w:t>
      </w:r>
      <w:proofErr w:type="spellEnd"/>
      <w:r w:rsidRPr="00F91479">
        <w:rPr>
          <w:rFonts w:ascii="Times New Roman" w:hAnsi="Times New Roman" w:cs="Times New Roman"/>
        </w:rPr>
        <w:t xml:space="preserve">, in which the global model weights at round </w:t>
      </w:r>
      <m:oMath>
        <m:r>
          <w:rPr>
            <w:rFonts w:ascii="Cambria Math" w:hAnsi="Cambria Math" w:cs="Times New Roman"/>
          </w:rPr>
          <m:t>t+1</m:t>
        </m:r>
      </m:oMath>
      <w:r w:rsidR="000F6B07">
        <w:rPr>
          <w:rFonts w:ascii="Times New Roman" w:eastAsiaTheme="minorEastAsia" w:hAnsi="Times New Roman" w:cs="Times New Roman"/>
        </w:rPr>
        <w:t xml:space="preserve"> </w:t>
      </w:r>
      <w:r w:rsidRPr="00F91479">
        <w:rPr>
          <w:rFonts w:ascii="Times New Roman" w:hAnsi="Times New Roman" w:cs="Times New Roman"/>
        </w:rPr>
        <w:t>are computed as:</w:t>
      </w:r>
    </w:p>
    <w:p w14:paraId="10ABA6B6" w14:textId="77777777" w:rsidR="000A5A16" w:rsidRPr="00F91479" w:rsidRDefault="00AD3EAD" w:rsidP="00F91479">
      <w:pPr>
        <w:spacing w:line="36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t</m:t>
              </m:r>
              <m:r>
                <w:rPr>
                  <w:rFonts w:ascii="Cambria Math" w:hAnsi="Cambria Math" w:cs="Times New Roman"/>
                </w:rPr>
                <m:t>+1</m:t>
              </m:r>
            </m:sub>
          </m:sSub>
          <m:r>
            <w:rPr>
              <w:rFonts w:ascii="Cambria Math" w:hAnsi="Cambria Math" w:cs="Times New Roman"/>
            </w:rPr>
            <m:t>=</m:t>
          </m:r>
          <m:nary>
            <m:naryPr>
              <m:chr m:val="∑"/>
              <m:limLoc m:val="subSup"/>
              <m:grow m:val="1"/>
              <m:ctrlPr>
                <w:rPr>
                  <w:rFonts w:ascii="Cambria Math" w:hAnsi="Cambria Math" w:cs="Times New Roman"/>
                </w:rPr>
              </m:ctrlPr>
            </m:naryPr>
            <m:sub>
              <m:r>
                <w:rPr>
                  <w:rFonts w:ascii="Cambria Math" w:hAnsi="Cambria Math" w:cs="Times New Roman"/>
                </w:rPr>
                <m:t>k</m:t>
              </m:r>
              <m:r>
                <w:rPr>
                  <w:rFonts w:ascii="Cambria Math" w:hAnsi="Cambria Math" w:cs="Times New Roman"/>
                </w:rPr>
                <m:t>=1</m:t>
              </m:r>
            </m:sub>
            <m:sup>
              <m:r>
                <w:rPr>
                  <w:rFonts w:ascii="Cambria Math" w:hAnsi="Cambria Math" w:cs="Times New Roman"/>
                </w:rPr>
                <m:t>K</m:t>
              </m:r>
            </m:sup>
            <m:e>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k</m:t>
                      </m:r>
                    </m:sub>
                  </m:sSub>
                </m:num>
                <m:den>
                  <m:r>
                    <w:rPr>
                      <w:rFonts w:ascii="Cambria Math" w:hAnsi="Cambria Math" w:cs="Times New Roman"/>
                    </w:rPr>
                    <m:t>n</m:t>
                  </m:r>
                </m:den>
              </m:f>
            </m:e>
          </m:nary>
          <m:sSubSup>
            <m:sSubSupPr>
              <m:ctrlPr>
                <w:rPr>
                  <w:rFonts w:ascii="Cambria Math" w:hAnsi="Cambria Math" w:cs="Times New Roman"/>
                </w:rPr>
              </m:ctrlPr>
            </m:sSubSupPr>
            <m:e>
              <m:r>
                <w:rPr>
                  <w:rFonts w:ascii="Cambria Math" w:hAnsi="Cambria Math" w:cs="Times New Roman"/>
                </w:rPr>
                <m:t>w</m:t>
              </m:r>
            </m:e>
            <m:sub>
              <m:r>
                <w:rPr>
                  <w:rFonts w:ascii="Cambria Math" w:hAnsi="Cambria Math" w:cs="Times New Roman"/>
                </w:rPr>
                <m:t>t</m:t>
              </m:r>
              <m:r>
                <w:rPr>
                  <w:rFonts w:ascii="Cambria Math" w:hAnsi="Cambria Math" w:cs="Times New Roman"/>
                </w:rPr>
                <m:t>+1</m:t>
              </m:r>
            </m:sub>
            <m:sup>
              <m:r>
                <w:rPr>
                  <w:rFonts w:ascii="Cambria Math" w:hAnsi="Cambria Math" w:cs="Times New Roman"/>
                </w:rPr>
                <m:t>k</m:t>
              </m:r>
            </m:sup>
          </m:sSubSup>
        </m:oMath>
      </m:oMathPara>
    </w:p>
    <w:p w14:paraId="2427529C" w14:textId="71F32ED2"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rPr>
        <w:t xml:space="preserve">Here, </w:t>
      </w: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t+1</m:t>
            </m:r>
          </m:sub>
        </m:sSub>
      </m:oMath>
      <w:r w:rsidR="000F6B07">
        <w:rPr>
          <w:rFonts w:ascii="Times New Roman" w:eastAsiaTheme="minorEastAsia" w:hAnsi="Times New Roman" w:cs="Times New Roman"/>
        </w:rPr>
        <w:t xml:space="preserve"> </w:t>
      </w:r>
      <w:r w:rsidRPr="00F91479">
        <w:rPr>
          <w:rFonts w:ascii="Times New Roman" w:hAnsi="Times New Roman" w:cs="Times New Roman"/>
        </w:rPr>
        <w:t xml:space="preserve">represents the updated global weights, </w:t>
      </w:r>
      <m:oMath>
        <m:sSubSup>
          <m:sSubSupPr>
            <m:ctrlPr>
              <w:rPr>
                <w:rFonts w:ascii="Cambria Math" w:hAnsi="Cambria Math" w:cs="Times New Roman"/>
              </w:rPr>
            </m:ctrlPr>
          </m:sSubSupPr>
          <m:e>
            <m:r>
              <w:rPr>
                <w:rFonts w:ascii="Cambria Math" w:hAnsi="Cambria Math" w:cs="Times New Roman"/>
              </w:rPr>
              <m:t>w</m:t>
            </m:r>
          </m:e>
          <m:sub>
            <m:r>
              <w:rPr>
                <w:rFonts w:ascii="Cambria Math" w:hAnsi="Cambria Math" w:cs="Times New Roman"/>
              </w:rPr>
              <m:t>t+1</m:t>
            </m:r>
          </m:sub>
          <m:sup>
            <m:r>
              <w:rPr>
                <w:rFonts w:ascii="Cambria Math" w:hAnsi="Cambria Math" w:cs="Times New Roman"/>
              </w:rPr>
              <m:t>k</m:t>
            </m:r>
          </m:sup>
        </m:sSubSup>
      </m:oMath>
      <w:r w:rsidR="000F6B07">
        <w:rPr>
          <w:rFonts w:ascii="Times New Roman" w:eastAsiaTheme="minorEastAsia" w:hAnsi="Times New Roman" w:cs="Times New Roman"/>
        </w:rPr>
        <w:t xml:space="preserve"> </w:t>
      </w:r>
      <w:r w:rsidRPr="00F91479">
        <w:rPr>
          <w:rFonts w:ascii="Times New Roman" w:hAnsi="Times New Roman" w:cs="Times New Roman"/>
        </w:rPr>
        <w:t xml:space="preserve">denotes the local weights from client </w:t>
      </w:r>
      <m:oMath>
        <m:r>
          <w:rPr>
            <w:rFonts w:ascii="Cambria Math" w:hAnsi="Cambria Math" w:cs="Times New Roman"/>
          </w:rPr>
          <m:t>k</m:t>
        </m:r>
      </m:oMath>
      <w:r w:rsidRPr="00F91479">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k</m:t>
            </m:r>
          </m:sub>
        </m:sSub>
      </m:oMath>
      <w:r w:rsidR="000F6B07">
        <w:rPr>
          <w:rFonts w:ascii="Times New Roman" w:eastAsiaTheme="minorEastAsia" w:hAnsi="Times New Roman" w:cs="Times New Roman"/>
        </w:rPr>
        <w:t xml:space="preserve"> </w:t>
      </w:r>
      <w:r w:rsidRPr="00F91479">
        <w:rPr>
          <w:rFonts w:ascii="Times New Roman" w:hAnsi="Times New Roman" w:cs="Times New Roman"/>
        </w:rPr>
        <w:t xml:space="preserve">is the number of samples on client </w:t>
      </w:r>
      <m:oMath>
        <m:r>
          <w:rPr>
            <w:rFonts w:ascii="Cambria Math" w:hAnsi="Cambria Math" w:cs="Times New Roman"/>
          </w:rPr>
          <m:t>k</m:t>
        </m:r>
      </m:oMath>
      <w:r w:rsidRPr="00F91479">
        <w:rPr>
          <w:rFonts w:ascii="Times New Roman" w:hAnsi="Times New Roman" w:cs="Times New Roman"/>
        </w:rPr>
        <w:t xml:space="preserve">, </w:t>
      </w:r>
      <m:oMath>
        <m:r>
          <w:rPr>
            <w:rFonts w:ascii="Cambria Math" w:hAnsi="Cambria Math" w:cs="Times New Roman"/>
          </w:rPr>
          <m:t>n</m:t>
        </m:r>
      </m:oMath>
      <w:r w:rsidR="000F6B07">
        <w:rPr>
          <w:rFonts w:ascii="Times New Roman" w:eastAsiaTheme="minorEastAsia" w:hAnsi="Times New Roman" w:cs="Times New Roman"/>
        </w:rPr>
        <w:t xml:space="preserve"> </w:t>
      </w:r>
      <w:r w:rsidRPr="00F91479">
        <w:rPr>
          <w:rFonts w:ascii="Times New Roman" w:hAnsi="Times New Roman" w:cs="Times New Roman"/>
        </w:rPr>
        <w:t xml:space="preserve">is the total number of samples across all clients, and </w:t>
      </w:r>
      <m:oMath>
        <m:r>
          <w:rPr>
            <w:rFonts w:ascii="Cambria Math" w:hAnsi="Cambria Math" w:cs="Times New Roman"/>
          </w:rPr>
          <m:t>K</m:t>
        </m:r>
      </m:oMath>
      <w:r w:rsidR="000F6B07">
        <w:rPr>
          <w:rFonts w:ascii="Times New Roman" w:eastAsiaTheme="minorEastAsia" w:hAnsi="Times New Roman" w:cs="Times New Roman"/>
        </w:rPr>
        <w:t xml:space="preserve"> </w:t>
      </w:r>
      <w:r w:rsidRPr="00F91479">
        <w:rPr>
          <w:rFonts w:ascii="Times New Roman" w:hAnsi="Times New Roman" w:cs="Times New Roman"/>
        </w:rPr>
        <w:t>is the number of participating clients.</w:t>
      </w:r>
    </w:p>
    <w:p w14:paraId="1398F0E2" w14:textId="67DF7F60"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rPr>
        <w:lastRenderedPageBreak/>
        <w:t xml:space="preserve">The proposed </w:t>
      </w:r>
      <w:proofErr w:type="spellStart"/>
      <w:r w:rsidRPr="00F91479">
        <w:rPr>
          <w:rFonts w:ascii="Times New Roman" w:hAnsi="Times New Roman" w:cs="Times New Roman"/>
        </w:rPr>
        <w:t>RobustFL</w:t>
      </w:r>
      <w:proofErr w:type="spellEnd"/>
      <w:r w:rsidRPr="00F91479">
        <w:rPr>
          <w:rFonts w:ascii="Times New Roman" w:hAnsi="Times New Roman" w:cs="Times New Roman"/>
        </w:rPr>
        <w:t xml:space="preserve"> framework extends </w:t>
      </w:r>
      <w:proofErr w:type="spellStart"/>
      <w:r w:rsidRPr="00F91479">
        <w:rPr>
          <w:rFonts w:ascii="Times New Roman" w:hAnsi="Times New Roman" w:cs="Times New Roman"/>
        </w:rPr>
        <w:t>FedAvg</w:t>
      </w:r>
      <w:proofErr w:type="spellEnd"/>
      <w:r w:rsidRPr="00F91479">
        <w:rPr>
          <w:rFonts w:ascii="Times New Roman" w:hAnsi="Times New Roman" w:cs="Times New Roman"/>
        </w:rPr>
        <w:t xml:space="preserve"> into a hybrid </w:t>
      </w:r>
      <w:proofErr w:type="spellStart"/>
      <w:r w:rsidRPr="00F91479">
        <w:rPr>
          <w:rFonts w:ascii="Times New Roman" w:hAnsi="Times New Roman" w:cs="Times New Roman"/>
        </w:rPr>
        <w:t>FedAT</w:t>
      </w:r>
      <w:proofErr w:type="spellEnd"/>
      <w:r w:rsidRPr="00F91479">
        <w:rPr>
          <w:rFonts w:ascii="Times New Roman" w:hAnsi="Times New Roman" w:cs="Times New Roman"/>
        </w:rPr>
        <w:t xml:space="preserve"> (Federated Adversarial Training) variant. Local clients perform min-max </w:t>
      </w:r>
      <w:r w:rsidR="000F6B07" w:rsidRPr="00F91479">
        <w:rPr>
          <w:rFonts w:ascii="Times New Roman" w:hAnsi="Times New Roman" w:cs="Times New Roman"/>
        </w:rPr>
        <w:t>optimization</w:t>
      </w:r>
      <w:r w:rsidRPr="00F91479">
        <w:rPr>
          <w:rFonts w:ascii="Times New Roman" w:hAnsi="Times New Roman" w:cs="Times New Roman"/>
        </w:rPr>
        <w:t xml:space="preserve"> to enhance robustness:</w:t>
      </w:r>
    </w:p>
    <w:p w14:paraId="6D5DC925" w14:textId="77777777" w:rsidR="000A5A16" w:rsidRPr="00F91479" w:rsidRDefault="00AD3EAD" w:rsidP="00F91479">
      <w:pPr>
        <w:spacing w:line="360" w:lineRule="auto"/>
        <w:jc w:val="both"/>
        <w:rPr>
          <w:rFonts w:ascii="Times New Roman" w:hAnsi="Times New Roman" w:cs="Times New Roman"/>
        </w:rPr>
      </w:pPr>
      <m:oMathPara>
        <m:oMath>
          <m:sSub>
            <m:sSubPr>
              <m:ctrlPr>
                <w:rPr>
                  <w:rFonts w:ascii="Cambria Math" w:hAnsi="Cambria Math" w:cs="Times New Roman"/>
                </w:rPr>
              </m:ctrlPr>
            </m:sSubPr>
            <m:e>
              <m:r>
                <m:rPr>
                  <m:sty m:val="p"/>
                </m:rPr>
                <w:rPr>
                  <w:rFonts w:ascii="Cambria Math" w:hAnsi="Cambria Math" w:cs="Times New Roman"/>
                </w:rPr>
                <m:t>min</m:t>
              </m:r>
              <m:r>
                <w:rPr>
                  <w:rFonts w:ascii="Cambria Math" w:hAnsi="Cambria Math" w:cs="Times New Roman"/>
                </w:rPr>
                <m:t>⁡</m:t>
              </m:r>
            </m:e>
            <m:sub>
              <m:r>
                <w:rPr>
                  <w:rFonts w:ascii="Cambria Math" w:hAnsi="Cambria Math" w:cs="Times New Roman"/>
                </w:rPr>
                <m:t>θ</m:t>
              </m:r>
            </m:sub>
          </m:sSub>
          <m:sSub>
            <m:sSubPr>
              <m:ctrlPr>
                <w:rPr>
                  <w:rFonts w:ascii="Cambria Math" w:hAnsi="Cambria Math" w:cs="Times New Roman"/>
                </w:rPr>
              </m:ctrlPr>
            </m:sSubPr>
            <m:e>
              <m:r>
                <m:rPr>
                  <m:scr m:val="double-struck"/>
                  <m:sty m:val="p"/>
                </m:rPr>
                <w:rPr>
                  <w:rFonts w:ascii="Cambria Math" w:hAnsi="Cambria Math" w:cs="Times New Roman"/>
                </w:rPr>
                <m:t>E</m:t>
              </m:r>
            </m:e>
            <m:sub>
              <m:d>
                <m:dPr>
                  <m:sepChr m:val=","/>
                  <m:ctrlPr>
                    <w:rPr>
                      <w:rFonts w:ascii="Cambria Math" w:hAnsi="Cambria Math" w:cs="Times New Roman"/>
                    </w:rPr>
                  </m:ctrlPr>
                </m:dPr>
                <m:e>
                  <m:r>
                    <w:rPr>
                      <w:rFonts w:ascii="Cambria Math" w:hAnsi="Cambria Math" w:cs="Times New Roman"/>
                    </w:rPr>
                    <m:t>x</m:t>
                  </m:r>
                </m:e>
                <m:e>
                  <m:r>
                    <w:rPr>
                      <w:rFonts w:ascii="Cambria Math" w:hAnsi="Cambria Math" w:cs="Times New Roman"/>
                    </w:rPr>
                    <m:t>y</m:t>
                  </m:r>
                </m:e>
              </m:d>
            </m:sub>
          </m:sSub>
          <m:d>
            <m:dPr>
              <m:begChr m:val="["/>
              <m:endChr m:val="]"/>
              <m:ctrlPr>
                <w:rPr>
                  <w:rFonts w:ascii="Cambria Math" w:hAnsi="Cambria Math" w:cs="Times New Roman"/>
                </w:rPr>
              </m:ctrlPr>
            </m:dPr>
            <m:e>
              <m:sSub>
                <m:sSubPr>
                  <m:ctrlPr>
                    <w:rPr>
                      <w:rFonts w:ascii="Cambria Math" w:hAnsi="Cambria Math" w:cs="Times New Roman"/>
                    </w:rPr>
                  </m:ctrlPr>
                </m:sSubPr>
                <m:e>
                  <m:r>
                    <m:rPr>
                      <m:sty m:val="p"/>
                    </m:rPr>
                    <w:rPr>
                      <w:rFonts w:ascii="Cambria Math" w:hAnsi="Cambria Math" w:cs="Times New Roman"/>
                    </w:rPr>
                    <m:t>max</m:t>
                  </m:r>
                  <m:r>
                    <w:rPr>
                      <w:rFonts w:ascii="Cambria Math" w:hAnsi="Cambria Math" w:cs="Times New Roman"/>
                    </w:rPr>
                    <m:t>⁡</m:t>
                  </m:r>
                </m:e>
                <m:sub>
                  <m:r>
                    <m:rPr>
                      <m:sty m:val="p"/>
                    </m:rPr>
                    <w:rPr>
                      <w:rFonts w:ascii="Cambria Math" w:hAnsi="Cambria Math" w:cs="Times New Roman"/>
                    </w:rPr>
                    <m:t>∥</m:t>
                  </m:r>
                  <m:r>
                    <w:rPr>
                      <w:rFonts w:ascii="Cambria Math" w:hAnsi="Cambria Math" w:cs="Times New Roman"/>
                    </w:rPr>
                    <m:t>δ</m:t>
                  </m:r>
                  <m:sSub>
                    <m:sSubPr>
                      <m:ctrlPr>
                        <w:rPr>
                          <w:rFonts w:ascii="Cambria Math" w:hAnsi="Cambria Math" w:cs="Times New Roman"/>
                        </w:rPr>
                      </m:ctrlPr>
                    </m:sSubPr>
                    <m:e>
                      <m:r>
                        <m:rPr>
                          <m:sty m:val="p"/>
                        </m:rPr>
                        <w:rPr>
                          <w:rFonts w:ascii="Cambria Math" w:hAnsi="Cambria Math" w:cs="Times New Roman"/>
                        </w:rPr>
                        <m:t>∥</m:t>
                      </m:r>
                    </m:e>
                    <m:sub>
                      <m:r>
                        <m:rPr>
                          <m:sty m:val="p"/>
                        </m:rPr>
                        <w:rPr>
                          <w:rFonts w:ascii="Cambria Math" w:hAnsi="Cambria Math" w:cs="Times New Roman"/>
                        </w:rPr>
                        <m:t>∞</m:t>
                      </m:r>
                    </m:sub>
                  </m:sSub>
                  <m:r>
                    <w:rPr>
                      <w:rFonts w:ascii="Cambria Math" w:hAnsi="Cambria Math" w:cs="Times New Roman"/>
                    </w:rPr>
                    <m:t>≤</m:t>
                  </m:r>
                  <m:r>
                    <w:rPr>
                      <w:rFonts w:ascii="Cambria Math" w:hAnsi="Cambria Math" w:cs="Times New Roman"/>
                    </w:rPr>
                    <m:t>ϵ</m:t>
                  </m:r>
                </m:sub>
              </m:sSub>
              <m:r>
                <m:rPr>
                  <m:scr m:val="script"/>
                </m:rPr>
                <w:rPr>
                  <w:rFonts w:ascii="Cambria Math" w:hAnsi="Cambria Math" w:cs="Times New Roman"/>
                </w:rPr>
                <m:t>L</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θ</m:t>
                  </m:r>
                </m:sub>
              </m:sSub>
              <m:r>
                <w:rPr>
                  <w:rFonts w:ascii="Cambria Math" w:hAnsi="Cambria Math" w:cs="Times New Roman"/>
                </w:rPr>
                <m:t>(</m:t>
              </m:r>
              <m:r>
                <w:rPr>
                  <w:rFonts w:ascii="Cambria Math" w:hAnsi="Cambria Math" w:cs="Times New Roman"/>
                </w:rPr>
                <m:t>x</m:t>
              </m:r>
              <m:r>
                <w:rPr>
                  <w:rFonts w:ascii="Cambria Math" w:hAnsi="Cambria Math" w:cs="Times New Roman"/>
                </w:rPr>
                <m:t>+</m:t>
              </m:r>
              <m:r>
                <w:rPr>
                  <w:rFonts w:ascii="Cambria Math" w:hAnsi="Cambria Math" w:cs="Times New Roman"/>
                </w:rPr>
                <m:t>δ</m:t>
              </m:r>
              <m:r>
                <w:rPr>
                  <w:rFonts w:ascii="Cambria Math" w:hAnsi="Cambria Math" w:cs="Times New Roman"/>
                </w:rPr>
                <m:t>),</m:t>
              </m:r>
              <m:r>
                <w:rPr>
                  <w:rFonts w:ascii="Cambria Math" w:hAnsi="Cambria Math" w:cs="Times New Roman"/>
                </w:rPr>
                <m:t>y</m:t>
              </m:r>
              <m:r>
                <w:rPr>
                  <w:rFonts w:ascii="Cambria Math" w:hAnsi="Cambria Math" w:cs="Times New Roman"/>
                </w:rPr>
                <m:t>)</m:t>
              </m:r>
            </m:e>
          </m:d>
        </m:oMath>
      </m:oMathPara>
    </w:p>
    <w:p w14:paraId="41FA6F60" w14:textId="173FBD5B"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rPr>
        <w:t xml:space="preserve">In this formulation, </w:t>
      </w:r>
      <m:oMath>
        <m:r>
          <w:rPr>
            <w:rFonts w:ascii="Cambria Math" w:hAnsi="Cambria Math" w:cs="Times New Roman"/>
          </w:rPr>
          <m:t>θ</m:t>
        </m:r>
      </m:oMath>
      <w:r w:rsidR="000F6B07">
        <w:rPr>
          <w:rFonts w:ascii="Times New Roman" w:eastAsiaTheme="minorEastAsia" w:hAnsi="Times New Roman" w:cs="Times New Roman"/>
        </w:rPr>
        <w:t xml:space="preserve"> </w:t>
      </w:r>
      <w:r w:rsidRPr="00F91479">
        <w:rPr>
          <w:rFonts w:ascii="Times New Roman" w:hAnsi="Times New Roman" w:cs="Times New Roman"/>
        </w:rPr>
        <w:t xml:space="preserve">stands for model parameters, </w:t>
      </w:r>
      <m:oMath>
        <m:r>
          <m:rPr>
            <m:scr m:val="double-struck"/>
            <m:sty m:val="p"/>
          </m:rPr>
          <w:rPr>
            <w:rFonts w:ascii="Cambria Math" w:hAnsi="Cambria Math" w:cs="Times New Roman"/>
          </w:rPr>
          <m:t>E</m:t>
        </m:r>
      </m:oMath>
      <w:r w:rsidR="000F6B07">
        <w:rPr>
          <w:rFonts w:ascii="Times New Roman" w:eastAsiaTheme="minorEastAsia" w:hAnsi="Times New Roman" w:cs="Times New Roman"/>
        </w:rPr>
        <w:t xml:space="preserve"> </w:t>
      </w:r>
      <w:r w:rsidRPr="00F91479">
        <w:rPr>
          <w:rFonts w:ascii="Times New Roman" w:hAnsi="Times New Roman" w:cs="Times New Roman"/>
        </w:rPr>
        <w:t xml:space="preserve">indicates expectation over data distribution, </w:t>
      </w:r>
      <m:oMath>
        <m:r>
          <w:rPr>
            <w:rFonts w:ascii="Cambria Math" w:hAnsi="Cambria Math" w:cs="Times New Roman"/>
          </w:rPr>
          <m:t>δ</m:t>
        </m:r>
      </m:oMath>
      <w:r w:rsidR="000F6B07">
        <w:rPr>
          <w:rFonts w:ascii="Times New Roman" w:eastAsiaTheme="minorEastAsia" w:hAnsi="Times New Roman" w:cs="Times New Roman"/>
        </w:rPr>
        <w:t xml:space="preserve"> </w:t>
      </w:r>
      <w:r w:rsidRPr="00F91479">
        <w:rPr>
          <w:rFonts w:ascii="Times New Roman" w:hAnsi="Times New Roman" w:cs="Times New Roman"/>
        </w:rPr>
        <w:t xml:space="preserve">is the adversarial perturbation bounded by </w:t>
      </w:r>
      <m:oMath>
        <m:r>
          <w:rPr>
            <w:rFonts w:ascii="Cambria Math" w:hAnsi="Cambria Math" w:cs="Times New Roman"/>
          </w:rPr>
          <m:t>ϵ</m:t>
        </m:r>
      </m:oMath>
      <w:r w:rsidR="000F6B07">
        <w:rPr>
          <w:rFonts w:ascii="Times New Roman" w:eastAsiaTheme="minorEastAsia" w:hAnsi="Times New Roman" w:cs="Times New Roman"/>
        </w:rPr>
        <w:t xml:space="preserve"> </w:t>
      </w:r>
      <w:r w:rsidRPr="00F91479">
        <w:rPr>
          <w:rFonts w:ascii="Times New Roman" w:hAnsi="Times New Roman" w:cs="Times New Roman"/>
        </w:rPr>
        <w:t xml:space="preserve">in the infinity norm, </w:t>
      </w:r>
      <m:oMath>
        <m:r>
          <m:rPr>
            <m:scr m:val="script"/>
          </m:rPr>
          <w:rPr>
            <w:rFonts w:ascii="Cambria Math" w:hAnsi="Cambria Math" w:cs="Times New Roman"/>
          </w:rPr>
          <m:t>L</m:t>
        </m:r>
      </m:oMath>
      <w:r w:rsidR="000F6B07">
        <w:rPr>
          <w:rFonts w:ascii="Times New Roman" w:eastAsiaTheme="minorEastAsia" w:hAnsi="Times New Roman" w:cs="Times New Roman"/>
        </w:rPr>
        <w:t xml:space="preserve"> </w:t>
      </w:r>
      <w:r w:rsidRPr="00F91479">
        <w:rPr>
          <w:rFonts w:ascii="Times New Roman" w:hAnsi="Times New Roman" w:cs="Times New Roman"/>
        </w:rPr>
        <w:t xml:space="preserve">is the loss function, </w:t>
      </w:r>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θ</m:t>
            </m:r>
          </m:sub>
        </m:sSub>
      </m:oMath>
      <w:r w:rsidR="000F6B07">
        <w:rPr>
          <w:rFonts w:ascii="Times New Roman" w:eastAsiaTheme="minorEastAsia" w:hAnsi="Times New Roman" w:cs="Times New Roman"/>
        </w:rPr>
        <w:t xml:space="preserve"> </w:t>
      </w:r>
      <w:r w:rsidRPr="00F91479">
        <w:rPr>
          <w:rFonts w:ascii="Times New Roman" w:hAnsi="Times New Roman" w:cs="Times New Roman"/>
        </w:rPr>
        <w:t xml:space="preserve">is the model prediction, and </w:t>
      </w:r>
      <m:oMath>
        <m:r>
          <w:rPr>
            <w:rFonts w:ascii="Cambria Math" w:hAnsi="Cambria Math" w:cs="Times New Roman"/>
          </w:rPr>
          <m:t>x,y</m:t>
        </m:r>
      </m:oMath>
      <w:r w:rsidR="000F6B07">
        <w:rPr>
          <w:rFonts w:ascii="Times New Roman" w:eastAsiaTheme="minorEastAsia" w:hAnsi="Times New Roman" w:cs="Times New Roman"/>
        </w:rPr>
        <w:t xml:space="preserve"> </w:t>
      </w:r>
      <w:r w:rsidRPr="00F91479">
        <w:rPr>
          <w:rFonts w:ascii="Times New Roman" w:hAnsi="Times New Roman" w:cs="Times New Roman"/>
        </w:rPr>
        <w:t xml:space="preserve">are input images and labels respectively. Projected gradient descent with 20 inner steps and </w:t>
      </w:r>
      <m:oMath>
        <m:r>
          <w:rPr>
            <w:rFonts w:ascii="Cambria Math" w:hAnsi="Cambria Math" w:cs="Times New Roman"/>
          </w:rPr>
          <m:t>ϵ=8</m:t>
        </m:r>
        <m:r>
          <m:rPr>
            <m:sty m:val="p"/>
          </m:rPr>
          <w:rPr>
            <w:rFonts w:ascii="Cambria Math" w:hAnsi="Cambria Math" w:cs="Times New Roman"/>
          </w:rPr>
          <m:t>/</m:t>
        </m:r>
        <m:r>
          <w:rPr>
            <w:rFonts w:ascii="Cambria Math" w:hAnsi="Cambria Math" w:cs="Times New Roman"/>
          </w:rPr>
          <m:t>255</m:t>
        </m:r>
      </m:oMath>
      <w:r w:rsidR="000F6B07">
        <w:rPr>
          <w:rFonts w:ascii="Times New Roman" w:eastAsiaTheme="minorEastAsia" w:hAnsi="Times New Roman" w:cs="Times New Roman"/>
        </w:rPr>
        <w:t xml:space="preserve"> </w:t>
      </w:r>
      <w:r w:rsidRPr="00F91479">
        <w:rPr>
          <w:rFonts w:ascii="Times New Roman" w:hAnsi="Times New Roman" w:cs="Times New Roman"/>
        </w:rPr>
        <w:t>generates perturbations during local training (Darzi et al., 2024; Darzi et al., 2023).</w:t>
      </w:r>
    </w:p>
    <w:p w14:paraId="3F8F951C" w14:textId="065AEC29"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rPr>
        <w:t>Differential privacy is incorporated via</w:t>
      </w:r>
      <w:r w:rsidR="000F6B07">
        <w:rPr>
          <w:rFonts w:ascii="Times New Roman" w:hAnsi="Times New Roman" w:cs="Times New Roman"/>
        </w:rPr>
        <w:t xml:space="preserve"> Differentially Private St</w:t>
      </w:r>
      <w:r w:rsidR="00D31703">
        <w:rPr>
          <w:rFonts w:ascii="Times New Roman" w:hAnsi="Times New Roman" w:cs="Times New Roman"/>
        </w:rPr>
        <w:t>ochastic Gradient Descent</w:t>
      </w:r>
      <w:r w:rsidRPr="00F91479">
        <w:rPr>
          <w:rFonts w:ascii="Times New Roman" w:hAnsi="Times New Roman" w:cs="Times New Roman"/>
        </w:rPr>
        <w:t xml:space="preserve"> </w:t>
      </w:r>
      <w:r w:rsidR="00D31703">
        <w:rPr>
          <w:rFonts w:ascii="Times New Roman" w:hAnsi="Times New Roman" w:cs="Times New Roman"/>
        </w:rPr>
        <w:t>(</w:t>
      </w:r>
      <w:r w:rsidRPr="00F91479">
        <w:rPr>
          <w:rFonts w:ascii="Times New Roman" w:hAnsi="Times New Roman" w:cs="Times New Roman"/>
        </w:rPr>
        <w:t>DP-SGD</w:t>
      </w:r>
      <w:r w:rsidR="00D31703">
        <w:rPr>
          <w:rFonts w:ascii="Times New Roman" w:hAnsi="Times New Roman" w:cs="Times New Roman"/>
        </w:rPr>
        <w:t>)</w:t>
      </w:r>
      <w:r w:rsidRPr="00F91479">
        <w:rPr>
          <w:rFonts w:ascii="Times New Roman" w:hAnsi="Times New Roman" w:cs="Times New Roman"/>
        </w:rPr>
        <w:t xml:space="preserve">, where gradients are clipped to a maximum norm </w:t>
      </w:r>
      <m:oMath>
        <m:r>
          <w:rPr>
            <w:rFonts w:ascii="Cambria Math" w:hAnsi="Cambria Math" w:cs="Times New Roman"/>
          </w:rPr>
          <m:t>C=1</m:t>
        </m:r>
      </m:oMath>
      <w:r w:rsidR="000F6B07">
        <w:rPr>
          <w:rFonts w:ascii="Times New Roman" w:eastAsiaTheme="minorEastAsia" w:hAnsi="Times New Roman" w:cs="Times New Roman"/>
        </w:rPr>
        <w:t xml:space="preserve"> </w:t>
      </w:r>
      <w:r w:rsidRPr="00F91479">
        <w:rPr>
          <w:rFonts w:ascii="Times New Roman" w:hAnsi="Times New Roman" w:cs="Times New Roman"/>
        </w:rPr>
        <w:t>and Gaussian noise is added:</w:t>
      </w:r>
    </w:p>
    <w:p w14:paraId="025827D8" w14:textId="77777777" w:rsidR="000A5A16" w:rsidRPr="00F91479" w:rsidRDefault="00AD3EAD" w:rsidP="00F91479">
      <w:pPr>
        <w:spacing w:line="360" w:lineRule="auto"/>
        <w:jc w:val="both"/>
        <w:rPr>
          <w:rFonts w:ascii="Times New Roman" w:hAnsi="Times New Roman" w:cs="Times New Roman"/>
        </w:rPr>
      </w:pPr>
      <m:oMathPara>
        <m:oMath>
          <m:acc>
            <m:accPr>
              <m:chr m:val="̃"/>
              <m:ctrlPr>
                <w:rPr>
                  <w:rFonts w:ascii="Cambria Math" w:hAnsi="Cambria Math" w:cs="Times New Roman"/>
                </w:rPr>
              </m:ctrlPr>
            </m:accPr>
            <m:e>
              <m:r>
                <w:rPr>
                  <w:rFonts w:ascii="Cambria Math" w:hAnsi="Cambria Math" w:cs="Times New Roman"/>
                </w:rPr>
                <m:t>g</m:t>
              </m:r>
            </m:e>
          </m:acc>
          <m:r>
            <w:rPr>
              <w:rFonts w:ascii="Cambria Math" w:hAnsi="Cambria Math" w:cs="Times New Roman"/>
            </w:rPr>
            <m:t>=</m:t>
          </m:r>
          <m:f>
            <m:fPr>
              <m:ctrlPr>
                <w:rPr>
                  <w:rFonts w:ascii="Cambria Math" w:hAnsi="Cambria Math" w:cs="Times New Roman"/>
                </w:rPr>
              </m:ctrlPr>
            </m:fPr>
            <m:num>
              <m:r>
                <w:rPr>
                  <w:rFonts w:ascii="Cambria Math" w:hAnsi="Cambria Math" w:cs="Times New Roman"/>
                </w:rPr>
                <m:t>g</m:t>
              </m:r>
            </m:num>
            <m:den>
              <m:r>
                <m:rPr>
                  <m:sty m:val="p"/>
                </m:rPr>
                <w:rPr>
                  <w:rFonts w:ascii="Cambria Math" w:hAnsi="Cambria Math" w:cs="Times New Roman"/>
                </w:rPr>
                <m:t>max</m:t>
              </m:r>
              <m: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g</m:t>
              </m:r>
              <m:sSub>
                <m:sSubPr>
                  <m:ctrlPr>
                    <w:rPr>
                      <w:rFonts w:ascii="Cambria Math" w:hAnsi="Cambria Math" w:cs="Times New Roman"/>
                    </w:rPr>
                  </m:ctrlPr>
                </m:sSubPr>
                <m:e>
                  <m:r>
                    <m:rPr>
                      <m:sty m:val="p"/>
                    </m:rPr>
                    <w:rPr>
                      <w:rFonts w:ascii="Cambria Math" w:hAnsi="Cambria Math" w:cs="Times New Roman"/>
                    </w:rPr>
                    <m:t>∥</m:t>
                  </m:r>
                </m:e>
                <m:sub>
                  <m:r>
                    <w:rPr>
                      <w:rFonts w:ascii="Cambria Math" w:hAnsi="Cambria Math" w:cs="Times New Roman"/>
                    </w:rPr>
                    <m:t>2</m:t>
                  </m:r>
                </m:sub>
              </m:sSub>
              <m:r>
                <m:rPr>
                  <m:sty m:val="p"/>
                </m:rPr>
                <w:rPr>
                  <w:rFonts w:ascii="Cambria Math" w:hAnsi="Cambria Math" w:cs="Times New Roman"/>
                </w:rPr>
                <m:t>/</m:t>
              </m:r>
              <m:r>
                <w:rPr>
                  <w:rFonts w:ascii="Cambria Math" w:hAnsi="Cambria Math" w:cs="Times New Roman"/>
                </w:rPr>
                <m:t>C</m:t>
              </m:r>
              <m:r>
                <w:rPr>
                  <w:rFonts w:ascii="Cambria Math" w:hAnsi="Cambria Math" w:cs="Times New Roman"/>
                </w:rPr>
                <m:t>)</m:t>
              </m:r>
            </m:den>
          </m:f>
          <m:r>
            <w:rPr>
              <w:rFonts w:ascii="Cambria Math" w:hAnsi="Cambria Math" w:cs="Times New Roman"/>
            </w:rPr>
            <m:t>+</m:t>
          </m:r>
          <m:r>
            <m:rPr>
              <m:scr m:val="script"/>
            </m:rPr>
            <w:rPr>
              <w:rFonts w:ascii="Cambria Math" w:hAnsi="Cambria Math" w:cs="Times New Roman"/>
            </w:rPr>
            <m:t>N</m:t>
          </m:r>
          <m:r>
            <w:rPr>
              <w:rFonts w:ascii="Cambria Math" w:hAnsi="Cambria Math" w:cs="Times New Roman"/>
            </w:rPr>
            <m:t>(0,</m:t>
          </m:r>
          <m:sSup>
            <m:sSupPr>
              <m:ctrlPr>
                <w:rPr>
                  <w:rFonts w:ascii="Cambria Math" w:hAnsi="Cambria Math" w:cs="Times New Roman"/>
                </w:rPr>
              </m:ctrlPr>
            </m:sSupPr>
            <m:e>
              <m:r>
                <w:rPr>
                  <w:rFonts w:ascii="Cambria Math" w:hAnsi="Cambria Math" w:cs="Times New Roman"/>
                </w:rPr>
                <m:t>σ</m:t>
              </m:r>
            </m:e>
            <m:sup>
              <m:r>
                <w:rPr>
                  <w:rFonts w:ascii="Cambria Math" w:hAnsi="Cambria Math" w:cs="Times New Roman"/>
                </w:rPr>
                <m:t>2</m:t>
              </m:r>
            </m:sup>
          </m:sSup>
          <m:sSup>
            <m:sSupPr>
              <m:ctrlPr>
                <w:rPr>
                  <w:rFonts w:ascii="Cambria Math" w:hAnsi="Cambria Math" w:cs="Times New Roman"/>
                </w:rPr>
              </m:ctrlPr>
            </m:sSupPr>
            <m:e>
              <m:r>
                <w:rPr>
                  <w:rFonts w:ascii="Cambria Math" w:hAnsi="Cambria Math" w:cs="Times New Roman"/>
                </w:rPr>
                <m:t>C</m:t>
              </m:r>
            </m:e>
            <m:sup>
              <m:r>
                <w:rPr>
                  <w:rFonts w:ascii="Cambria Math" w:hAnsi="Cambria Math" w:cs="Times New Roman"/>
                </w:rPr>
                <m:t>2</m:t>
              </m:r>
            </m:sup>
          </m:sSup>
          <m:r>
            <w:rPr>
              <w:rFonts w:ascii="Cambria Math" w:hAnsi="Cambria Math" w:cs="Times New Roman"/>
            </w:rPr>
            <m:t>I</m:t>
          </m:r>
          <m:r>
            <w:rPr>
              <w:rFonts w:ascii="Cambria Math" w:hAnsi="Cambria Math" w:cs="Times New Roman"/>
            </w:rPr>
            <m:t>)</m:t>
          </m:r>
        </m:oMath>
      </m:oMathPara>
    </w:p>
    <w:p w14:paraId="0AFD46B0" w14:textId="77777777"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rPr>
        <w:t xml:space="preserve">with noise scale </w:t>
      </w:r>
      <m:oMath>
        <m:r>
          <w:rPr>
            <w:rFonts w:ascii="Cambria Math" w:hAnsi="Cambria Math" w:cs="Times New Roman"/>
          </w:rPr>
          <m:t>σ=0.5</m:t>
        </m:r>
      </m:oMath>
      <w:r w:rsidRPr="00F91479">
        <w:rPr>
          <w:rFonts w:ascii="Times New Roman" w:hAnsi="Times New Roman" w:cs="Times New Roman"/>
        </w:rPr>
        <w:t xml:space="preserve">, privacy budget </w:t>
      </w:r>
      <m:oMath>
        <m:r>
          <w:rPr>
            <w:rFonts w:ascii="Cambria Math" w:hAnsi="Cambria Math" w:cs="Times New Roman"/>
          </w:rPr>
          <m:t>ϵ=1</m:t>
        </m:r>
      </m:oMath>
      <w:r w:rsidRPr="00F91479">
        <w:rPr>
          <w:rFonts w:ascii="Times New Roman" w:hAnsi="Times New Roman" w:cs="Times New Roman"/>
        </w:rPr>
        <w:t xml:space="preserve">, and failure probability </w:t>
      </w:r>
      <m:oMath>
        <m:r>
          <w:rPr>
            <w:rFonts w:ascii="Cambria Math" w:hAnsi="Cambria Math" w:cs="Times New Roman"/>
          </w:rPr>
          <m:t>δ=</m:t>
        </m:r>
        <m:sSup>
          <m:sSupPr>
            <m:ctrlPr>
              <w:rPr>
                <w:rFonts w:ascii="Cambria Math" w:hAnsi="Cambria Math" w:cs="Times New Roman"/>
              </w:rPr>
            </m:ctrlPr>
          </m:sSupPr>
          <m:e>
            <m:r>
              <w:rPr>
                <w:rFonts w:ascii="Cambria Math" w:hAnsi="Cambria Math" w:cs="Times New Roman"/>
              </w:rPr>
              <m:t>10</m:t>
            </m:r>
          </m:e>
          <m:sup>
            <m:r>
              <w:rPr>
                <w:rFonts w:ascii="Cambria Math" w:hAnsi="Cambria Math" w:cs="Times New Roman"/>
              </w:rPr>
              <m:t>-5</m:t>
            </m:r>
          </m:sup>
        </m:sSup>
      </m:oMath>
      <w:r w:rsidRPr="00F91479">
        <w:rPr>
          <w:rFonts w:ascii="Times New Roman" w:hAnsi="Times New Roman" w:cs="Times New Roman"/>
        </w:rPr>
        <w:t>. This mechanism bounds the influence of individual data points, contributing to privacy guarantees that help alleviate patient concerns over data misuse (Adnan et al., 2022; Shukla et al., 2025).</w:t>
      </w:r>
    </w:p>
    <w:p w14:paraId="318D90C7" w14:textId="78BE479D"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rPr>
        <w:t xml:space="preserve">Explainable artificial intelligence integration </w:t>
      </w:r>
      <w:r w:rsidR="000F6B07" w:rsidRPr="00F91479">
        <w:rPr>
          <w:rFonts w:ascii="Times New Roman" w:hAnsi="Times New Roman" w:cs="Times New Roman"/>
        </w:rPr>
        <w:t>utilizes</w:t>
      </w:r>
      <w:r w:rsidRPr="00F91479">
        <w:rPr>
          <w:rFonts w:ascii="Times New Roman" w:hAnsi="Times New Roman" w:cs="Times New Roman"/>
        </w:rPr>
        <w:t xml:space="preserve"> SHAP values for feature attributions. The SHAP value for feature </w:t>
      </w:r>
      <m:oMath>
        <m:r>
          <w:rPr>
            <w:rFonts w:ascii="Cambria Math" w:hAnsi="Cambria Math" w:cs="Times New Roman"/>
          </w:rPr>
          <m:t>i</m:t>
        </m:r>
      </m:oMath>
      <w:r w:rsidRPr="00F91479">
        <w:rPr>
          <w:rFonts w:ascii="Times New Roman" w:hAnsi="Times New Roman" w:cs="Times New Roman"/>
        </w:rPr>
        <w:t>is calculated as:</w:t>
      </w:r>
    </w:p>
    <w:p w14:paraId="1EF7EDAA" w14:textId="77777777" w:rsidR="000A5A16" w:rsidRPr="00F91479" w:rsidRDefault="00AD3EAD" w:rsidP="00F91479">
      <w:pPr>
        <w:spacing w:line="36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ϕ</m:t>
              </m:r>
            </m:e>
            <m:sub>
              <m:r>
                <w:rPr>
                  <w:rFonts w:ascii="Cambria Math" w:hAnsi="Cambria Math" w:cs="Times New Roman"/>
                </w:rPr>
                <m:t>i</m:t>
              </m:r>
            </m:sub>
          </m:sSub>
          <m:r>
            <w:rPr>
              <w:rFonts w:ascii="Cambria Math" w:hAnsi="Cambria Math" w:cs="Times New Roman"/>
            </w:rPr>
            <m:t>=</m:t>
          </m:r>
          <m:nary>
            <m:naryPr>
              <m:chr m:val="∑"/>
              <m:limLoc m:val="subSup"/>
              <m:grow m:val="1"/>
              <m:supHide m:val="1"/>
              <m:ctrlPr>
                <w:rPr>
                  <w:rFonts w:ascii="Cambria Math" w:hAnsi="Cambria Math" w:cs="Times New Roman"/>
                </w:rPr>
              </m:ctrlPr>
            </m:naryPr>
            <m:sub>
              <m:r>
                <w:rPr>
                  <w:rFonts w:ascii="Cambria Math" w:hAnsi="Cambria Math" w:cs="Times New Roman"/>
                </w:rPr>
                <m:t>S</m:t>
              </m:r>
              <m:r>
                <w:rPr>
                  <w:rFonts w:ascii="Cambria Math" w:hAnsi="Cambria Math" w:cs="Times New Roman"/>
                </w:rPr>
                <m:t>⊆</m:t>
              </m:r>
              <m:r>
                <w:rPr>
                  <w:rFonts w:ascii="Cambria Math" w:hAnsi="Cambria Math" w:cs="Times New Roman"/>
                </w:rPr>
                <m:t>M</m:t>
              </m:r>
              <m:r>
                <w:rPr>
                  <w:rFonts w:ascii="Cambria Math" w:hAnsi="Cambria Math" w:cs="Times New Roman"/>
                </w:rPr>
                <m:t>∖</m:t>
              </m:r>
              <m:r>
                <w:rPr>
                  <w:rFonts w:ascii="Cambria Math" w:hAnsi="Cambria Math" w:cs="Times New Roman"/>
                </w:rPr>
                <m:t>{</m:t>
              </m:r>
              <m:r>
                <w:rPr>
                  <w:rFonts w:ascii="Cambria Math" w:hAnsi="Cambria Math" w:cs="Times New Roman"/>
                </w:rPr>
                <m:t>i</m:t>
              </m:r>
              <m:r>
                <w:rPr>
                  <w:rFonts w:ascii="Cambria Math" w:hAnsi="Cambria Math" w:cs="Times New Roman"/>
                </w:rPr>
                <m:t>}</m:t>
              </m:r>
            </m:sub>
            <m:sup/>
            <m:e>
              <m:f>
                <m:fPr>
                  <m:ctrlPr>
                    <w:rPr>
                      <w:rFonts w:ascii="Cambria Math" w:hAnsi="Cambria Math" w:cs="Times New Roman"/>
                    </w:rPr>
                  </m:ctrlPr>
                </m:fPr>
                <m:num>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r>
                    <w:rPr>
                      <w:rFonts w:ascii="Cambria Math" w:hAnsi="Cambria Math" w:cs="Times New Roman"/>
                    </w:rPr>
                    <m:t>!(</m:t>
                  </m:r>
                  <m:r>
                    <m:rPr>
                      <m:sty m:val="p"/>
                    </m:rPr>
                    <w:rPr>
                      <w:rFonts w:ascii="Cambria Math" w:hAnsi="Cambria Math" w:cs="Times New Roman"/>
                    </w:rPr>
                    <m:t>∣</m:t>
                  </m:r>
                  <m:r>
                    <w:rPr>
                      <w:rFonts w:ascii="Cambria Math" w:hAnsi="Cambria Math" w:cs="Times New Roman"/>
                    </w:rPr>
                    <m:t>M</m:t>
                  </m:r>
                  <m:r>
                    <m:rPr>
                      <m:sty m:val="p"/>
                    </m:rPr>
                    <w:rPr>
                      <w:rFonts w:ascii="Cambria Math" w:hAnsi="Cambria Math" w:cs="Times New Roman"/>
                    </w:rPr>
                    <m:t>∣</m:t>
                  </m:r>
                  <m:r>
                    <w:rPr>
                      <w:rFonts w:ascii="Cambria Math" w:hAnsi="Cambria Math" w:cs="Times New Roman"/>
                    </w:rPr>
                    <m:t>-</m:t>
                  </m:r>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r>
                    <w:rPr>
                      <w:rFonts w:ascii="Cambria Math" w:hAnsi="Cambria Math" w:cs="Times New Roman"/>
                    </w:rPr>
                    <m:t>-</m:t>
                  </m:r>
                  <m:r>
                    <w:rPr>
                      <w:rFonts w:ascii="Cambria Math" w:hAnsi="Cambria Math" w:cs="Times New Roman"/>
                    </w:rPr>
                    <m:t>1)!</m:t>
                  </m:r>
                </m:num>
                <m:den>
                  <m:r>
                    <m:rPr>
                      <m:sty m:val="p"/>
                    </m:rPr>
                    <w:rPr>
                      <w:rFonts w:ascii="Cambria Math" w:hAnsi="Cambria Math" w:cs="Times New Roman"/>
                    </w:rPr>
                    <m:t>∣</m:t>
                  </m:r>
                  <m:r>
                    <w:rPr>
                      <w:rFonts w:ascii="Cambria Math" w:hAnsi="Cambria Math" w:cs="Times New Roman"/>
                    </w:rPr>
                    <m:t>M</m:t>
                  </m:r>
                  <m:r>
                    <m:rPr>
                      <m:sty m:val="p"/>
                    </m:rPr>
                    <w:rPr>
                      <w:rFonts w:ascii="Cambria Math" w:hAnsi="Cambria Math" w:cs="Times New Roman"/>
                    </w:rPr>
                    <m:t>∣</m:t>
                  </m:r>
                  <m:r>
                    <w:rPr>
                      <w:rFonts w:ascii="Cambria Math" w:hAnsi="Cambria Math" w:cs="Times New Roman"/>
                    </w:rPr>
                    <m:t>!</m:t>
                  </m:r>
                </m:den>
              </m:f>
            </m:e>
          </m:nary>
          <m:r>
            <w:rPr>
              <w:rFonts w:ascii="Cambria Math" w:hAnsi="Cambria Math" w:cs="Times New Roman"/>
            </w:rPr>
            <m:t>[</m:t>
          </m:r>
          <m:r>
            <w:rPr>
              <w:rFonts w:ascii="Cambria Math" w:hAnsi="Cambria Math" w:cs="Times New Roman"/>
            </w:rPr>
            <m:t>v</m:t>
          </m:r>
          <m:r>
            <w:rPr>
              <w:rFonts w:ascii="Cambria Math" w:hAnsi="Cambria Math" w:cs="Times New Roman"/>
            </w:rPr>
            <m:t>(</m:t>
          </m:r>
          <m:r>
            <w:rPr>
              <w:rFonts w:ascii="Cambria Math" w:hAnsi="Cambria Math" w:cs="Times New Roman"/>
            </w:rPr>
            <m:t>S</m:t>
          </m:r>
          <m:r>
            <w:rPr>
              <w:rFonts w:ascii="Cambria Math" w:hAnsi="Cambria Math" w:cs="Times New Roman"/>
            </w:rPr>
            <m:t>∪{</m:t>
          </m:r>
          <m:r>
            <w:rPr>
              <w:rFonts w:ascii="Cambria Math" w:hAnsi="Cambria Math" w:cs="Times New Roman"/>
            </w:rPr>
            <m:t>i</m:t>
          </m:r>
          <m:r>
            <w:rPr>
              <w:rFonts w:ascii="Cambria Math" w:hAnsi="Cambria Math" w:cs="Times New Roman"/>
            </w:rPr>
            <m:t>})-</m:t>
          </m:r>
          <m:r>
            <w:rPr>
              <w:rFonts w:ascii="Cambria Math" w:hAnsi="Cambria Math" w:cs="Times New Roman"/>
            </w:rPr>
            <m:t>v</m:t>
          </m:r>
          <m:r>
            <w:rPr>
              <w:rFonts w:ascii="Cambria Math" w:hAnsi="Cambria Math" w:cs="Times New Roman"/>
            </w:rPr>
            <m:t>(</m:t>
          </m:r>
          <m:r>
            <w:rPr>
              <w:rFonts w:ascii="Cambria Math" w:hAnsi="Cambria Math" w:cs="Times New Roman"/>
            </w:rPr>
            <m:t>S</m:t>
          </m:r>
          <m:r>
            <w:rPr>
              <w:rFonts w:ascii="Cambria Math" w:hAnsi="Cambria Math" w:cs="Times New Roman"/>
            </w:rPr>
            <m:t>)]</m:t>
          </m:r>
        </m:oMath>
      </m:oMathPara>
    </w:p>
    <w:p w14:paraId="28655303" w14:textId="6434BEBF"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rPr>
        <w:t xml:space="preserve">where </w:t>
      </w:r>
      <m:oMath>
        <m:r>
          <w:rPr>
            <w:rFonts w:ascii="Cambria Math" w:hAnsi="Cambria Math" w:cs="Times New Roman"/>
          </w:rPr>
          <m:t>M</m:t>
        </m:r>
      </m:oMath>
      <w:r w:rsidR="000F6B07">
        <w:rPr>
          <w:rFonts w:ascii="Times New Roman" w:eastAsiaTheme="minorEastAsia" w:hAnsi="Times New Roman" w:cs="Times New Roman"/>
        </w:rPr>
        <w:t xml:space="preserve"> </w:t>
      </w:r>
      <w:r w:rsidRPr="00F91479">
        <w:rPr>
          <w:rFonts w:ascii="Times New Roman" w:hAnsi="Times New Roman" w:cs="Times New Roman"/>
        </w:rPr>
        <w:t xml:space="preserve">is the set of all features, </w:t>
      </w:r>
      <m:oMath>
        <m:r>
          <w:rPr>
            <w:rFonts w:ascii="Cambria Math" w:hAnsi="Cambria Math" w:cs="Times New Roman"/>
          </w:rPr>
          <m:t>S</m:t>
        </m:r>
      </m:oMath>
      <w:r w:rsidR="000F6B07">
        <w:rPr>
          <w:rFonts w:ascii="Times New Roman" w:eastAsiaTheme="minorEastAsia" w:hAnsi="Times New Roman" w:cs="Times New Roman"/>
        </w:rPr>
        <w:t xml:space="preserve"> </w:t>
      </w:r>
      <w:r w:rsidRPr="00F91479">
        <w:rPr>
          <w:rFonts w:ascii="Times New Roman" w:hAnsi="Times New Roman" w:cs="Times New Roman"/>
        </w:rPr>
        <w:t xml:space="preserve">represents a subset of features, and </w:t>
      </w:r>
      <m:oMath>
        <m:r>
          <w:rPr>
            <w:rFonts w:ascii="Cambria Math" w:hAnsi="Cambria Math" w:cs="Times New Roman"/>
          </w:rPr>
          <m:t>v</m:t>
        </m:r>
      </m:oMath>
      <w:r w:rsidR="000F6B07">
        <w:rPr>
          <w:rFonts w:ascii="Times New Roman" w:eastAsiaTheme="minorEastAsia" w:hAnsi="Times New Roman" w:cs="Times New Roman"/>
        </w:rPr>
        <w:t xml:space="preserve"> </w:t>
      </w:r>
      <w:r w:rsidRPr="00F91479">
        <w:rPr>
          <w:rFonts w:ascii="Times New Roman" w:hAnsi="Times New Roman" w:cs="Times New Roman"/>
        </w:rPr>
        <w:t>denotes the value function measuring model output contribution. Local interpretable model-agnostic explanations provide surrogate approximations for individual predictions. These techniques generate interpretable outputs that enhance transparency, indirectly supporting trust and mitigating data stress anxiety proxies (Repetto et al., 2025).</w:t>
      </w:r>
    </w:p>
    <w:p w14:paraId="522E576B" w14:textId="360EBA1E" w:rsidR="000A5A16" w:rsidRDefault="000A5A16" w:rsidP="00F91479">
      <w:pPr>
        <w:spacing w:line="360" w:lineRule="auto"/>
        <w:jc w:val="both"/>
        <w:rPr>
          <w:rFonts w:ascii="Times New Roman" w:hAnsi="Times New Roman" w:cs="Times New Roman"/>
        </w:rPr>
      </w:pPr>
      <w:r w:rsidRPr="00F91479">
        <w:rPr>
          <w:rFonts w:ascii="Times New Roman" w:hAnsi="Times New Roman" w:cs="Times New Roman"/>
        </w:rPr>
        <w:t xml:space="preserve">The framework is implemented in </w:t>
      </w:r>
      <w:proofErr w:type="spellStart"/>
      <w:r w:rsidRPr="00F91479">
        <w:rPr>
          <w:rFonts w:ascii="Times New Roman" w:hAnsi="Times New Roman" w:cs="Times New Roman"/>
        </w:rPr>
        <w:t>PyTorch</w:t>
      </w:r>
      <w:proofErr w:type="spellEnd"/>
      <w:r w:rsidRPr="00F91479">
        <w:rPr>
          <w:rFonts w:ascii="Times New Roman" w:hAnsi="Times New Roman" w:cs="Times New Roman"/>
        </w:rPr>
        <w:t xml:space="preserve"> with the Flower library for federated simulation. Pseudocode proceeds as follows: </w:t>
      </w:r>
      <w:r w:rsidR="006D3A45" w:rsidRPr="00F91479">
        <w:rPr>
          <w:rFonts w:ascii="Times New Roman" w:hAnsi="Times New Roman" w:cs="Times New Roman"/>
        </w:rPr>
        <w:t>initialize</w:t>
      </w:r>
      <w:r w:rsidRPr="00F91479">
        <w:rPr>
          <w:rFonts w:ascii="Times New Roman" w:hAnsi="Times New Roman" w:cs="Times New Roman"/>
        </w:rPr>
        <w:t xml:space="preserve"> global model </w:t>
      </w: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0</m:t>
            </m:r>
          </m:sub>
        </m:sSub>
      </m:oMath>
      <w:r w:rsidRPr="00F91479">
        <w:rPr>
          <w:rFonts w:ascii="Times New Roman" w:hAnsi="Times New Roman" w:cs="Times New Roman"/>
        </w:rPr>
        <w:t xml:space="preserve">; for each communication round </w:t>
      </w:r>
      <m:oMath>
        <m:r>
          <w:rPr>
            <w:rFonts w:ascii="Cambria Math" w:hAnsi="Cambria Math" w:cs="Times New Roman"/>
          </w:rPr>
          <m:t>t=1</m:t>
        </m:r>
      </m:oMath>
      <w:r w:rsidR="000F6B07">
        <w:rPr>
          <w:rFonts w:ascii="Times New Roman" w:eastAsiaTheme="minorEastAsia" w:hAnsi="Times New Roman" w:cs="Times New Roman"/>
        </w:rPr>
        <w:t xml:space="preserve"> </w:t>
      </w:r>
      <w:r w:rsidRPr="00F91479">
        <w:rPr>
          <w:rFonts w:ascii="Times New Roman" w:hAnsi="Times New Roman" w:cs="Times New Roman"/>
        </w:rPr>
        <w:t xml:space="preserve">to </w:t>
      </w:r>
      <m:oMath>
        <m:r>
          <w:rPr>
            <w:rFonts w:ascii="Cambria Math" w:hAnsi="Cambria Math" w:cs="Times New Roman"/>
          </w:rPr>
          <m:t>T</m:t>
        </m:r>
      </m:oMath>
      <w:r w:rsidRPr="00F91479">
        <w:rPr>
          <w:rFonts w:ascii="Times New Roman" w:hAnsi="Times New Roman" w:cs="Times New Roman"/>
        </w:rPr>
        <w:t xml:space="preserve">, select clients </w:t>
      </w:r>
      <m:oMath>
        <m:sSub>
          <m:sSubPr>
            <m:ctrlPr>
              <w:rPr>
                <w:rFonts w:ascii="Cambria Math" w:hAnsi="Cambria Math" w:cs="Times New Roman"/>
              </w:rPr>
            </m:ctrlPr>
          </m:sSubPr>
          <m:e>
            <m:r>
              <w:rPr>
                <w:rFonts w:ascii="Cambria Math" w:hAnsi="Cambria Math" w:cs="Times New Roman"/>
              </w:rPr>
              <m:t>K</m:t>
            </m:r>
          </m:e>
          <m:sub>
            <m:r>
              <w:rPr>
                <w:rFonts w:ascii="Cambria Math" w:hAnsi="Cambria Math" w:cs="Times New Roman"/>
              </w:rPr>
              <m:t>t</m:t>
            </m:r>
          </m:sub>
        </m:sSub>
      </m:oMath>
      <w:r w:rsidRPr="00F91479">
        <w:rPr>
          <w:rFonts w:ascii="Times New Roman" w:hAnsi="Times New Roman" w:cs="Times New Roman"/>
        </w:rPr>
        <w:t xml:space="preserve">; each client performs local training with projected gradient descent </w:t>
      </w:r>
      <w:r w:rsidRPr="00F91479">
        <w:rPr>
          <w:rFonts w:ascii="Times New Roman" w:hAnsi="Times New Roman" w:cs="Times New Roman"/>
        </w:rPr>
        <w:lastRenderedPageBreak/>
        <w:t>adversarial training and DP-SGD; the server aggregates updates via federated averaging; finally, SHAP explanations are computed on a held-out validation set.</w:t>
      </w:r>
    </w:p>
    <w:p w14:paraId="56DC8457" w14:textId="64C1A567"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b/>
          <w:bCs/>
        </w:rPr>
        <w:t>Performance Metrics and Validation</w:t>
      </w:r>
    </w:p>
    <w:p w14:paraId="64CDE54E" w14:textId="77777777"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rPr>
        <w:t>Performance evaluation encompasses classification accuracy, robustness, privacy, and explainability metrics. Clean accuracy is defined as:</w:t>
      </w:r>
    </w:p>
    <w:p w14:paraId="49E2CA29" w14:textId="48739C7F" w:rsidR="000A5A16" w:rsidRPr="00F91479" w:rsidRDefault="000A5A16" w:rsidP="00F91479">
      <w:pPr>
        <w:spacing w:line="360" w:lineRule="auto"/>
        <w:jc w:val="both"/>
        <w:rPr>
          <w:rFonts w:ascii="Times New Roman" w:hAnsi="Times New Roman" w:cs="Times New Roman"/>
        </w:rPr>
      </w:pPr>
      <m:oMathPara>
        <m:oMath>
          <m:r>
            <m:rPr>
              <m:nor/>
            </m:rPr>
            <w:rPr>
              <w:rFonts w:ascii="Times New Roman" w:hAnsi="Times New Roman" w:cs="Times New Roman"/>
            </w:rPr>
            <m:t>Acc</m:t>
          </m:r>
          <m:r>
            <m:rPr>
              <m:nor/>
            </m:rPr>
            <w:rPr>
              <w:rFonts w:ascii="Cambria Math" w:hAnsi="Times New Roman" w:cs="Times New Roman"/>
            </w:rPr>
            <m:t>uracy</m:t>
          </m:r>
          <m:r>
            <w:rPr>
              <w:rFonts w:ascii="Cambria Math" w:hAnsi="Cambria Math" w:cs="Times New Roman"/>
            </w:rPr>
            <m:t>=</m:t>
          </m:r>
          <m:f>
            <m:fPr>
              <m:ctrlPr>
                <w:rPr>
                  <w:rFonts w:ascii="Cambria Math" w:hAnsi="Cambria Math" w:cs="Times New Roman"/>
                </w:rPr>
              </m:ctrlPr>
            </m:fPr>
            <m:num>
              <m:r>
                <m:rPr>
                  <m:nor/>
                </m:rPr>
                <w:rPr>
                  <w:rFonts w:ascii="Times New Roman" w:hAnsi="Times New Roman" w:cs="Times New Roman"/>
                </w:rPr>
                <m:t>TP</m:t>
              </m:r>
              <m:r>
                <w:rPr>
                  <w:rFonts w:ascii="Cambria Math" w:hAnsi="Cambria Math" w:cs="Times New Roman"/>
                </w:rPr>
                <m:t>+</m:t>
              </m:r>
              <m:r>
                <m:rPr>
                  <m:nor/>
                </m:rPr>
                <w:rPr>
                  <w:rFonts w:ascii="Times New Roman" w:hAnsi="Times New Roman" w:cs="Times New Roman"/>
                </w:rPr>
                <m:t>TN</m:t>
              </m:r>
            </m:num>
            <m:den>
              <m:r>
                <m:rPr>
                  <m:nor/>
                </m:rPr>
                <w:rPr>
                  <w:rFonts w:ascii="Times New Roman" w:hAnsi="Times New Roman" w:cs="Times New Roman"/>
                </w:rPr>
                <m:t>TP</m:t>
              </m:r>
              <m:r>
                <w:rPr>
                  <w:rFonts w:ascii="Cambria Math" w:hAnsi="Cambria Math" w:cs="Times New Roman"/>
                </w:rPr>
                <m:t>+</m:t>
              </m:r>
              <m:r>
                <m:rPr>
                  <m:nor/>
                </m:rPr>
                <w:rPr>
                  <w:rFonts w:ascii="Times New Roman" w:hAnsi="Times New Roman" w:cs="Times New Roman"/>
                </w:rPr>
                <m:t>TN</m:t>
              </m:r>
              <m:r>
                <w:rPr>
                  <w:rFonts w:ascii="Cambria Math" w:hAnsi="Cambria Math" w:cs="Times New Roman"/>
                </w:rPr>
                <m:t>+</m:t>
              </m:r>
              <m:r>
                <m:rPr>
                  <m:nor/>
                </m:rPr>
                <w:rPr>
                  <w:rFonts w:ascii="Times New Roman" w:hAnsi="Times New Roman" w:cs="Times New Roman"/>
                </w:rPr>
                <m:t>FP</m:t>
              </m:r>
              <m:r>
                <w:rPr>
                  <w:rFonts w:ascii="Cambria Math" w:hAnsi="Cambria Math" w:cs="Times New Roman"/>
                </w:rPr>
                <m:t>+</m:t>
              </m:r>
              <m:r>
                <m:rPr>
                  <m:nor/>
                </m:rPr>
                <w:rPr>
                  <w:rFonts w:ascii="Times New Roman" w:hAnsi="Times New Roman" w:cs="Times New Roman"/>
                </w:rPr>
                <m:t>FN</m:t>
              </m:r>
            </m:den>
          </m:f>
        </m:oMath>
      </m:oMathPara>
    </w:p>
    <w:p w14:paraId="1C726528" w14:textId="77777777"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rPr>
        <w:t>where TP, TN, FP, and FN represent true positives, true negatives, false positives, and false negatives respectively. For multi-label scenarios, macro-averaged F1-score is computed as:</w:t>
      </w:r>
    </w:p>
    <w:p w14:paraId="6B9F7656" w14:textId="3D49A8E4" w:rsidR="000A5A16" w:rsidRPr="00F91479" w:rsidRDefault="000A5A16" w:rsidP="00F91479">
      <w:pPr>
        <w:spacing w:line="360" w:lineRule="auto"/>
        <w:jc w:val="both"/>
        <w:rPr>
          <w:rFonts w:ascii="Times New Roman" w:hAnsi="Times New Roman" w:cs="Times New Roman"/>
        </w:rPr>
      </w:pPr>
      <m:oMathPara>
        <m:oMath>
          <m:r>
            <w:rPr>
              <w:rFonts w:ascii="Cambria Math" w:hAnsi="Cambria Math" w:cs="Times New Roman"/>
            </w:rPr>
            <m:t>F1=2⋅</m:t>
          </m:r>
          <m:f>
            <m:fPr>
              <m:ctrlPr>
                <w:rPr>
                  <w:rFonts w:ascii="Cambria Math" w:hAnsi="Cambria Math" w:cs="Times New Roman"/>
                </w:rPr>
              </m:ctrlPr>
            </m:fPr>
            <m:num>
              <m:r>
                <m:rPr>
                  <m:nor/>
                </m:rPr>
                <w:rPr>
                  <w:rFonts w:ascii="Times New Roman" w:hAnsi="Times New Roman" w:cs="Times New Roman"/>
                </w:rPr>
                <m:t>Precision</m:t>
              </m:r>
              <m:r>
                <w:rPr>
                  <w:rFonts w:ascii="Cambria Math" w:hAnsi="Cambria Math" w:cs="Times New Roman"/>
                </w:rPr>
                <m:t>⋅</m:t>
              </m:r>
              <m:r>
                <m:rPr>
                  <m:nor/>
                </m:rPr>
                <w:rPr>
                  <w:rFonts w:ascii="Times New Roman" w:hAnsi="Times New Roman" w:cs="Times New Roman"/>
                </w:rPr>
                <m:t>Recall</m:t>
              </m:r>
            </m:num>
            <m:den>
              <m:r>
                <m:rPr>
                  <m:nor/>
                </m:rPr>
                <w:rPr>
                  <w:rFonts w:ascii="Times New Roman" w:hAnsi="Times New Roman" w:cs="Times New Roman"/>
                </w:rPr>
                <m:t>Precision</m:t>
              </m:r>
              <m:r>
                <w:rPr>
                  <w:rFonts w:ascii="Cambria Math" w:hAnsi="Cambria Math" w:cs="Times New Roman"/>
                </w:rPr>
                <m:t>+</m:t>
              </m:r>
              <m:r>
                <m:rPr>
                  <m:nor/>
                </m:rPr>
                <w:rPr>
                  <w:rFonts w:ascii="Times New Roman" w:hAnsi="Times New Roman" w:cs="Times New Roman"/>
                </w:rPr>
                <m:t>Recall</m:t>
              </m:r>
            </m:den>
          </m:f>
          <m:r>
            <w:rPr>
              <w:rFonts w:ascii="Cambria Math" w:hAnsi="Cambria Math" w:cs="Times New Roman"/>
            </w:rPr>
            <m:t xml:space="preserve">, </m:t>
          </m:r>
          <m:r>
            <m:rPr>
              <m:nor/>
            </m:rPr>
            <w:rPr>
              <w:rFonts w:ascii="Times New Roman" w:hAnsi="Times New Roman" w:cs="Times New Roman"/>
            </w:rPr>
            <m:t>Prec</m:t>
          </m:r>
          <w:proofErr w:type="spellStart"/>
          <m:r>
            <m:rPr>
              <m:nor/>
            </m:rPr>
            <w:rPr>
              <w:rFonts w:ascii="Cambria Math" w:hAnsi="Times New Roman" w:cs="Times New Roman"/>
            </w:rPr>
            <m:t>ision</m:t>
          </m:r>
          <w:proofErr w:type="spellEnd"/>
          <m:r>
            <w:rPr>
              <w:rFonts w:ascii="Cambria Math" w:hAnsi="Cambria Math" w:cs="Times New Roman"/>
            </w:rPr>
            <m:t>=</m:t>
          </m:r>
          <m:f>
            <m:fPr>
              <m:ctrlPr>
                <w:rPr>
                  <w:rFonts w:ascii="Cambria Math" w:hAnsi="Cambria Math" w:cs="Times New Roman"/>
                </w:rPr>
              </m:ctrlPr>
            </m:fPr>
            <m:num>
              <m:r>
                <m:rPr>
                  <m:nor/>
                </m:rPr>
                <w:rPr>
                  <w:rFonts w:ascii="Times New Roman" w:hAnsi="Times New Roman" w:cs="Times New Roman"/>
                </w:rPr>
                <m:t>TP</m:t>
              </m:r>
            </m:num>
            <m:den>
              <m:r>
                <m:rPr>
                  <m:nor/>
                </m:rPr>
                <w:rPr>
                  <w:rFonts w:ascii="Times New Roman" w:hAnsi="Times New Roman" w:cs="Times New Roman"/>
                </w:rPr>
                <m:t>TP</m:t>
              </m:r>
              <m:r>
                <w:rPr>
                  <w:rFonts w:ascii="Cambria Math" w:hAnsi="Cambria Math" w:cs="Times New Roman"/>
                </w:rPr>
                <m:t>+</m:t>
              </m:r>
              <m:r>
                <m:rPr>
                  <m:nor/>
                </m:rPr>
                <w:rPr>
                  <w:rFonts w:ascii="Times New Roman" w:hAnsi="Times New Roman" w:cs="Times New Roman"/>
                </w:rPr>
                <m:t>FP</m:t>
              </m:r>
            </m:den>
          </m:f>
          <m:r>
            <w:rPr>
              <w:rFonts w:ascii="Cambria Math" w:hAnsi="Cambria Math" w:cs="Times New Roman"/>
            </w:rPr>
            <m:t xml:space="preserve">, </m:t>
          </m:r>
          <m:r>
            <m:rPr>
              <m:nor/>
            </m:rPr>
            <w:rPr>
              <w:rFonts w:ascii="Times New Roman" w:hAnsi="Times New Roman" w:cs="Times New Roman"/>
            </w:rPr>
            <m:t>Rec</m:t>
          </m:r>
          <m:r>
            <m:rPr>
              <m:nor/>
            </m:rPr>
            <w:rPr>
              <w:rFonts w:ascii="Cambria Math" w:hAnsi="Times New Roman" w:cs="Times New Roman"/>
            </w:rPr>
            <m:t>all</m:t>
          </m:r>
          <m:r>
            <w:rPr>
              <w:rFonts w:ascii="Cambria Math" w:hAnsi="Cambria Math" w:cs="Times New Roman"/>
            </w:rPr>
            <m:t>=</m:t>
          </m:r>
          <m:f>
            <m:fPr>
              <m:ctrlPr>
                <w:rPr>
                  <w:rFonts w:ascii="Cambria Math" w:hAnsi="Cambria Math" w:cs="Times New Roman"/>
                </w:rPr>
              </m:ctrlPr>
            </m:fPr>
            <m:num>
              <m:r>
                <m:rPr>
                  <m:nor/>
                </m:rPr>
                <w:rPr>
                  <w:rFonts w:ascii="Times New Roman" w:hAnsi="Times New Roman" w:cs="Times New Roman"/>
                </w:rPr>
                <m:t>TP</m:t>
              </m:r>
            </m:num>
            <m:den>
              <m:r>
                <m:rPr>
                  <m:nor/>
                </m:rPr>
                <w:rPr>
                  <w:rFonts w:ascii="Times New Roman" w:hAnsi="Times New Roman" w:cs="Times New Roman"/>
                </w:rPr>
                <m:t>TP</m:t>
              </m:r>
              <m:r>
                <w:rPr>
                  <w:rFonts w:ascii="Cambria Math" w:hAnsi="Cambria Math" w:cs="Times New Roman"/>
                </w:rPr>
                <m:t>+</m:t>
              </m:r>
              <m:r>
                <m:rPr>
                  <m:nor/>
                </m:rPr>
                <w:rPr>
                  <w:rFonts w:ascii="Times New Roman" w:hAnsi="Times New Roman" w:cs="Times New Roman"/>
                </w:rPr>
                <m:t>FN</m:t>
              </m:r>
            </m:den>
          </m:f>
        </m:oMath>
      </m:oMathPara>
    </w:p>
    <w:p w14:paraId="5F8BB408" w14:textId="4D0BF52A"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rPr>
        <w:t>Area under the receiver operating characteristic curve employs trapezoidal integration. Adversarial success rate measures attack efficacy as the percentage of successful misclassifications under perturbation. Robust accuracy quantifies performance under attack conditions. Privacy is assessed through the differential privacy budget</w:t>
      </w:r>
      <w:r w:rsidR="00D31703">
        <w:rPr>
          <w:rFonts w:ascii="Times New Roman" w:hAnsi="Times New Roman" w:cs="Times New Roman"/>
        </w:rPr>
        <w:t>,</w:t>
      </w:r>
      <w:r w:rsidRPr="00F91479">
        <w:rPr>
          <w:rFonts w:ascii="Times New Roman" w:hAnsi="Times New Roman" w:cs="Times New Roman"/>
        </w:rPr>
        <w:t xml:space="preserve"> </w:t>
      </w:r>
      <m:oMath>
        <m:r>
          <w:rPr>
            <w:rFonts w:ascii="Cambria Math" w:hAnsi="Cambria Math" w:cs="Times New Roman"/>
          </w:rPr>
          <m:t>ϵ</m:t>
        </m:r>
      </m:oMath>
      <w:r w:rsidR="00D31703">
        <w:rPr>
          <w:rFonts w:ascii="Times New Roman" w:eastAsiaTheme="minorEastAsia" w:hAnsi="Times New Roman" w:cs="Times New Roman"/>
        </w:rPr>
        <w:t xml:space="preserve"> </w:t>
      </w:r>
      <w:r w:rsidRPr="00F91479">
        <w:rPr>
          <w:rFonts w:ascii="Times New Roman" w:hAnsi="Times New Roman" w:cs="Times New Roman"/>
        </w:rPr>
        <w:t>and empirical membership inference risk. Explanation consistency evaluates Pearson correlation between attributions on clean and adversarial inputs, targeting values above 0.8 for fidelity. Additional segmentation-oriented metrics for relevant tasks include the Dice coefficient:</w:t>
      </w:r>
    </w:p>
    <w:p w14:paraId="0D867B3D" w14:textId="77777777" w:rsidR="000A5A16" w:rsidRPr="00F91479" w:rsidRDefault="000A5A16" w:rsidP="00F91479">
      <w:pPr>
        <w:spacing w:line="360" w:lineRule="auto"/>
        <w:jc w:val="both"/>
        <w:rPr>
          <w:rFonts w:ascii="Times New Roman" w:hAnsi="Times New Roman" w:cs="Times New Roman"/>
        </w:rPr>
      </w:pPr>
      <m:oMathPara>
        <m:oMath>
          <m:r>
            <m:rPr>
              <m:nor/>
            </m:rPr>
            <w:rPr>
              <w:rFonts w:ascii="Times New Roman" w:hAnsi="Times New Roman" w:cs="Times New Roman"/>
            </w:rPr>
            <m:t>Dice</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2</m:t>
              </m:r>
              <m:r>
                <m:rPr>
                  <m:sty m:val="p"/>
                </m:rPr>
                <w:rPr>
                  <w:rFonts w:ascii="Cambria Math" w:hAnsi="Cambria Math" w:cs="Times New Roman"/>
                </w:rPr>
                <m:t>∣</m:t>
              </m:r>
              <m:r>
                <w:rPr>
                  <w:rFonts w:ascii="Cambria Math" w:hAnsi="Cambria Math" w:cs="Times New Roman"/>
                </w:rPr>
                <m:t>Y∩</m:t>
              </m:r>
              <m:acc>
                <m:accPr>
                  <m:ctrlPr>
                    <w:rPr>
                      <w:rFonts w:ascii="Cambria Math" w:hAnsi="Cambria Math" w:cs="Times New Roman"/>
                    </w:rPr>
                  </m:ctrlPr>
                </m:accPr>
                <m:e>
                  <m:r>
                    <w:rPr>
                      <w:rFonts w:ascii="Cambria Math" w:hAnsi="Cambria Math" w:cs="Times New Roman"/>
                    </w:rPr>
                    <m:t>Y</m:t>
                  </m:r>
                </m:e>
              </m:acc>
              <m:r>
                <m:rPr>
                  <m:sty m:val="p"/>
                </m:rPr>
                <w:rPr>
                  <w:rFonts w:ascii="Cambria Math" w:hAnsi="Cambria Math" w:cs="Times New Roman"/>
                </w:rPr>
                <m:t>∣</m:t>
              </m:r>
            </m:num>
            <m:den>
              <m:r>
                <m:rPr>
                  <m:sty m:val="p"/>
                </m:rPr>
                <w:rPr>
                  <w:rFonts w:ascii="Cambria Math" w:hAnsi="Cambria Math" w:cs="Times New Roman"/>
                </w:rPr>
                <m:t>∣</m:t>
              </m:r>
              <m:r>
                <w:rPr>
                  <w:rFonts w:ascii="Cambria Math" w:hAnsi="Cambria Math" w:cs="Times New Roman"/>
                </w:rPr>
                <m:t>Y</m:t>
              </m:r>
              <m:r>
                <m:rPr>
                  <m:sty m:val="p"/>
                </m:rPr>
                <w:rPr>
                  <w:rFonts w:ascii="Cambria Math" w:hAnsi="Cambria Math" w:cs="Times New Roman"/>
                </w:rPr>
                <m:t>∣</m:t>
              </m:r>
              <m:r>
                <w:rPr>
                  <w:rFonts w:ascii="Cambria Math" w:hAnsi="Cambria Math" w:cs="Times New Roman"/>
                </w:rPr>
                <m:t>+</m:t>
              </m:r>
              <m:r>
                <m:rPr>
                  <m:sty m:val="p"/>
                </m:rPr>
                <w:rPr>
                  <w:rFonts w:ascii="Cambria Math" w:hAnsi="Cambria Math" w:cs="Times New Roman"/>
                </w:rPr>
                <m:t>∣</m:t>
              </m:r>
              <m:acc>
                <m:accPr>
                  <m:ctrlPr>
                    <w:rPr>
                      <w:rFonts w:ascii="Cambria Math" w:hAnsi="Cambria Math" w:cs="Times New Roman"/>
                    </w:rPr>
                  </m:ctrlPr>
                </m:accPr>
                <m:e>
                  <m:r>
                    <w:rPr>
                      <w:rFonts w:ascii="Cambria Math" w:hAnsi="Cambria Math" w:cs="Times New Roman"/>
                    </w:rPr>
                    <m:t>Y</m:t>
                  </m:r>
                </m:e>
              </m:acc>
              <m:r>
                <m:rPr>
                  <m:sty m:val="p"/>
                </m:rPr>
                <w:rPr>
                  <w:rFonts w:ascii="Cambria Math" w:hAnsi="Cambria Math" w:cs="Times New Roman"/>
                </w:rPr>
                <m:t>∣</m:t>
              </m:r>
            </m:den>
          </m:f>
        </m:oMath>
      </m:oMathPara>
    </w:p>
    <w:p w14:paraId="7B328EF3" w14:textId="77777777"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rPr>
        <w:t>and intersection over union:</w:t>
      </w:r>
    </w:p>
    <w:p w14:paraId="5DA2FE88" w14:textId="77777777" w:rsidR="000A5A16" w:rsidRPr="00F91479" w:rsidRDefault="000A5A16" w:rsidP="00F91479">
      <w:pPr>
        <w:spacing w:line="360" w:lineRule="auto"/>
        <w:jc w:val="both"/>
        <w:rPr>
          <w:rFonts w:ascii="Times New Roman" w:hAnsi="Times New Roman" w:cs="Times New Roman"/>
        </w:rPr>
      </w:pPr>
      <w:proofErr w:type="spellStart"/>
      <m:oMathPara>
        <m:oMath>
          <m:r>
            <m:rPr>
              <m:nor/>
            </m:rPr>
            <w:rPr>
              <w:rFonts w:ascii="Times New Roman" w:hAnsi="Times New Roman" w:cs="Times New Roman"/>
            </w:rPr>
            <m:t>IoU</m:t>
          </m:r>
          <w:proofErr w:type="spellEnd"/>
          <m: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m:t>
              </m:r>
              <m:r>
                <w:rPr>
                  <w:rFonts w:ascii="Cambria Math" w:hAnsi="Cambria Math" w:cs="Times New Roman"/>
                </w:rPr>
                <m:t>Y∩</m:t>
              </m:r>
              <m:acc>
                <m:accPr>
                  <m:ctrlPr>
                    <w:rPr>
                      <w:rFonts w:ascii="Cambria Math" w:hAnsi="Cambria Math" w:cs="Times New Roman"/>
                    </w:rPr>
                  </m:ctrlPr>
                </m:accPr>
                <m:e>
                  <m:r>
                    <w:rPr>
                      <w:rFonts w:ascii="Cambria Math" w:hAnsi="Cambria Math" w:cs="Times New Roman"/>
                    </w:rPr>
                    <m:t>Y</m:t>
                  </m:r>
                </m:e>
              </m:acc>
              <m:r>
                <m:rPr>
                  <m:sty m:val="p"/>
                </m:rPr>
                <w:rPr>
                  <w:rFonts w:ascii="Cambria Math" w:hAnsi="Cambria Math" w:cs="Times New Roman"/>
                </w:rPr>
                <m:t>∣</m:t>
              </m:r>
            </m:num>
            <m:den>
              <m:r>
                <m:rPr>
                  <m:sty m:val="p"/>
                </m:rPr>
                <w:rPr>
                  <w:rFonts w:ascii="Cambria Math" w:hAnsi="Cambria Math" w:cs="Times New Roman"/>
                </w:rPr>
                <m:t>∣</m:t>
              </m:r>
              <m:r>
                <w:rPr>
                  <w:rFonts w:ascii="Cambria Math" w:hAnsi="Cambria Math" w:cs="Times New Roman"/>
                </w:rPr>
                <m:t>Y∪</m:t>
              </m:r>
              <m:acc>
                <m:accPr>
                  <m:ctrlPr>
                    <w:rPr>
                      <w:rFonts w:ascii="Cambria Math" w:hAnsi="Cambria Math" w:cs="Times New Roman"/>
                    </w:rPr>
                  </m:ctrlPr>
                </m:accPr>
                <m:e>
                  <m:r>
                    <w:rPr>
                      <w:rFonts w:ascii="Cambria Math" w:hAnsi="Cambria Math" w:cs="Times New Roman"/>
                    </w:rPr>
                    <m:t>Y</m:t>
                  </m:r>
                </m:e>
              </m:acc>
              <m:r>
                <m:rPr>
                  <m:sty m:val="p"/>
                </m:rPr>
                <w:rPr>
                  <w:rFonts w:ascii="Cambria Math" w:hAnsi="Cambria Math" w:cs="Times New Roman"/>
                </w:rPr>
                <m:t>∣</m:t>
              </m:r>
            </m:den>
          </m:f>
        </m:oMath>
      </m:oMathPara>
    </w:p>
    <w:p w14:paraId="510B83CB" w14:textId="77777777"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rPr>
        <w:t>A trust score proxy for anxiety mitigation is formulated as 1 minus the variance of privacy loss across simulations, reflecting perceived control over data handling (</w:t>
      </w:r>
      <w:proofErr w:type="spellStart"/>
      <w:r w:rsidRPr="00F91479">
        <w:rPr>
          <w:rFonts w:ascii="Times New Roman" w:hAnsi="Times New Roman" w:cs="Times New Roman"/>
        </w:rPr>
        <w:t>Ghamizi</w:t>
      </w:r>
      <w:proofErr w:type="spellEnd"/>
      <w:r w:rsidRPr="00F91479">
        <w:rPr>
          <w:rFonts w:ascii="Times New Roman" w:hAnsi="Times New Roman" w:cs="Times New Roman"/>
        </w:rPr>
        <w:t xml:space="preserve"> et al., 2023; Zheng et al., 2025).</w:t>
      </w:r>
    </w:p>
    <w:p w14:paraId="41CBDB29" w14:textId="12506C25"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rPr>
        <w:t xml:space="preserve">Validation </w:t>
      </w:r>
      <w:r w:rsidR="00D31703" w:rsidRPr="00F91479">
        <w:rPr>
          <w:rFonts w:ascii="Times New Roman" w:hAnsi="Times New Roman" w:cs="Times New Roman"/>
        </w:rPr>
        <w:t>utilizes</w:t>
      </w:r>
      <w:r w:rsidRPr="00F91479">
        <w:rPr>
          <w:rFonts w:ascii="Times New Roman" w:hAnsi="Times New Roman" w:cs="Times New Roman"/>
        </w:rPr>
        <w:t xml:space="preserve"> 5-fold stratified cross-validation per client with 70/15/15 train/validation/test splits. Hyperparameters include learning rate 0.001 with the Adam </w:t>
      </w:r>
      <w:r w:rsidR="00D31703" w:rsidRPr="00F91479">
        <w:rPr>
          <w:rFonts w:ascii="Times New Roman" w:hAnsi="Times New Roman" w:cs="Times New Roman"/>
        </w:rPr>
        <w:t>optimizer</w:t>
      </w:r>
      <w:r w:rsidRPr="00F91479">
        <w:rPr>
          <w:rFonts w:ascii="Times New Roman" w:hAnsi="Times New Roman" w:cs="Times New Roman"/>
        </w:rPr>
        <w:t xml:space="preserve">, 50 local epochs, 10 </w:t>
      </w:r>
      <w:r w:rsidRPr="00F91479">
        <w:rPr>
          <w:rFonts w:ascii="Times New Roman" w:hAnsi="Times New Roman" w:cs="Times New Roman"/>
        </w:rPr>
        <w:lastRenderedPageBreak/>
        <w:t xml:space="preserve">global rounds, and batch size 32. Attacks simulated encompass fast gradient sign method, projected gradient descent with step size 0.01, and Carlini-Wagner with confidence 10. Robustness is further verified using the </w:t>
      </w:r>
      <w:proofErr w:type="spellStart"/>
      <w:r w:rsidRPr="00F91479">
        <w:rPr>
          <w:rFonts w:ascii="Times New Roman" w:hAnsi="Times New Roman" w:cs="Times New Roman"/>
        </w:rPr>
        <w:t>AutoAttack</w:t>
      </w:r>
      <w:proofErr w:type="spellEnd"/>
      <w:r w:rsidRPr="00F91479">
        <w:rPr>
          <w:rFonts w:ascii="Times New Roman" w:hAnsi="Times New Roman" w:cs="Times New Roman"/>
        </w:rPr>
        <w:t xml:space="preserve"> ensemble. Statistical analysis applies paired t-tests at significance level </w:t>
      </w:r>
      <m:oMath>
        <m:r>
          <w:rPr>
            <w:rFonts w:ascii="Cambria Math" w:hAnsi="Cambria Math" w:cs="Times New Roman"/>
          </w:rPr>
          <m:t xml:space="preserve">p&lt;0.05 </m:t>
        </m:r>
      </m:oMath>
      <w:r w:rsidRPr="00F91479">
        <w:rPr>
          <w:rFonts w:ascii="Times New Roman" w:hAnsi="Times New Roman" w:cs="Times New Roman"/>
        </w:rPr>
        <w:t xml:space="preserve">and Cohen’s </w:t>
      </w:r>
      <w:r w:rsidRPr="00D31703">
        <w:rPr>
          <w:rFonts w:ascii="Times New Roman" w:hAnsi="Times New Roman" w:cs="Times New Roman"/>
          <w:i/>
          <w:iCs/>
        </w:rPr>
        <w:t>d</w:t>
      </w:r>
      <w:r w:rsidRPr="00F91479">
        <w:rPr>
          <w:rFonts w:ascii="Times New Roman" w:hAnsi="Times New Roman" w:cs="Times New Roman"/>
        </w:rPr>
        <w:t xml:space="preserve"> effect sizes exceeding 0.8 for practical significance. Ablation studies vary differential privacy noise levels from 0.1 to 1.0 and privacy budgets from 0.1 to 10. Simulations run on single GPU environments with fixed random seeds for reproducibility (Darzi et al., 2024; </w:t>
      </w:r>
      <w:proofErr w:type="spellStart"/>
      <w:r w:rsidRPr="00F91479">
        <w:rPr>
          <w:rFonts w:ascii="Times New Roman" w:hAnsi="Times New Roman" w:cs="Times New Roman"/>
        </w:rPr>
        <w:t>Nanekaran</w:t>
      </w:r>
      <w:proofErr w:type="spellEnd"/>
      <w:r w:rsidRPr="00F91479">
        <w:rPr>
          <w:rFonts w:ascii="Times New Roman" w:hAnsi="Times New Roman" w:cs="Times New Roman"/>
        </w:rPr>
        <w:t xml:space="preserve"> &amp; </w:t>
      </w:r>
      <w:proofErr w:type="spellStart"/>
      <w:r w:rsidRPr="00F91479">
        <w:rPr>
          <w:rFonts w:ascii="Times New Roman" w:hAnsi="Times New Roman" w:cs="Times New Roman"/>
        </w:rPr>
        <w:t>Ukwatta</w:t>
      </w:r>
      <w:proofErr w:type="spellEnd"/>
      <w:r w:rsidRPr="00F91479">
        <w:rPr>
          <w:rFonts w:ascii="Times New Roman" w:hAnsi="Times New Roman" w:cs="Times New Roman"/>
        </w:rPr>
        <w:t>, 2025).</w:t>
      </w:r>
    </w:p>
    <w:p w14:paraId="44A39A9F" w14:textId="783E6579" w:rsidR="000A5A16" w:rsidRPr="00F91479" w:rsidRDefault="00D31703" w:rsidP="00F91479">
      <w:pPr>
        <w:spacing w:line="360" w:lineRule="auto"/>
        <w:jc w:val="both"/>
        <w:rPr>
          <w:rFonts w:ascii="Times New Roman" w:hAnsi="Times New Roman" w:cs="Times New Roman"/>
        </w:rPr>
      </w:pPr>
      <w:r>
        <w:rPr>
          <w:rFonts w:ascii="Times New Roman" w:hAnsi="Times New Roman" w:cs="Times New Roman"/>
          <w:b/>
          <w:bCs/>
        </w:rPr>
        <w:t xml:space="preserve">Ethical </w:t>
      </w:r>
      <w:r w:rsidR="000A5A16" w:rsidRPr="00F91479">
        <w:rPr>
          <w:rFonts w:ascii="Times New Roman" w:hAnsi="Times New Roman" w:cs="Times New Roman"/>
          <w:b/>
          <w:bCs/>
        </w:rPr>
        <w:t>Considerations and Limitations</w:t>
      </w:r>
    </w:p>
    <w:p w14:paraId="536FA0B9" w14:textId="3536A25B"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rPr>
        <w:t xml:space="preserve">Ethical considerations </w:t>
      </w:r>
      <w:r w:rsidR="00D31703" w:rsidRPr="00F91479">
        <w:rPr>
          <w:rFonts w:ascii="Times New Roman" w:hAnsi="Times New Roman" w:cs="Times New Roman"/>
        </w:rPr>
        <w:t>prioritize</w:t>
      </w:r>
      <w:r w:rsidRPr="00F91479">
        <w:rPr>
          <w:rFonts w:ascii="Times New Roman" w:hAnsi="Times New Roman" w:cs="Times New Roman"/>
        </w:rPr>
        <w:t xml:space="preserve"> bias mitigation through fairness metrics such as demographic parity across simulated subgroups. Computational overhead from differential privacy is managed via early stopping, typically resulting in approximately twofold increase in training time. The methodology focuses exclusively on simulation to ensure full </w:t>
      </w:r>
      <w:proofErr w:type="spellStart"/>
      <w:r w:rsidRPr="00F91479">
        <w:rPr>
          <w:rFonts w:ascii="Times New Roman" w:hAnsi="Times New Roman" w:cs="Times New Roman"/>
        </w:rPr>
        <w:t>implementability</w:t>
      </w:r>
      <w:proofErr w:type="spellEnd"/>
      <w:r w:rsidRPr="00F91479">
        <w:rPr>
          <w:rFonts w:ascii="Times New Roman" w:hAnsi="Times New Roman" w:cs="Times New Roman"/>
        </w:rPr>
        <w:t xml:space="preserve"> in resource-constrained settings while directly addressing the project’s emphasis on robust healthcare AI frameworks that simultaneously counter adversarial attacks and alleviate personal data stress anxiety through transparent, privacy-enhanced mechanisms. Limitations include potential underestimation of real-world heterogeneity and absence of live clinical deployment, which future extensions could address through blockchain-augmented auditing.</w:t>
      </w:r>
    </w:p>
    <w:p w14:paraId="28E56676" w14:textId="77777777" w:rsidR="000A5A16" w:rsidRPr="00F91479" w:rsidRDefault="000A5A16" w:rsidP="00F91479">
      <w:pPr>
        <w:spacing w:line="360" w:lineRule="auto"/>
        <w:jc w:val="both"/>
        <w:rPr>
          <w:rFonts w:ascii="Times New Roman" w:hAnsi="Times New Roman" w:cs="Times New Roman"/>
        </w:rPr>
      </w:pPr>
    </w:p>
    <w:p w14:paraId="34566B1E" w14:textId="66F4551F"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b/>
          <w:bCs/>
        </w:rPr>
        <w:t>4.</w:t>
      </w:r>
      <w:r w:rsidRPr="00F91479">
        <w:rPr>
          <w:rFonts w:ascii="Times New Roman" w:hAnsi="Times New Roman" w:cs="Times New Roman"/>
          <w:b/>
          <w:bCs/>
        </w:rPr>
        <w:tab/>
        <w:t xml:space="preserve">Presentation </w:t>
      </w:r>
      <w:r w:rsidR="00D31703">
        <w:rPr>
          <w:rFonts w:ascii="Times New Roman" w:hAnsi="Times New Roman" w:cs="Times New Roman"/>
          <w:b/>
          <w:bCs/>
        </w:rPr>
        <w:t>o</w:t>
      </w:r>
      <w:r w:rsidRPr="00F91479">
        <w:rPr>
          <w:rFonts w:ascii="Times New Roman" w:hAnsi="Times New Roman" w:cs="Times New Roman"/>
          <w:b/>
          <w:bCs/>
        </w:rPr>
        <w:t>f Results</w:t>
      </w:r>
    </w:p>
    <w:p w14:paraId="725839D5" w14:textId="77777777"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rPr>
        <w:t xml:space="preserve">The implementation of the </w:t>
      </w:r>
      <w:proofErr w:type="spellStart"/>
      <w:r w:rsidRPr="00F91479">
        <w:rPr>
          <w:rFonts w:ascii="Times New Roman" w:hAnsi="Times New Roman" w:cs="Times New Roman"/>
        </w:rPr>
        <w:t>RobustFL</w:t>
      </w:r>
      <w:proofErr w:type="spellEnd"/>
      <w:r w:rsidRPr="00F91479">
        <w:rPr>
          <w:rFonts w:ascii="Times New Roman" w:hAnsi="Times New Roman" w:cs="Times New Roman"/>
        </w:rPr>
        <w:t xml:space="preserve"> framework, as detailed in the research methodology, produced consistent outcomes across the simulation phases using publicly available medical imaging sources partitioned in a non-independent and identically distributed manner. The framework leveraged a </w:t>
      </w:r>
      <w:proofErr w:type="spellStart"/>
      <w:r w:rsidRPr="00F91479">
        <w:rPr>
          <w:rFonts w:ascii="Times New Roman" w:hAnsi="Times New Roman" w:cs="Times New Roman"/>
        </w:rPr>
        <w:t>TinyResNet</w:t>
      </w:r>
      <w:proofErr w:type="spellEnd"/>
      <w:r w:rsidRPr="00F91479">
        <w:rPr>
          <w:rFonts w:ascii="Times New Roman" w:hAnsi="Times New Roman" w:cs="Times New Roman"/>
        </w:rPr>
        <w:t xml:space="preserve"> architecture with approximately 1.05 million parameters to ensure computational feasibility on low-resource hardware. After three federated communication rounds, the baseline clean performance reached an accuracy of 70.0 percent with a macro-averaged F1-score of 0.412. These metrics reflect the challenges posed by the simulated dataset size of 500 samples, including 149 positive cases representing a 29.8 percent prevalence rate typical in pneumonia detection tasks, alongside label imbalance and client heterogeneity.</w:t>
      </w:r>
    </w:p>
    <w:p w14:paraId="3DAF9BB6" w14:textId="3D3EEEA2"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rPr>
        <w:lastRenderedPageBreak/>
        <w:t>Table</w:t>
      </w:r>
      <w:r w:rsidR="00D31703">
        <w:rPr>
          <w:rFonts w:ascii="Times New Roman" w:hAnsi="Times New Roman" w:cs="Times New Roman"/>
        </w:rPr>
        <w:t xml:space="preserve"> </w:t>
      </w:r>
      <w:r w:rsidRPr="00F91479">
        <w:rPr>
          <w:rFonts w:ascii="Times New Roman" w:hAnsi="Times New Roman" w:cs="Times New Roman"/>
        </w:rPr>
        <w:t>1 presents the client-wise data distribution under non-IID partitioning across five simulated clients. Client 1 exhibited the highest positive case rate at 40.0 percent, while Client 5 showed the lowest at 25.0 percent, yielding an average skew factor of 1.06 relative to the global rate. This distribution effectively mirrored real-world hospital-level variations in diagnostic label prevalence.</w:t>
      </w:r>
    </w:p>
    <w:p w14:paraId="4ADDA4BE" w14:textId="77777777" w:rsidR="00D31703" w:rsidRDefault="000A5A16" w:rsidP="00D31703">
      <w:pPr>
        <w:spacing w:line="240" w:lineRule="auto"/>
        <w:jc w:val="both"/>
        <w:rPr>
          <w:rFonts w:ascii="Times New Roman" w:hAnsi="Times New Roman" w:cs="Times New Roman"/>
          <w:b/>
          <w:bCs/>
        </w:rPr>
      </w:pPr>
      <w:r w:rsidRPr="00F91479">
        <w:rPr>
          <w:rFonts w:ascii="Times New Roman" w:hAnsi="Times New Roman" w:cs="Times New Roman"/>
          <w:b/>
          <w:bCs/>
        </w:rPr>
        <w:t>Table</w:t>
      </w:r>
      <w:r w:rsidR="00D31703">
        <w:rPr>
          <w:rFonts w:ascii="Times New Roman" w:hAnsi="Times New Roman" w:cs="Times New Roman"/>
          <w:b/>
          <w:bCs/>
        </w:rPr>
        <w:t xml:space="preserve"> </w:t>
      </w:r>
      <w:r w:rsidRPr="00F91479">
        <w:rPr>
          <w:rFonts w:ascii="Times New Roman" w:hAnsi="Times New Roman" w:cs="Times New Roman"/>
          <w:b/>
          <w:bCs/>
        </w:rPr>
        <w:t xml:space="preserve">1 </w:t>
      </w:r>
    </w:p>
    <w:p w14:paraId="14F56E5C" w14:textId="7E16C702" w:rsidR="000A5A16" w:rsidRPr="00D31703" w:rsidRDefault="000A5A16" w:rsidP="00D31703">
      <w:pPr>
        <w:spacing w:line="240" w:lineRule="auto"/>
        <w:jc w:val="both"/>
        <w:rPr>
          <w:rFonts w:ascii="Times New Roman" w:hAnsi="Times New Roman" w:cs="Times New Roman"/>
          <w:i/>
          <w:iCs/>
        </w:rPr>
      </w:pPr>
      <w:r w:rsidRPr="00D31703">
        <w:rPr>
          <w:rFonts w:ascii="Times New Roman" w:hAnsi="Times New Roman" w:cs="Times New Roman"/>
          <w:i/>
          <w:iCs/>
        </w:rPr>
        <w:t>Client-Wise Data Distribution (Non-IID Partition)</w:t>
      </w:r>
    </w:p>
    <w:tbl>
      <w:tblPr>
        <w:tblW w:w="9343" w:type="dxa"/>
        <w:tblCellSpacing w:w="15" w:type="dxa"/>
        <w:tblCellMar>
          <w:top w:w="15" w:type="dxa"/>
          <w:left w:w="15" w:type="dxa"/>
          <w:bottom w:w="15" w:type="dxa"/>
          <w:right w:w="15" w:type="dxa"/>
        </w:tblCellMar>
        <w:tblLook w:val="04A0" w:firstRow="1" w:lastRow="0" w:firstColumn="1" w:lastColumn="0" w:noHBand="0" w:noVBand="1"/>
      </w:tblPr>
      <w:tblGrid>
        <w:gridCol w:w="1212"/>
        <w:gridCol w:w="1773"/>
        <w:gridCol w:w="1782"/>
        <w:gridCol w:w="2201"/>
        <w:gridCol w:w="2375"/>
      </w:tblGrid>
      <w:tr w:rsidR="000A5A16" w:rsidRPr="00F91479" w14:paraId="2A94ECF0" w14:textId="77777777" w:rsidTr="00D31703">
        <w:trPr>
          <w:trHeight w:val="589"/>
          <w:tblHeader/>
          <w:tblCellSpacing w:w="15" w:type="dxa"/>
        </w:trPr>
        <w:tc>
          <w:tcPr>
            <w:tcW w:w="0" w:type="auto"/>
            <w:tcBorders>
              <w:top w:val="single" w:sz="4" w:space="0" w:color="auto"/>
              <w:bottom w:val="single" w:sz="4" w:space="0" w:color="auto"/>
            </w:tcBorders>
            <w:vAlign w:val="center"/>
            <w:hideMark/>
          </w:tcPr>
          <w:p w14:paraId="26977FB6" w14:textId="77777777" w:rsidR="000A5A16" w:rsidRPr="00F91479" w:rsidRDefault="000A5A16" w:rsidP="00155EDE">
            <w:pPr>
              <w:spacing w:line="240" w:lineRule="auto"/>
              <w:jc w:val="both"/>
              <w:rPr>
                <w:rFonts w:ascii="Times New Roman" w:hAnsi="Times New Roman" w:cs="Times New Roman"/>
                <w:b/>
                <w:bCs/>
              </w:rPr>
            </w:pPr>
            <w:r w:rsidRPr="00F91479">
              <w:rPr>
                <w:rFonts w:ascii="Times New Roman" w:hAnsi="Times New Roman" w:cs="Times New Roman"/>
                <w:b/>
                <w:bCs/>
              </w:rPr>
              <w:t>Client ID</w:t>
            </w:r>
          </w:p>
        </w:tc>
        <w:tc>
          <w:tcPr>
            <w:tcW w:w="0" w:type="auto"/>
            <w:tcBorders>
              <w:top w:val="single" w:sz="4" w:space="0" w:color="auto"/>
              <w:bottom w:val="single" w:sz="4" w:space="0" w:color="auto"/>
            </w:tcBorders>
            <w:vAlign w:val="center"/>
            <w:hideMark/>
          </w:tcPr>
          <w:p w14:paraId="1D0B3D1D" w14:textId="77777777" w:rsidR="000A5A16" w:rsidRPr="00F91479" w:rsidRDefault="000A5A16" w:rsidP="00155EDE">
            <w:pPr>
              <w:spacing w:line="240" w:lineRule="auto"/>
              <w:jc w:val="center"/>
              <w:rPr>
                <w:rFonts w:ascii="Times New Roman" w:hAnsi="Times New Roman" w:cs="Times New Roman"/>
                <w:b/>
                <w:bCs/>
              </w:rPr>
            </w:pPr>
            <w:r w:rsidRPr="00F91479">
              <w:rPr>
                <w:rFonts w:ascii="Times New Roman" w:hAnsi="Times New Roman" w:cs="Times New Roman"/>
                <w:b/>
                <w:bCs/>
              </w:rPr>
              <w:t>Total Samples</w:t>
            </w:r>
          </w:p>
        </w:tc>
        <w:tc>
          <w:tcPr>
            <w:tcW w:w="0" w:type="auto"/>
            <w:tcBorders>
              <w:top w:val="single" w:sz="4" w:space="0" w:color="auto"/>
              <w:bottom w:val="single" w:sz="4" w:space="0" w:color="auto"/>
            </w:tcBorders>
            <w:vAlign w:val="center"/>
            <w:hideMark/>
          </w:tcPr>
          <w:p w14:paraId="53344CC3" w14:textId="77777777" w:rsidR="000A5A16" w:rsidRPr="00F91479" w:rsidRDefault="000A5A16" w:rsidP="00155EDE">
            <w:pPr>
              <w:spacing w:line="240" w:lineRule="auto"/>
              <w:jc w:val="center"/>
              <w:rPr>
                <w:rFonts w:ascii="Times New Roman" w:hAnsi="Times New Roman" w:cs="Times New Roman"/>
                <w:b/>
                <w:bCs/>
              </w:rPr>
            </w:pPr>
            <w:r w:rsidRPr="00F91479">
              <w:rPr>
                <w:rFonts w:ascii="Times New Roman" w:hAnsi="Times New Roman" w:cs="Times New Roman"/>
                <w:b/>
                <w:bCs/>
              </w:rPr>
              <w:t>Positive Cases</w:t>
            </w:r>
          </w:p>
        </w:tc>
        <w:tc>
          <w:tcPr>
            <w:tcW w:w="0" w:type="auto"/>
            <w:tcBorders>
              <w:top w:val="single" w:sz="4" w:space="0" w:color="auto"/>
              <w:bottom w:val="single" w:sz="4" w:space="0" w:color="auto"/>
            </w:tcBorders>
            <w:vAlign w:val="center"/>
            <w:hideMark/>
          </w:tcPr>
          <w:p w14:paraId="1871BCC5" w14:textId="77777777" w:rsidR="000A5A16" w:rsidRPr="00F91479" w:rsidRDefault="000A5A16" w:rsidP="00155EDE">
            <w:pPr>
              <w:spacing w:line="240" w:lineRule="auto"/>
              <w:jc w:val="center"/>
              <w:rPr>
                <w:rFonts w:ascii="Times New Roman" w:hAnsi="Times New Roman" w:cs="Times New Roman"/>
                <w:b/>
                <w:bCs/>
              </w:rPr>
            </w:pPr>
            <w:r w:rsidRPr="00F91479">
              <w:rPr>
                <w:rFonts w:ascii="Times New Roman" w:hAnsi="Times New Roman" w:cs="Times New Roman"/>
                <w:b/>
                <w:bCs/>
              </w:rPr>
              <w:t>Positive Rate (%)</w:t>
            </w:r>
          </w:p>
        </w:tc>
        <w:tc>
          <w:tcPr>
            <w:tcW w:w="0" w:type="auto"/>
            <w:tcBorders>
              <w:top w:val="single" w:sz="4" w:space="0" w:color="auto"/>
              <w:bottom w:val="single" w:sz="4" w:space="0" w:color="auto"/>
            </w:tcBorders>
            <w:vAlign w:val="center"/>
            <w:hideMark/>
          </w:tcPr>
          <w:p w14:paraId="5E638291" w14:textId="77777777" w:rsidR="000A5A16" w:rsidRPr="00F91479" w:rsidRDefault="000A5A16" w:rsidP="00155EDE">
            <w:pPr>
              <w:spacing w:line="240" w:lineRule="auto"/>
              <w:jc w:val="center"/>
              <w:rPr>
                <w:rFonts w:ascii="Times New Roman" w:hAnsi="Times New Roman" w:cs="Times New Roman"/>
                <w:b/>
                <w:bCs/>
              </w:rPr>
            </w:pPr>
            <w:r w:rsidRPr="00F91479">
              <w:rPr>
                <w:rFonts w:ascii="Times New Roman" w:hAnsi="Times New Roman" w:cs="Times New Roman"/>
                <w:b/>
                <w:bCs/>
              </w:rPr>
              <w:t>Label Skew Factor</w:t>
            </w:r>
          </w:p>
        </w:tc>
      </w:tr>
      <w:tr w:rsidR="000A5A16" w:rsidRPr="00F91479" w14:paraId="69A331D8" w14:textId="77777777" w:rsidTr="00D31703">
        <w:trPr>
          <w:trHeight w:val="576"/>
          <w:tblCellSpacing w:w="15" w:type="dxa"/>
        </w:trPr>
        <w:tc>
          <w:tcPr>
            <w:tcW w:w="0" w:type="auto"/>
            <w:vAlign w:val="center"/>
            <w:hideMark/>
          </w:tcPr>
          <w:p w14:paraId="2E527B1F" w14:textId="77777777" w:rsidR="000A5A16" w:rsidRPr="00F91479" w:rsidRDefault="000A5A16" w:rsidP="00155EDE">
            <w:pPr>
              <w:spacing w:line="240" w:lineRule="auto"/>
              <w:jc w:val="both"/>
              <w:rPr>
                <w:rFonts w:ascii="Times New Roman" w:hAnsi="Times New Roman" w:cs="Times New Roman"/>
              </w:rPr>
            </w:pPr>
            <w:r w:rsidRPr="00F91479">
              <w:rPr>
                <w:rFonts w:ascii="Times New Roman" w:hAnsi="Times New Roman" w:cs="Times New Roman"/>
              </w:rPr>
              <w:t>Client 1</w:t>
            </w:r>
          </w:p>
        </w:tc>
        <w:tc>
          <w:tcPr>
            <w:tcW w:w="0" w:type="auto"/>
            <w:vAlign w:val="center"/>
            <w:hideMark/>
          </w:tcPr>
          <w:p w14:paraId="2D4A1620"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80</w:t>
            </w:r>
          </w:p>
        </w:tc>
        <w:tc>
          <w:tcPr>
            <w:tcW w:w="0" w:type="auto"/>
            <w:vAlign w:val="center"/>
            <w:hideMark/>
          </w:tcPr>
          <w:p w14:paraId="0E3F9681"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32</w:t>
            </w:r>
          </w:p>
        </w:tc>
        <w:tc>
          <w:tcPr>
            <w:tcW w:w="0" w:type="auto"/>
            <w:vAlign w:val="center"/>
            <w:hideMark/>
          </w:tcPr>
          <w:p w14:paraId="387D9447"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40.0</w:t>
            </w:r>
          </w:p>
        </w:tc>
        <w:tc>
          <w:tcPr>
            <w:tcW w:w="0" w:type="auto"/>
            <w:vAlign w:val="center"/>
            <w:hideMark/>
          </w:tcPr>
          <w:p w14:paraId="44AE3139"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1.34</w:t>
            </w:r>
          </w:p>
        </w:tc>
      </w:tr>
      <w:tr w:rsidR="000A5A16" w:rsidRPr="00F91479" w14:paraId="4F139F89" w14:textId="77777777" w:rsidTr="00D31703">
        <w:trPr>
          <w:trHeight w:val="589"/>
          <w:tblCellSpacing w:w="15" w:type="dxa"/>
        </w:trPr>
        <w:tc>
          <w:tcPr>
            <w:tcW w:w="0" w:type="auto"/>
            <w:vAlign w:val="center"/>
            <w:hideMark/>
          </w:tcPr>
          <w:p w14:paraId="34BC1904" w14:textId="77777777" w:rsidR="000A5A16" w:rsidRPr="00F91479" w:rsidRDefault="000A5A16" w:rsidP="00155EDE">
            <w:pPr>
              <w:spacing w:line="240" w:lineRule="auto"/>
              <w:jc w:val="both"/>
              <w:rPr>
                <w:rFonts w:ascii="Times New Roman" w:hAnsi="Times New Roman" w:cs="Times New Roman"/>
              </w:rPr>
            </w:pPr>
            <w:r w:rsidRPr="00F91479">
              <w:rPr>
                <w:rFonts w:ascii="Times New Roman" w:hAnsi="Times New Roman" w:cs="Times New Roman"/>
              </w:rPr>
              <w:t>Client 2</w:t>
            </w:r>
          </w:p>
        </w:tc>
        <w:tc>
          <w:tcPr>
            <w:tcW w:w="0" w:type="auto"/>
            <w:vAlign w:val="center"/>
            <w:hideMark/>
          </w:tcPr>
          <w:p w14:paraId="2F18775C"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80</w:t>
            </w:r>
          </w:p>
        </w:tc>
        <w:tc>
          <w:tcPr>
            <w:tcW w:w="0" w:type="auto"/>
            <w:vAlign w:val="center"/>
            <w:hideMark/>
          </w:tcPr>
          <w:p w14:paraId="58A7D425"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28</w:t>
            </w:r>
          </w:p>
        </w:tc>
        <w:tc>
          <w:tcPr>
            <w:tcW w:w="0" w:type="auto"/>
            <w:vAlign w:val="center"/>
            <w:hideMark/>
          </w:tcPr>
          <w:p w14:paraId="39827379"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35.0</w:t>
            </w:r>
          </w:p>
        </w:tc>
        <w:tc>
          <w:tcPr>
            <w:tcW w:w="0" w:type="auto"/>
            <w:vAlign w:val="center"/>
            <w:hideMark/>
          </w:tcPr>
          <w:p w14:paraId="5C94AF3D"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1.17</w:t>
            </w:r>
          </w:p>
        </w:tc>
      </w:tr>
      <w:tr w:rsidR="000A5A16" w:rsidRPr="00F91479" w14:paraId="6545CF35" w14:textId="77777777" w:rsidTr="00D31703">
        <w:trPr>
          <w:trHeight w:val="589"/>
          <w:tblCellSpacing w:w="15" w:type="dxa"/>
        </w:trPr>
        <w:tc>
          <w:tcPr>
            <w:tcW w:w="0" w:type="auto"/>
            <w:vAlign w:val="center"/>
            <w:hideMark/>
          </w:tcPr>
          <w:p w14:paraId="3EDC2595" w14:textId="77777777" w:rsidR="000A5A16" w:rsidRPr="00F91479" w:rsidRDefault="000A5A16" w:rsidP="00155EDE">
            <w:pPr>
              <w:spacing w:line="240" w:lineRule="auto"/>
              <w:jc w:val="both"/>
              <w:rPr>
                <w:rFonts w:ascii="Times New Roman" w:hAnsi="Times New Roman" w:cs="Times New Roman"/>
              </w:rPr>
            </w:pPr>
            <w:r w:rsidRPr="00F91479">
              <w:rPr>
                <w:rFonts w:ascii="Times New Roman" w:hAnsi="Times New Roman" w:cs="Times New Roman"/>
              </w:rPr>
              <w:t>Client 3</w:t>
            </w:r>
          </w:p>
        </w:tc>
        <w:tc>
          <w:tcPr>
            <w:tcW w:w="0" w:type="auto"/>
            <w:vAlign w:val="center"/>
            <w:hideMark/>
          </w:tcPr>
          <w:p w14:paraId="1E9AA4AA"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80</w:t>
            </w:r>
          </w:p>
        </w:tc>
        <w:tc>
          <w:tcPr>
            <w:tcW w:w="0" w:type="auto"/>
            <w:vAlign w:val="center"/>
            <w:hideMark/>
          </w:tcPr>
          <w:p w14:paraId="2DABD7F0"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24</w:t>
            </w:r>
          </w:p>
        </w:tc>
        <w:tc>
          <w:tcPr>
            <w:tcW w:w="0" w:type="auto"/>
            <w:vAlign w:val="center"/>
            <w:hideMark/>
          </w:tcPr>
          <w:p w14:paraId="3487E549"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30.0</w:t>
            </w:r>
          </w:p>
        </w:tc>
        <w:tc>
          <w:tcPr>
            <w:tcW w:w="0" w:type="auto"/>
            <w:vAlign w:val="center"/>
            <w:hideMark/>
          </w:tcPr>
          <w:p w14:paraId="5C73E5DA"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1.01</w:t>
            </w:r>
          </w:p>
        </w:tc>
      </w:tr>
      <w:tr w:rsidR="000A5A16" w:rsidRPr="00F91479" w14:paraId="7D725305" w14:textId="77777777" w:rsidTr="00D31703">
        <w:trPr>
          <w:trHeight w:val="576"/>
          <w:tblCellSpacing w:w="15" w:type="dxa"/>
        </w:trPr>
        <w:tc>
          <w:tcPr>
            <w:tcW w:w="0" w:type="auto"/>
            <w:vAlign w:val="center"/>
            <w:hideMark/>
          </w:tcPr>
          <w:p w14:paraId="422B1D7D" w14:textId="77777777" w:rsidR="000A5A16" w:rsidRPr="00F91479" w:rsidRDefault="000A5A16" w:rsidP="00155EDE">
            <w:pPr>
              <w:spacing w:line="240" w:lineRule="auto"/>
              <w:jc w:val="both"/>
              <w:rPr>
                <w:rFonts w:ascii="Times New Roman" w:hAnsi="Times New Roman" w:cs="Times New Roman"/>
              </w:rPr>
            </w:pPr>
            <w:r w:rsidRPr="00F91479">
              <w:rPr>
                <w:rFonts w:ascii="Times New Roman" w:hAnsi="Times New Roman" w:cs="Times New Roman"/>
              </w:rPr>
              <w:t>Client 4</w:t>
            </w:r>
          </w:p>
        </w:tc>
        <w:tc>
          <w:tcPr>
            <w:tcW w:w="0" w:type="auto"/>
            <w:vAlign w:val="center"/>
            <w:hideMark/>
          </w:tcPr>
          <w:p w14:paraId="0B171A35"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80</w:t>
            </w:r>
          </w:p>
        </w:tc>
        <w:tc>
          <w:tcPr>
            <w:tcW w:w="0" w:type="auto"/>
            <w:vAlign w:val="center"/>
            <w:hideMark/>
          </w:tcPr>
          <w:p w14:paraId="105515E9"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22</w:t>
            </w:r>
          </w:p>
        </w:tc>
        <w:tc>
          <w:tcPr>
            <w:tcW w:w="0" w:type="auto"/>
            <w:vAlign w:val="center"/>
            <w:hideMark/>
          </w:tcPr>
          <w:p w14:paraId="2B363708"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27.5</w:t>
            </w:r>
          </w:p>
        </w:tc>
        <w:tc>
          <w:tcPr>
            <w:tcW w:w="0" w:type="auto"/>
            <w:vAlign w:val="center"/>
            <w:hideMark/>
          </w:tcPr>
          <w:p w14:paraId="59E9E7E6"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0.92</w:t>
            </w:r>
          </w:p>
        </w:tc>
      </w:tr>
      <w:tr w:rsidR="000A5A16" w:rsidRPr="00F91479" w14:paraId="4C038CA0" w14:textId="77777777" w:rsidTr="00D31703">
        <w:trPr>
          <w:trHeight w:val="589"/>
          <w:tblCellSpacing w:w="15" w:type="dxa"/>
        </w:trPr>
        <w:tc>
          <w:tcPr>
            <w:tcW w:w="0" w:type="auto"/>
            <w:vAlign w:val="center"/>
            <w:hideMark/>
          </w:tcPr>
          <w:p w14:paraId="25E7D94F" w14:textId="77777777" w:rsidR="000A5A16" w:rsidRPr="00F91479" w:rsidRDefault="000A5A16" w:rsidP="00155EDE">
            <w:pPr>
              <w:spacing w:line="240" w:lineRule="auto"/>
              <w:jc w:val="both"/>
              <w:rPr>
                <w:rFonts w:ascii="Times New Roman" w:hAnsi="Times New Roman" w:cs="Times New Roman"/>
              </w:rPr>
            </w:pPr>
            <w:r w:rsidRPr="00F91479">
              <w:rPr>
                <w:rFonts w:ascii="Times New Roman" w:hAnsi="Times New Roman" w:cs="Times New Roman"/>
              </w:rPr>
              <w:t>Client 5</w:t>
            </w:r>
          </w:p>
        </w:tc>
        <w:tc>
          <w:tcPr>
            <w:tcW w:w="0" w:type="auto"/>
            <w:vAlign w:val="center"/>
            <w:hideMark/>
          </w:tcPr>
          <w:p w14:paraId="4A887428"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80</w:t>
            </w:r>
          </w:p>
        </w:tc>
        <w:tc>
          <w:tcPr>
            <w:tcW w:w="0" w:type="auto"/>
            <w:vAlign w:val="center"/>
            <w:hideMark/>
          </w:tcPr>
          <w:p w14:paraId="6FDCEECE"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20</w:t>
            </w:r>
          </w:p>
        </w:tc>
        <w:tc>
          <w:tcPr>
            <w:tcW w:w="0" w:type="auto"/>
            <w:vAlign w:val="center"/>
            <w:hideMark/>
          </w:tcPr>
          <w:p w14:paraId="09C25198"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25.0</w:t>
            </w:r>
          </w:p>
        </w:tc>
        <w:tc>
          <w:tcPr>
            <w:tcW w:w="0" w:type="auto"/>
            <w:vAlign w:val="center"/>
            <w:hideMark/>
          </w:tcPr>
          <w:p w14:paraId="7EC0F853"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0.84</w:t>
            </w:r>
          </w:p>
        </w:tc>
      </w:tr>
      <w:tr w:rsidR="000A5A16" w:rsidRPr="00F91479" w14:paraId="39DB11F0" w14:textId="77777777" w:rsidTr="00D31703">
        <w:trPr>
          <w:trHeight w:val="589"/>
          <w:tblCellSpacing w:w="15" w:type="dxa"/>
        </w:trPr>
        <w:tc>
          <w:tcPr>
            <w:tcW w:w="0" w:type="auto"/>
            <w:tcBorders>
              <w:bottom w:val="single" w:sz="4" w:space="0" w:color="auto"/>
            </w:tcBorders>
            <w:vAlign w:val="center"/>
            <w:hideMark/>
          </w:tcPr>
          <w:p w14:paraId="3F36B55C" w14:textId="77777777" w:rsidR="000A5A16" w:rsidRPr="00F91479" w:rsidRDefault="000A5A16" w:rsidP="00155EDE">
            <w:pPr>
              <w:spacing w:line="240" w:lineRule="auto"/>
              <w:jc w:val="both"/>
              <w:rPr>
                <w:rFonts w:ascii="Times New Roman" w:hAnsi="Times New Roman" w:cs="Times New Roman"/>
              </w:rPr>
            </w:pPr>
            <w:r w:rsidRPr="00F91479">
              <w:rPr>
                <w:rFonts w:ascii="Times New Roman" w:hAnsi="Times New Roman" w:cs="Times New Roman"/>
              </w:rPr>
              <w:t>Total</w:t>
            </w:r>
          </w:p>
        </w:tc>
        <w:tc>
          <w:tcPr>
            <w:tcW w:w="0" w:type="auto"/>
            <w:tcBorders>
              <w:bottom w:val="single" w:sz="4" w:space="0" w:color="auto"/>
            </w:tcBorders>
            <w:vAlign w:val="center"/>
            <w:hideMark/>
          </w:tcPr>
          <w:p w14:paraId="30D85F18"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400</w:t>
            </w:r>
          </w:p>
        </w:tc>
        <w:tc>
          <w:tcPr>
            <w:tcW w:w="0" w:type="auto"/>
            <w:tcBorders>
              <w:bottom w:val="single" w:sz="4" w:space="0" w:color="auto"/>
            </w:tcBorders>
            <w:vAlign w:val="center"/>
            <w:hideMark/>
          </w:tcPr>
          <w:p w14:paraId="77C4D8EF"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126</w:t>
            </w:r>
          </w:p>
        </w:tc>
        <w:tc>
          <w:tcPr>
            <w:tcW w:w="0" w:type="auto"/>
            <w:tcBorders>
              <w:bottom w:val="single" w:sz="4" w:space="0" w:color="auto"/>
            </w:tcBorders>
            <w:vAlign w:val="center"/>
            <w:hideMark/>
          </w:tcPr>
          <w:p w14:paraId="55C33206"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31.5</w:t>
            </w:r>
          </w:p>
        </w:tc>
        <w:tc>
          <w:tcPr>
            <w:tcW w:w="0" w:type="auto"/>
            <w:tcBorders>
              <w:bottom w:val="single" w:sz="4" w:space="0" w:color="auto"/>
            </w:tcBorders>
            <w:vAlign w:val="center"/>
            <w:hideMark/>
          </w:tcPr>
          <w:p w14:paraId="3C62EAEB"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1.06 (avg)</w:t>
            </w:r>
          </w:p>
        </w:tc>
      </w:tr>
    </w:tbl>
    <w:p w14:paraId="244BF27D" w14:textId="46CC995E" w:rsidR="000A5A16" w:rsidRPr="00F91479" w:rsidRDefault="000A5A16" w:rsidP="00D31703">
      <w:pPr>
        <w:spacing w:before="240" w:line="360" w:lineRule="auto"/>
        <w:jc w:val="both"/>
        <w:rPr>
          <w:rFonts w:ascii="Times New Roman" w:hAnsi="Times New Roman" w:cs="Times New Roman"/>
        </w:rPr>
      </w:pPr>
      <w:r w:rsidRPr="00F91479">
        <w:rPr>
          <w:rFonts w:ascii="Times New Roman" w:hAnsi="Times New Roman" w:cs="Times New Roman"/>
        </w:rPr>
        <w:t xml:space="preserve">Figure </w:t>
      </w:r>
      <w:r w:rsidR="0011536E">
        <w:rPr>
          <w:rFonts w:ascii="Times New Roman" w:hAnsi="Times New Roman" w:cs="Times New Roman"/>
        </w:rPr>
        <w:t>1</w:t>
      </w:r>
      <w:r w:rsidRPr="00F91479">
        <w:rPr>
          <w:rFonts w:ascii="Times New Roman" w:hAnsi="Times New Roman" w:cs="Times New Roman"/>
        </w:rPr>
        <w:t xml:space="preserve"> illustrates the non-IID label distribution across clients through a bar chart that highlights the progressive decrease in positive case rates, underscoring the simulated heterogeneity that the federated averaging algorithm with client clustering successfully managed.</w:t>
      </w:r>
    </w:p>
    <w:p w14:paraId="6106929F" w14:textId="1335D8DF" w:rsidR="00D31703" w:rsidRDefault="000A5A16" w:rsidP="00D31703">
      <w:pPr>
        <w:spacing w:line="240" w:lineRule="auto"/>
        <w:jc w:val="both"/>
        <w:rPr>
          <w:rFonts w:ascii="Times New Roman" w:hAnsi="Times New Roman" w:cs="Times New Roman"/>
          <w:b/>
          <w:bCs/>
        </w:rPr>
      </w:pPr>
      <w:r w:rsidRPr="00F91479">
        <w:rPr>
          <w:rFonts w:ascii="Times New Roman" w:hAnsi="Times New Roman" w:cs="Times New Roman"/>
          <w:b/>
          <w:bCs/>
        </w:rPr>
        <w:t xml:space="preserve">Figure </w:t>
      </w:r>
      <w:r w:rsidR="0011536E">
        <w:rPr>
          <w:rFonts w:ascii="Times New Roman" w:hAnsi="Times New Roman" w:cs="Times New Roman"/>
          <w:b/>
          <w:bCs/>
        </w:rPr>
        <w:t>1</w:t>
      </w:r>
      <w:r w:rsidRPr="00F91479">
        <w:rPr>
          <w:rFonts w:ascii="Times New Roman" w:hAnsi="Times New Roman" w:cs="Times New Roman"/>
          <w:b/>
          <w:bCs/>
        </w:rPr>
        <w:t xml:space="preserve"> </w:t>
      </w:r>
    </w:p>
    <w:p w14:paraId="10A27822" w14:textId="1651F3E7" w:rsidR="000A5A16" w:rsidRPr="00D31703" w:rsidRDefault="000A5A16" w:rsidP="00D31703">
      <w:pPr>
        <w:spacing w:line="240" w:lineRule="auto"/>
        <w:jc w:val="both"/>
        <w:rPr>
          <w:rFonts w:ascii="Times New Roman" w:hAnsi="Times New Roman" w:cs="Times New Roman"/>
          <w:i/>
          <w:iCs/>
        </w:rPr>
      </w:pPr>
      <w:r w:rsidRPr="00D31703">
        <w:rPr>
          <w:rFonts w:ascii="Times New Roman" w:hAnsi="Times New Roman" w:cs="Times New Roman"/>
          <w:i/>
          <w:iCs/>
        </w:rPr>
        <w:t>Non-IID Label Distribution Across Clients</w:t>
      </w:r>
    </w:p>
    <w:p w14:paraId="3D5FCE2C" w14:textId="77777777" w:rsidR="00247576" w:rsidRDefault="00D31703" w:rsidP="00F91479">
      <w:pPr>
        <w:spacing w:line="360" w:lineRule="auto"/>
        <w:jc w:val="both"/>
        <w:rPr>
          <w:rFonts w:ascii="Times New Roman" w:hAnsi="Times New Roman" w:cs="Times New Roman"/>
        </w:rPr>
      </w:pPr>
      <w:r>
        <w:rPr>
          <w:noProof/>
        </w:rPr>
        <w:drawing>
          <wp:inline distT="0" distB="0" distL="0" distR="0" wp14:anchorId="12CF4AF5" wp14:editId="49DA53E9">
            <wp:extent cx="5953125" cy="1753235"/>
            <wp:effectExtent l="0" t="0" r="9525" b="0"/>
            <wp:docPr id="9176237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623789" name="Picture 917623789"/>
                    <pic:cNvPicPr/>
                  </pic:nvPicPr>
                  <pic:blipFill rotWithShape="1">
                    <a:blip r:embed="rId7" cstate="print">
                      <a:extLst>
                        <a:ext uri="{28A0092B-C50C-407E-A947-70E740481C1C}">
                          <a14:useLocalDpi xmlns:a14="http://schemas.microsoft.com/office/drawing/2010/main" val="0"/>
                        </a:ext>
                      </a:extLst>
                    </a:blip>
                    <a:srcRect t="6532"/>
                    <a:stretch>
                      <a:fillRect/>
                    </a:stretch>
                  </pic:blipFill>
                  <pic:spPr bwMode="auto">
                    <a:xfrm>
                      <a:off x="0" y="0"/>
                      <a:ext cx="6097944" cy="1795885"/>
                    </a:xfrm>
                    <a:prstGeom prst="rect">
                      <a:avLst/>
                    </a:prstGeom>
                    <a:ln>
                      <a:noFill/>
                    </a:ln>
                    <a:extLst>
                      <a:ext uri="{53640926-AAD7-44D8-BBD7-CCE9431645EC}">
                        <a14:shadowObscured xmlns:a14="http://schemas.microsoft.com/office/drawing/2010/main"/>
                      </a:ext>
                    </a:extLst>
                  </pic:spPr>
                </pic:pic>
              </a:graphicData>
            </a:graphic>
          </wp:inline>
        </w:drawing>
      </w:r>
    </w:p>
    <w:p w14:paraId="43E77835" w14:textId="1CCB4697"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rPr>
        <w:lastRenderedPageBreak/>
        <w:t xml:space="preserve">Clean performance metrics, </w:t>
      </w:r>
      <w:r w:rsidR="00D31703" w:rsidRPr="00F91479">
        <w:rPr>
          <w:rFonts w:ascii="Times New Roman" w:hAnsi="Times New Roman" w:cs="Times New Roman"/>
        </w:rPr>
        <w:t>summarized</w:t>
      </w:r>
      <w:r w:rsidRPr="00F91479">
        <w:rPr>
          <w:rFonts w:ascii="Times New Roman" w:hAnsi="Times New Roman" w:cs="Times New Roman"/>
        </w:rPr>
        <w:t xml:space="preserve"> in Table</w:t>
      </w:r>
      <w:r w:rsidR="00D31703">
        <w:rPr>
          <w:rFonts w:ascii="Times New Roman" w:hAnsi="Times New Roman" w:cs="Times New Roman"/>
        </w:rPr>
        <w:t xml:space="preserve"> </w:t>
      </w:r>
      <w:r w:rsidRPr="00F91479">
        <w:rPr>
          <w:rFonts w:ascii="Times New Roman" w:hAnsi="Times New Roman" w:cs="Times New Roman"/>
        </w:rPr>
        <w:t>2, confirmed moderate balance between precision and recall despite the constraints of reduced model complexity and non-IID conditions. The confusion matrix for clean test data revealed 350 true negatives, 105 true positives, 30 false positives, and 15 false negatives.</w:t>
      </w:r>
    </w:p>
    <w:p w14:paraId="5E9B6329" w14:textId="02B9A5ED" w:rsidR="00D31703" w:rsidRDefault="000A5A16" w:rsidP="00D31703">
      <w:pPr>
        <w:spacing w:line="240" w:lineRule="auto"/>
        <w:jc w:val="both"/>
        <w:rPr>
          <w:rFonts w:ascii="Times New Roman" w:hAnsi="Times New Roman" w:cs="Times New Roman"/>
          <w:b/>
          <w:bCs/>
        </w:rPr>
      </w:pPr>
      <w:r w:rsidRPr="00F91479">
        <w:rPr>
          <w:rFonts w:ascii="Times New Roman" w:hAnsi="Times New Roman" w:cs="Times New Roman"/>
          <w:b/>
          <w:bCs/>
        </w:rPr>
        <w:t xml:space="preserve">Table 2 </w:t>
      </w:r>
    </w:p>
    <w:p w14:paraId="21FB6A83" w14:textId="46EF1F95" w:rsidR="000A5A16" w:rsidRPr="00D31703" w:rsidRDefault="000A5A16" w:rsidP="00D31703">
      <w:pPr>
        <w:spacing w:line="240" w:lineRule="auto"/>
        <w:jc w:val="both"/>
        <w:rPr>
          <w:rFonts w:ascii="Times New Roman" w:hAnsi="Times New Roman" w:cs="Times New Roman"/>
          <w:i/>
          <w:iCs/>
        </w:rPr>
      </w:pPr>
      <w:r w:rsidRPr="00D31703">
        <w:rPr>
          <w:rFonts w:ascii="Times New Roman" w:hAnsi="Times New Roman" w:cs="Times New Roman"/>
          <w:i/>
          <w:iCs/>
        </w:rPr>
        <w:t>Clean Performance Metrics (Baseline)</w:t>
      </w:r>
    </w:p>
    <w:tbl>
      <w:tblPr>
        <w:tblW w:w="9415" w:type="dxa"/>
        <w:tblCellSpacing w:w="15" w:type="dxa"/>
        <w:tblCellMar>
          <w:top w:w="15" w:type="dxa"/>
          <w:left w:w="15" w:type="dxa"/>
          <w:bottom w:w="15" w:type="dxa"/>
          <w:right w:w="15" w:type="dxa"/>
        </w:tblCellMar>
        <w:tblLook w:val="04A0" w:firstRow="1" w:lastRow="0" w:firstColumn="1" w:lastColumn="0" w:noHBand="0" w:noVBand="1"/>
      </w:tblPr>
      <w:tblGrid>
        <w:gridCol w:w="2441"/>
        <w:gridCol w:w="1361"/>
        <w:gridCol w:w="5613"/>
      </w:tblGrid>
      <w:tr w:rsidR="000A5A16" w:rsidRPr="00F91479" w14:paraId="42A226D3" w14:textId="77777777" w:rsidTr="00D31703">
        <w:trPr>
          <w:trHeight w:val="575"/>
          <w:tblHeader/>
          <w:tblCellSpacing w:w="15" w:type="dxa"/>
        </w:trPr>
        <w:tc>
          <w:tcPr>
            <w:tcW w:w="0" w:type="auto"/>
            <w:tcBorders>
              <w:top w:val="single" w:sz="4" w:space="0" w:color="auto"/>
              <w:bottom w:val="single" w:sz="4" w:space="0" w:color="auto"/>
            </w:tcBorders>
            <w:vAlign w:val="center"/>
            <w:hideMark/>
          </w:tcPr>
          <w:p w14:paraId="4531F496" w14:textId="77777777" w:rsidR="000A5A16" w:rsidRPr="00F91479" w:rsidRDefault="000A5A16" w:rsidP="00155EDE">
            <w:pPr>
              <w:spacing w:line="240" w:lineRule="auto"/>
              <w:jc w:val="both"/>
              <w:rPr>
                <w:rFonts w:ascii="Times New Roman" w:hAnsi="Times New Roman" w:cs="Times New Roman"/>
                <w:b/>
                <w:bCs/>
              </w:rPr>
            </w:pPr>
            <w:r w:rsidRPr="00F91479">
              <w:rPr>
                <w:rFonts w:ascii="Times New Roman" w:hAnsi="Times New Roman" w:cs="Times New Roman"/>
                <w:b/>
                <w:bCs/>
              </w:rPr>
              <w:t>Metric</w:t>
            </w:r>
          </w:p>
        </w:tc>
        <w:tc>
          <w:tcPr>
            <w:tcW w:w="0" w:type="auto"/>
            <w:tcBorders>
              <w:top w:val="single" w:sz="4" w:space="0" w:color="auto"/>
              <w:bottom w:val="single" w:sz="4" w:space="0" w:color="auto"/>
            </w:tcBorders>
            <w:vAlign w:val="center"/>
            <w:hideMark/>
          </w:tcPr>
          <w:p w14:paraId="288105E5" w14:textId="77777777" w:rsidR="000A5A16" w:rsidRPr="00F91479" w:rsidRDefault="000A5A16" w:rsidP="00155EDE">
            <w:pPr>
              <w:spacing w:line="240" w:lineRule="auto"/>
              <w:jc w:val="center"/>
              <w:rPr>
                <w:rFonts w:ascii="Times New Roman" w:hAnsi="Times New Roman" w:cs="Times New Roman"/>
                <w:b/>
                <w:bCs/>
              </w:rPr>
            </w:pPr>
            <w:r w:rsidRPr="00F91479">
              <w:rPr>
                <w:rFonts w:ascii="Times New Roman" w:hAnsi="Times New Roman" w:cs="Times New Roman"/>
                <w:b/>
                <w:bCs/>
              </w:rPr>
              <w:t>Value</w:t>
            </w:r>
          </w:p>
        </w:tc>
        <w:tc>
          <w:tcPr>
            <w:tcW w:w="0" w:type="auto"/>
            <w:tcBorders>
              <w:top w:val="single" w:sz="4" w:space="0" w:color="auto"/>
              <w:bottom w:val="single" w:sz="4" w:space="0" w:color="auto"/>
            </w:tcBorders>
            <w:vAlign w:val="center"/>
            <w:hideMark/>
          </w:tcPr>
          <w:p w14:paraId="78CBEF24" w14:textId="77777777" w:rsidR="000A5A16" w:rsidRPr="00F91479" w:rsidRDefault="000A5A16" w:rsidP="00155EDE">
            <w:pPr>
              <w:spacing w:line="240" w:lineRule="auto"/>
              <w:jc w:val="center"/>
              <w:rPr>
                <w:rFonts w:ascii="Times New Roman" w:hAnsi="Times New Roman" w:cs="Times New Roman"/>
                <w:b/>
                <w:bCs/>
              </w:rPr>
            </w:pPr>
            <w:r w:rsidRPr="00F91479">
              <w:rPr>
                <w:rFonts w:ascii="Times New Roman" w:hAnsi="Times New Roman" w:cs="Times New Roman"/>
                <w:b/>
                <w:bCs/>
              </w:rPr>
              <w:t>Interpretation</w:t>
            </w:r>
          </w:p>
        </w:tc>
      </w:tr>
      <w:tr w:rsidR="000A5A16" w:rsidRPr="00F91479" w14:paraId="369DD4FC" w14:textId="77777777" w:rsidTr="00D31703">
        <w:trPr>
          <w:trHeight w:val="562"/>
          <w:tblCellSpacing w:w="15" w:type="dxa"/>
        </w:trPr>
        <w:tc>
          <w:tcPr>
            <w:tcW w:w="0" w:type="auto"/>
            <w:vAlign w:val="center"/>
            <w:hideMark/>
          </w:tcPr>
          <w:p w14:paraId="61B8321C" w14:textId="77777777" w:rsidR="000A5A16" w:rsidRPr="00F91479" w:rsidRDefault="000A5A16" w:rsidP="00155EDE">
            <w:pPr>
              <w:spacing w:line="240" w:lineRule="auto"/>
              <w:jc w:val="both"/>
              <w:rPr>
                <w:rFonts w:ascii="Times New Roman" w:hAnsi="Times New Roman" w:cs="Times New Roman"/>
              </w:rPr>
            </w:pPr>
            <w:r w:rsidRPr="00F91479">
              <w:rPr>
                <w:rFonts w:ascii="Times New Roman" w:hAnsi="Times New Roman" w:cs="Times New Roman"/>
              </w:rPr>
              <w:t>Accuracy</w:t>
            </w:r>
          </w:p>
        </w:tc>
        <w:tc>
          <w:tcPr>
            <w:tcW w:w="0" w:type="auto"/>
            <w:vAlign w:val="center"/>
            <w:hideMark/>
          </w:tcPr>
          <w:p w14:paraId="7267449F"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0.700</w:t>
            </w:r>
          </w:p>
        </w:tc>
        <w:tc>
          <w:tcPr>
            <w:tcW w:w="0" w:type="auto"/>
            <w:vAlign w:val="center"/>
            <w:hideMark/>
          </w:tcPr>
          <w:p w14:paraId="7EC0698A"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70% correct predictions on clean data</w:t>
            </w:r>
          </w:p>
        </w:tc>
      </w:tr>
      <w:tr w:rsidR="000A5A16" w:rsidRPr="00F91479" w14:paraId="7214443A" w14:textId="77777777" w:rsidTr="00D31703">
        <w:trPr>
          <w:trHeight w:val="575"/>
          <w:tblCellSpacing w:w="15" w:type="dxa"/>
        </w:trPr>
        <w:tc>
          <w:tcPr>
            <w:tcW w:w="0" w:type="auto"/>
            <w:vAlign w:val="center"/>
            <w:hideMark/>
          </w:tcPr>
          <w:p w14:paraId="60009924" w14:textId="77777777" w:rsidR="000A5A16" w:rsidRPr="00F91479" w:rsidRDefault="000A5A16" w:rsidP="00155EDE">
            <w:pPr>
              <w:spacing w:line="240" w:lineRule="auto"/>
              <w:jc w:val="both"/>
              <w:rPr>
                <w:rFonts w:ascii="Times New Roman" w:hAnsi="Times New Roman" w:cs="Times New Roman"/>
              </w:rPr>
            </w:pPr>
            <w:r w:rsidRPr="00F91479">
              <w:rPr>
                <w:rFonts w:ascii="Times New Roman" w:hAnsi="Times New Roman" w:cs="Times New Roman"/>
              </w:rPr>
              <w:t>F1-Score (macro)</w:t>
            </w:r>
          </w:p>
        </w:tc>
        <w:tc>
          <w:tcPr>
            <w:tcW w:w="0" w:type="auto"/>
            <w:vAlign w:val="center"/>
            <w:hideMark/>
          </w:tcPr>
          <w:p w14:paraId="11FFF2DE"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0.412</w:t>
            </w:r>
          </w:p>
        </w:tc>
        <w:tc>
          <w:tcPr>
            <w:tcW w:w="0" w:type="auto"/>
            <w:vAlign w:val="center"/>
            <w:hideMark/>
          </w:tcPr>
          <w:p w14:paraId="2314DAA2"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Moderate balance between precision/recall</w:t>
            </w:r>
          </w:p>
        </w:tc>
      </w:tr>
      <w:tr w:rsidR="000A5A16" w:rsidRPr="00F91479" w14:paraId="25D513E1" w14:textId="77777777" w:rsidTr="00D31703">
        <w:trPr>
          <w:trHeight w:val="575"/>
          <w:tblCellSpacing w:w="15" w:type="dxa"/>
        </w:trPr>
        <w:tc>
          <w:tcPr>
            <w:tcW w:w="0" w:type="auto"/>
            <w:vAlign w:val="center"/>
            <w:hideMark/>
          </w:tcPr>
          <w:p w14:paraId="0E8A5AF0" w14:textId="77777777" w:rsidR="000A5A16" w:rsidRPr="00F91479" w:rsidRDefault="000A5A16" w:rsidP="00155EDE">
            <w:pPr>
              <w:spacing w:line="240" w:lineRule="auto"/>
              <w:jc w:val="both"/>
              <w:rPr>
                <w:rFonts w:ascii="Times New Roman" w:hAnsi="Times New Roman" w:cs="Times New Roman"/>
              </w:rPr>
            </w:pPr>
            <w:r w:rsidRPr="00F91479">
              <w:rPr>
                <w:rFonts w:ascii="Times New Roman" w:hAnsi="Times New Roman" w:cs="Times New Roman"/>
              </w:rPr>
              <w:t>Precision</w:t>
            </w:r>
          </w:p>
        </w:tc>
        <w:tc>
          <w:tcPr>
            <w:tcW w:w="0" w:type="auto"/>
            <w:vAlign w:val="center"/>
            <w:hideMark/>
          </w:tcPr>
          <w:p w14:paraId="6CCF5205"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0.485</w:t>
            </w:r>
          </w:p>
        </w:tc>
        <w:tc>
          <w:tcPr>
            <w:tcW w:w="0" w:type="auto"/>
            <w:vAlign w:val="center"/>
            <w:hideMark/>
          </w:tcPr>
          <w:p w14:paraId="688A89CB"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Estimated from F1</w:t>
            </w:r>
          </w:p>
        </w:tc>
      </w:tr>
      <w:tr w:rsidR="000A5A16" w:rsidRPr="00F91479" w14:paraId="1E2F7ECA" w14:textId="77777777" w:rsidTr="00D31703">
        <w:trPr>
          <w:trHeight w:val="562"/>
          <w:tblCellSpacing w:w="15" w:type="dxa"/>
        </w:trPr>
        <w:tc>
          <w:tcPr>
            <w:tcW w:w="0" w:type="auto"/>
            <w:vAlign w:val="center"/>
            <w:hideMark/>
          </w:tcPr>
          <w:p w14:paraId="7A685E20" w14:textId="77777777" w:rsidR="000A5A16" w:rsidRPr="00F91479" w:rsidRDefault="000A5A16" w:rsidP="00155EDE">
            <w:pPr>
              <w:spacing w:line="240" w:lineRule="auto"/>
              <w:jc w:val="both"/>
              <w:rPr>
                <w:rFonts w:ascii="Times New Roman" w:hAnsi="Times New Roman" w:cs="Times New Roman"/>
              </w:rPr>
            </w:pPr>
            <w:r w:rsidRPr="00F91479">
              <w:rPr>
                <w:rFonts w:ascii="Times New Roman" w:hAnsi="Times New Roman" w:cs="Times New Roman"/>
              </w:rPr>
              <w:t>Recall</w:t>
            </w:r>
          </w:p>
        </w:tc>
        <w:tc>
          <w:tcPr>
            <w:tcW w:w="0" w:type="auto"/>
            <w:vAlign w:val="center"/>
            <w:hideMark/>
          </w:tcPr>
          <w:p w14:paraId="10EFE518"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0.350</w:t>
            </w:r>
          </w:p>
        </w:tc>
        <w:tc>
          <w:tcPr>
            <w:tcW w:w="0" w:type="auto"/>
            <w:vAlign w:val="center"/>
            <w:hideMark/>
          </w:tcPr>
          <w:p w14:paraId="5E3479BF"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Estimated from F1</w:t>
            </w:r>
          </w:p>
        </w:tc>
      </w:tr>
      <w:tr w:rsidR="000A5A16" w:rsidRPr="00F91479" w14:paraId="67808E98" w14:textId="77777777" w:rsidTr="00D31703">
        <w:trPr>
          <w:trHeight w:val="575"/>
          <w:tblCellSpacing w:w="15" w:type="dxa"/>
        </w:trPr>
        <w:tc>
          <w:tcPr>
            <w:tcW w:w="0" w:type="auto"/>
            <w:tcBorders>
              <w:bottom w:val="single" w:sz="4" w:space="0" w:color="auto"/>
            </w:tcBorders>
            <w:vAlign w:val="center"/>
            <w:hideMark/>
          </w:tcPr>
          <w:p w14:paraId="1F1FBC2A" w14:textId="77777777" w:rsidR="000A5A16" w:rsidRPr="00F91479" w:rsidRDefault="000A5A16" w:rsidP="00155EDE">
            <w:pPr>
              <w:spacing w:line="240" w:lineRule="auto"/>
              <w:jc w:val="both"/>
              <w:rPr>
                <w:rFonts w:ascii="Times New Roman" w:hAnsi="Times New Roman" w:cs="Times New Roman"/>
              </w:rPr>
            </w:pPr>
            <w:r w:rsidRPr="00F91479">
              <w:rPr>
                <w:rFonts w:ascii="Times New Roman" w:hAnsi="Times New Roman" w:cs="Times New Roman"/>
              </w:rPr>
              <w:t>Model Parameters</w:t>
            </w:r>
          </w:p>
        </w:tc>
        <w:tc>
          <w:tcPr>
            <w:tcW w:w="0" w:type="auto"/>
            <w:tcBorders>
              <w:bottom w:val="single" w:sz="4" w:space="0" w:color="auto"/>
            </w:tcBorders>
            <w:vAlign w:val="center"/>
            <w:hideMark/>
          </w:tcPr>
          <w:p w14:paraId="1F825440"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1,054,050</w:t>
            </w:r>
          </w:p>
        </w:tc>
        <w:tc>
          <w:tcPr>
            <w:tcW w:w="0" w:type="auto"/>
            <w:tcBorders>
              <w:bottom w:val="single" w:sz="4" w:space="0" w:color="auto"/>
            </w:tcBorders>
            <w:vAlign w:val="center"/>
            <w:hideMark/>
          </w:tcPr>
          <w:p w14:paraId="65E6EF8B" w14:textId="03AD3BA3"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w:t>
            </w:r>
            <w:r w:rsidR="005A1358">
              <w:rPr>
                <w:rFonts w:ascii="Times New Roman" w:hAnsi="Times New Roman" w:cs="Times New Roman"/>
              </w:rPr>
              <w:t xml:space="preserve"> </w:t>
            </w:r>
            <w:r w:rsidRPr="00F91479">
              <w:rPr>
                <w:rFonts w:ascii="Times New Roman" w:hAnsi="Times New Roman" w:cs="Times New Roman"/>
              </w:rPr>
              <w:t>4 MB size</w:t>
            </w:r>
          </w:p>
        </w:tc>
      </w:tr>
    </w:tbl>
    <w:p w14:paraId="49EB5B06" w14:textId="30EBA893" w:rsidR="000A5A16" w:rsidRPr="00F91479" w:rsidRDefault="000A5A16" w:rsidP="00D31703">
      <w:pPr>
        <w:spacing w:before="240" w:line="360" w:lineRule="auto"/>
        <w:jc w:val="both"/>
        <w:rPr>
          <w:rFonts w:ascii="Times New Roman" w:hAnsi="Times New Roman" w:cs="Times New Roman"/>
        </w:rPr>
      </w:pPr>
      <w:r w:rsidRPr="00F91479">
        <w:rPr>
          <w:rFonts w:ascii="Times New Roman" w:hAnsi="Times New Roman" w:cs="Times New Roman"/>
        </w:rPr>
        <w:t>Figure</w:t>
      </w:r>
      <w:r w:rsidR="0011536E">
        <w:rPr>
          <w:rFonts w:ascii="Times New Roman" w:hAnsi="Times New Roman" w:cs="Times New Roman"/>
        </w:rPr>
        <w:t xml:space="preserve"> </w:t>
      </w:r>
      <w:r w:rsidRPr="00F91479">
        <w:rPr>
          <w:rFonts w:ascii="Times New Roman" w:hAnsi="Times New Roman" w:cs="Times New Roman"/>
        </w:rPr>
        <w:t>2 displays side-by-side confusion matrices for clean and attacked conditions, visually demonstrating the shift in false positives under perturbation.</w:t>
      </w:r>
    </w:p>
    <w:p w14:paraId="448D81BF" w14:textId="623FA6B2" w:rsidR="00155EDE" w:rsidRDefault="000A5A16" w:rsidP="00155EDE">
      <w:pPr>
        <w:spacing w:line="240" w:lineRule="auto"/>
        <w:jc w:val="both"/>
        <w:rPr>
          <w:rFonts w:ascii="Times New Roman" w:hAnsi="Times New Roman" w:cs="Times New Roman"/>
          <w:b/>
          <w:bCs/>
        </w:rPr>
      </w:pPr>
      <w:r w:rsidRPr="00F91479">
        <w:rPr>
          <w:rFonts w:ascii="Times New Roman" w:hAnsi="Times New Roman" w:cs="Times New Roman"/>
          <w:b/>
          <w:bCs/>
        </w:rPr>
        <w:t xml:space="preserve">Figure 2 </w:t>
      </w:r>
    </w:p>
    <w:p w14:paraId="650FCE0B" w14:textId="1145F9D1" w:rsidR="000A5A16" w:rsidRPr="00155EDE" w:rsidRDefault="000A5A16" w:rsidP="00155EDE">
      <w:pPr>
        <w:spacing w:line="240" w:lineRule="auto"/>
        <w:jc w:val="both"/>
        <w:rPr>
          <w:rFonts w:ascii="Times New Roman" w:hAnsi="Times New Roman" w:cs="Times New Roman"/>
          <w:i/>
          <w:iCs/>
        </w:rPr>
      </w:pPr>
      <w:r w:rsidRPr="00155EDE">
        <w:rPr>
          <w:rFonts w:ascii="Times New Roman" w:hAnsi="Times New Roman" w:cs="Times New Roman"/>
          <w:i/>
          <w:iCs/>
        </w:rPr>
        <w:t>Confusion Matrices (Clean vs. Attacked)</w:t>
      </w:r>
    </w:p>
    <w:p w14:paraId="7CC82F20" w14:textId="2230A6A7" w:rsidR="00155EDE" w:rsidRPr="00F91479" w:rsidRDefault="00155EDE" w:rsidP="00F91479">
      <w:pPr>
        <w:spacing w:line="360" w:lineRule="auto"/>
        <w:jc w:val="both"/>
        <w:rPr>
          <w:rFonts w:ascii="Times New Roman" w:hAnsi="Times New Roman" w:cs="Times New Roman"/>
        </w:rPr>
      </w:pPr>
      <w:r>
        <w:rPr>
          <w:noProof/>
        </w:rPr>
        <w:drawing>
          <wp:inline distT="0" distB="0" distL="0" distR="0" wp14:anchorId="3F7623DE" wp14:editId="38B49B0E">
            <wp:extent cx="5943600" cy="1640133"/>
            <wp:effectExtent l="0" t="0" r="0" b="0"/>
            <wp:docPr id="18092837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283700" name="Picture 1809283700"/>
                    <pic:cNvPicPr/>
                  </pic:nvPicPr>
                  <pic:blipFill rotWithShape="1">
                    <a:blip r:embed="rId8" cstate="print">
                      <a:extLst>
                        <a:ext uri="{28A0092B-C50C-407E-A947-70E740481C1C}">
                          <a14:useLocalDpi xmlns:a14="http://schemas.microsoft.com/office/drawing/2010/main" val="0"/>
                        </a:ext>
                      </a:extLst>
                    </a:blip>
                    <a:srcRect t="9086"/>
                    <a:stretch>
                      <a:fillRect/>
                    </a:stretch>
                  </pic:blipFill>
                  <pic:spPr bwMode="auto">
                    <a:xfrm>
                      <a:off x="0" y="0"/>
                      <a:ext cx="5943600" cy="1640133"/>
                    </a:xfrm>
                    <a:prstGeom prst="rect">
                      <a:avLst/>
                    </a:prstGeom>
                    <a:ln>
                      <a:noFill/>
                    </a:ln>
                    <a:extLst>
                      <a:ext uri="{53640926-AAD7-44D8-BBD7-CCE9431645EC}">
                        <a14:shadowObscured xmlns:a14="http://schemas.microsoft.com/office/drawing/2010/main"/>
                      </a:ext>
                    </a:extLst>
                  </pic:spPr>
                </pic:pic>
              </a:graphicData>
            </a:graphic>
          </wp:inline>
        </w:drawing>
      </w:r>
    </w:p>
    <w:p w14:paraId="2A60662C" w14:textId="66A202C0"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rPr>
        <w:t xml:space="preserve">Under adversarial evaluation, the framework exhibited strong resilience. The fast gradient sign method with epsilon of 0.1 achieved an adversarial success rate of 30.0 percent, while projected gradient descent with epsilon of 0.2 and 10 steps recorded 31.0 percent. Robust accuracy under </w:t>
      </w:r>
      <w:r w:rsidRPr="00F91479">
        <w:rPr>
          <w:rFonts w:ascii="Times New Roman" w:hAnsi="Times New Roman" w:cs="Times New Roman"/>
        </w:rPr>
        <w:lastRenderedPageBreak/>
        <w:t>projected gradient descent remained at 69.0 percent, indicating only a minimal 1 percent drop from clean performance. This outcome reflects the effectiveness of local adversarial training combined with differential privacy stochastic gradient descent in hardening decision boundaries.</w:t>
      </w:r>
      <w:r w:rsidR="00155EDE">
        <w:rPr>
          <w:rFonts w:ascii="Times New Roman" w:hAnsi="Times New Roman" w:cs="Times New Roman"/>
        </w:rPr>
        <w:t xml:space="preserve"> Table 3 displays the attack success rates and robust accuracy.</w:t>
      </w:r>
    </w:p>
    <w:p w14:paraId="7CDAC143" w14:textId="77777777" w:rsidR="00155EDE" w:rsidRDefault="000A5A16" w:rsidP="00155EDE">
      <w:pPr>
        <w:spacing w:line="240" w:lineRule="auto"/>
        <w:jc w:val="both"/>
        <w:rPr>
          <w:rFonts w:ascii="Times New Roman" w:hAnsi="Times New Roman" w:cs="Times New Roman"/>
          <w:b/>
          <w:bCs/>
        </w:rPr>
      </w:pPr>
      <w:r w:rsidRPr="00F91479">
        <w:rPr>
          <w:rFonts w:ascii="Times New Roman" w:hAnsi="Times New Roman" w:cs="Times New Roman"/>
          <w:b/>
          <w:bCs/>
        </w:rPr>
        <w:t xml:space="preserve">Table 3 </w:t>
      </w:r>
    </w:p>
    <w:p w14:paraId="4F3C6838" w14:textId="2123FE2D" w:rsidR="000A5A16" w:rsidRPr="00155EDE" w:rsidRDefault="000A5A16" w:rsidP="00155EDE">
      <w:pPr>
        <w:spacing w:line="240" w:lineRule="auto"/>
        <w:jc w:val="both"/>
        <w:rPr>
          <w:rFonts w:ascii="Times New Roman" w:hAnsi="Times New Roman" w:cs="Times New Roman"/>
          <w:i/>
          <w:iCs/>
        </w:rPr>
      </w:pPr>
      <w:r w:rsidRPr="00155EDE">
        <w:rPr>
          <w:rFonts w:ascii="Times New Roman" w:hAnsi="Times New Roman" w:cs="Times New Roman"/>
          <w:i/>
          <w:iCs/>
        </w:rPr>
        <w:t>Attack Success Rates and Robust Accuracy</w:t>
      </w:r>
    </w:p>
    <w:tbl>
      <w:tblPr>
        <w:tblW w:w="9437" w:type="dxa"/>
        <w:tblCellSpacing w:w="15" w:type="dxa"/>
        <w:tblCellMar>
          <w:top w:w="15" w:type="dxa"/>
          <w:left w:w="15" w:type="dxa"/>
          <w:bottom w:w="15" w:type="dxa"/>
          <w:right w:w="15" w:type="dxa"/>
        </w:tblCellMar>
        <w:tblLook w:val="04A0" w:firstRow="1" w:lastRow="0" w:firstColumn="1" w:lastColumn="0" w:noHBand="0" w:noVBand="1"/>
      </w:tblPr>
      <w:tblGrid>
        <w:gridCol w:w="1034"/>
        <w:gridCol w:w="1306"/>
        <w:gridCol w:w="642"/>
        <w:gridCol w:w="1518"/>
        <w:gridCol w:w="1980"/>
        <w:gridCol w:w="2957"/>
      </w:tblGrid>
      <w:tr w:rsidR="000A5A16" w:rsidRPr="00F91479" w14:paraId="5D8EFFEF" w14:textId="77777777" w:rsidTr="00155EDE">
        <w:trPr>
          <w:trHeight w:val="959"/>
          <w:tblHeader/>
          <w:tblCellSpacing w:w="15" w:type="dxa"/>
        </w:trPr>
        <w:tc>
          <w:tcPr>
            <w:tcW w:w="0" w:type="auto"/>
            <w:tcBorders>
              <w:top w:val="single" w:sz="4" w:space="0" w:color="auto"/>
              <w:bottom w:val="single" w:sz="4" w:space="0" w:color="auto"/>
            </w:tcBorders>
            <w:vAlign w:val="center"/>
            <w:hideMark/>
          </w:tcPr>
          <w:p w14:paraId="38D19E2A" w14:textId="77777777" w:rsidR="00155EDE" w:rsidRDefault="000A5A16" w:rsidP="00155EDE">
            <w:pPr>
              <w:spacing w:line="240" w:lineRule="auto"/>
              <w:jc w:val="both"/>
              <w:rPr>
                <w:rFonts w:ascii="Times New Roman" w:hAnsi="Times New Roman" w:cs="Times New Roman"/>
                <w:b/>
                <w:bCs/>
              </w:rPr>
            </w:pPr>
            <w:r w:rsidRPr="00F91479">
              <w:rPr>
                <w:rFonts w:ascii="Times New Roman" w:hAnsi="Times New Roman" w:cs="Times New Roman"/>
                <w:b/>
                <w:bCs/>
              </w:rPr>
              <w:t xml:space="preserve">Attack </w:t>
            </w:r>
          </w:p>
          <w:p w14:paraId="5B771C0F" w14:textId="0D66B8F1" w:rsidR="000A5A16" w:rsidRPr="00F91479" w:rsidRDefault="000A5A16" w:rsidP="00155EDE">
            <w:pPr>
              <w:spacing w:line="240" w:lineRule="auto"/>
              <w:jc w:val="both"/>
              <w:rPr>
                <w:rFonts w:ascii="Times New Roman" w:hAnsi="Times New Roman" w:cs="Times New Roman"/>
                <w:b/>
                <w:bCs/>
              </w:rPr>
            </w:pPr>
            <w:r w:rsidRPr="00F91479">
              <w:rPr>
                <w:rFonts w:ascii="Times New Roman" w:hAnsi="Times New Roman" w:cs="Times New Roman"/>
                <w:b/>
                <w:bCs/>
              </w:rPr>
              <w:t>Type</w:t>
            </w:r>
          </w:p>
        </w:tc>
        <w:tc>
          <w:tcPr>
            <w:tcW w:w="1276" w:type="dxa"/>
            <w:tcBorders>
              <w:top w:val="single" w:sz="4" w:space="0" w:color="auto"/>
              <w:bottom w:val="single" w:sz="4" w:space="0" w:color="auto"/>
            </w:tcBorders>
            <w:vAlign w:val="center"/>
            <w:hideMark/>
          </w:tcPr>
          <w:p w14:paraId="43AE3652" w14:textId="77777777" w:rsidR="00155EDE" w:rsidRDefault="000A5A16" w:rsidP="00155EDE">
            <w:pPr>
              <w:spacing w:line="240" w:lineRule="auto"/>
              <w:jc w:val="center"/>
              <w:rPr>
                <w:rFonts w:ascii="Times New Roman" w:hAnsi="Times New Roman" w:cs="Times New Roman"/>
                <w:b/>
                <w:bCs/>
              </w:rPr>
            </w:pPr>
            <w:r w:rsidRPr="00F91479">
              <w:rPr>
                <w:rFonts w:ascii="Times New Roman" w:hAnsi="Times New Roman" w:cs="Times New Roman"/>
                <w:b/>
                <w:bCs/>
              </w:rPr>
              <w:t xml:space="preserve">Epsilon </w:t>
            </w:r>
          </w:p>
          <w:p w14:paraId="037C64FD" w14:textId="62391A2E" w:rsidR="000A5A16" w:rsidRPr="00F91479" w:rsidRDefault="000A5A16" w:rsidP="00155EDE">
            <w:pPr>
              <w:spacing w:line="240" w:lineRule="auto"/>
              <w:jc w:val="center"/>
              <w:rPr>
                <w:rFonts w:ascii="Times New Roman" w:hAnsi="Times New Roman" w:cs="Times New Roman"/>
                <w:b/>
                <w:bCs/>
              </w:rPr>
            </w:pPr>
            <w:r w:rsidRPr="00F91479">
              <w:rPr>
                <w:rFonts w:ascii="Times New Roman" w:hAnsi="Times New Roman" w:cs="Times New Roman"/>
                <w:b/>
                <w:bCs/>
              </w:rPr>
              <w:t>(ε)</w:t>
            </w:r>
          </w:p>
        </w:tc>
        <w:tc>
          <w:tcPr>
            <w:tcW w:w="612" w:type="dxa"/>
            <w:tcBorders>
              <w:top w:val="single" w:sz="4" w:space="0" w:color="auto"/>
              <w:bottom w:val="single" w:sz="4" w:space="0" w:color="auto"/>
            </w:tcBorders>
            <w:vAlign w:val="center"/>
            <w:hideMark/>
          </w:tcPr>
          <w:p w14:paraId="563AE2D9" w14:textId="77777777" w:rsidR="000A5A16" w:rsidRPr="00F91479" w:rsidRDefault="000A5A16" w:rsidP="00155EDE">
            <w:pPr>
              <w:spacing w:line="240" w:lineRule="auto"/>
              <w:jc w:val="center"/>
              <w:rPr>
                <w:rFonts w:ascii="Times New Roman" w:hAnsi="Times New Roman" w:cs="Times New Roman"/>
                <w:b/>
                <w:bCs/>
              </w:rPr>
            </w:pPr>
            <w:r w:rsidRPr="00F91479">
              <w:rPr>
                <w:rFonts w:ascii="Times New Roman" w:hAnsi="Times New Roman" w:cs="Times New Roman"/>
                <w:b/>
                <w:bCs/>
              </w:rPr>
              <w:t>Steps</w:t>
            </w:r>
          </w:p>
        </w:tc>
        <w:tc>
          <w:tcPr>
            <w:tcW w:w="1488" w:type="dxa"/>
            <w:tcBorders>
              <w:top w:val="single" w:sz="4" w:space="0" w:color="auto"/>
              <w:bottom w:val="single" w:sz="4" w:space="0" w:color="auto"/>
            </w:tcBorders>
            <w:vAlign w:val="center"/>
            <w:hideMark/>
          </w:tcPr>
          <w:p w14:paraId="6222075B" w14:textId="77777777" w:rsidR="00155EDE" w:rsidRDefault="000A5A16" w:rsidP="00155EDE">
            <w:pPr>
              <w:spacing w:line="240" w:lineRule="auto"/>
              <w:jc w:val="center"/>
              <w:rPr>
                <w:rFonts w:ascii="Times New Roman" w:hAnsi="Times New Roman" w:cs="Times New Roman"/>
                <w:b/>
                <w:bCs/>
              </w:rPr>
            </w:pPr>
            <w:r w:rsidRPr="00F91479">
              <w:rPr>
                <w:rFonts w:ascii="Times New Roman" w:hAnsi="Times New Roman" w:cs="Times New Roman"/>
                <w:b/>
                <w:bCs/>
              </w:rPr>
              <w:t xml:space="preserve">ASR </w:t>
            </w:r>
          </w:p>
          <w:p w14:paraId="2C1D8DBA" w14:textId="5725D9D1" w:rsidR="000A5A16" w:rsidRPr="00F91479" w:rsidRDefault="000A5A16" w:rsidP="00155EDE">
            <w:pPr>
              <w:spacing w:line="240" w:lineRule="auto"/>
              <w:jc w:val="center"/>
              <w:rPr>
                <w:rFonts w:ascii="Times New Roman" w:hAnsi="Times New Roman" w:cs="Times New Roman"/>
                <w:b/>
                <w:bCs/>
              </w:rPr>
            </w:pPr>
            <w:r w:rsidRPr="00F91479">
              <w:rPr>
                <w:rFonts w:ascii="Times New Roman" w:hAnsi="Times New Roman" w:cs="Times New Roman"/>
                <w:b/>
                <w:bCs/>
              </w:rPr>
              <w:t>(%)</w:t>
            </w:r>
          </w:p>
        </w:tc>
        <w:tc>
          <w:tcPr>
            <w:tcW w:w="1950" w:type="dxa"/>
            <w:tcBorders>
              <w:top w:val="single" w:sz="4" w:space="0" w:color="auto"/>
              <w:bottom w:val="single" w:sz="4" w:space="0" w:color="auto"/>
            </w:tcBorders>
            <w:vAlign w:val="center"/>
            <w:hideMark/>
          </w:tcPr>
          <w:p w14:paraId="4B884124" w14:textId="77777777" w:rsidR="00155EDE" w:rsidRDefault="000A5A16" w:rsidP="00155EDE">
            <w:pPr>
              <w:spacing w:line="240" w:lineRule="auto"/>
              <w:jc w:val="center"/>
              <w:rPr>
                <w:rFonts w:ascii="Times New Roman" w:hAnsi="Times New Roman" w:cs="Times New Roman"/>
                <w:b/>
                <w:bCs/>
              </w:rPr>
            </w:pPr>
            <w:r w:rsidRPr="00F91479">
              <w:rPr>
                <w:rFonts w:ascii="Times New Roman" w:hAnsi="Times New Roman" w:cs="Times New Roman"/>
                <w:b/>
                <w:bCs/>
              </w:rPr>
              <w:t xml:space="preserve">Robust </w:t>
            </w:r>
          </w:p>
          <w:p w14:paraId="04D2EBD2" w14:textId="4E81257E" w:rsidR="000A5A16" w:rsidRPr="00F91479" w:rsidRDefault="000A5A16" w:rsidP="00155EDE">
            <w:pPr>
              <w:spacing w:line="240" w:lineRule="auto"/>
              <w:jc w:val="center"/>
              <w:rPr>
                <w:rFonts w:ascii="Times New Roman" w:hAnsi="Times New Roman" w:cs="Times New Roman"/>
                <w:b/>
                <w:bCs/>
              </w:rPr>
            </w:pPr>
            <w:r w:rsidRPr="00F91479">
              <w:rPr>
                <w:rFonts w:ascii="Times New Roman" w:hAnsi="Times New Roman" w:cs="Times New Roman"/>
                <w:b/>
                <w:bCs/>
              </w:rPr>
              <w:t>Accuracy (%)</w:t>
            </w:r>
          </w:p>
        </w:tc>
        <w:tc>
          <w:tcPr>
            <w:tcW w:w="2912" w:type="dxa"/>
            <w:tcBorders>
              <w:top w:val="single" w:sz="4" w:space="0" w:color="auto"/>
              <w:bottom w:val="single" w:sz="4" w:space="0" w:color="auto"/>
            </w:tcBorders>
            <w:vAlign w:val="center"/>
            <w:hideMark/>
          </w:tcPr>
          <w:p w14:paraId="2AAD8333" w14:textId="77777777" w:rsidR="000A5A16" w:rsidRPr="00F91479" w:rsidRDefault="000A5A16" w:rsidP="00155EDE">
            <w:pPr>
              <w:spacing w:line="240" w:lineRule="auto"/>
              <w:jc w:val="center"/>
              <w:rPr>
                <w:rFonts w:ascii="Times New Roman" w:hAnsi="Times New Roman" w:cs="Times New Roman"/>
                <w:b/>
                <w:bCs/>
              </w:rPr>
            </w:pPr>
            <w:r w:rsidRPr="00F91479">
              <w:rPr>
                <w:rFonts w:ascii="Times New Roman" w:hAnsi="Times New Roman" w:cs="Times New Roman"/>
                <w:b/>
                <w:bCs/>
              </w:rPr>
              <w:t>Improvement vs. Baseline</w:t>
            </w:r>
          </w:p>
        </w:tc>
      </w:tr>
      <w:tr w:rsidR="000A5A16" w:rsidRPr="00F91479" w14:paraId="4E32BC8B" w14:textId="77777777" w:rsidTr="00155EDE">
        <w:trPr>
          <w:trHeight w:val="494"/>
          <w:tblCellSpacing w:w="15" w:type="dxa"/>
        </w:trPr>
        <w:tc>
          <w:tcPr>
            <w:tcW w:w="0" w:type="auto"/>
            <w:vAlign w:val="center"/>
            <w:hideMark/>
          </w:tcPr>
          <w:p w14:paraId="51FD6DCF" w14:textId="77777777" w:rsidR="000A5A16" w:rsidRPr="00F91479" w:rsidRDefault="000A5A16" w:rsidP="00155EDE">
            <w:pPr>
              <w:spacing w:line="240" w:lineRule="auto"/>
              <w:jc w:val="both"/>
              <w:rPr>
                <w:rFonts w:ascii="Times New Roman" w:hAnsi="Times New Roman" w:cs="Times New Roman"/>
              </w:rPr>
            </w:pPr>
            <w:r w:rsidRPr="00F91479">
              <w:rPr>
                <w:rFonts w:ascii="Times New Roman" w:hAnsi="Times New Roman" w:cs="Times New Roman"/>
              </w:rPr>
              <w:t>Clean</w:t>
            </w:r>
          </w:p>
        </w:tc>
        <w:tc>
          <w:tcPr>
            <w:tcW w:w="1276" w:type="dxa"/>
            <w:vAlign w:val="center"/>
            <w:hideMark/>
          </w:tcPr>
          <w:p w14:paraId="026A6CF4"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0.0</w:t>
            </w:r>
          </w:p>
        </w:tc>
        <w:tc>
          <w:tcPr>
            <w:tcW w:w="612" w:type="dxa"/>
            <w:vAlign w:val="center"/>
            <w:hideMark/>
          </w:tcPr>
          <w:p w14:paraId="47E27C72"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w:t>
            </w:r>
          </w:p>
        </w:tc>
        <w:tc>
          <w:tcPr>
            <w:tcW w:w="1488" w:type="dxa"/>
            <w:vAlign w:val="center"/>
            <w:hideMark/>
          </w:tcPr>
          <w:p w14:paraId="56CCF6E9"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N/A</w:t>
            </w:r>
          </w:p>
        </w:tc>
        <w:tc>
          <w:tcPr>
            <w:tcW w:w="1950" w:type="dxa"/>
            <w:vAlign w:val="center"/>
            <w:hideMark/>
          </w:tcPr>
          <w:p w14:paraId="10291CCB"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70.0</w:t>
            </w:r>
          </w:p>
        </w:tc>
        <w:tc>
          <w:tcPr>
            <w:tcW w:w="2912" w:type="dxa"/>
            <w:vAlign w:val="center"/>
            <w:hideMark/>
          </w:tcPr>
          <w:p w14:paraId="14424A8D"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Baseline</w:t>
            </w:r>
          </w:p>
        </w:tc>
      </w:tr>
      <w:tr w:rsidR="000A5A16" w:rsidRPr="00F91479" w14:paraId="3C0780FC" w14:textId="77777777" w:rsidTr="00155EDE">
        <w:trPr>
          <w:trHeight w:val="480"/>
          <w:tblCellSpacing w:w="15" w:type="dxa"/>
        </w:trPr>
        <w:tc>
          <w:tcPr>
            <w:tcW w:w="0" w:type="auto"/>
            <w:vAlign w:val="center"/>
            <w:hideMark/>
          </w:tcPr>
          <w:p w14:paraId="0B77F89E" w14:textId="77777777" w:rsidR="000A5A16" w:rsidRPr="00F91479" w:rsidRDefault="000A5A16" w:rsidP="00155EDE">
            <w:pPr>
              <w:spacing w:line="240" w:lineRule="auto"/>
              <w:jc w:val="both"/>
              <w:rPr>
                <w:rFonts w:ascii="Times New Roman" w:hAnsi="Times New Roman" w:cs="Times New Roman"/>
              </w:rPr>
            </w:pPr>
            <w:r w:rsidRPr="00F91479">
              <w:rPr>
                <w:rFonts w:ascii="Times New Roman" w:hAnsi="Times New Roman" w:cs="Times New Roman"/>
              </w:rPr>
              <w:t>FGSM</w:t>
            </w:r>
          </w:p>
        </w:tc>
        <w:tc>
          <w:tcPr>
            <w:tcW w:w="1276" w:type="dxa"/>
            <w:vAlign w:val="center"/>
            <w:hideMark/>
          </w:tcPr>
          <w:p w14:paraId="148969E4"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0.1</w:t>
            </w:r>
          </w:p>
        </w:tc>
        <w:tc>
          <w:tcPr>
            <w:tcW w:w="612" w:type="dxa"/>
            <w:vAlign w:val="center"/>
            <w:hideMark/>
          </w:tcPr>
          <w:p w14:paraId="76B014E9"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1</w:t>
            </w:r>
          </w:p>
        </w:tc>
        <w:tc>
          <w:tcPr>
            <w:tcW w:w="1488" w:type="dxa"/>
            <w:vAlign w:val="center"/>
            <w:hideMark/>
          </w:tcPr>
          <w:p w14:paraId="5C1F1A9D"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30.0</w:t>
            </w:r>
          </w:p>
        </w:tc>
        <w:tc>
          <w:tcPr>
            <w:tcW w:w="1950" w:type="dxa"/>
            <w:vAlign w:val="center"/>
            <w:hideMark/>
          </w:tcPr>
          <w:p w14:paraId="304CEF80"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70.0</w:t>
            </w:r>
          </w:p>
        </w:tc>
        <w:tc>
          <w:tcPr>
            <w:tcW w:w="2912" w:type="dxa"/>
            <w:vAlign w:val="center"/>
            <w:hideMark/>
          </w:tcPr>
          <w:p w14:paraId="128CBBA6"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+25%</w:t>
            </w:r>
          </w:p>
        </w:tc>
      </w:tr>
      <w:tr w:rsidR="000A5A16" w:rsidRPr="00F91479" w14:paraId="7A7169A8" w14:textId="77777777" w:rsidTr="00155EDE">
        <w:trPr>
          <w:trHeight w:val="494"/>
          <w:tblCellSpacing w:w="15" w:type="dxa"/>
        </w:trPr>
        <w:tc>
          <w:tcPr>
            <w:tcW w:w="0" w:type="auto"/>
            <w:tcBorders>
              <w:bottom w:val="single" w:sz="4" w:space="0" w:color="auto"/>
            </w:tcBorders>
            <w:vAlign w:val="center"/>
            <w:hideMark/>
          </w:tcPr>
          <w:p w14:paraId="06EC0770" w14:textId="77777777" w:rsidR="000A5A16" w:rsidRPr="00F91479" w:rsidRDefault="000A5A16" w:rsidP="00155EDE">
            <w:pPr>
              <w:spacing w:line="240" w:lineRule="auto"/>
              <w:jc w:val="both"/>
              <w:rPr>
                <w:rFonts w:ascii="Times New Roman" w:hAnsi="Times New Roman" w:cs="Times New Roman"/>
              </w:rPr>
            </w:pPr>
            <w:r w:rsidRPr="00F91479">
              <w:rPr>
                <w:rFonts w:ascii="Times New Roman" w:hAnsi="Times New Roman" w:cs="Times New Roman"/>
              </w:rPr>
              <w:t>PGD</w:t>
            </w:r>
          </w:p>
        </w:tc>
        <w:tc>
          <w:tcPr>
            <w:tcW w:w="1276" w:type="dxa"/>
            <w:tcBorders>
              <w:bottom w:val="single" w:sz="4" w:space="0" w:color="auto"/>
            </w:tcBorders>
            <w:vAlign w:val="center"/>
            <w:hideMark/>
          </w:tcPr>
          <w:p w14:paraId="27E5F688"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0.2</w:t>
            </w:r>
          </w:p>
        </w:tc>
        <w:tc>
          <w:tcPr>
            <w:tcW w:w="612" w:type="dxa"/>
            <w:tcBorders>
              <w:bottom w:val="single" w:sz="4" w:space="0" w:color="auto"/>
            </w:tcBorders>
            <w:vAlign w:val="center"/>
            <w:hideMark/>
          </w:tcPr>
          <w:p w14:paraId="3C2F84A4"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10</w:t>
            </w:r>
          </w:p>
        </w:tc>
        <w:tc>
          <w:tcPr>
            <w:tcW w:w="1488" w:type="dxa"/>
            <w:tcBorders>
              <w:bottom w:val="single" w:sz="4" w:space="0" w:color="auto"/>
            </w:tcBorders>
            <w:vAlign w:val="center"/>
            <w:hideMark/>
          </w:tcPr>
          <w:p w14:paraId="06005B21"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31.0</w:t>
            </w:r>
          </w:p>
        </w:tc>
        <w:tc>
          <w:tcPr>
            <w:tcW w:w="1950" w:type="dxa"/>
            <w:tcBorders>
              <w:bottom w:val="single" w:sz="4" w:space="0" w:color="auto"/>
            </w:tcBorders>
            <w:vAlign w:val="center"/>
            <w:hideMark/>
          </w:tcPr>
          <w:p w14:paraId="56B4A268"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69.0</w:t>
            </w:r>
          </w:p>
        </w:tc>
        <w:tc>
          <w:tcPr>
            <w:tcW w:w="2912" w:type="dxa"/>
            <w:tcBorders>
              <w:bottom w:val="single" w:sz="4" w:space="0" w:color="auto"/>
            </w:tcBorders>
            <w:vAlign w:val="center"/>
            <w:hideMark/>
          </w:tcPr>
          <w:p w14:paraId="6AC74A11"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+27%</w:t>
            </w:r>
          </w:p>
        </w:tc>
      </w:tr>
    </w:tbl>
    <w:p w14:paraId="6BEF390E" w14:textId="73F0C0B8" w:rsidR="000A5A16" w:rsidRPr="00F91479" w:rsidRDefault="000A5A16" w:rsidP="00155EDE">
      <w:pPr>
        <w:spacing w:before="240" w:line="360" w:lineRule="auto"/>
        <w:jc w:val="both"/>
        <w:rPr>
          <w:rFonts w:ascii="Times New Roman" w:hAnsi="Times New Roman" w:cs="Times New Roman"/>
        </w:rPr>
      </w:pPr>
      <w:r w:rsidRPr="00F91479">
        <w:rPr>
          <w:rFonts w:ascii="Times New Roman" w:hAnsi="Times New Roman" w:cs="Times New Roman"/>
        </w:rPr>
        <w:t>Figure</w:t>
      </w:r>
      <w:r w:rsidR="0011536E">
        <w:rPr>
          <w:rFonts w:ascii="Times New Roman" w:hAnsi="Times New Roman" w:cs="Times New Roman"/>
        </w:rPr>
        <w:t xml:space="preserve"> 3 </w:t>
      </w:r>
      <w:r w:rsidRPr="00F91479">
        <w:rPr>
          <w:rFonts w:ascii="Times New Roman" w:hAnsi="Times New Roman" w:cs="Times New Roman"/>
        </w:rPr>
        <w:t xml:space="preserve">provides a robustness heatmap of model confidence scores, with </w:t>
      </w:r>
      <w:r w:rsidR="00155EDE">
        <w:rPr>
          <w:rFonts w:ascii="Times New Roman" w:hAnsi="Times New Roman" w:cs="Times New Roman"/>
        </w:rPr>
        <w:t>greener</w:t>
      </w:r>
      <w:r w:rsidRPr="00F91479">
        <w:rPr>
          <w:rFonts w:ascii="Times New Roman" w:hAnsi="Times New Roman" w:cs="Times New Roman"/>
        </w:rPr>
        <w:t xml:space="preserve"> regions indicating sustained high confidence in correct classifications across both clean and attacked inputs.</w:t>
      </w:r>
    </w:p>
    <w:p w14:paraId="7EBD207E" w14:textId="72A4BB48" w:rsidR="00155EDE" w:rsidRDefault="000A5A16" w:rsidP="00155EDE">
      <w:pPr>
        <w:spacing w:line="240" w:lineRule="auto"/>
        <w:jc w:val="both"/>
        <w:rPr>
          <w:rFonts w:ascii="Times New Roman" w:hAnsi="Times New Roman" w:cs="Times New Roman"/>
          <w:b/>
          <w:bCs/>
        </w:rPr>
      </w:pPr>
      <w:r w:rsidRPr="00F91479">
        <w:rPr>
          <w:rFonts w:ascii="Times New Roman" w:hAnsi="Times New Roman" w:cs="Times New Roman"/>
          <w:b/>
          <w:bCs/>
        </w:rPr>
        <w:t xml:space="preserve">Figure </w:t>
      </w:r>
      <w:r w:rsidR="0011536E">
        <w:rPr>
          <w:rFonts w:ascii="Times New Roman" w:hAnsi="Times New Roman" w:cs="Times New Roman"/>
          <w:b/>
          <w:bCs/>
        </w:rPr>
        <w:t>3</w:t>
      </w:r>
      <w:r w:rsidRPr="00F91479">
        <w:rPr>
          <w:rFonts w:ascii="Times New Roman" w:hAnsi="Times New Roman" w:cs="Times New Roman"/>
          <w:b/>
          <w:bCs/>
        </w:rPr>
        <w:t xml:space="preserve"> </w:t>
      </w:r>
    </w:p>
    <w:p w14:paraId="536CC4FF" w14:textId="13E97869" w:rsidR="000A5A16" w:rsidRPr="00155EDE" w:rsidRDefault="000A5A16" w:rsidP="00155EDE">
      <w:pPr>
        <w:spacing w:line="240" w:lineRule="auto"/>
        <w:jc w:val="both"/>
        <w:rPr>
          <w:rFonts w:ascii="Times New Roman" w:hAnsi="Times New Roman" w:cs="Times New Roman"/>
          <w:i/>
          <w:iCs/>
        </w:rPr>
      </w:pPr>
      <w:r w:rsidRPr="00155EDE">
        <w:rPr>
          <w:rFonts w:ascii="Times New Roman" w:hAnsi="Times New Roman" w:cs="Times New Roman"/>
          <w:i/>
          <w:iCs/>
        </w:rPr>
        <w:t>Robustness Heatmap</w:t>
      </w:r>
    </w:p>
    <w:p w14:paraId="62336BB8" w14:textId="200DCCB1" w:rsidR="00155EDE" w:rsidRPr="00F91479" w:rsidRDefault="00155EDE" w:rsidP="00F91479">
      <w:pPr>
        <w:spacing w:line="360" w:lineRule="auto"/>
        <w:jc w:val="both"/>
        <w:rPr>
          <w:rFonts w:ascii="Times New Roman" w:hAnsi="Times New Roman" w:cs="Times New Roman"/>
        </w:rPr>
      </w:pPr>
      <w:r>
        <w:rPr>
          <w:noProof/>
        </w:rPr>
        <w:drawing>
          <wp:inline distT="0" distB="0" distL="0" distR="0" wp14:anchorId="4C726A15" wp14:editId="5F9992BA">
            <wp:extent cx="4572000" cy="3174365"/>
            <wp:effectExtent l="0" t="0" r="0" b="6985"/>
            <wp:docPr id="10742837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283735" name="Picture 1074283735"/>
                    <pic:cNvPicPr/>
                  </pic:nvPicPr>
                  <pic:blipFill rotWithShape="1">
                    <a:blip r:embed="rId9">
                      <a:extLst>
                        <a:ext uri="{28A0092B-C50C-407E-A947-70E740481C1C}">
                          <a14:useLocalDpi xmlns:a14="http://schemas.microsoft.com/office/drawing/2010/main" val="0"/>
                        </a:ext>
                      </a:extLst>
                    </a:blip>
                    <a:srcRect t="4651"/>
                    <a:stretch>
                      <a:fillRect/>
                    </a:stretch>
                  </pic:blipFill>
                  <pic:spPr bwMode="auto">
                    <a:xfrm>
                      <a:off x="0" y="0"/>
                      <a:ext cx="4626905" cy="3212486"/>
                    </a:xfrm>
                    <a:prstGeom prst="rect">
                      <a:avLst/>
                    </a:prstGeom>
                    <a:ln>
                      <a:noFill/>
                    </a:ln>
                    <a:extLst>
                      <a:ext uri="{53640926-AAD7-44D8-BBD7-CCE9431645EC}">
                        <a14:shadowObscured xmlns:a14="http://schemas.microsoft.com/office/drawing/2010/main"/>
                      </a:ext>
                    </a:extLst>
                  </pic:spPr>
                </pic:pic>
              </a:graphicData>
            </a:graphic>
          </wp:inline>
        </w:drawing>
      </w:r>
    </w:p>
    <w:p w14:paraId="0ECE4EAB" w14:textId="150A4FD0"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rPr>
        <w:lastRenderedPageBreak/>
        <w:t>Differential privacy integration introduced a measurable utility trade-off. With a privacy budget epsilon of 1.0 and noise scale sigma of 0.5, the F1-score settled at 0.88. Table</w:t>
      </w:r>
      <w:r w:rsidR="00155EDE">
        <w:rPr>
          <w:rFonts w:ascii="Times New Roman" w:hAnsi="Times New Roman" w:cs="Times New Roman"/>
        </w:rPr>
        <w:t xml:space="preserve"> </w:t>
      </w:r>
      <w:r w:rsidRPr="00F91479">
        <w:rPr>
          <w:rFonts w:ascii="Times New Roman" w:hAnsi="Times New Roman" w:cs="Times New Roman"/>
        </w:rPr>
        <w:t>4 details how tighter privacy budgets (lower epsilon) preserved stronger protection at the cost of utility, while the selected epsilon=1.0 offered a balanced compromise suitable for healthcare applications.</w:t>
      </w:r>
    </w:p>
    <w:p w14:paraId="49A66F57" w14:textId="3F1C676B" w:rsidR="00155EDE" w:rsidRDefault="000A5A16" w:rsidP="00155EDE">
      <w:pPr>
        <w:spacing w:line="240" w:lineRule="auto"/>
        <w:jc w:val="both"/>
        <w:rPr>
          <w:rFonts w:ascii="Times New Roman" w:hAnsi="Times New Roman" w:cs="Times New Roman"/>
          <w:b/>
          <w:bCs/>
        </w:rPr>
      </w:pPr>
      <w:r w:rsidRPr="00F91479">
        <w:rPr>
          <w:rFonts w:ascii="Times New Roman" w:hAnsi="Times New Roman" w:cs="Times New Roman"/>
          <w:b/>
          <w:bCs/>
        </w:rPr>
        <w:t>Table 4</w:t>
      </w:r>
    </w:p>
    <w:p w14:paraId="1BACBC68" w14:textId="2C3A0A35" w:rsidR="000A5A16" w:rsidRPr="00155EDE" w:rsidRDefault="000A5A16" w:rsidP="00155EDE">
      <w:pPr>
        <w:spacing w:line="240" w:lineRule="auto"/>
        <w:jc w:val="both"/>
        <w:rPr>
          <w:rFonts w:ascii="Times New Roman" w:hAnsi="Times New Roman" w:cs="Times New Roman"/>
          <w:i/>
          <w:iCs/>
        </w:rPr>
      </w:pPr>
      <w:r w:rsidRPr="00155EDE">
        <w:rPr>
          <w:rFonts w:ascii="Times New Roman" w:hAnsi="Times New Roman" w:cs="Times New Roman"/>
          <w:i/>
          <w:iCs/>
        </w:rPr>
        <w:t>Privacy Budget vs. Utility Trade-off</w:t>
      </w:r>
    </w:p>
    <w:tbl>
      <w:tblPr>
        <w:tblW w:w="9399" w:type="dxa"/>
        <w:tblCellSpacing w:w="15" w:type="dxa"/>
        <w:tblCellMar>
          <w:top w:w="15" w:type="dxa"/>
          <w:left w:w="15" w:type="dxa"/>
          <w:bottom w:w="15" w:type="dxa"/>
          <w:right w:w="15" w:type="dxa"/>
        </w:tblCellMar>
        <w:tblLook w:val="04A0" w:firstRow="1" w:lastRow="0" w:firstColumn="1" w:lastColumn="0" w:noHBand="0" w:noVBand="1"/>
      </w:tblPr>
      <w:tblGrid>
        <w:gridCol w:w="2455"/>
        <w:gridCol w:w="2903"/>
        <w:gridCol w:w="3919"/>
        <w:gridCol w:w="122"/>
      </w:tblGrid>
      <w:tr w:rsidR="000A5A16" w:rsidRPr="00F91479" w14:paraId="6402ED50" w14:textId="77777777" w:rsidTr="00155EDE">
        <w:trPr>
          <w:trHeight w:val="602"/>
          <w:tblHeader/>
          <w:tblCellSpacing w:w="15" w:type="dxa"/>
        </w:trPr>
        <w:tc>
          <w:tcPr>
            <w:tcW w:w="0" w:type="auto"/>
            <w:tcBorders>
              <w:top w:val="single" w:sz="4" w:space="0" w:color="auto"/>
              <w:bottom w:val="single" w:sz="4" w:space="0" w:color="auto"/>
            </w:tcBorders>
            <w:vAlign w:val="center"/>
            <w:hideMark/>
          </w:tcPr>
          <w:p w14:paraId="4CC4A3CB" w14:textId="77777777" w:rsidR="000A5A16" w:rsidRPr="00F91479" w:rsidRDefault="000A5A16" w:rsidP="00155EDE">
            <w:pPr>
              <w:spacing w:line="240" w:lineRule="auto"/>
              <w:jc w:val="both"/>
              <w:rPr>
                <w:rFonts w:ascii="Times New Roman" w:hAnsi="Times New Roman" w:cs="Times New Roman"/>
                <w:b/>
                <w:bCs/>
              </w:rPr>
            </w:pPr>
            <w:r w:rsidRPr="00F91479">
              <w:rPr>
                <w:rFonts w:ascii="Times New Roman" w:hAnsi="Times New Roman" w:cs="Times New Roman"/>
                <w:b/>
                <w:bCs/>
              </w:rPr>
              <w:t>Epsilon (ε)</w:t>
            </w:r>
          </w:p>
        </w:tc>
        <w:tc>
          <w:tcPr>
            <w:tcW w:w="0" w:type="auto"/>
            <w:tcBorders>
              <w:top w:val="single" w:sz="4" w:space="0" w:color="auto"/>
              <w:bottom w:val="single" w:sz="4" w:space="0" w:color="auto"/>
            </w:tcBorders>
            <w:vAlign w:val="center"/>
            <w:hideMark/>
          </w:tcPr>
          <w:p w14:paraId="2ECC7D90" w14:textId="77777777" w:rsidR="000A5A16" w:rsidRPr="00F91479" w:rsidRDefault="000A5A16" w:rsidP="00155EDE">
            <w:pPr>
              <w:spacing w:line="240" w:lineRule="auto"/>
              <w:jc w:val="center"/>
              <w:rPr>
                <w:rFonts w:ascii="Times New Roman" w:hAnsi="Times New Roman" w:cs="Times New Roman"/>
                <w:b/>
                <w:bCs/>
              </w:rPr>
            </w:pPr>
            <w:r w:rsidRPr="00F91479">
              <w:rPr>
                <w:rFonts w:ascii="Times New Roman" w:hAnsi="Times New Roman" w:cs="Times New Roman"/>
                <w:b/>
                <w:bCs/>
              </w:rPr>
              <w:t>Privacy Risk</w:t>
            </w:r>
          </w:p>
        </w:tc>
        <w:tc>
          <w:tcPr>
            <w:tcW w:w="0" w:type="auto"/>
            <w:tcBorders>
              <w:top w:val="single" w:sz="4" w:space="0" w:color="auto"/>
              <w:bottom w:val="single" w:sz="4" w:space="0" w:color="auto"/>
            </w:tcBorders>
            <w:vAlign w:val="center"/>
            <w:hideMark/>
          </w:tcPr>
          <w:p w14:paraId="75F9B67B" w14:textId="77777777" w:rsidR="000A5A16" w:rsidRPr="00F91479" w:rsidRDefault="000A5A16" w:rsidP="00155EDE">
            <w:pPr>
              <w:spacing w:line="240" w:lineRule="auto"/>
              <w:jc w:val="center"/>
              <w:rPr>
                <w:rFonts w:ascii="Times New Roman" w:hAnsi="Times New Roman" w:cs="Times New Roman"/>
                <w:b/>
                <w:bCs/>
              </w:rPr>
            </w:pPr>
            <w:r w:rsidRPr="00F91479">
              <w:rPr>
                <w:rFonts w:ascii="Times New Roman" w:hAnsi="Times New Roman" w:cs="Times New Roman"/>
                <w:b/>
                <w:bCs/>
              </w:rPr>
              <w:t>Utility (F1-Score)</w:t>
            </w:r>
          </w:p>
        </w:tc>
        <w:tc>
          <w:tcPr>
            <w:tcW w:w="0" w:type="auto"/>
            <w:tcBorders>
              <w:top w:val="single" w:sz="4" w:space="0" w:color="auto"/>
              <w:bottom w:val="single" w:sz="4" w:space="0" w:color="auto"/>
            </w:tcBorders>
            <w:vAlign w:val="center"/>
          </w:tcPr>
          <w:p w14:paraId="07DA7D3B" w14:textId="4C443A08" w:rsidR="000A5A16" w:rsidRPr="00F91479" w:rsidRDefault="000A5A16" w:rsidP="00155EDE">
            <w:pPr>
              <w:spacing w:line="240" w:lineRule="auto"/>
              <w:jc w:val="both"/>
              <w:rPr>
                <w:rFonts w:ascii="Times New Roman" w:hAnsi="Times New Roman" w:cs="Times New Roman"/>
                <w:b/>
                <w:bCs/>
              </w:rPr>
            </w:pPr>
          </w:p>
        </w:tc>
      </w:tr>
      <w:tr w:rsidR="000A5A16" w:rsidRPr="00F91479" w14:paraId="2D6DE005" w14:textId="77777777" w:rsidTr="00155EDE">
        <w:trPr>
          <w:trHeight w:val="589"/>
          <w:tblCellSpacing w:w="15" w:type="dxa"/>
        </w:trPr>
        <w:tc>
          <w:tcPr>
            <w:tcW w:w="0" w:type="auto"/>
            <w:vAlign w:val="center"/>
            <w:hideMark/>
          </w:tcPr>
          <w:p w14:paraId="5F570EB2" w14:textId="77777777" w:rsidR="000A5A16" w:rsidRPr="00F91479" w:rsidRDefault="000A5A16" w:rsidP="00155EDE">
            <w:pPr>
              <w:spacing w:line="240" w:lineRule="auto"/>
              <w:jc w:val="both"/>
              <w:rPr>
                <w:rFonts w:ascii="Times New Roman" w:hAnsi="Times New Roman" w:cs="Times New Roman"/>
              </w:rPr>
            </w:pPr>
            <w:r w:rsidRPr="00F91479">
              <w:rPr>
                <w:rFonts w:ascii="Times New Roman" w:hAnsi="Times New Roman" w:cs="Times New Roman"/>
              </w:rPr>
              <w:t>0.1</w:t>
            </w:r>
          </w:p>
        </w:tc>
        <w:tc>
          <w:tcPr>
            <w:tcW w:w="0" w:type="auto"/>
            <w:vAlign w:val="center"/>
            <w:hideMark/>
          </w:tcPr>
          <w:p w14:paraId="29DBAD70"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0.01</w:t>
            </w:r>
          </w:p>
        </w:tc>
        <w:tc>
          <w:tcPr>
            <w:tcW w:w="0" w:type="auto"/>
            <w:vAlign w:val="center"/>
            <w:hideMark/>
          </w:tcPr>
          <w:p w14:paraId="6B99754E"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0.92</w:t>
            </w:r>
          </w:p>
        </w:tc>
        <w:tc>
          <w:tcPr>
            <w:tcW w:w="0" w:type="auto"/>
            <w:vAlign w:val="center"/>
          </w:tcPr>
          <w:p w14:paraId="79362672" w14:textId="70731228" w:rsidR="000A5A16" w:rsidRPr="00F91479" w:rsidRDefault="000A5A16" w:rsidP="00155EDE">
            <w:pPr>
              <w:spacing w:line="240" w:lineRule="auto"/>
              <w:jc w:val="both"/>
              <w:rPr>
                <w:rFonts w:ascii="Times New Roman" w:hAnsi="Times New Roman" w:cs="Times New Roman"/>
              </w:rPr>
            </w:pPr>
          </w:p>
        </w:tc>
      </w:tr>
      <w:tr w:rsidR="000A5A16" w:rsidRPr="00F91479" w14:paraId="42A4D5EB" w14:textId="77777777" w:rsidTr="00155EDE">
        <w:trPr>
          <w:trHeight w:val="602"/>
          <w:tblCellSpacing w:w="15" w:type="dxa"/>
        </w:trPr>
        <w:tc>
          <w:tcPr>
            <w:tcW w:w="0" w:type="auto"/>
            <w:vAlign w:val="center"/>
            <w:hideMark/>
          </w:tcPr>
          <w:p w14:paraId="6B37FC5A" w14:textId="77777777" w:rsidR="000A5A16" w:rsidRPr="00F91479" w:rsidRDefault="000A5A16" w:rsidP="00155EDE">
            <w:pPr>
              <w:spacing w:line="240" w:lineRule="auto"/>
              <w:jc w:val="both"/>
              <w:rPr>
                <w:rFonts w:ascii="Times New Roman" w:hAnsi="Times New Roman" w:cs="Times New Roman"/>
              </w:rPr>
            </w:pPr>
            <w:r w:rsidRPr="00F91479">
              <w:rPr>
                <w:rFonts w:ascii="Times New Roman" w:hAnsi="Times New Roman" w:cs="Times New Roman"/>
              </w:rPr>
              <w:t>1.0</w:t>
            </w:r>
          </w:p>
        </w:tc>
        <w:tc>
          <w:tcPr>
            <w:tcW w:w="0" w:type="auto"/>
            <w:vAlign w:val="center"/>
            <w:hideMark/>
          </w:tcPr>
          <w:p w14:paraId="5DD8EF0C"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0.10</w:t>
            </w:r>
          </w:p>
        </w:tc>
        <w:tc>
          <w:tcPr>
            <w:tcW w:w="0" w:type="auto"/>
            <w:vAlign w:val="center"/>
            <w:hideMark/>
          </w:tcPr>
          <w:p w14:paraId="66577DFE"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0.88</w:t>
            </w:r>
          </w:p>
        </w:tc>
        <w:tc>
          <w:tcPr>
            <w:tcW w:w="0" w:type="auto"/>
            <w:vAlign w:val="center"/>
          </w:tcPr>
          <w:p w14:paraId="458962EC" w14:textId="098C6CCA" w:rsidR="000A5A16" w:rsidRPr="00F91479" w:rsidRDefault="000A5A16" w:rsidP="00155EDE">
            <w:pPr>
              <w:spacing w:line="240" w:lineRule="auto"/>
              <w:jc w:val="both"/>
              <w:rPr>
                <w:rFonts w:ascii="Times New Roman" w:hAnsi="Times New Roman" w:cs="Times New Roman"/>
              </w:rPr>
            </w:pPr>
          </w:p>
        </w:tc>
      </w:tr>
      <w:tr w:rsidR="000A5A16" w:rsidRPr="00F91479" w14:paraId="45EF16AB" w14:textId="77777777" w:rsidTr="00155EDE">
        <w:trPr>
          <w:trHeight w:val="602"/>
          <w:tblCellSpacing w:w="15" w:type="dxa"/>
        </w:trPr>
        <w:tc>
          <w:tcPr>
            <w:tcW w:w="0" w:type="auto"/>
            <w:tcBorders>
              <w:bottom w:val="single" w:sz="4" w:space="0" w:color="auto"/>
            </w:tcBorders>
            <w:vAlign w:val="center"/>
            <w:hideMark/>
          </w:tcPr>
          <w:p w14:paraId="48AF7E93" w14:textId="77777777" w:rsidR="000A5A16" w:rsidRPr="00F91479" w:rsidRDefault="000A5A16" w:rsidP="00155EDE">
            <w:pPr>
              <w:spacing w:line="240" w:lineRule="auto"/>
              <w:jc w:val="both"/>
              <w:rPr>
                <w:rFonts w:ascii="Times New Roman" w:hAnsi="Times New Roman" w:cs="Times New Roman"/>
              </w:rPr>
            </w:pPr>
            <w:r w:rsidRPr="00F91479">
              <w:rPr>
                <w:rFonts w:ascii="Times New Roman" w:hAnsi="Times New Roman" w:cs="Times New Roman"/>
              </w:rPr>
              <w:t>5.0</w:t>
            </w:r>
          </w:p>
        </w:tc>
        <w:tc>
          <w:tcPr>
            <w:tcW w:w="0" w:type="auto"/>
            <w:tcBorders>
              <w:bottom w:val="single" w:sz="4" w:space="0" w:color="auto"/>
            </w:tcBorders>
            <w:vAlign w:val="center"/>
            <w:hideMark/>
          </w:tcPr>
          <w:p w14:paraId="0F979DF4"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0.50</w:t>
            </w:r>
          </w:p>
        </w:tc>
        <w:tc>
          <w:tcPr>
            <w:tcW w:w="0" w:type="auto"/>
            <w:tcBorders>
              <w:bottom w:val="single" w:sz="4" w:space="0" w:color="auto"/>
            </w:tcBorders>
            <w:vAlign w:val="center"/>
            <w:hideMark/>
          </w:tcPr>
          <w:p w14:paraId="4693573B" w14:textId="77777777" w:rsidR="000A5A16" w:rsidRPr="00F91479" w:rsidRDefault="000A5A16" w:rsidP="00155EDE">
            <w:pPr>
              <w:spacing w:line="240" w:lineRule="auto"/>
              <w:jc w:val="center"/>
              <w:rPr>
                <w:rFonts w:ascii="Times New Roman" w:hAnsi="Times New Roman" w:cs="Times New Roman"/>
              </w:rPr>
            </w:pPr>
            <w:r w:rsidRPr="00F91479">
              <w:rPr>
                <w:rFonts w:ascii="Times New Roman" w:hAnsi="Times New Roman" w:cs="Times New Roman"/>
              </w:rPr>
              <w:t>0.75</w:t>
            </w:r>
          </w:p>
        </w:tc>
        <w:tc>
          <w:tcPr>
            <w:tcW w:w="0" w:type="auto"/>
            <w:tcBorders>
              <w:bottom w:val="single" w:sz="4" w:space="0" w:color="auto"/>
            </w:tcBorders>
            <w:vAlign w:val="center"/>
          </w:tcPr>
          <w:p w14:paraId="1D86581D" w14:textId="6B36365B" w:rsidR="000A5A16" w:rsidRPr="00F91479" w:rsidRDefault="000A5A16" w:rsidP="00155EDE">
            <w:pPr>
              <w:spacing w:line="240" w:lineRule="auto"/>
              <w:jc w:val="both"/>
              <w:rPr>
                <w:rFonts w:ascii="Times New Roman" w:hAnsi="Times New Roman" w:cs="Times New Roman"/>
              </w:rPr>
            </w:pPr>
          </w:p>
        </w:tc>
      </w:tr>
    </w:tbl>
    <w:p w14:paraId="00457890" w14:textId="0159C815" w:rsidR="000A5A16" w:rsidRPr="00F91479" w:rsidRDefault="004E7146" w:rsidP="00155EDE">
      <w:pPr>
        <w:spacing w:before="240" w:line="360" w:lineRule="auto"/>
        <w:jc w:val="both"/>
        <w:rPr>
          <w:rFonts w:ascii="Times New Roman" w:hAnsi="Times New Roman" w:cs="Times New Roman"/>
        </w:rPr>
      </w:pPr>
      <w:r>
        <w:rPr>
          <w:rFonts w:ascii="Times New Roman" w:hAnsi="Times New Roman" w:cs="Times New Roman"/>
        </w:rPr>
        <w:t>The p</w:t>
      </w:r>
      <w:r w:rsidR="000A5A16" w:rsidRPr="00F91479">
        <w:rPr>
          <w:rFonts w:ascii="Times New Roman" w:hAnsi="Times New Roman" w:cs="Times New Roman"/>
        </w:rPr>
        <w:t xml:space="preserve">rivacy-utility curve </w:t>
      </w:r>
      <w:r w:rsidRPr="00F91479">
        <w:rPr>
          <w:rFonts w:ascii="Times New Roman" w:hAnsi="Times New Roman" w:cs="Times New Roman"/>
        </w:rPr>
        <w:t>as a scatter plot</w:t>
      </w:r>
      <w:r>
        <w:rPr>
          <w:rFonts w:ascii="Times New Roman" w:hAnsi="Times New Roman" w:cs="Times New Roman"/>
        </w:rPr>
        <w:t xml:space="preserve"> in </w:t>
      </w:r>
      <w:r w:rsidRPr="00F91479">
        <w:rPr>
          <w:rFonts w:ascii="Times New Roman" w:hAnsi="Times New Roman" w:cs="Times New Roman"/>
        </w:rPr>
        <w:t xml:space="preserve">Figure 4 </w:t>
      </w:r>
      <w:r w:rsidR="000A5A16" w:rsidRPr="00F91479">
        <w:rPr>
          <w:rFonts w:ascii="Times New Roman" w:hAnsi="Times New Roman" w:cs="Times New Roman"/>
        </w:rPr>
        <w:t>with epsilon on the x-axis and F1-score on the y-axis, annotated to show the downward trend and the selected operating point.</w:t>
      </w:r>
    </w:p>
    <w:p w14:paraId="79B07AA0" w14:textId="340267ED" w:rsidR="004E7146" w:rsidRDefault="000A5A16" w:rsidP="004E7146">
      <w:pPr>
        <w:spacing w:line="240" w:lineRule="auto"/>
        <w:jc w:val="both"/>
        <w:rPr>
          <w:rFonts w:ascii="Times New Roman" w:hAnsi="Times New Roman" w:cs="Times New Roman"/>
          <w:b/>
          <w:bCs/>
        </w:rPr>
      </w:pPr>
      <w:r w:rsidRPr="00F91479">
        <w:rPr>
          <w:rFonts w:ascii="Times New Roman" w:hAnsi="Times New Roman" w:cs="Times New Roman"/>
          <w:b/>
          <w:bCs/>
        </w:rPr>
        <w:t xml:space="preserve">Figure 4 </w:t>
      </w:r>
    </w:p>
    <w:p w14:paraId="042EE902" w14:textId="67606FDE" w:rsidR="000A5A16" w:rsidRPr="004E7146" w:rsidRDefault="000A5A16" w:rsidP="004E7146">
      <w:pPr>
        <w:spacing w:line="240" w:lineRule="auto"/>
        <w:jc w:val="both"/>
        <w:rPr>
          <w:rFonts w:ascii="Times New Roman" w:hAnsi="Times New Roman" w:cs="Times New Roman"/>
          <w:i/>
          <w:iCs/>
        </w:rPr>
      </w:pPr>
      <w:r w:rsidRPr="004E7146">
        <w:rPr>
          <w:rFonts w:ascii="Times New Roman" w:hAnsi="Times New Roman" w:cs="Times New Roman"/>
          <w:i/>
          <w:iCs/>
        </w:rPr>
        <w:t>Privacy-Utility Curve</w:t>
      </w:r>
    </w:p>
    <w:p w14:paraId="206C611F" w14:textId="6CC1FE71" w:rsidR="004E7146" w:rsidRPr="00F91479" w:rsidRDefault="004E7146" w:rsidP="00F91479">
      <w:pPr>
        <w:spacing w:line="360" w:lineRule="auto"/>
        <w:jc w:val="both"/>
        <w:rPr>
          <w:rFonts w:ascii="Times New Roman" w:hAnsi="Times New Roman" w:cs="Times New Roman"/>
        </w:rPr>
      </w:pPr>
      <w:r>
        <w:rPr>
          <w:noProof/>
        </w:rPr>
        <w:drawing>
          <wp:inline distT="0" distB="0" distL="0" distR="0" wp14:anchorId="694B27B0" wp14:editId="48E1687E">
            <wp:extent cx="5941022" cy="2751719"/>
            <wp:effectExtent l="0" t="0" r="3175" b="0"/>
            <wp:docPr id="15417479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747942" name="Picture 1541747942"/>
                    <pic:cNvPicPr/>
                  </pic:nvPicPr>
                  <pic:blipFill rotWithShape="1">
                    <a:blip r:embed="rId10" cstate="print">
                      <a:extLst>
                        <a:ext uri="{28A0092B-C50C-407E-A947-70E740481C1C}">
                          <a14:useLocalDpi xmlns:a14="http://schemas.microsoft.com/office/drawing/2010/main" val="0"/>
                        </a:ext>
                      </a:extLst>
                    </a:blip>
                    <a:srcRect t="5898"/>
                    <a:stretch>
                      <a:fillRect/>
                    </a:stretch>
                  </pic:blipFill>
                  <pic:spPr bwMode="auto">
                    <a:xfrm>
                      <a:off x="0" y="0"/>
                      <a:ext cx="5943600" cy="2752913"/>
                    </a:xfrm>
                    <a:prstGeom prst="rect">
                      <a:avLst/>
                    </a:prstGeom>
                    <a:ln>
                      <a:noFill/>
                    </a:ln>
                    <a:extLst>
                      <a:ext uri="{53640926-AAD7-44D8-BBD7-CCE9431645EC}">
                        <a14:shadowObscured xmlns:a14="http://schemas.microsoft.com/office/drawing/2010/main"/>
                      </a:ext>
                    </a:extLst>
                  </pic:spPr>
                </pic:pic>
              </a:graphicData>
            </a:graphic>
          </wp:inline>
        </w:drawing>
      </w:r>
    </w:p>
    <w:p w14:paraId="0D3D50AE" w14:textId="1E8503AE"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rPr>
        <w:t xml:space="preserve">Training progress remained stable across federated rounds. Table 5 records the reduction in training loss from 0.85 in round 1 to 0.66 in round 3, accompanied by validation accuracy rising from 0.62 </w:t>
      </w:r>
      <w:r w:rsidRPr="00F91479">
        <w:rPr>
          <w:rFonts w:ascii="Times New Roman" w:hAnsi="Times New Roman" w:cs="Times New Roman"/>
        </w:rPr>
        <w:lastRenderedPageBreak/>
        <w:t xml:space="preserve">to 0.70. Communication overhead stayed </w:t>
      </w:r>
      <w:r w:rsidR="004E7146">
        <w:rPr>
          <w:rFonts w:ascii="Times New Roman" w:hAnsi="Times New Roman" w:cs="Times New Roman"/>
        </w:rPr>
        <w:t xml:space="preserve">as </w:t>
      </w:r>
      <w:r w:rsidRPr="00F91479">
        <w:rPr>
          <w:rFonts w:ascii="Times New Roman" w:hAnsi="Times New Roman" w:cs="Times New Roman"/>
        </w:rPr>
        <w:t xml:space="preserve">low </w:t>
      </w:r>
      <w:r w:rsidR="004E7146">
        <w:rPr>
          <w:rFonts w:ascii="Times New Roman" w:hAnsi="Times New Roman" w:cs="Times New Roman"/>
        </w:rPr>
        <w:t>as possible</w:t>
      </w:r>
      <w:r w:rsidRPr="00F91479">
        <w:rPr>
          <w:rFonts w:ascii="Times New Roman" w:hAnsi="Times New Roman" w:cs="Times New Roman"/>
        </w:rPr>
        <w:t xml:space="preserve"> per client per round, rendering the setup appropriate for bandwidth-constrained remote environments.</w:t>
      </w:r>
    </w:p>
    <w:p w14:paraId="49497717" w14:textId="4DDA2ABD" w:rsidR="004E7146" w:rsidRDefault="000A5A16" w:rsidP="004E7146">
      <w:pPr>
        <w:spacing w:line="240" w:lineRule="auto"/>
        <w:jc w:val="both"/>
        <w:rPr>
          <w:rFonts w:ascii="Times New Roman" w:hAnsi="Times New Roman" w:cs="Times New Roman"/>
          <w:b/>
          <w:bCs/>
        </w:rPr>
      </w:pPr>
      <w:r w:rsidRPr="00F91479">
        <w:rPr>
          <w:rFonts w:ascii="Times New Roman" w:hAnsi="Times New Roman" w:cs="Times New Roman"/>
          <w:b/>
          <w:bCs/>
        </w:rPr>
        <w:t>Table 5</w:t>
      </w:r>
    </w:p>
    <w:p w14:paraId="044CCC2A" w14:textId="4860EBF8" w:rsidR="000A5A16" w:rsidRPr="004E7146" w:rsidRDefault="000A5A16" w:rsidP="004E7146">
      <w:pPr>
        <w:spacing w:line="240" w:lineRule="auto"/>
        <w:jc w:val="both"/>
        <w:rPr>
          <w:rFonts w:ascii="Times New Roman" w:hAnsi="Times New Roman" w:cs="Times New Roman"/>
          <w:i/>
          <w:iCs/>
        </w:rPr>
      </w:pPr>
      <w:r w:rsidRPr="004E7146">
        <w:rPr>
          <w:rFonts w:ascii="Times New Roman" w:hAnsi="Times New Roman" w:cs="Times New Roman"/>
          <w:i/>
          <w:iCs/>
        </w:rPr>
        <w:t>Training Progress Across Federated Rounds</w:t>
      </w:r>
    </w:p>
    <w:tbl>
      <w:tblPr>
        <w:tblW w:w="9380" w:type="dxa"/>
        <w:tblCellSpacing w:w="15" w:type="dxa"/>
        <w:tblCellMar>
          <w:top w:w="15" w:type="dxa"/>
          <w:left w:w="15" w:type="dxa"/>
          <w:bottom w:w="15" w:type="dxa"/>
          <w:right w:w="15" w:type="dxa"/>
        </w:tblCellMar>
        <w:tblLook w:val="04A0" w:firstRow="1" w:lastRow="0" w:firstColumn="1" w:lastColumn="0" w:noHBand="0" w:noVBand="1"/>
      </w:tblPr>
      <w:tblGrid>
        <w:gridCol w:w="997"/>
        <w:gridCol w:w="1931"/>
        <w:gridCol w:w="2802"/>
        <w:gridCol w:w="3558"/>
        <w:gridCol w:w="92"/>
      </w:tblGrid>
      <w:tr w:rsidR="000A5A16" w:rsidRPr="00F91479" w14:paraId="424F89BB" w14:textId="77777777" w:rsidTr="004E7146">
        <w:trPr>
          <w:trHeight w:val="590"/>
          <w:tblHeader/>
          <w:tblCellSpacing w:w="15" w:type="dxa"/>
        </w:trPr>
        <w:tc>
          <w:tcPr>
            <w:tcW w:w="0" w:type="auto"/>
            <w:tcBorders>
              <w:top w:val="single" w:sz="4" w:space="0" w:color="auto"/>
              <w:bottom w:val="single" w:sz="4" w:space="0" w:color="auto"/>
            </w:tcBorders>
            <w:vAlign w:val="center"/>
            <w:hideMark/>
          </w:tcPr>
          <w:p w14:paraId="114111C8" w14:textId="77777777" w:rsidR="000A5A16" w:rsidRPr="00F91479" w:rsidRDefault="000A5A16" w:rsidP="00F91479">
            <w:pPr>
              <w:spacing w:line="360" w:lineRule="auto"/>
              <w:jc w:val="both"/>
              <w:rPr>
                <w:rFonts w:ascii="Times New Roman" w:hAnsi="Times New Roman" w:cs="Times New Roman"/>
                <w:b/>
                <w:bCs/>
              </w:rPr>
            </w:pPr>
            <w:r w:rsidRPr="00F91479">
              <w:rPr>
                <w:rFonts w:ascii="Times New Roman" w:hAnsi="Times New Roman" w:cs="Times New Roman"/>
                <w:b/>
                <w:bCs/>
              </w:rPr>
              <w:t>Round</w:t>
            </w:r>
          </w:p>
        </w:tc>
        <w:tc>
          <w:tcPr>
            <w:tcW w:w="0" w:type="auto"/>
            <w:tcBorders>
              <w:top w:val="single" w:sz="4" w:space="0" w:color="auto"/>
              <w:bottom w:val="single" w:sz="4" w:space="0" w:color="auto"/>
            </w:tcBorders>
            <w:vAlign w:val="center"/>
            <w:hideMark/>
          </w:tcPr>
          <w:p w14:paraId="0853EF6D" w14:textId="77777777" w:rsidR="000A5A16" w:rsidRPr="00F91479" w:rsidRDefault="000A5A16" w:rsidP="004E7146">
            <w:pPr>
              <w:spacing w:line="360" w:lineRule="auto"/>
              <w:jc w:val="center"/>
              <w:rPr>
                <w:rFonts w:ascii="Times New Roman" w:hAnsi="Times New Roman" w:cs="Times New Roman"/>
                <w:b/>
                <w:bCs/>
              </w:rPr>
            </w:pPr>
            <w:r w:rsidRPr="00F91479">
              <w:rPr>
                <w:rFonts w:ascii="Times New Roman" w:hAnsi="Times New Roman" w:cs="Times New Roman"/>
                <w:b/>
                <w:bCs/>
              </w:rPr>
              <w:t>Training Loss</w:t>
            </w:r>
          </w:p>
        </w:tc>
        <w:tc>
          <w:tcPr>
            <w:tcW w:w="0" w:type="auto"/>
            <w:tcBorders>
              <w:top w:val="single" w:sz="4" w:space="0" w:color="auto"/>
              <w:bottom w:val="single" w:sz="4" w:space="0" w:color="auto"/>
            </w:tcBorders>
            <w:vAlign w:val="center"/>
            <w:hideMark/>
          </w:tcPr>
          <w:p w14:paraId="1714E88D" w14:textId="77777777" w:rsidR="000A5A16" w:rsidRPr="00F91479" w:rsidRDefault="000A5A16" w:rsidP="004E7146">
            <w:pPr>
              <w:spacing w:line="360" w:lineRule="auto"/>
              <w:jc w:val="center"/>
              <w:rPr>
                <w:rFonts w:ascii="Times New Roman" w:hAnsi="Times New Roman" w:cs="Times New Roman"/>
                <w:b/>
                <w:bCs/>
              </w:rPr>
            </w:pPr>
            <w:r w:rsidRPr="00F91479">
              <w:rPr>
                <w:rFonts w:ascii="Times New Roman" w:hAnsi="Times New Roman" w:cs="Times New Roman"/>
                <w:b/>
                <w:bCs/>
              </w:rPr>
              <w:t>Validation Accuracy</w:t>
            </w:r>
          </w:p>
        </w:tc>
        <w:tc>
          <w:tcPr>
            <w:tcW w:w="0" w:type="auto"/>
            <w:tcBorders>
              <w:top w:val="single" w:sz="4" w:space="0" w:color="auto"/>
              <w:bottom w:val="single" w:sz="4" w:space="0" w:color="auto"/>
            </w:tcBorders>
            <w:vAlign w:val="center"/>
            <w:hideMark/>
          </w:tcPr>
          <w:p w14:paraId="182A310B" w14:textId="77777777" w:rsidR="000A5A16" w:rsidRPr="00F91479" w:rsidRDefault="000A5A16" w:rsidP="004E7146">
            <w:pPr>
              <w:spacing w:line="360" w:lineRule="auto"/>
              <w:jc w:val="center"/>
              <w:rPr>
                <w:rFonts w:ascii="Times New Roman" w:hAnsi="Times New Roman" w:cs="Times New Roman"/>
                <w:b/>
                <w:bCs/>
              </w:rPr>
            </w:pPr>
            <w:r w:rsidRPr="00F91479">
              <w:rPr>
                <w:rFonts w:ascii="Times New Roman" w:hAnsi="Times New Roman" w:cs="Times New Roman"/>
                <w:b/>
                <w:bCs/>
              </w:rPr>
              <w:t>Global Model Parameters</w:t>
            </w:r>
          </w:p>
        </w:tc>
        <w:tc>
          <w:tcPr>
            <w:tcW w:w="0" w:type="auto"/>
            <w:vAlign w:val="center"/>
          </w:tcPr>
          <w:p w14:paraId="25A83D97" w14:textId="6BC3BEB3" w:rsidR="000A5A16" w:rsidRPr="00F91479" w:rsidRDefault="000A5A16" w:rsidP="00F91479">
            <w:pPr>
              <w:spacing w:line="360" w:lineRule="auto"/>
              <w:jc w:val="both"/>
              <w:rPr>
                <w:rFonts w:ascii="Times New Roman" w:hAnsi="Times New Roman" w:cs="Times New Roman"/>
                <w:b/>
                <w:bCs/>
              </w:rPr>
            </w:pPr>
          </w:p>
        </w:tc>
      </w:tr>
      <w:tr w:rsidR="000A5A16" w:rsidRPr="00F91479" w14:paraId="4A33AD3E" w14:textId="77777777" w:rsidTr="004E7146">
        <w:trPr>
          <w:trHeight w:val="577"/>
          <w:tblCellSpacing w:w="15" w:type="dxa"/>
        </w:trPr>
        <w:tc>
          <w:tcPr>
            <w:tcW w:w="0" w:type="auto"/>
            <w:vAlign w:val="center"/>
            <w:hideMark/>
          </w:tcPr>
          <w:p w14:paraId="0063B227" w14:textId="77777777"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rPr>
              <w:t>1</w:t>
            </w:r>
          </w:p>
        </w:tc>
        <w:tc>
          <w:tcPr>
            <w:tcW w:w="0" w:type="auto"/>
            <w:vAlign w:val="center"/>
            <w:hideMark/>
          </w:tcPr>
          <w:p w14:paraId="0BB62A7C" w14:textId="77777777" w:rsidR="000A5A16" w:rsidRPr="00F91479" w:rsidRDefault="000A5A16" w:rsidP="004E7146">
            <w:pPr>
              <w:spacing w:line="360" w:lineRule="auto"/>
              <w:jc w:val="center"/>
              <w:rPr>
                <w:rFonts w:ascii="Times New Roman" w:hAnsi="Times New Roman" w:cs="Times New Roman"/>
              </w:rPr>
            </w:pPr>
            <w:r w:rsidRPr="00F91479">
              <w:rPr>
                <w:rFonts w:ascii="Times New Roman" w:hAnsi="Times New Roman" w:cs="Times New Roman"/>
              </w:rPr>
              <w:t>0.85</w:t>
            </w:r>
          </w:p>
        </w:tc>
        <w:tc>
          <w:tcPr>
            <w:tcW w:w="0" w:type="auto"/>
            <w:vAlign w:val="center"/>
            <w:hideMark/>
          </w:tcPr>
          <w:p w14:paraId="66887FE2" w14:textId="77777777" w:rsidR="000A5A16" w:rsidRPr="00F91479" w:rsidRDefault="000A5A16" w:rsidP="004E7146">
            <w:pPr>
              <w:spacing w:line="360" w:lineRule="auto"/>
              <w:jc w:val="center"/>
              <w:rPr>
                <w:rFonts w:ascii="Times New Roman" w:hAnsi="Times New Roman" w:cs="Times New Roman"/>
              </w:rPr>
            </w:pPr>
            <w:r w:rsidRPr="00F91479">
              <w:rPr>
                <w:rFonts w:ascii="Times New Roman" w:hAnsi="Times New Roman" w:cs="Times New Roman"/>
              </w:rPr>
              <w:t>0.62</w:t>
            </w:r>
          </w:p>
        </w:tc>
        <w:tc>
          <w:tcPr>
            <w:tcW w:w="0" w:type="auto"/>
            <w:vAlign w:val="center"/>
            <w:hideMark/>
          </w:tcPr>
          <w:p w14:paraId="1D9EE918" w14:textId="77777777" w:rsidR="000A5A16" w:rsidRPr="00F91479" w:rsidRDefault="000A5A16" w:rsidP="004E7146">
            <w:pPr>
              <w:spacing w:line="360" w:lineRule="auto"/>
              <w:jc w:val="center"/>
              <w:rPr>
                <w:rFonts w:ascii="Times New Roman" w:hAnsi="Times New Roman" w:cs="Times New Roman"/>
              </w:rPr>
            </w:pPr>
            <w:r w:rsidRPr="00F91479">
              <w:rPr>
                <w:rFonts w:ascii="Times New Roman" w:hAnsi="Times New Roman" w:cs="Times New Roman"/>
              </w:rPr>
              <w:t>1,054,050</w:t>
            </w:r>
          </w:p>
        </w:tc>
        <w:tc>
          <w:tcPr>
            <w:tcW w:w="0" w:type="auto"/>
            <w:vAlign w:val="center"/>
          </w:tcPr>
          <w:p w14:paraId="74610CC4" w14:textId="4F77D1F6" w:rsidR="000A5A16" w:rsidRPr="00F91479" w:rsidRDefault="000A5A16" w:rsidP="00F91479">
            <w:pPr>
              <w:spacing w:line="360" w:lineRule="auto"/>
              <w:jc w:val="both"/>
              <w:rPr>
                <w:rFonts w:ascii="Times New Roman" w:hAnsi="Times New Roman" w:cs="Times New Roman"/>
              </w:rPr>
            </w:pPr>
          </w:p>
        </w:tc>
      </w:tr>
      <w:tr w:rsidR="000A5A16" w:rsidRPr="00F91479" w14:paraId="62A77E05" w14:textId="77777777" w:rsidTr="004E7146">
        <w:trPr>
          <w:trHeight w:val="590"/>
          <w:tblCellSpacing w:w="15" w:type="dxa"/>
        </w:trPr>
        <w:tc>
          <w:tcPr>
            <w:tcW w:w="0" w:type="auto"/>
            <w:vAlign w:val="center"/>
            <w:hideMark/>
          </w:tcPr>
          <w:p w14:paraId="3B8A0F0C" w14:textId="77777777"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rPr>
              <w:t>2</w:t>
            </w:r>
          </w:p>
        </w:tc>
        <w:tc>
          <w:tcPr>
            <w:tcW w:w="0" w:type="auto"/>
            <w:vAlign w:val="center"/>
            <w:hideMark/>
          </w:tcPr>
          <w:p w14:paraId="3A700BF0" w14:textId="77777777" w:rsidR="000A5A16" w:rsidRPr="00F91479" w:rsidRDefault="000A5A16" w:rsidP="004E7146">
            <w:pPr>
              <w:spacing w:line="360" w:lineRule="auto"/>
              <w:jc w:val="center"/>
              <w:rPr>
                <w:rFonts w:ascii="Times New Roman" w:hAnsi="Times New Roman" w:cs="Times New Roman"/>
              </w:rPr>
            </w:pPr>
            <w:r w:rsidRPr="00F91479">
              <w:rPr>
                <w:rFonts w:ascii="Times New Roman" w:hAnsi="Times New Roman" w:cs="Times New Roman"/>
              </w:rPr>
              <w:t>0.74</w:t>
            </w:r>
          </w:p>
        </w:tc>
        <w:tc>
          <w:tcPr>
            <w:tcW w:w="0" w:type="auto"/>
            <w:vAlign w:val="center"/>
            <w:hideMark/>
          </w:tcPr>
          <w:p w14:paraId="7786C216" w14:textId="77777777" w:rsidR="000A5A16" w:rsidRPr="00F91479" w:rsidRDefault="000A5A16" w:rsidP="004E7146">
            <w:pPr>
              <w:spacing w:line="360" w:lineRule="auto"/>
              <w:jc w:val="center"/>
              <w:rPr>
                <w:rFonts w:ascii="Times New Roman" w:hAnsi="Times New Roman" w:cs="Times New Roman"/>
              </w:rPr>
            </w:pPr>
            <w:r w:rsidRPr="00F91479">
              <w:rPr>
                <w:rFonts w:ascii="Times New Roman" w:hAnsi="Times New Roman" w:cs="Times New Roman"/>
              </w:rPr>
              <w:t>0.66</w:t>
            </w:r>
          </w:p>
        </w:tc>
        <w:tc>
          <w:tcPr>
            <w:tcW w:w="0" w:type="auto"/>
            <w:vAlign w:val="center"/>
            <w:hideMark/>
          </w:tcPr>
          <w:p w14:paraId="07D0C646" w14:textId="77777777" w:rsidR="000A5A16" w:rsidRPr="00F91479" w:rsidRDefault="000A5A16" w:rsidP="004E7146">
            <w:pPr>
              <w:spacing w:line="360" w:lineRule="auto"/>
              <w:jc w:val="center"/>
              <w:rPr>
                <w:rFonts w:ascii="Times New Roman" w:hAnsi="Times New Roman" w:cs="Times New Roman"/>
              </w:rPr>
            </w:pPr>
            <w:r w:rsidRPr="00F91479">
              <w:rPr>
                <w:rFonts w:ascii="Times New Roman" w:hAnsi="Times New Roman" w:cs="Times New Roman"/>
              </w:rPr>
              <w:t>1,054,050</w:t>
            </w:r>
          </w:p>
        </w:tc>
        <w:tc>
          <w:tcPr>
            <w:tcW w:w="0" w:type="auto"/>
            <w:vAlign w:val="center"/>
          </w:tcPr>
          <w:p w14:paraId="6F531DB4" w14:textId="42BEAACD" w:rsidR="000A5A16" w:rsidRPr="00F91479" w:rsidRDefault="000A5A16" w:rsidP="00F91479">
            <w:pPr>
              <w:spacing w:line="360" w:lineRule="auto"/>
              <w:jc w:val="both"/>
              <w:rPr>
                <w:rFonts w:ascii="Times New Roman" w:hAnsi="Times New Roman" w:cs="Times New Roman"/>
              </w:rPr>
            </w:pPr>
          </w:p>
        </w:tc>
      </w:tr>
      <w:tr w:rsidR="000A5A16" w:rsidRPr="00F91479" w14:paraId="1E1D057C" w14:textId="77777777" w:rsidTr="004E7146">
        <w:trPr>
          <w:trHeight w:val="590"/>
          <w:tblCellSpacing w:w="15" w:type="dxa"/>
        </w:trPr>
        <w:tc>
          <w:tcPr>
            <w:tcW w:w="0" w:type="auto"/>
            <w:tcBorders>
              <w:bottom w:val="single" w:sz="4" w:space="0" w:color="auto"/>
            </w:tcBorders>
            <w:vAlign w:val="center"/>
            <w:hideMark/>
          </w:tcPr>
          <w:p w14:paraId="4E9A7AEE" w14:textId="77777777"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rPr>
              <w:t>3</w:t>
            </w:r>
          </w:p>
        </w:tc>
        <w:tc>
          <w:tcPr>
            <w:tcW w:w="0" w:type="auto"/>
            <w:tcBorders>
              <w:bottom w:val="single" w:sz="4" w:space="0" w:color="auto"/>
            </w:tcBorders>
            <w:vAlign w:val="center"/>
            <w:hideMark/>
          </w:tcPr>
          <w:p w14:paraId="176AD2A2" w14:textId="77777777" w:rsidR="000A5A16" w:rsidRPr="00F91479" w:rsidRDefault="000A5A16" w:rsidP="004E7146">
            <w:pPr>
              <w:spacing w:line="360" w:lineRule="auto"/>
              <w:jc w:val="center"/>
              <w:rPr>
                <w:rFonts w:ascii="Times New Roman" w:hAnsi="Times New Roman" w:cs="Times New Roman"/>
              </w:rPr>
            </w:pPr>
            <w:r w:rsidRPr="00F91479">
              <w:rPr>
                <w:rFonts w:ascii="Times New Roman" w:hAnsi="Times New Roman" w:cs="Times New Roman"/>
              </w:rPr>
              <w:t>0.66</w:t>
            </w:r>
          </w:p>
        </w:tc>
        <w:tc>
          <w:tcPr>
            <w:tcW w:w="0" w:type="auto"/>
            <w:tcBorders>
              <w:bottom w:val="single" w:sz="4" w:space="0" w:color="auto"/>
            </w:tcBorders>
            <w:vAlign w:val="center"/>
            <w:hideMark/>
          </w:tcPr>
          <w:p w14:paraId="781F3FFA" w14:textId="77777777" w:rsidR="000A5A16" w:rsidRPr="00F91479" w:rsidRDefault="000A5A16" w:rsidP="004E7146">
            <w:pPr>
              <w:spacing w:line="360" w:lineRule="auto"/>
              <w:jc w:val="center"/>
              <w:rPr>
                <w:rFonts w:ascii="Times New Roman" w:hAnsi="Times New Roman" w:cs="Times New Roman"/>
              </w:rPr>
            </w:pPr>
            <w:r w:rsidRPr="00F91479">
              <w:rPr>
                <w:rFonts w:ascii="Times New Roman" w:hAnsi="Times New Roman" w:cs="Times New Roman"/>
              </w:rPr>
              <w:t>0.70</w:t>
            </w:r>
          </w:p>
        </w:tc>
        <w:tc>
          <w:tcPr>
            <w:tcW w:w="0" w:type="auto"/>
            <w:tcBorders>
              <w:bottom w:val="single" w:sz="4" w:space="0" w:color="auto"/>
            </w:tcBorders>
            <w:vAlign w:val="center"/>
            <w:hideMark/>
          </w:tcPr>
          <w:p w14:paraId="61E663B0" w14:textId="77777777" w:rsidR="000A5A16" w:rsidRPr="00F91479" w:rsidRDefault="000A5A16" w:rsidP="004E7146">
            <w:pPr>
              <w:spacing w:line="360" w:lineRule="auto"/>
              <w:jc w:val="center"/>
              <w:rPr>
                <w:rFonts w:ascii="Times New Roman" w:hAnsi="Times New Roman" w:cs="Times New Roman"/>
              </w:rPr>
            </w:pPr>
            <w:r w:rsidRPr="00F91479">
              <w:rPr>
                <w:rFonts w:ascii="Times New Roman" w:hAnsi="Times New Roman" w:cs="Times New Roman"/>
              </w:rPr>
              <w:t>1,054,050</w:t>
            </w:r>
          </w:p>
        </w:tc>
        <w:tc>
          <w:tcPr>
            <w:tcW w:w="0" w:type="auto"/>
            <w:tcBorders>
              <w:bottom w:val="single" w:sz="4" w:space="0" w:color="auto"/>
            </w:tcBorders>
            <w:vAlign w:val="center"/>
          </w:tcPr>
          <w:p w14:paraId="5E8B392B" w14:textId="27AB4B8C" w:rsidR="000A5A16" w:rsidRPr="00F91479" w:rsidRDefault="000A5A16" w:rsidP="00F91479">
            <w:pPr>
              <w:spacing w:line="360" w:lineRule="auto"/>
              <w:jc w:val="both"/>
              <w:rPr>
                <w:rFonts w:ascii="Times New Roman" w:hAnsi="Times New Roman" w:cs="Times New Roman"/>
              </w:rPr>
            </w:pPr>
          </w:p>
        </w:tc>
      </w:tr>
    </w:tbl>
    <w:p w14:paraId="5A6817DF" w14:textId="4A3992B9" w:rsidR="000A5A16" w:rsidRPr="00F91479" w:rsidRDefault="000A5A16" w:rsidP="004E7146">
      <w:pPr>
        <w:spacing w:before="240" w:line="360" w:lineRule="auto"/>
        <w:jc w:val="both"/>
        <w:rPr>
          <w:rFonts w:ascii="Times New Roman" w:hAnsi="Times New Roman" w:cs="Times New Roman"/>
        </w:rPr>
      </w:pPr>
      <w:r w:rsidRPr="00F91479">
        <w:rPr>
          <w:rFonts w:ascii="Times New Roman" w:hAnsi="Times New Roman" w:cs="Times New Roman"/>
        </w:rPr>
        <w:t xml:space="preserve">Figure </w:t>
      </w:r>
      <w:r w:rsidR="0011536E">
        <w:rPr>
          <w:rFonts w:ascii="Times New Roman" w:hAnsi="Times New Roman" w:cs="Times New Roman"/>
        </w:rPr>
        <w:t>5</w:t>
      </w:r>
      <w:r w:rsidRPr="00F91479">
        <w:rPr>
          <w:rFonts w:ascii="Times New Roman" w:hAnsi="Times New Roman" w:cs="Times New Roman"/>
        </w:rPr>
        <w:t xml:space="preserve"> illustrates the federated learning training progress through a line chart of decreasing loss and increasing accuracy</w:t>
      </w:r>
      <w:r w:rsidR="004E7146">
        <w:rPr>
          <w:rFonts w:ascii="Times New Roman" w:hAnsi="Times New Roman" w:cs="Times New Roman"/>
        </w:rPr>
        <w:t xml:space="preserve"> and other metrics</w:t>
      </w:r>
      <w:r w:rsidRPr="00F91479">
        <w:rPr>
          <w:rFonts w:ascii="Times New Roman" w:hAnsi="Times New Roman" w:cs="Times New Roman"/>
        </w:rPr>
        <w:t>.</w:t>
      </w:r>
    </w:p>
    <w:p w14:paraId="6BD6E5A1" w14:textId="073750EE" w:rsidR="004E7146" w:rsidRDefault="000A5A16" w:rsidP="004E7146">
      <w:pPr>
        <w:spacing w:line="240" w:lineRule="auto"/>
        <w:jc w:val="both"/>
        <w:rPr>
          <w:rFonts w:ascii="Times New Roman" w:hAnsi="Times New Roman" w:cs="Times New Roman"/>
          <w:b/>
          <w:bCs/>
        </w:rPr>
      </w:pPr>
      <w:r w:rsidRPr="00F91479">
        <w:rPr>
          <w:rFonts w:ascii="Times New Roman" w:hAnsi="Times New Roman" w:cs="Times New Roman"/>
          <w:b/>
          <w:bCs/>
        </w:rPr>
        <w:t xml:space="preserve">Figure </w:t>
      </w:r>
      <w:r w:rsidR="0011536E">
        <w:rPr>
          <w:rFonts w:ascii="Times New Roman" w:hAnsi="Times New Roman" w:cs="Times New Roman"/>
          <w:b/>
          <w:bCs/>
        </w:rPr>
        <w:t>5</w:t>
      </w:r>
      <w:r w:rsidRPr="00F91479">
        <w:rPr>
          <w:rFonts w:ascii="Times New Roman" w:hAnsi="Times New Roman" w:cs="Times New Roman"/>
          <w:b/>
          <w:bCs/>
        </w:rPr>
        <w:t xml:space="preserve"> </w:t>
      </w:r>
    </w:p>
    <w:p w14:paraId="6668BE32" w14:textId="28B611D5" w:rsidR="000A5A16" w:rsidRPr="004E7146" w:rsidRDefault="000A5A16" w:rsidP="004E7146">
      <w:pPr>
        <w:spacing w:line="240" w:lineRule="auto"/>
        <w:jc w:val="both"/>
        <w:rPr>
          <w:rFonts w:ascii="Times New Roman" w:hAnsi="Times New Roman" w:cs="Times New Roman"/>
          <w:i/>
          <w:iCs/>
        </w:rPr>
      </w:pPr>
      <w:r w:rsidRPr="004E7146">
        <w:rPr>
          <w:rFonts w:ascii="Times New Roman" w:hAnsi="Times New Roman" w:cs="Times New Roman"/>
          <w:i/>
          <w:iCs/>
        </w:rPr>
        <w:t>Federated Learning Training Progress</w:t>
      </w:r>
    </w:p>
    <w:p w14:paraId="0604A05E" w14:textId="094DA6EA" w:rsidR="004E7146" w:rsidRPr="00F91479" w:rsidRDefault="004E7146" w:rsidP="00F91479">
      <w:pPr>
        <w:spacing w:line="360" w:lineRule="auto"/>
        <w:jc w:val="both"/>
        <w:rPr>
          <w:rFonts w:ascii="Times New Roman" w:hAnsi="Times New Roman" w:cs="Times New Roman"/>
        </w:rPr>
      </w:pPr>
      <w:r>
        <w:rPr>
          <w:noProof/>
        </w:rPr>
        <w:drawing>
          <wp:inline distT="0" distB="0" distL="0" distR="0" wp14:anchorId="030919FB" wp14:editId="36DC9F8B">
            <wp:extent cx="5943600" cy="2769798"/>
            <wp:effectExtent l="0" t="0" r="0" b="0"/>
            <wp:docPr id="175429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29401" name="Picture 175429401"/>
                    <pic:cNvPicPr/>
                  </pic:nvPicPr>
                  <pic:blipFill rotWithShape="1">
                    <a:blip r:embed="rId11" cstate="print">
                      <a:extLst>
                        <a:ext uri="{28A0092B-C50C-407E-A947-70E740481C1C}">
                          <a14:useLocalDpi xmlns:a14="http://schemas.microsoft.com/office/drawing/2010/main" val="0"/>
                        </a:ext>
                      </a:extLst>
                    </a:blip>
                    <a:srcRect t="5587"/>
                    <a:stretch>
                      <a:fillRect/>
                    </a:stretch>
                  </pic:blipFill>
                  <pic:spPr bwMode="auto">
                    <a:xfrm>
                      <a:off x="0" y="0"/>
                      <a:ext cx="5943600" cy="2769798"/>
                    </a:xfrm>
                    <a:prstGeom prst="rect">
                      <a:avLst/>
                    </a:prstGeom>
                    <a:ln>
                      <a:noFill/>
                    </a:ln>
                    <a:extLst>
                      <a:ext uri="{53640926-AAD7-44D8-BBD7-CCE9431645EC}">
                        <a14:shadowObscured xmlns:a14="http://schemas.microsoft.com/office/drawing/2010/main"/>
                      </a:ext>
                    </a:extLst>
                  </pic:spPr>
                </pic:pic>
              </a:graphicData>
            </a:graphic>
          </wp:inline>
        </w:drawing>
      </w:r>
    </w:p>
    <w:p w14:paraId="5B556B7D" w14:textId="50EC3396" w:rsidR="000A5A16" w:rsidRDefault="0011536E" w:rsidP="00F91479">
      <w:pPr>
        <w:spacing w:line="360" w:lineRule="auto"/>
        <w:jc w:val="both"/>
        <w:rPr>
          <w:rFonts w:ascii="Times New Roman" w:hAnsi="Times New Roman" w:cs="Times New Roman"/>
        </w:rPr>
      </w:pPr>
      <w:r>
        <w:rPr>
          <w:rFonts w:ascii="Times New Roman" w:hAnsi="Times New Roman" w:cs="Times New Roman"/>
        </w:rPr>
        <w:t xml:space="preserve">Figure 6 shows </w:t>
      </w:r>
      <w:proofErr w:type="spellStart"/>
      <w:r>
        <w:rPr>
          <w:rFonts w:ascii="Times New Roman" w:hAnsi="Times New Roman" w:cs="Times New Roman"/>
        </w:rPr>
        <w:t>RobustFL</w:t>
      </w:r>
      <w:proofErr w:type="spellEnd"/>
      <w:r>
        <w:rPr>
          <w:rFonts w:ascii="Times New Roman" w:hAnsi="Times New Roman" w:cs="Times New Roman"/>
        </w:rPr>
        <w:t xml:space="preserve"> vs Baseline across all the metrics (Robustness, Accuracy, F1, trust score, </w:t>
      </w:r>
      <w:proofErr w:type="spellStart"/>
      <w:r>
        <w:rPr>
          <w:rFonts w:ascii="Times New Roman" w:hAnsi="Times New Roman" w:cs="Times New Roman"/>
        </w:rPr>
        <w:t>etc</w:t>
      </w:r>
      <w:proofErr w:type="spellEnd"/>
      <w:r>
        <w:rPr>
          <w:rFonts w:ascii="Times New Roman" w:hAnsi="Times New Roman" w:cs="Times New Roman"/>
        </w:rPr>
        <w:t xml:space="preserve">) Figure 7 shows the communication cost analysis, showing the relationship between the communication rounds and accuracy across </w:t>
      </w:r>
      <w:proofErr w:type="spellStart"/>
      <w:r>
        <w:rPr>
          <w:rFonts w:ascii="Times New Roman" w:hAnsi="Times New Roman" w:cs="Times New Roman"/>
        </w:rPr>
        <w:t>FedAvg</w:t>
      </w:r>
      <w:proofErr w:type="spellEnd"/>
      <w:r>
        <w:rPr>
          <w:rFonts w:ascii="Times New Roman" w:hAnsi="Times New Roman" w:cs="Times New Roman"/>
        </w:rPr>
        <w:t xml:space="preserve">, </w:t>
      </w:r>
      <w:proofErr w:type="spellStart"/>
      <w:r>
        <w:rPr>
          <w:rFonts w:ascii="Times New Roman" w:hAnsi="Times New Roman" w:cs="Times New Roman"/>
        </w:rPr>
        <w:t>RobustFL</w:t>
      </w:r>
      <w:proofErr w:type="spellEnd"/>
      <w:r>
        <w:rPr>
          <w:rFonts w:ascii="Times New Roman" w:hAnsi="Times New Roman" w:cs="Times New Roman"/>
        </w:rPr>
        <w:t>, and Centralized</w:t>
      </w:r>
      <w:r w:rsidR="000A5A16" w:rsidRPr="00F91479">
        <w:rPr>
          <w:rFonts w:ascii="Times New Roman" w:hAnsi="Times New Roman" w:cs="Times New Roman"/>
        </w:rPr>
        <w:t>.</w:t>
      </w:r>
    </w:p>
    <w:p w14:paraId="472B9F45" w14:textId="77777777" w:rsidR="005A1358" w:rsidRPr="00F91479" w:rsidRDefault="005A1358" w:rsidP="00F91479">
      <w:pPr>
        <w:spacing w:line="360" w:lineRule="auto"/>
        <w:jc w:val="both"/>
        <w:rPr>
          <w:rFonts w:ascii="Times New Roman" w:hAnsi="Times New Roman" w:cs="Times New Roman"/>
        </w:rPr>
      </w:pPr>
    </w:p>
    <w:p w14:paraId="2DCCDA31" w14:textId="22A1D0E5" w:rsidR="0011536E" w:rsidRDefault="000A5A16" w:rsidP="0011536E">
      <w:pPr>
        <w:spacing w:line="240" w:lineRule="auto"/>
        <w:jc w:val="both"/>
        <w:rPr>
          <w:rFonts w:ascii="Times New Roman" w:hAnsi="Times New Roman" w:cs="Times New Roman"/>
          <w:b/>
          <w:bCs/>
        </w:rPr>
      </w:pPr>
      <w:r w:rsidRPr="00F91479">
        <w:rPr>
          <w:rFonts w:ascii="Times New Roman" w:hAnsi="Times New Roman" w:cs="Times New Roman"/>
          <w:b/>
          <w:bCs/>
        </w:rPr>
        <w:lastRenderedPageBreak/>
        <w:t xml:space="preserve">Figure </w:t>
      </w:r>
      <w:r w:rsidR="0011536E">
        <w:rPr>
          <w:rFonts w:ascii="Times New Roman" w:hAnsi="Times New Roman" w:cs="Times New Roman"/>
          <w:b/>
          <w:bCs/>
        </w:rPr>
        <w:t>6</w:t>
      </w:r>
      <w:r w:rsidRPr="00F91479">
        <w:rPr>
          <w:rFonts w:ascii="Times New Roman" w:hAnsi="Times New Roman" w:cs="Times New Roman"/>
          <w:b/>
          <w:bCs/>
        </w:rPr>
        <w:t xml:space="preserve"> </w:t>
      </w:r>
    </w:p>
    <w:p w14:paraId="770986C1" w14:textId="667AF765" w:rsidR="000A5A16" w:rsidRPr="0011536E" w:rsidRDefault="0011536E" w:rsidP="0011536E">
      <w:pPr>
        <w:spacing w:line="240" w:lineRule="auto"/>
        <w:jc w:val="both"/>
        <w:rPr>
          <w:rFonts w:ascii="Times New Roman" w:hAnsi="Times New Roman" w:cs="Times New Roman"/>
          <w:i/>
          <w:iCs/>
        </w:rPr>
      </w:pPr>
      <w:r w:rsidRPr="0011536E">
        <w:rPr>
          <w:rFonts w:ascii="Times New Roman" w:hAnsi="Times New Roman" w:cs="Times New Roman"/>
          <w:i/>
          <w:iCs/>
        </w:rPr>
        <w:t>Robust FL vs Baseline across all Metrics</w:t>
      </w:r>
      <w:r w:rsidR="000A5A16" w:rsidRPr="0011536E">
        <w:rPr>
          <w:rFonts w:ascii="Times New Roman" w:hAnsi="Times New Roman" w:cs="Times New Roman"/>
          <w:i/>
          <w:iCs/>
        </w:rPr>
        <w:t xml:space="preserve"> </w:t>
      </w:r>
    </w:p>
    <w:p w14:paraId="2057627D" w14:textId="5641F519" w:rsidR="005A1358" w:rsidRDefault="005A1358" w:rsidP="0011536E">
      <w:pPr>
        <w:spacing w:line="240" w:lineRule="auto"/>
        <w:jc w:val="both"/>
        <w:rPr>
          <w:rFonts w:ascii="Times New Roman" w:hAnsi="Times New Roman" w:cs="Times New Roman"/>
          <w:b/>
          <w:bCs/>
        </w:rPr>
      </w:pPr>
      <w:r>
        <w:rPr>
          <w:rFonts w:ascii="Times New Roman" w:hAnsi="Times New Roman" w:cs="Times New Roman"/>
          <w:b/>
          <w:bCs/>
          <w:noProof/>
        </w:rPr>
        <w:drawing>
          <wp:inline distT="0" distB="0" distL="0" distR="0" wp14:anchorId="3A7177A9" wp14:editId="00584B00">
            <wp:extent cx="4881829" cy="3759200"/>
            <wp:effectExtent l="0" t="0" r="0" b="0"/>
            <wp:docPr id="13338296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829669" name="Picture 1333829669"/>
                    <pic:cNvPicPr/>
                  </pic:nvPicPr>
                  <pic:blipFill rotWithShape="1">
                    <a:blip r:embed="rId12">
                      <a:extLst>
                        <a:ext uri="{28A0092B-C50C-407E-A947-70E740481C1C}">
                          <a14:useLocalDpi xmlns:a14="http://schemas.microsoft.com/office/drawing/2010/main" val="0"/>
                        </a:ext>
                      </a:extLst>
                    </a:blip>
                    <a:srcRect l="25496" t="36034" r="36506" b="11919"/>
                    <a:stretch>
                      <a:fillRect/>
                    </a:stretch>
                  </pic:blipFill>
                  <pic:spPr bwMode="auto">
                    <a:xfrm>
                      <a:off x="0" y="0"/>
                      <a:ext cx="4941243" cy="3804951"/>
                    </a:xfrm>
                    <a:prstGeom prst="rect">
                      <a:avLst/>
                    </a:prstGeom>
                    <a:ln>
                      <a:noFill/>
                    </a:ln>
                    <a:extLst>
                      <a:ext uri="{53640926-AAD7-44D8-BBD7-CCE9431645EC}">
                        <a14:shadowObscured xmlns:a14="http://schemas.microsoft.com/office/drawing/2010/main"/>
                      </a:ext>
                    </a:extLst>
                  </pic:spPr>
                </pic:pic>
              </a:graphicData>
            </a:graphic>
          </wp:inline>
        </w:drawing>
      </w:r>
    </w:p>
    <w:p w14:paraId="1408EEEA" w14:textId="28CECB3B" w:rsidR="0011536E" w:rsidRDefault="0011536E" w:rsidP="0011536E">
      <w:pPr>
        <w:spacing w:line="240" w:lineRule="auto"/>
        <w:jc w:val="both"/>
        <w:rPr>
          <w:rFonts w:ascii="Times New Roman" w:hAnsi="Times New Roman" w:cs="Times New Roman"/>
          <w:b/>
          <w:bCs/>
        </w:rPr>
      </w:pPr>
      <w:r w:rsidRPr="00F91479">
        <w:rPr>
          <w:rFonts w:ascii="Times New Roman" w:hAnsi="Times New Roman" w:cs="Times New Roman"/>
          <w:b/>
          <w:bCs/>
        </w:rPr>
        <w:t xml:space="preserve">Figure 7 </w:t>
      </w:r>
    </w:p>
    <w:p w14:paraId="0D1D1EFF" w14:textId="4ABB088A" w:rsidR="0011536E" w:rsidRPr="0011536E" w:rsidRDefault="0011536E" w:rsidP="0011536E">
      <w:pPr>
        <w:spacing w:line="240" w:lineRule="auto"/>
        <w:jc w:val="both"/>
        <w:rPr>
          <w:rFonts w:ascii="Times New Roman" w:hAnsi="Times New Roman" w:cs="Times New Roman"/>
          <w:i/>
          <w:iCs/>
        </w:rPr>
      </w:pPr>
      <w:r w:rsidRPr="0011536E">
        <w:rPr>
          <w:rFonts w:ascii="Times New Roman" w:hAnsi="Times New Roman" w:cs="Times New Roman"/>
          <w:i/>
          <w:iCs/>
        </w:rPr>
        <w:t>Communication Cost Analysis</w:t>
      </w:r>
    </w:p>
    <w:p w14:paraId="031617D7" w14:textId="79DC224F" w:rsidR="004E7146" w:rsidRPr="00F91479" w:rsidRDefault="004E7146" w:rsidP="00F91479">
      <w:pPr>
        <w:spacing w:line="360" w:lineRule="auto"/>
        <w:jc w:val="both"/>
        <w:rPr>
          <w:rFonts w:ascii="Times New Roman" w:hAnsi="Times New Roman" w:cs="Times New Roman"/>
        </w:rPr>
      </w:pPr>
      <w:r>
        <w:rPr>
          <w:noProof/>
        </w:rPr>
        <w:drawing>
          <wp:inline distT="0" distB="0" distL="0" distR="0" wp14:anchorId="1E9B7058" wp14:editId="4E3D7198">
            <wp:extent cx="5027295" cy="2913321"/>
            <wp:effectExtent l="0" t="0" r="1905" b="1905"/>
            <wp:docPr id="3748366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36632" name="Picture 374836632"/>
                    <pic:cNvPicPr/>
                  </pic:nvPicPr>
                  <pic:blipFill rotWithShape="1">
                    <a:blip r:embed="rId13" cstate="print">
                      <a:extLst>
                        <a:ext uri="{28A0092B-C50C-407E-A947-70E740481C1C}">
                          <a14:useLocalDpi xmlns:a14="http://schemas.microsoft.com/office/drawing/2010/main" val="0"/>
                        </a:ext>
                      </a:extLst>
                    </a:blip>
                    <a:srcRect t="5589"/>
                    <a:stretch>
                      <a:fillRect/>
                    </a:stretch>
                  </pic:blipFill>
                  <pic:spPr bwMode="auto">
                    <a:xfrm>
                      <a:off x="0" y="0"/>
                      <a:ext cx="5116130" cy="2964801"/>
                    </a:xfrm>
                    <a:prstGeom prst="rect">
                      <a:avLst/>
                    </a:prstGeom>
                    <a:ln>
                      <a:noFill/>
                    </a:ln>
                    <a:extLst>
                      <a:ext uri="{53640926-AAD7-44D8-BBD7-CCE9431645EC}">
                        <a14:shadowObscured xmlns:a14="http://schemas.microsoft.com/office/drawing/2010/main"/>
                      </a:ext>
                    </a:extLst>
                  </pic:spPr>
                </pic:pic>
              </a:graphicData>
            </a:graphic>
          </wp:inline>
        </w:drawing>
      </w:r>
    </w:p>
    <w:p w14:paraId="43838CFA" w14:textId="7D83AAEE"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rPr>
        <w:lastRenderedPageBreak/>
        <w:t xml:space="preserve">These quantitative outcomes, derived directly from the methodology’s phases of baseline training, attack simulation, and </w:t>
      </w:r>
      <w:r w:rsidR="005A1358" w:rsidRPr="00F91479">
        <w:rPr>
          <w:rFonts w:ascii="Times New Roman" w:hAnsi="Times New Roman" w:cs="Times New Roman"/>
        </w:rPr>
        <w:t>defense</w:t>
      </w:r>
      <w:r w:rsidRPr="00F91479">
        <w:rPr>
          <w:rFonts w:ascii="Times New Roman" w:hAnsi="Times New Roman" w:cs="Times New Roman"/>
        </w:rPr>
        <w:t xml:space="preserve"> integration, confirm the framework’s capacity to maintain diagnostic utility while countering threats and enhancing transparency.</w:t>
      </w:r>
    </w:p>
    <w:p w14:paraId="28C43E32" w14:textId="5BBC1D3C" w:rsidR="000A5A16" w:rsidRPr="00F91479" w:rsidRDefault="0011536E" w:rsidP="00F91479">
      <w:pPr>
        <w:spacing w:line="360" w:lineRule="auto"/>
        <w:jc w:val="both"/>
        <w:rPr>
          <w:rFonts w:ascii="Times New Roman" w:hAnsi="Times New Roman" w:cs="Times New Roman"/>
        </w:rPr>
      </w:pPr>
      <w:r w:rsidRPr="00F91479">
        <w:rPr>
          <w:rFonts w:ascii="Times New Roman" w:hAnsi="Times New Roman" w:cs="Times New Roman"/>
          <w:b/>
          <w:bCs/>
        </w:rPr>
        <w:t>Discussion</w:t>
      </w:r>
    </w:p>
    <w:p w14:paraId="0B92C2CF" w14:textId="05A58DF4"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rPr>
        <w:t xml:space="preserve">The presented results demonstrate that the hybrid federated learning-explainable artificial intelligence framework effectively balances robustness against adversarial attacks with privacy preservation and transparency in medical imaging tasks. The achieved clean accuracy of 70 percent and robust accuracy of 69 percent under projected gradient descent attacks align with expectations for small-scale, resource-constrained simulations while highlighting meaningful gains from the integrated </w:t>
      </w:r>
      <w:r w:rsidR="00F53401" w:rsidRPr="00F91479">
        <w:rPr>
          <w:rFonts w:ascii="Times New Roman" w:hAnsi="Times New Roman" w:cs="Times New Roman"/>
        </w:rPr>
        <w:t>defenses</w:t>
      </w:r>
      <w:r w:rsidRPr="00F91479">
        <w:rPr>
          <w:rFonts w:ascii="Times New Roman" w:hAnsi="Times New Roman" w:cs="Times New Roman"/>
        </w:rPr>
        <w:t xml:space="preserve">. The minimal drop in performance under perturbation, coupled with adversarial success rates around 30-31 percent, indicates that local adversarial training within the federated averaging process successfully strengthened model boundaries without requiring </w:t>
      </w:r>
      <w:r w:rsidR="00F53401" w:rsidRPr="00F91479">
        <w:rPr>
          <w:rFonts w:ascii="Times New Roman" w:hAnsi="Times New Roman" w:cs="Times New Roman"/>
        </w:rPr>
        <w:t>centralized</w:t>
      </w:r>
      <w:r w:rsidRPr="00F91479">
        <w:rPr>
          <w:rFonts w:ascii="Times New Roman" w:hAnsi="Times New Roman" w:cs="Times New Roman"/>
        </w:rPr>
        <w:t xml:space="preserve"> data exposure. This outcome is consistent with empirical observations in federated medical imaging studies, where unprotected models frequently experience success rates exceeding 60 percent on chest X-ray tasks, whereas combined adversarial training and noise mechanisms yield substantial reductions (Darzi et al., 2024; Darzi et al., 2023).</w:t>
      </w:r>
    </w:p>
    <w:p w14:paraId="18482CFC" w14:textId="1DBC8B58"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rPr>
        <w:t xml:space="preserve">The non-IID partitioning results further validate the framework’s handling of realistic data heterogeneity. Label skew across clients introduced challenges typical of multi-institutional settings, yet client clustering and federated </w:t>
      </w:r>
      <w:proofErr w:type="gramStart"/>
      <w:r w:rsidRPr="00F91479">
        <w:rPr>
          <w:rFonts w:ascii="Times New Roman" w:hAnsi="Times New Roman" w:cs="Times New Roman"/>
        </w:rPr>
        <w:t>averaging maintained</w:t>
      </w:r>
      <w:proofErr w:type="gramEnd"/>
      <w:r w:rsidRPr="00F91479">
        <w:rPr>
          <w:rFonts w:ascii="Times New Roman" w:hAnsi="Times New Roman" w:cs="Times New Roman"/>
        </w:rPr>
        <w:t xml:space="preserve"> convergence stability over just three rounds. Communication costs remained minimal at 4 MB per round, supporting scalability in low-bandwidth scenarios common to remote or rural healthcare deployments. These findings extend prior surveys on federated learning for medical image analysis, which </w:t>
      </w:r>
      <w:r w:rsidR="00F53401" w:rsidRPr="00F91479">
        <w:rPr>
          <w:rFonts w:ascii="Times New Roman" w:hAnsi="Times New Roman" w:cs="Times New Roman"/>
        </w:rPr>
        <w:t>emphasize</w:t>
      </w:r>
      <w:r w:rsidRPr="00F91479">
        <w:rPr>
          <w:rFonts w:ascii="Times New Roman" w:hAnsi="Times New Roman" w:cs="Times New Roman"/>
        </w:rPr>
        <w:t xml:space="preserve"> the importance of addressing non-IID distributions to achieve </w:t>
      </w:r>
      <w:r w:rsidR="00F53401" w:rsidRPr="00F91479">
        <w:rPr>
          <w:rFonts w:ascii="Times New Roman" w:hAnsi="Times New Roman" w:cs="Times New Roman"/>
        </w:rPr>
        <w:t>generalizable</w:t>
      </w:r>
      <w:r w:rsidRPr="00F91479">
        <w:rPr>
          <w:rFonts w:ascii="Times New Roman" w:hAnsi="Times New Roman" w:cs="Times New Roman"/>
        </w:rPr>
        <w:t xml:space="preserve"> performance without compromising privacy (Sharif et al., 2024; Guan et al., 2024).</w:t>
      </w:r>
    </w:p>
    <w:p w14:paraId="23F2725A" w14:textId="3A610350"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rPr>
        <w:t>Differential privacy integration via DP-SGD revealed the expected utility trade-off, with the selected epsilon=</w:t>
      </w:r>
      <w:r w:rsidR="008B3500">
        <w:rPr>
          <w:rFonts w:ascii="Times New Roman" w:hAnsi="Times New Roman" w:cs="Times New Roman"/>
        </w:rPr>
        <w:t xml:space="preserve"> </w:t>
      </w:r>
      <w:r w:rsidRPr="00F91479">
        <w:rPr>
          <w:rFonts w:ascii="Times New Roman" w:hAnsi="Times New Roman" w:cs="Times New Roman"/>
        </w:rPr>
        <w:t>1.0 providing a practical balance that retained an F1-score of 0.88. Tighter budgets preserved stronger guarantees but incurred greater performance penalties, mirroring patterns documented in histopathology and chest X-ray federated studies where epsilon values near 1 to 3 deliver acceptable clinical utility alongside formal privacy bounds (Guan et al., 2024; Zheng et al., 2025). By bounding</w:t>
      </w:r>
      <w:r w:rsidR="008B3500">
        <w:rPr>
          <w:rFonts w:ascii="Times New Roman" w:hAnsi="Times New Roman" w:cs="Times New Roman"/>
        </w:rPr>
        <w:t>,</w:t>
      </w:r>
      <w:r w:rsidRPr="00F91479">
        <w:rPr>
          <w:rFonts w:ascii="Times New Roman" w:hAnsi="Times New Roman" w:cs="Times New Roman"/>
        </w:rPr>
        <w:t xml:space="preserve"> individual data influence through gradient clipping and </w:t>
      </w:r>
      <w:r w:rsidRPr="00F91479">
        <w:rPr>
          <w:rFonts w:ascii="Times New Roman" w:hAnsi="Times New Roman" w:cs="Times New Roman"/>
        </w:rPr>
        <w:lastRenderedPageBreak/>
        <w:t>calibrated Gaussian noise, the mechanism not only limited inference risks but also contributed to overall system trustworthiness.</w:t>
      </w:r>
    </w:p>
    <w:p w14:paraId="2719A004" w14:textId="37C98DCA"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rPr>
        <w:t>Explainable artificial intelligence outputs played a pivotal role in addressing the human dimension of healthcare AI. The perfect consistency in SHAP and integrated gradients attributions, yielding a trust score proxy of 1.000, suggests that transparency mechanisms can effectively reduce perceived opacity. Heatmap consistently highlighted clinically relevant lung regions for pneumonia predictions, offering interpretable insights that align with clinician expectations. This transparency directly supports reduced personal data stress anxiety by empowering patients and practitioners with understandable decision rationales, extending technical robustness to psychological acceptance. Literature on explainable artificial intelligence in medical imaging similarly reports enhanced trust when saliency or attribution methods reveal decision processes, particularly in federated contexts where black-box concerns are amplified (Repetto et al., 2025; Ahmed et al., 2026).</w:t>
      </w:r>
    </w:p>
    <w:p w14:paraId="1D1C9192" w14:textId="2F560180"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rPr>
        <w:t xml:space="preserve">Comparison with recent works reinforces the framework’s contributions. Studies without integrated </w:t>
      </w:r>
      <w:r w:rsidR="008B3500" w:rsidRPr="00F91479">
        <w:rPr>
          <w:rFonts w:ascii="Times New Roman" w:hAnsi="Times New Roman" w:cs="Times New Roman"/>
        </w:rPr>
        <w:t>defenses</w:t>
      </w:r>
      <w:r w:rsidRPr="00F91479">
        <w:rPr>
          <w:rFonts w:ascii="Times New Roman" w:hAnsi="Times New Roman" w:cs="Times New Roman"/>
        </w:rPr>
        <w:t xml:space="preserve"> often report adversarial success rates of 45-72 percent on similar chest X-ray tasks, while those incorporating partial robustness measures rarely combine differential privacy, adversarial training, and explainability in a single home-executable pipeline (Sandhu et al., 2023; Darzi et al., 2023). The </w:t>
      </w:r>
      <w:proofErr w:type="spellStart"/>
      <w:r w:rsidRPr="00F91479">
        <w:rPr>
          <w:rFonts w:ascii="Times New Roman" w:hAnsi="Times New Roman" w:cs="Times New Roman"/>
        </w:rPr>
        <w:t>RobustFL</w:t>
      </w:r>
      <w:proofErr w:type="spellEnd"/>
      <w:r w:rsidRPr="00F91479">
        <w:rPr>
          <w:rFonts w:ascii="Times New Roman" w:hAnsi="Times New Roman" w:cs="Times New Roman"/>
        </w:rPr>
        <w:t xml:space="preserve"> approach achieved a roughly 40 percent absolute reduction in success rate relative to unprotected baselines, alongside full explainability and a balanced privacy budget, filling a noted gap in unified frameworks suitable for resource-limited research.</w:t>
      </w:r>
    </w:p>
    <w:p w14:paraId="1B313A52" w14:textId="291B62A1" w:rsidR="008B3500" w:rsidRPr="008B3500" w:rsidRDefault="008B3500" w:rsidP="00F91479">
      <w:pPr>
        <w:spacing w:line="360" w:lineRule="auto"/>
        <w:jc w:val="both"/>
        <w:rPr>
          <w:rFonts w:ascii="Times New Roman" w:hAnsi="Times New Roman" w:cs="Times New Roman"/>
          <w:b/>
          <w:bCs/>
        </w:rPr>
      </w:pPr>
      <w:r w:rsidRPr="008B3500">
        <w:rPr>
          <w:rFonts w:ascii="Times New Roman" w:hAnsi="Times New Roman" w:cs="Times New Roman"/>
          <w:b/>
          <w:bCs/>
        </w:rPr>
        <w:t>Limitations of the Study</w:t>
      </w:r>
    </w:p>
    <w:p w14:paraId="2C739CE3" w14:textId="77777777" w:rsidR="008B3500" w:rsidRDefault="000A5A16" w:rsidP="00F91479">
      <w:pPr>
        <w:spacing w:line="360" w:lineRule="auto"/>
        <w:jc w:val="both"/>
        <w:rPr>
          <w:rFonts w:ascii="Times New Roman" w:hAnsi="Times New Roman" w:cs="Times New Roman"/>
        </w:rPr>
      </w:pPr>
      <w:r w:rsidRPr="00F91479">
        <w:rPr>
          <w:rFonts w:ascii="Times New Roman" w:hAnsi="Times New Roman" w:cs="Times New Roman"/>
        </w:rPr>
        <w:t>Limitations of this research include the relatively small simulated dataset</w:t>
      </w:r>
      <w:r w:rsidR="008B3500">
        <w:rPr>
          <w:rFonts w:ascii="Times New Roman" w:hAnsi="Times New Roman" w:cs="Times New Roman"/>
        </w:rPr>
        <w:t xml:space="preserve"> </w:t>
      </w:r>
      <w:r w:rsidRPr="00F91479">
        <w:rPr>
          <w:rFonts w:ascii="Times New Roman" w:hAnsi="Times New Roman" w:cs="Times New Roman"/>
        </w:rPr>
        <w:t xml:space="preserve">samples, which, while enabling full reproducibility on 4 GB RAM hardware, restricts direct </w:t>
      </w:r>
      <w:r w:rsidR="008B3500" w:rsidRPr="00F91479">
        <w:rPr>
          <w:rFonts w:ascii="Times New Roman" w:hAnsi="Times New Roman" w:cs="Times New Roman"/>
        </w:rPr>
        <w:t>generalization</w:t>
      </w:r>
      <w:r w:rsidRPr="00F91479">
        <w:rPr>
          <w:rFonts w:ascii="Times New Roman" w:hAnsi="Times New Roman" w:cs="Times New Roman"/>
        </w:rPr>
        <w:t xml:space="preserve"> to large-scale clinical deployments such as those involving hundreds of thousands of images. The </w:t>
      </w:r>
      <w:proofErr w:type="spellStart"/>
      <w:r w:rsidRPr="00F91479">
        <w:rPr>
          <w:rFonts w:ascii="Times New Roman" w:hAnsi="Times New Roman" w:cs="Times New Roman"/>
        </w:rPr>
        <w:t>TinyResNet</w:t>
      </w:r>
      <w:proofErr w:type="spellEnd"/>
      <w:r w:rsidRPr="00F91479">
        <w:rPr>
          <w:rFonts w:ascii="Times New Roman" w:hAnsi="Times New Roman" w:cs="Times New Roman"/>
        </w:rPr>
        <w:t xml:space="preserve"> architecture </w:t>
      </w:r>
      <w:r w:rsidR="008B3500" w:rsidRPr="00F91479">
        <w:rPr>
          <w:rFonts w:ascii="Times New Roman" w:hAnsi="Times New Roman" w:cs="Times New Roman"/>
        </w:rPr>
        <w:t>prioritized</w:t>
      </w:r>
      <w:r w:rsidRPr="00F91479">
        <w:rPr>
          <w:rFonts w:ascii="Times New Roman" w:hAnsi="Times New Roman" w:cs="Times New Roman"/>
        </w:rPr>
        <w:t xml:space="preserve"> efficiency over capacity, potentially capping peak clean accuracy compared with larger models that demand greater computational resources. Additionally, attacks were simulated rather than executed by real malicious actors, and the trust score served as a computational proxy rather than a validated clinical measure of anxiety reduction. </w:t>
      </w:r>
    </w:p>
    <w:p w14:paraId="7F44FB39" w14:textId="77777777" w:rsidR="008B3500" w:rsidRDefault="008B3500" w:rsidP="00F91479">
      <w:pPr>
        <w:spacing w:line="360" w:lineRule="auto"/>
        <w:jc w:val="both"/>
        <w:rPr>
          <w:rFonts w:ascii="Times New Roman" w:hAnsi="Times New Roman" w:cs="Times New Roman"/>
          <w:b/>
          <w:bCs/>
        </w:rPr>
      </w:pPr>
    </w:p>
    <w:p w14:paraId="14F364C9" w14:textId="522C0EEA" w:rsidR="008B3500" w:rsidRPr="008B3500" w:rsidRDefault="008B3500" w:rsidP="00F91479">
      <w:pPr>
        <w:spacing w:line="360" w:lineRule="auto"/>
        <w:jc w:val="both"/>
        <w:rPr>
          <w:rFonts w:ascii="Times New Roman" w:hAnsi="Times New Roman" w:cs="Times New Roman"/>
          <w:b/>
          <w:bCs/>
        </w:rPr>
      </w:pPr>
      <w:r w:rsidRPr="008B3500">
        <w:rPr>
          <w:rFonts w:ascii="Times New Roman" w:hAnsi="Times New Roman" w:cs="Times New Roman"/>
          <w:b/>
          <w:bCs/>
        </w:rPr>
        <w:lastRenderedPageBreak/>
        <w:t>Future Considerations</w:t>
      </w:r>
    </w:p>
    <w:p w14:paraId="6C0958E4" w14:textId="44E86687"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rPr>
        <w:t xml:space="preserve">Future considerations should focus on scaling validation to larger public datasets, incorporating advanced client </w:t>
      </w:r>
      <w:r w:rsidR="008B3500" w:rsidRPr="00F91479">
        <w:rPr>
          <w:rFonts w:ascii="Times New Roman" w:hAnsi="Times New Roman" w:cs="Times New Roman"/>
        </w:rPr>
        <w:t>personalization</w:t>
      </w:r>
      <w:r w:rsidRPr="00F91479">
        <w:rPr>
          <w:rFonts w:ascii="Times New Roman" w:hAnsi="Times New Roman" w:cs="Times New Roman"/>
        </w:rPr>
        <w:t xml:space="preserve"> techniques to further mitigate non-IID effects, and conducting controlled user studies to correlate explanation consistency with actual patient or clinician trust metrics. Extending the framework with blockchain for immutable audit trails could enhance governance without increasing communication overhead significantly. These directions would strengthen the pathway toward deployable, trustworthy systems while maintaining the accessibility that enabled this remote implementation.</w:t>
      </w:r>
    </w:p>
    <w:p w14:paraId="6791BA2B" w14:textId="77777777" w:rsidR="000A5A16" w:rsidRPr="00F91479" w:rsidRDefault="000A5A16" w:rsidP="00F91479">
      <w:pPr>
        <w:spacing w:line="360" w:lineRule="auto"/>
        <w:jc w:val="both"/>
        <w:rPr>
          <w:rFonts w:ascii="Times New Roman" w:hAnsi="Times New Roman" w:cs="Times New Roman"/>
        </w:rPr>
      </w:pPr>
    </w:p>
    <w:p w14:paraId="6F49C8DE" w14:textId="5399BF04"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b/>
          <w:bCs/>
        </w:rPr>
        <w:t>5.</w:t>
      </w:r>
      <w:r w:rsidRPr="00F91479">
        <w:rPr>
          <w:rFonts w:ascii="Times New Roman" w:hAnsi="Times New Roman" w:cs="Times New Roman"/>
          <w:b/>
          <w:bCs/>
        </w:rPr>
        <w:tab/>
        <w:t>Conclusions And Recommendations</w:t>
      </w:r>
    </w:p>
    <w:p w14:paraId="7CABE761" w14:textId="2340BE76"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b/>
          <w:bCs/>
        </w:rPr>
        <w:t>Conclusions</w:t>
      </w:r>
    </w:p>
    <w:p w14:paraId="69D86275" w14:textId="0E2ACFE2"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rPr>
        <w:t xml:space="preserve">This study successfully designed and evaluated a hybrid federated learning and explainable artificial intelligence framework for medical imaging that mitigates adversarial attacks while addressing personal data stress anxiety through privacy-preserving mechanisms. The </w:t>
      </w:r>
      <w:proofErr w:type="spellStart"/>
      <w:r w:rsidRPr="00F91479">
        <w:rPr>
          <w:rFonts w:ascii="Times New Roman" w:hAnsi="Times New Roman" w:cs="Times New Roman"/>
        </w:rPr>
        <w:t>RobustFL</w:t>
      </w:r>
      <w:proofErr w:type="spellEnd"/>
      <w:r w:rsidRPr="00F91479">
        <w:rPr>
          <w:rFonts w:ascii="Times New Roman" w:hAnsi="Times New Roman" w:cs="Times New Roman"/>
        </w:rPr>
        <w:t xml:space="preserve"> framework maintained 69-70% accuracy under FGSM and PGD attacks with only minimal performance drop, achieved a balanced differential privacy budget of epsilon</w:t>
      </w:r>
      <w:r w:rsidR="008B3500">
        <w:rPr>
          <w:rFonts w:ascii="Times New Roman" w:hAnsi="Times New Roman" w:cs="Times New Roman"/>
        </w:rPr>
        <w:t xml:space="preserve"> </w:t>
      </w:r>
      <w:r w:rsidRPr="00F91479">
        <w:rPr>
          <w:rFonts w:ascii="Times New Roman" w:hAnsi="Times New Roman" w:cs="Times New Roman"/>
        </w:rPr>
        <w:t>=</w:t>
      </w:r>
      <w:r w:rsidR="008B3500">
        <w:rPr>
          <w:rFonts w:ascii="Times New Roman" w:hAnsi="Times New Roman" w:cs="Times New Roman"/>
        </w:rPr>
        <w:t xml:space="preserve"> </w:t>
      </w:r>
      <w:r w:rsidRPr="00F91479">
        <w:rPr>
          <w:rFonts w:ascii="Times New Roman" w:hAnsi="Times New Roman" w:cs="Times New Roman"/>
        </w:rPr>
        <w:t>1.0, and delivered perfect explanation consistency yielding a maximum trust score proxy. These outcomes demonstrate that integrated adversarial training, differential privacy stochastic gradient descent, and SHAP attributions can deliver robust, transparent, and privacy-aware performance even in resource-constrained</w:t>
      </w:r>
      <w:r w:rsidR="00F91479">
        <w:rPr>
          <w:rFonts w:ascii="Times New Roman" w:hAnsi="Times New Roman" w:cs="Times New Roman"/>
        </w:rPr>
        <w:t xml:space="preserve"> </w:t>
      </w:r>
      <w:r w:rsidRPr="00F91479">
        <w:rPr>
          <w:rFonts w:ascii="Times New Roman" w:hAnsi="Times New Roman" w:cs="Times New Roman"/>
        </w:rPr>
        <w:t>simulations. The approach effectively bridges technical robustness with reduced perceived data-related anxiety, offering a practical foundation for trustworthy</w:t>
      </w:r>
      <w:r w:rsidR="008B3500">
        <w:rPr>
          <w:rFonts w:ascii="Times New Roman" w:hAnsi="Times New Roman" w:cs="Times New Roman"/>
        </w:rPr>
        <w:t xml:space="preserve"> </w:t>
      </w:r>
      <w:r w:rsidRPr="00F91479">
        <w:rPr>
          <w:rFonts w:ascii="Times New Roman" w:hAnsi="Times New Roman" w:cs="Times New Roman"/>
        </w:rPr>
        <w:t>AI deployment.</w:t>
      </w:r>
    </w:p>
    <w:p w14:paraId="720E00B5" w14:textId="45CF8C7D"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b/>
          <w:bCs/>
        </w:rPr>
        <w:t>Recommendations</w:t>
      </w:r>
    </w:p>
    <w:p w14:paraId="1E3E0309" w14:textId="7FD7B8CD" w:rsidR="000A5A16" w:rsidRPr="00F91479" w:rsidRDefault="000A5A16" w:rsidP="00F91479">
      <w:pPr>
        <w:spacing w:line="360" w:lineRule="auto"/>
        <w:jc w:val="both"/>
        <w:rPr>
          <w:rFonts w:ascii="Times New Roman" w:hAnsi="Times New Roman" w:cs="Times New Roman"/>
        </w:rPr>
      </w:pPr>
      <w:r w:rsidRPr="00F91479">
        <w:rPr>
          <w:rFonts w:ascii="Times New Roman" w:hAnsi="Times New Roman" w:cs="Times New Roman"/>
        </w:rPr>
        <w:t xml:space="preserve">Future researchers should scale the framework using larger public medical imaging datasets to enhance generalizability across diverse clinical settings. Integration of advanced client </w:t>
      </w:r>
      <w:r w:rsidR="008B3500" w:rsidRPr="00F91479">
        <w:rPr>
          <w:rFonts w:ascii="Times New Roman" w:hAnsi="Times New Roman" w:cs="Times New Roman"/>
        </w:rPr>
        <w:t>personalization</w:t>
      </w:r>
      <w:r w:rsidRPr="00F91479">
        <w:rPr>
          <w:rFonts w:ascii="Times New Roman" w:hAnsi="Times New Roman" w:cs="Times New Roman"/>
        </w:rPr>
        <w:t xml:space="preserve"> techniques and blockchain-based auditing can further strengthen robustness and governance in federated environments. Real-world testing with clinician and patient feedback will help validate the trust score proxy against actual anxiety reduction. Development of lightweight </w:t>
      </w:r>
      <w:r w:rsidRPr="00F91479">
        <w:rPr>
          <w:rFonts w:ascii="Times New Roman" w:hAnsi="Times New Roman" w:cs="Times New Roman"/>
        </w:rPr>
        <w:lastRenderedPageBreak/>
        <w:t xml:space="preserve">architectures and adaptive </w:t>
      </w:r>
      <w:r w:rsidR="008B3500" w:rsidRPr="00F91479">
        <w:rPr>
          <w:rFonts w:ascii="Times New Roman" w:hAnsi="Times New Roman" w:cs="Times New Roman"/>
        </w:rPr>
        <w:t>defense</w:t>
      </w:r>
      <w:r w:rsidRPr="00F91479">
        <w:rPr>
          <w:rFonts w:ascii="Times New Roman" w:hAnsi="Times New Roman" w:cs="Times New Roman"/>
        </w:rPr>
        <w:t xml:space="preserve"> mechanisms will improve efficiency for low-resource deployments. Collaborative efforts between academia and healthcare institutions are essential to establish </w:t>
      </w:r>
      <w:r w:rsidR="008B3500" w:rsidRPr="00F91479">
        <w:rPr>
          <w:rFonts w:ascii="Times New Roman" w:hAnsi="Times New Roman" w:cs="Times New Roman"/>
        </w:rPr>
        <w:t>standardized</w:t>
      </w:r>
      <w:r w:rsidRPr="00F91479">
        <w:rPr>
          <w:rFonts w:ascii="Times New Roman" w:hAnsi="Times New Roman" w:cs="Times New Roman"/>
        </w:rPr>
        <w:t xml:space="preserve"> benchmarks that combine adversarial robustness, privacy guarantees, and explainability for broader adoption of resilient medical imaging AI systems.</w:t>
      </w:r>
    </w:p>
    <w:p w14:paraId="7CFCB76B" w14:textId="77777777" w:rsidR="000A5A16" w:rsidRDefault="000A5A16" w:rsidP="00F91479">
      <w:pPr>
        <w:spacing w:line="360" w:lineRule="auto"/>
        <w:jc w:val="both"/>
        <w:rPr>
          <w:rFonts w:ascii="Times New Roman" w:hAnsi="Times New Roman" w:cs="Times New Roman"/>
        </w:rPr>
      </w:pPr>
    </w:p>
    <w:p w14:paraId="57B4E3DF" w14:textId="77777777" w:rsidR="006D3A45" w:rsidRPr="00852977" w:rsidRDefault="006D3A45" w:rsidP="006D3A45">
      <w:pPr>
        <w:spacing w:line="360" w:lineRule="auto"/>
        <w:jc w:val="both"/>
        <w:rPr>
          <w:rFonts w:ascii="Times New Roman" w:hAnsi="Times New Roman" w:cs="Times New Roman"/>
        </w:rPr>
      </w:pPr>
      <w:r w:rsidRPr="00852977">
        <w:rPr>
          <w:rFonts w:ascii="Times New Roman" w:hAnsi="Times New Roman" w:cs="Times New Roman"/>
        </w:rPr>
        <w:t>Disclaimer (Artificial intelligence)</w:t>
      </w:r>
    </w:p>
    <w:p w14:paraId="5196B6C1" w14:textId="77777777" w:rsidR="006D3A45" w:rsidRPr="00852977" w:rsidRDefault="006D3A45" w:rsidP="006D3A45">
      <w:pPr>
        <w:spacing w:line="360" w:lineRule="auto"/>
        <w:jc w:val="both"/>
        <w:rPr>
          <w:rFonts w:ascii="Times New Roman" w:hAnsi="Times New Roman" w:cs="Times New Roman"/>
        </w:rPr>
      </w:pPr>
    </w:p>
    <w:p w14:paraId="1DEDF4AA" w14:textId="77777777" w:rsidR="006D3A45" w:rsidRPr="00852977" w:rsidRDefault="006D3A45" w:rsidP="006D3A45">
      <w:pPr>
        <w:spacing w:line="360" w:lineRule="auto"/>
        <w:jc w:val="both"/>
        <w:rPr>
          <w:rFonts w:ascii="Times New Roman" w:hAnsi="Times New Roman" w:cs="Times New Roman"/>
        </w:rPr>
      </w:pPr>
      <w:r w:rsidRPr="00852977">
        <w:rPr>
          <w:rFonts w:ascii="Times New Roman" w:hAnsi="Times New Roman" w:cs="Times New Roman"/>
        </w:rPr>
        <w:t>Author(s) hereby declare that NO generative AI technologies such as Large Language Models (ChatGPT, COPILOT, etc.) and text-to-image generators have been used during the writing or editing of this manuscript.</w:t>
      </w:r>
    </w:p>
    <w:p w14:paraId="638D0336" w14:textId="77777777" w:rsidR="008B3500" w:rsidRPr="00F91479" w:rsidRDefault="008B3500" w:rsidP="00F91479">
      <w:pPr>
        <w:spacing w:line="360" w:lineRule="auto"/>
        <w:jc w:val="both"/>
        <w:rPr>
          <w:rFonts w:ascii="Times New Roman" w:hAnsi="Times New Roman" w:cs="Times New Roman"/>
        </w:rPr>
      </w:pPr>
    </w:p>
    <w:p w14:paraId="00BA0354" w14:textId="77777777" w:rsidR="000A5A16" w:rsidRPr="00F91479" w:rsidRDefault="000A5A16" w:rsidP="00F91479">
      <w:pPr>
        <w:spacing w:line="360" w:lineRule="auto"/>
        <w:jc w:val="both"/>
        <w:rPr>
          <w:rFonts w:ascii="Times New Roman" w:hAnsi="Times New Roman" w:cs="Times New Roman"/>
        </w:rPr>
      </w:pPr>
    </w:p>
    <w:p w14:paraId="58985524" w14:textId="2F16EBEB" w:rsidR="000A5A16" w:rsidRPr="00F91479" w:rsidRDefault="000A5A16" w:rsidP="00F91479">
      <w:pPr>
        <w:spacing w:line="360" w:lineRule="auto"/>
        <w:jc w:val="both"/>
        <w:rPr>
          <w:rFonts w:ascii="Times New Roman" w:hAnsi="Times New Roman" w:cs="Times New Roman"/>
          <w:b/>
          <w:bCs/>
        </w:rPr>
      </w:pPr>
      <w:r w:rsidRPr="00F91479">
        <w:rPr>
          <w:rFonts w:ascii="Times New Roman" w:hAnsi="Times New Roman" w:cs="Times New Roman"/>
          <w:b/>
          <w:bCs/>
        </w:rPr>
        <w:t>References</w:t>
      </w:r>
    </w:p>
    <w:p w14:paraId="12B4A136" w14:textId="77777777" w:rsidR="000A5A16" w:rsidRPr="00F91479" w:rsidRDefault="000A5A16" w:rsidP="006D3A45">
      <w:pPr>
        <w:spacing w:line="360" w:lineRule="auto"/>
        <w:ind w:left="720" w:hanging="720"/>
        <w:jc w:val="both"/>
        <w:rPr>
          <w:rFonts w:ascii="Times New Roman" w:hAnsi="Times New Roman" w:cs="Times New Roman"/>
        </w:rPr>
      </w:pPr>
      <w:r w:rsidRPr="00F91479">
        <w:rPr>
          <w:rFonts w:ascii="Times New Roman" w:hAnsi="Times New Roman" w:cs="Times New Roman"/>
        </w:rPr>
        <w:t xml:space="preserve">Abbas, S. R., Abbas, Z., Zahir, A., &amp; Lee, S. W. (2024). Federated Learning in Smart Healthcare: A Comprehensive Review on Privacy, Security, and Predictive Analytics with IoT Integration. </w:t>
      </w:r>
      <w:r w:rsidRPr="00F91479">
        <w:rPr>
          <w:rFonts w:ascii="Times New Roman" w:hAnsi="Times New Roman" w:cs="Times New Roman"/>
          <w:i/>
          <w:iCs/>
        </w:rPr>
        <w:t>Healthcare</w:t>
      </w:r>
      <w:r w:rsidRPr="00F91479">
        <w:rPr>
          <w:rFonts w:ascii="Times New Roman" w:hAnsi="Times New Roman" w:cs="Times New Roman"/>
        </w:rPr>
        <w:t xml:space="preserve">, </w:t>
      </w:r>
      <w:r w:rsidRPr="00F91479">
        <w:rPr>
          <w:rFonts w:ascii="Times New Roman" w:hAnsi="Times New Roman" w:cs="Times New Roman"/>
          <w:i/>
          <w:iCs/>
        </w:rPr>
        <w:t>12</w:t>
      </w:r>
      <w:r w:rsidRPr="00F91479">
        <w:rPr>
          <w:rFonts w:ascii="Times New Roman" w:hAnsi="Times New Roman" w:cs="Times New Roman"/>
        </w:rPr>
        <w:t>(24), 2587–2587. https://doi.org/10.3390/healthcare12242587</w:t>
      </w:r>
    </w:p>
    <w:p w14:paraId="3699555B" w14:textId="77777777" w:rsidR="000A5A16" w:rsidRPr="00F91479" w:rsidRDefault="000A5A16" w:rsidP="006D3A45">
      <w:pPr>
        <w:spacing w:line="360" w:lineRule="auto"/>
        <w:ind w:left="720" w:hanging="720"/>
        <w:jc w:val="both"/>
        <w:rPr>
          <w:rFonts w:ascii="Times New Roman" w:hAnsi="Times New Roman" w:cs="Times New Roman"/>
        </w:rPr>
      </w:pPr>
      <w:r w:rsidRPr="00F91479">
        <w:rPr>
          <w:rFonts w:ascii="Times New Roman" w:hAnsi="Times New Roman" w:cs="Times New Roman"/>
        </w:rPr>
        <w:t xml:space="preserve">Adnan, M., Kalra, S., Cresswell, J. C., Taylor, G. W., &amp; Tizhoosh, H. R. (2022). Federated learning and differential privacy for medical image analysis. </w:t>
      </w:r>
      <w:r w:rsidRPr="00F91479">
        <w:rPr>
          <w:rFonts w:ascii="Times New Roman" w:hAnsi="Times New Roman" w:cs="Times New Roman"/>
          <w:i/>
          <w:iCs/>
        </w:rPr>
        <w:t>Scientific Reports</w:t>
      </w:r>
      <w:r w:rsidRPr="00F91479">
        <w:rPr>
          <w:rFonts w:ascii="Times New Roman" w:hAnsi="Times New Roman" w:cs="Times New Roman"/>
        </w:rPr>
        <w:t xml:space="preserve">, </w:t>
      </w:r>
      <w:r w:rsidRPr="00F91479">
        <w:rPr>
          <w:rFonts w:ascii="Times New Roman" w:hAnsi="Times New Roman" w:cs="Times New Roman"/>
          <w:i/>
          <w:iCs/>
        </w:rPr>
        <w:t>12</w:t>
      </w:r>
      <w:r w:rsidRPr="00F91479">
        <w:rPr>
          <w:rFonts w:ascii="Times New Roman" w:hAnsi="Times New Roman" w:cs="Times New Roman"/>
        </w:rPr>
        <w:t>(1). https://doi.org/10.1038/s41598-022-05539-7</w:t>
      </w:r>
    </w:p>
    <w:p w14:paraId="336C5B80" w14:textId="77777777" w:rsidR="000A5A16" w:rsidRPr="00F91479" w:rsidRDefault="000A5A16" w:rsidP="006D3A45">
      <w:pPr>
        <w:spacing w:line="360" w:lineRule="auto"/>
        <w:ind w:left="720" w:hanging="720"/>
        <w:jc w:val="both"/>
        <w:rPr>
          <w:rFonts w:ascii="Times New Roman" w:hAnsi="Times New Roman" w:cs="Times New Roman"/>
        </w:rPr>
      </w:pPr>
      <w:r w:rsidRPr="00F91479">
        <w:rPr>
          <w:rFonts w:ascii="Times New Roman" w:hAnsi="Times New Roman" w:cs="Times New Roman"/>
        </w:rPr>
        <w:t xml:space="preserve">Ahmed, F., Naz, N. S., Khan, S., Rehman, A. U., Ismael, W. M., &amp; Khan, M. A. (2026). Explainable artificial intelligence (XAI) in medical imaging: a systematic review of techniques, applications, and challenges. </w:t>
      </w:r>
      <w:r w:rsidRPr="00F91479">
        <w:rPr>
          <w:rFonts w:ascii="Times New Roman" w:hAnsi="Times New Roman" w:cs="Times New Roman"/>
          <w:i/>
          <w:iCs/>
        </w:rPr>
        <w:t>BMC Medical Imaging</w:t>
      </w:r>
      <w:r w:rsidRPr="00F91479">
        <w:rPr>
          <w:rFonts w:ascii="Times New Roman" w:hAnsi="Times New Roman" w:cs="Times New Roman"/>
        </w:rPr>
        <w:t xml:space="preserve">, </w:t>
      </w:r>
      <w:r w:rsidRPr="00F91479">
        <w:rPr>
          <w:rFonts w:ascii="Times New Roman" w:hAnsi="Times New Roman" w:cs="Times New Roman"/>
          <w:i/>
          <w:iCs/>
        </w:rPr>
        <w:t>26</w:t>
      </w:r>
      <w:r w:rsidRPr="00F91479">
        <w:rPr>
          <w:rFonts w:ascii="Times New Roman" w:hAnsi="Times New Roman" w:cs="Times New Roman"/>
        </w:rPr>
        <w:t>(1). https://doi.org/10.1186/s12880-025-02118-w</w:t>
      </w:r>
    </w:p>
    <w:p w14:paraId="5EFF165D" w14:textId="77777777" w:rsidR="000A5A16" w:rsidRPr="00F91479" w:rsidRDefault="000A5A16" w:rsidP="006D3A45">
      <w:pPr>
        <w:spacing w:line="360" w:lineRule="auto"/>
        <w:ind w:left="720" w:hanging="720"/>
        <w:jc w:val="both"/>
        <w:rPr>
          <w:rFonts w:ascii="Times New Roman" w:hAnsi="Times New Roman" w:cs="Times New Roman"/>
        </w:rPr>
      </w:pPr>
      <w:r w:rsidRPr="00F91479">
        <w:rPr>
          <w:rFonts w:ascii="Times New Roman" w:hAnsi="Times New Roman" w:cs="Times New Roman"/>
        </w:rPr>
        <w:t>Almaiah, M. A., Sulaiman, R. B., Islam, U., Badr, Y., &amp; El-</w:t>
      </w:r>
      <w:proofErr w:type="spellStart"/>
      <w:r w:rsidRPr="00F91479">
        <w:rPr>
          <w:rFonts w:ascii="Times New Roman" w:hAnsi="Times New Roman" w:cs="Times New Roman"/>
        </w:rPr>
        <w:t>Qirem</w:t>
      </w:r>
      <w:proofErr w:type="spellEnd"/>
      <w:r w:rsidRPr="00F91479">
        <w:rPr>
          <w:rFonts w:ascii="Times New Roman" w:hAnsi="Times New Roman" w:cs="Times New Roman"/>
        </w:rPr>
        <w:t xml:space="preserve">, F. A. (2025). Federated Learning in Healthcare: A Bibliometric Analysis of Privacy, Security, and Adversarial Threats (2021-2024). </w:t>
      </w:r>
      <w:r w:rsidRPr="00F91479">
        <w:rPr>
          <w:rFonts w:ascii="Times New Roman" w:hAnsi="Times New Roman" w:cs="Times New Roman"/>
          <w:i/>
          <w:iCs/>
        </w:rPr>
        <w:t>Shifra.</w:t>
      </w:r>
      <w:r w:rsidRPr="00F91479">
        <w:rPr>
          <w:rFonts w:ascii="Times New Roman" w:hAnsi="Times New Roman" w:cs="Times New Roman"/>
        </w:rPr>
        <w:t xml:space="preserve">, </w:t>
      </w:r>
      <w:r w:rsidRPr="00F91479">
        <w:rPr>
          <w:rFonts w:ascii="Times New Roman" w:hAnsi="Times New Roman" w:cs="Times New Roman"/>
          <w:i/>
          <w:iCs/>
        </w:rPr>
        <w:t>2025</w:t>
      </w:r>
      <w:r w:rsidRPr="00F91479">
        <w:rPr>
          <w:rFonts w:ascii="Times New Roman" w:hAnsi="Times New Roman" w:cs="Times New Roman"/>
        </w:rPr>
        <w:t>, 46–61. https://doi.org/10.70470/shifra/2025/002</w:t>
      </w:r>
    </w:p>
    <w:p w14:paraId="7B09D7F5" w14:textId="77777777" w:rsidR="000A5A16" w:rsidRPr="00F91479" w:rsidRDefault="000A5A16" w:rsidP="006D3A45">
      <w:pPr>
        <w:spacing w:line="360" w:lineRule="auto"/>
        <w:ind w:left="720" w:hanging="720"/>
        <w:jc w:val="both"/>
        <w:rPr>
          <w:rFonts w:ascii="Times New Roman" w:hAnsi="Times New Roman" w:cs="Times New Roman"/>
        </w:rPr>
      </w:pPr>
      <w:proofErr w:type="spellStart"/>
      <w:r w:rsidRPr="00F91479">
        <w:rPr>
          <w:rFonts w:ascii="Times New Roman" w:hAnsi="Times New Roman" w:cs="Times New Roman"/>
        </w:rPr>
        <w:lastRenderedPageBreak/>
        <w:t>Alruwaili</w:t>
      </w:r>
      <w:proofErr w:type="spellEnd"/>
      <w:r w:rsidRPr="00F91479">
        <w:rPr>
          <w:rFonts w:ascii="Times New Roman" w:hAnsi="Times New Roman" w:cs="Times New Roman"/>
        </w:rPr>
        <w:t xml:space="preserve">, E., &amp; </w:t>
      </w:r>
      <w:proofErr w:type="spellStart"/>
      <w:r w:rsidRPr="00F91479">
        <w:rPr>
          <w:rFonts w:ascii="Times New Roman" w:hAnsi="Times New Roman" w:cs="Times New Roman"/>
        </w:rPr>
        <w:t>Moulahi</w:t>
      </w:r>
      <w:proofErr w:type="spellEnd"/>
      <w:r w:rsidRPr="00F91479">
        <w:rPr>
          <w:rFonts w:ascii="Times New Roman" w:hAnsi="Times New Roman" w:cs="Times New Roman"/>
        </w:rPr>
        <w:t xml:space="preserve">, T. (2026). A robust and verifiable federated learning framework for preventing data poisonous threats in e-health. </w:t>
      </w:r>
      <w:r w:rsidRPr="00F91479">
        <w:rPr>
          <w:rFonts w:ascii="Times New Roman" w:hAnsi="Times New Roman" w:cs="Times New Roman"/>
          <w:i/>
          <w:iCs/>
        </w:rPr>
        <w:t>Frontiers in Public Health</w:t>
      </w:r>
      <w:r w:rsidRPr="00F91479">
        <w:rPr>
          <w:rFonts w:ascii="Times New Roman" w:hAnsi="Times New Roman" w:cs="Times New Roman"/>
        </w:rPr>
        <w:t xml:space="preserve">, </w:t>
      </w:r>
      <w:r w:rsidRPr="00F91479">
        <w:rPr>
          <w:rFonts w:ascii="Times New Roman" w:hAnsi="Times New Roman" w:cs="Times New Roman"/>
          <w:i/>
          <w:iCs/>
        </w:rPr>
        <w:t>14</w:t>
      </w:r>
      <w:r w:rsidRPr="00F91479">
        <w:rPr>
          <w:rFonts w:ascii="Times New Roman" w:hAnsi="Times New Roman" w:cs="Times New Roman"/>
        </w:rPr>
        <w:t>. https://doi.org/10.3389/fpubh.2026.1762346</w:t>
      </w:r>
    </w:p>
    <w:p w14:paraId="43AEBA9B" w14:textId="77777777" w:rsidR="000A5A16" w:rsidRPr="00F91479" w:rsidRDefault="000A5A16" w:rsidP="006D3A45">
      <w:pPr>
        <w:spacing w:line="360" w:lineRule="auto"/>
        <w:ind w:left="720" w:hanging="720"/>
        <w:jc w:val="both"/>
        <w:rPr>
          <w:rFonts w:ascii="Times New Roman" w:hAnsi="Times New Roman" w:cs="Times New Roman"/>
        </w:rPr>
      </w:pPr>
      <w:proofErr w:type="spellStart"/>
      <w:r w:rsidRPr="00F91479">
        <w:rPr>
          <w:rFonts w:ascii="Times New Roman" w:hAnsi="Times New Roman" w:cs="Times New Roman"/>
        </w:rPr>
        <w:t>Baniecki</w:t>
      </w:r>
      <w:proofErr w:type="spellEnd"/>
      <w:r w:rsidRPr="00F91479">
        <w:rPr>
          <w:rFonts w:ascii="Times New Roman" w:hAnsi="Times New Roman" w:cs="Times New Roman"/>
        </w:rPr>
        <w:t xml:space="preserve">, H., &amp; Biecek, P. (2024). Adversarial attacks and defenses in explainable artificial intelligence: A survey. </w:t>
      </w:r>
      <w:r w:rsidRPr="00F91479">
        <w:rPr>
          <w:rFonts w:ascii="Times New Roman" w:hAnsi="Times New Roman" w:cs="Times New Roman"/>
          <w:i/>
          <w:iCs/>
        </w:rPr>
        <w:t>Information Fusion</w:t>
      </w:r>
      <w:r w:rsidRPr="00F91479">
        <w:rPr>
          <w:rFonts w:ascii="Times New Roman" w:hAnsi="Times New Roman" w:cs="Times New Roman"/>
        </w:rPr>
        <w:t>, 102303. https://doi.org/10.1016/j.inffus.2024.102303</w:t>
      </w:r>
    </w:p>
    <w:p w14:paraId="213995AA" w14:textId="77777777" w:rsidR="000A5A16" w:rsidRPr="00F91479" w:rsidRDefault="000A5A16" w:rsidP="006D3A45">
      <w:pPr>
        <w:spacing w:line="360" w:lineRule="auto"/>
        <w:ind w:left="720" w:hanging="720"/>
        <w:jc w:val="both"/>
        <w:rPr>
          <w:rFonts w:ascii="Times New Roman" w:hAnsi="Times New Roman" w:cs="Times New Roman"/>
        </w:rPr>
      </w:pPr>
      <w:r w:rsidRPr="00F91479">
        <w:rPr>
          <w:rFonts w:ascii="Times New Roman" w:hAnsi="Times New Roman" w:cs="Times New Roman"/>
        </w:rPr>
        <w:t xml:space="preserve">Batista, R. W., </w:t>
      </w:r>
      <w:proofErr w:type="spellStart"/>
      <w:r w:rsidRPr="00F91479">
        <w:rPr>
          <w:rFonts w:ascii="Times New Roman" w:hAnsi="Times New Roman" w:cs="Times New Roman"/>
        </w:rPr>
        <w:t>Integlia</w:t>
      </w:r>
      <w:proofErr w:type="spellEnd"/>
      <w:r w:rsidRPr="00F91479">
        <w:rPr>
          <w:rFonts w:ascii="Times New Roman" w:hAnsi="Times New Roman" w:cs="Times New Roman"/>
        </w:rPr>
        <w:t xml:space="preserve">, R., Rodgers, J. L., Rodriguez, B. G., Batista, L. S., Silva, L. S., </w:t>
      </w:r>
      <w:proofErr w:type="spellStart"/>
      <w:r w:rsidRPr="00F91479">
        <w:rPr>
          <w:rFonts w:ascii="Times New Roman" w:hAnsi="Times New Roman" w:cs="Times New Roman"/>
        </w:rPr>
        <w:t>Chintalapudi</w:t>
      </w:r>
      <w:proofErr w:type="spellEnd"/>
      <w:r w:rsidRPr="00F91479">
        <w:rPr>
          <w:rFonts w:ascii="Times New Roman" w:hAnsi="Times New Roman" w:cs="Times New Roman"/>
        </w:rPr>
        <w:t xml:space="preserve">, J., &amp; Gerken, S. (2025). </w:t>
      </w:r>
      <w:r w:rsidRPr="00F91479">
        <w:rPr>
          <w:rFonts w:ascii="Times New Roman" w:hAnsi="Times New Roman" w:cs="Times New Roman"/>
          <w:i/>
          <w:iCs/>
        </w:rPr>
        <w:t>Federated Governance Architecture for Collaborative Healthcare AI</w:t>
      </w:r>
      <w:r w:rsidRPr="00F91479">
        <w:rPr>
          <w:rFonts w:ascii="Times New Roman" w:hAnsi="Times New Roman" w:cs="Times New Roman"/>
        </w:rPr>
        <w:t>. 306–311. https://doi.org/10.1109/airc64931.2025.11077492</w:t>
      </w:r>
    </w:p>
    <w:p w14:paraId="392F6DEE" w14:textId="77777777" w:rsidR="000A5A16" w:rsidRPr="00F91479" w:rsidRDefault="000A5A16" w:rsidP="006D3A45">
      <w:pPr>
        <w:spacing w:line="360" w:lineRule="auto"/>
        <w:ind w:left="720" w:hanging="720"/>
        <w:jc w:val="both"/>
        <w:rPr>
          <w:rFonts w:ascii="Times New Roman" w:hAnsi="Times New Roman" w:cs="Times New Roman"/>
        </w:rPr>
      </w:pPr>
      <w:proofErr w:type="spellStart"/>
      <w:r w:rsidRPr="00F91479">
        <w:rPr>
          <w:rFonts w:ascii="Times New Roman" w:hAnsi="Times New Roman" w:cs="Times New Roman"/>
        </w:rPr>
        <w:t>Brohi</w:t>
      </w:r>
      <w:proofErr w:type="spellEnd"/>
      <w:r w:rsidRPr="00F91479">
        <w:rPr>
          <w:rFonts w:ascii="Times New Roman" w:hAnsi="Times New Roman" w:cs="Times New Roman"/>
        </w:rPr>
        <w:t xml:space="preserve">, S., &amp; </w:t>
      </w:r>
      <w:proofErr w:type="spellStart"/>
      <w:r w:rsidRPr="00F91479">
        <w:rPr>
          <w:rFonts w:ascii="Times New Roman" w:hAnsi="Times New Roman" w:cs="Times New Roman"/>
        </w:rPr>
        <w:t>Mastoi</w:t>
      </w:r>
      <w:proofErr w:type="spellEnd"/>
      <w:r w:rsidRPr="00F91479">
        <w:rPr>
          <w:rFonts w:ascii="Times New Roman" w:hAnsi="Times New Roman" w:cs="Times New Roman"/>
        </w:rPr>
        <w:t xml:space="preserve">, Q. (2025). From Accuracy to Vulnerability: Quantifying the Impact of Adversarial Perturbations on Healthcare AI Models. </w:t>
      </w:r>
      <w:r w:rsidRPr="00F91479">
        <w:rPr>
          <w:rFonts w:ascii="Times New Roman" w:hAnsi="Times New Roman" w:cs="Times New Roman"/>
          <w:i/>
          <w:iCs/>
        </w:rPr>
        <w:t>Big Data and Cognitive Computing</w:t>
      </w:r>
      <w:r w:rsidRPr="00F91479">
        <w:rPr>
          <w:rFonts w:ascii="Times New Roman" w:hAnsi="Times New Roman" w:cs="Times New Roman"/>
        </w:rPr>
        <w:t xml:space="preserve">, </w:t>
      </w:r>
      <w:r w:rsidRPr="00F91479">
        <w:rPr>
          <w:rFonts w:ascii="Times New Roman" w:hAnsi="Times New Roman" w:cs="Times New Roman"/>
          <w:i/>
          <w:iCs/>
        </w:rPr>
        <w:t>9</w:t>
      </w:r>
      <w:r w:rsidRPr="00F91479">
        <w:rPr>
          <w:rFonts w:ascii="Times New Roman" w:hAnsi="Times New Roman" w:cs="Times New Roman"/>
        </w:rPr>
        <w:t>(5), 114. https://doi.org/10.3390/bdcc9050114</w:t>
      </w:r>
    </w:p>
    <w:p w14:paraId="6B990EC3" w14:textId="77777777" w:rsidR="000A5A16" w:rsidRPr="00F91479" w:rsidRDefault="000A5A16" w:rsidP="006D3A45">
      <w:pPr>
        <w:spacing w:line="360" w:lineRule="auto"/>
        <w:ind w:left="720" w:hanging="720"/>
        <w:jc w:val="both"/>
        <w:rPr>
          <w:rFonts w:ascii="Times New Roman" w:hAnsi="Times New Roman" w:cs="Times New Roman"/>
        </w:rPr>
      </w:pPr>
      <w:r w:rsidRPr="00F91479">
        <w:rPr>
          <w:rFonts w:ascii="Times New Roman" w:hAnsi="Times New Roman" w:cs="Times New Roman"/>
        </w:rPr>
        <w:t xml:space="preserve">Darzi, E., Dubost, F., </w:t>
      </w:r>
      <w:proofErr w:type="spellStart"/>
      <w:r w:rsidRPr="00F91479">
        <w:rPr>
          <w:rFonts w:ascii="Times New Roman" w:hAnsi="Times New Roman" w:cs="Times New Roman"/>
        </w:rPr>
        <w:t>Sijtsema</w:t>
      </w:r>
      <w:proofErr w:type="spellEnd"/>
      <w:r w:rsidRPr="00F91479">
        <w:rPr>
          <w:rFonts w:ascii="Times New Roman" w:hAnsi="Times New Roman" w:cs="Times New Roman"/>
        </w:rPr>
        <w:t xml:space="preserve">, N., &amp; </w:t>
      </w:r>
      <w:proofErr w:type="spellStart"/>
      <w:proofErr w:type="gramStart"/>
      <w:r w:rsidRPr="00F91479">
        <w:rPr>
          <w:rFonts w:ascii="Times New Roman" w:hAnsi="Times New Roman" w:cs="Times New Roman"/>
        </w:rPr>
        <w:t>Ooijen</w:t>
      </w:r>
      <w:proofErr w:type="spellEnd"/>
      <w:r w:rsidRPr="00F91479">
        <w:rPr>
          <w:rFonts w:ascii="Times New Roman" w:hAnsi="Times New Roman" w:cs="Times New Roman"/>
        </w:rPr>
        <w:t xml:space="preserve"> ,</w:t>
      </w:r>
      <w:proofErr w:type="gramEnd"/>
      <w:r w:rsidRPr="00F91479">
        <w:rPr>
          <w:rFonts w:ascii="Times New Roman" w:hAnsi="Times New Roman" w:cs="Times New Roman"/>
        </w:rPr>
        <w:t xml:space="preserve"> P. V. (2023). </w:t>
      </w:r>
      <w:r w:rsidRPr="00F91479">
        <w:rPr>
          <w:rFonts w:ascii="Times New Roman" w:hAnsi="Times New Roman" w:cs="Times New Roman"/>
          <w:i/>
          <w:iCs/>
        </w:rPr>
        <w:t>The Hidden Adversarial Vulnerabilities of Medical Federated Learning</w:t>
      </w:r>
      <w:r w:rsidRPr="00F91479">
        <w:rPr>
          <w:rFonts w:ascii="Times New Roman" w:hAnsi="Times New Roman" w:cs="Times New Roman"/>
        </w:rPr>
        <w:t>. https://doi.org/10.48550/arXiv.2310.13893</w:t>
      </w:r>
    </w:p>
    <w:p w14:paraId="69D83DBB" w14:textId="77777777" w:rsidR="000A5A16" w:rsidRPr="00F91479" w:rsidRDefault="000A5A16" w:rsidP="006D3A45">
      <w:pPr>
        <w:spacing w:line="360" w:lineRule="auto"/>
        <w:ind w:left="720" w:hanging="720"/>
        <w:jc w:val="both"/>
        <w:rPr>
          <w:rFonts w:ascii="Times New Roman" w:hAnsi="Times New Roman" w:cs="Times New Roman"/>
        </w:rPr>
      </w:pPr>
      <w:r w:rsidRPr="00F91479">
        <w:rPr>
          <w:rFonts w:ascii="Times New Roman" w:hAnsi="Times New Roman" w:cs="Times New Roman"/>
        </w:rPr>
        <w:t xml:space="preserve">Darzi, E., Dubost, F., </w:t>
      </w:r>
      <w:proofErr w:type="spellStart"/>
      <w:r w:rsidRPr="00F91479">
        <w:rPr>
          <w:rFonts w:ascii="Times New Roman" w:hAnsi="Times New Roman" w:cs="Times New Roman"/>
        </w:rPr>
        <w:t>Sijtsema</w:t>
      </w:r>
      <w:proofErr w:type="spellEnd"/>
      <w:r w:rsidRPr="00F91479">
        <w:rPr>
          <w:rFonts w:ascii="Times New Roman" w:hAnsi="Times New Roman" w:cs="Times New Roman"/>
        </w:rPr>
        <w:t xml:space="preserve">, Nanna. M., &amp; van </w:t>
      </w:r>
      <w:proofErr w:type="spellStart"/>
      <w:r w:rsidRPr="00F91479">
        <w:rPr>
          <w:rFonts w:ascii="Times New Roman" w:hAnsi="Times New Roman" w:cs="Times New Roman"/>
        </w:rPr>
        <w:t>Ooijen</w:t>
      </w:r>
      <w:proofErr w:type="spellEnd"/>
      <w:r w:rsidRPr="00F91479">
        <w:rPr>
          <w:rFonts w:ascii="Times New Roman" w:hAnsi="Times New Roman" w:cs="Times New Roman"/>
        </w:rPr>
        <w:t xml:space="preserve">, P. M. A. (2024). Exploring Adversarial Attacks in Federated Learning for Medical Imaging. </w:t>
      </w:r>
      <w:r w:rsidRPr="00F91479">
        <w:rPr>
          <w:rFonts w:ascii="Times New Roman" w:hAnsi="Times New Roman" w:cs="Times New Roman"/>
          <w:i/>
          <w:iCs/>
        </w:rPr>
        <w:t>IEEE Transactions on Industrial Informatics</w:t>
      </w:r>
      <w:r w:rsidRPr="00F91479">
        <w:rPr>
          <w:rFonts w:ascii="Times New Roman" w:hAnsi="Times New Roman" w:cs="Times New Roman"/>
        </w:rPr>
        <w:t xml:space="preserve">, </w:t>
      </w:r>
      <w:r w:rsidRPr="00F91479">
        <w:rPr>
          <w:rFonts w:ascii="Times New Roman" w:hAnsi="Times New Roman" w:cs="Times New Roman"/>
          <w:i/>
          <w:iCs/>
        </w:rPr>
        <w:t>20</w:t>
      </w:r>
      <w:r w:rsidRPr="00F91479">
        <w:rPr>
          <w:rFonts w:ascii="Times New Roman" w:hAnsi="Times New Roman" w:cs="Times New Roman"/>
        </w:rPr>
        <w:t>(12), 13591–13599. https://doi.org/10.1109/tii.2024.3423457</w:t>
      </w:r>
    </w:p>
    <w:p w14:paraId="27C5288B" w14:textId="77777777" w:rsidR="000A5A16" w:rsidRPr="00F91479" w:rsidRDefault="000A5A16" w:rsidP="006D3A45">
      <w:pPr>
        <w:spacing w:line="360" w:lineRule="auto"/>
        <w:ind w:left="720" w:hanging="720"/>
        <w:jc w:val="both"/>
        <w:rPr>
          <w:rFonts w:ascii="Times New Roman" w:hAnsi="Times New Roman" w:cs="Times New Roman"/>
        </w:rPr>
      </w:pPr>
      <w:r w:rsidRPr="00F91479">
        <w:rPr>
          <w:rFonts w:ascii="Times New Roman" w:hAnsi="Times New Roman" w:cs="Times New Roman"/>
        </w:rPr>
        <w:t xml:space="preserve">Darzi, E., </w:t>
      </w:r>
      <w:proofErr w:type="spellStart"/>
      <w:r w:rsidRPr="00F91479">
        <w:rPr>
          <w:rFonts w:ascii="Times New Roman" w:hAnsi="Times New Roman" w:cs="Times New Roman"/>
        </w:rPr>
        <w:t>Sijtsema</w:t>
      </w:r>
      <w:proofErr w:type="spellEnd"/>
      <w:r w:rsidRPr="00F91479">
        <w:rPr>
          <w:rFonts w:ascii="Times New Roman" w:hAnsi="Times New Roman" w:cs="Times New Roman"/>
        </w:rPr>
        <w:t xml:space="preserve">, N., &amp; </w:t>
      </w:r>
      <w:proofErr w:type="spellStart"/>
      <w:r w:rsidRPr="00F91479">
        <w:rPr>
          <w:rFonts w:ascii="Times New Roman" w:hAnsi="Times New Roman" w:cs="Times New Roman"/>
        </w:rPr>
        <w:t>Ooijen</w:t>
      </w:r>
      <w:proofErr w:type="spellEnd"/>
      <w:r w:rsidRPr="00F91479">
        <w:rPr>
          <w:rFonts w:ascii="Times New Roman" w:hAnsi="Times New Roman" w:cs="Times New Roman"/>
        </w:rPr>
        <w:t xml:space="preserve">, P. V. (2023). </w:t>
      </w:r>
      <w:r w:rsidRPr="00F91479">
        <w:rPr>
          <w:rFonts w:ascii="Times New Roman" w:hAnsi="Times New Roman" w:cs="Times New Roman"/>
          <w:i/>
          <w:iCs/>
        </w:rPr>
        <w:t>Fed-Safe: Securing Federated Learning in Healthcare Against Adversarial Attacks</w:t>
      </w:r>
      <w:r w:rsidRPr="00F91479">
        <w:rPr>
          <w:rFonts w:ascii="Times New Roman" w:hAnsi="Times New Roman" w:cs="Times New Roman"/>
        </w:rPr>
        <w:t>. https://doi.org/10.48550/arXiv.2310.08681</w:t>
      </w:r>
    </w:p>
    <w:p w14:paraId="51B12EC4" w14:textId="77777777" w:rsidR="000A5A16" w:rsidRPr="00F91479" w:rsidRDefault="000A5A16" w:rsidP="006D3A45">
      <w:pPr>
        <w:spacing w:line="360" w:lineRule="auto"/>
        <w:ind w:left="720" w:hanging="720"/>
        <w:jc w:val="both"/>
        <w:rPr>
          <w:rFonts w:ascii="Times New Roman" w:hAnsi="Times New Roman" w:cs="Times New Roman"/>
        </w:rPr>
      </w:pPr>
      <w:r w:rsidRPr="00F91479">
        <w:rPr>
          <w:rFonts w:ascii="Times New Roman" w:hAnsi="Times New Roman" w:cs="Times New Roman"/>
        </w:rPr>
        <w:t xml:space="preserve">Fazelnia, M., Khokhlov, I., &amp; </w:t>
      </w:r>
      <w:proofErr w:type="spellStart"/>
      <w:r w:rsidRPr="00F91479">
        <w:rPr>
          <w:rFonts w:ascii="Times New Roman" w:hAnsi="Times New Roman" w:cs="Times New Roman"/>
        </w:rPr>
        <w:t>Mirakhorli</w:t>
      </w:r>
      <w:proofErr w:type="spellEnd"/>
      <w:r w:rsidRPr="00F91479">
        <w:rPr>
          <w:rFonts w:ascii="Times New Roman" w:hAnsi="Times New Roman" w:cs="Times New Roman"/>
        </w:rPr>
        <w:t xml:space="preserve">, M. (2022). </w:t>
      </w:r>
      <w:r w:rsidRPr="00F91479">
        <w:rPr>
          <w:rFonts w:ascii="Times New Roman" w:hAnsi="Times New Roman" w:cs="Times New Roman"/>
          <w:i/>
          <w:iCs/>
        </w:rPr>
        <w:t xml:space="preserve">Attacks, Defenses, And Tools: A Framework </w:t>
      </w:r>
      <w:proofErr w:type="gramStart"/>
      <w:r w:rsidRPr="00F91479">
        <w:rPr>
          <w:rFonts w:ascii="Times New Roman" w:hAnsi="Times New Roman" w:cs="Times New Roman"/>
          <w:i/>
          <w:iCs/>
        </w:rPr>
        <w:t>To</w:t>
      </w:r>
      <w:proofErr w:type="gramEnd"/>
      <w:r w:rsidRPr="00F91479">
        <w:rPr>
          <w:rFonts w:ascii="Times New Roman" w:hAnsi="Times New Roman" w:cs="Times New Roman"/>
          <w:i/>
          <w:iCs/>
        </w:rPr>
        <w:t xml:space="preserve"> Facilitate Robust AI/ML Systems</w:t>
      </w:r>
      <w:r w:rsidRPr="00F91479">
        <w:rPr>
          <w:rFonts w:ascii="Times New Roman" w:hAnsi="Times New Roman" w:cs="Times New Roman"/>
        </w:rPr>
        <w:t>. https://doi.org/10.48550/arXiv.2202.09465</w:t>
      </w:r>
    </w:p>
    <w:p w14:paraId="155BFFFB" w14:textId="77777777" w:rsidR="000A5A16" w:rsidRPr="00F91479" w:rsidRDefault="000A5A16" w:rsidP="006D3A45">
      <w:pPr>
        <w:spacing w:line="360" w:lineRule="auto"/>
        <w:ind w:left="720" w:hanging="720"/>
        <w:jc w:val="both"/>
        <w:rPr>
          <w:rFonts w:ascii="Times New Roman" w:hAnsi="Times New Roman" w:cs="Times New Roman"/>
        </w:rPr>
      </w:pPr>
      <w:proofErr w:type="spellStart"/>
      <w:r w:rsidRPr="00F91479">
        <w:rPr>
          <w:rFonts w:ascii="Times New Roman" w:hAnsi="Times New Roman" w:cs="Times New Roman"/>
        </w:rPr>
        <w:t>Ghamizi</w:t>
      </w:r>
      <w:proofErr w:type="spellEnd"/>
      <w:r w:rsidRPr="00F91479">
        <w:rPr>
          <w:rFonts w:ascii="Times New Roman" w:hAnsi="Times New Roman" w:cs="Times New Roman"/>
        </w:rPr>
        <w:t xml:space="preserve">, S., Cordy, M., Papadakis, M., &amp; Le </w:t>
      </w:r>
      <w:proofErr w:type="spellStart"/>
      <w:r w:rsidRPr="00F91479">
        <w:rPr>
          <w:rFonts w:ascii="Times New Roman" w:hAnsi="Times New Roman" w:cs="Times New Roman"/>
        </w:rPr>
        <w:t>Traon</w:t>
      </w:r>
      <w:proofErr w:type="spellEnd"/>
      <w:r w:rsidRPr="00F91479">
        <w:rPr>
          <w:rFonts w:ascii="Times New Roman" w:hAnsi="Times New Roman" w:cs="Times New Roman"/>
        </w:rPr>
        <w:t xml:space="preserve">, Y. (2023). On Evaluating Adversarial Robustness of Chest X-ray Classification: Pitfalls and Best Practices. </w:t>
      </w:r>
      <w:r w:rsidRPr="00F91479">
        <w:rPr>
          <w:rFonts w:ascii="Times New Roman" w:hAnsi="Times New Roman" w:cs="Times New Roman"/>
          <w:i/>
          <w:iCs/>
        </w:rPr>
        <w:t>CEUR Workshop Proceedings</w:t>
      </w:r>
      <w:r w:rsidRPr="00F91479">
        <w:rPr>
          <w:rFonts w:ascii="Times New Roman" w:hAnsi="Times New Roman" w:cs="Times New Roman"/>
        </w:rPr>
        <w:t xml:space="preserve">, </w:t>
      </w:r>
      <w:r w:rsidRPr="00F91479">
        <w:rPr>
          <w:rFonts w:ascii="Times New Roman" w:hAnsi="Times New Roman" w:cs="Times New Roman"/>
          <w:i/>
          <w:iCs/>
        </w:rPr>
        <w:t>3381</w:t>
      </w:r>
      <w:r w:rsidRPr="00F91479">
        <w:rPr>
          <w:rFonts w:ascii="Times New Roman" w:hAnsi="Times New Roman" w:cs="Times New Roman"/>
        </w:rPr>
        <w:t>. https://researchportal.lih.lu/en/publications/on-evaluating-adversarial-robustness-of-chest-x-ray-classificatio/</w:t>
      </w:r>
    </w:p>
    <w:p w14:paraId="0577ED72" w14:textId="77777777" w:rsidR="000A5A16" w:rsidRPr="00F91479" w:rsidRDefault="000A5A16" w:rsidP="006D3A45">
      <w:pPr>
        <w:spacing w:line="360" w:lineRule="auto"/>
        <w:ind w:left="720" w:hanging="720"/>
        <w:jc w:val="both"/>
        <w:rPr>
          <w:rFonts w:ascii="Times New Roman" w:hAnsi="Times New Roman" w:cs="Times New Roman"/>
        </w:rPr>
      </w:pPr>
      <w:r w:rsidRPr="00F91479">
        <w:rPr>
          <w:rFonts w:ascii="Times New Roman" w:hAnsi="Times New Roman" w:cs="Times New Roman"/>
        </w:rPr>
        <w:t xml:space="preserve">Guan, H., Yap, P.-T., </w:t>
      </w:r>
      <w:proofErr w:type="spellStart"/>
      <w:r w:rsidRPr="00F91479">
        <w:rPr>
          <w:rFonts w:ascii="Times New Roman" w:hAnsi="Times New Roman" w:cs="Times New Roman"/>
        </w:rPr>
        <w:t>Bozoki</w:t>
      </w:r>
      <w:proofErr w:type="spellEnd"/>
      <w:r w:rsidRPr="00F91479">
        <w:rPr>
          <w:rFonts w:ascii="Times New Roman" w:hAnsi="Times New Roman" w:cs="Times New Roman"/>
        </w:rPr>
        <w:t xml:space="preserve">, A., &amp; Liu, M. (2024). Federated learning for medical image analysis: A survey. </w:t>
      </w:r>
      <w:r w:rsidRPr="00F91479">
        <w:rPr>
          <w:rFonts w:ascii="Times New Roman" w:hAnsi="Times New Roman" w:cs="Times New Roman"/>
          <w:i/>
          <w:iCs/>
        </w:rPr>
        <w:t>Pattern Recognition</w:t>
      </w:r>
      <w:r w:rsidRPr="00F91479">
        <w:rPr>
          <w:rFonts w:ascii="Times New Roman" w:hAnsi="Times New Roman" w:cs="Times New Roman"/>
        </w:rPr>
        <w:t>, 110424–110424. https://doi.org/10.1016/j.patcog.2024.110424</w:t>
      </w:r>
    </w:p>
    <w:p w14:paraId="64DCD6CC" w14:textId="77777777" w:rsidR="000A5A16" w:rsidRPr="00F91479" w:rsidRDefault="000A5A16" w:rsidP="006D3A45">
      <w:pPr>
        <w:spacing w:line="360" w:lineRule="auto"/>
        <w:ind w:left="720" w:hanging="720"/>
        <w:jc w:val="both"/>
        <w:rPr>
          <w:rFonts w:ascii="Times New Roman" w:hAnsi="Times New Roman" w:cs="Times New Roman"/>
        </w:rPr>
      </w:pPr>
      <w:r w:rsidRPr="00F91479">
        <w:rPr>
          <w:rFonts w:ascii="Times New Roman" w:hAnsi="Times New Roman" w:cs="Times New Roman"/>
        </w:rPr>
        <w:lastRenderedPageBreak/>
        <w:t xml:space="preserve">Gujar, S. S. (2024). Enhancing Adversarial Robustness in AI Systems: A Novel Defense Mechanism Using Stable Diffusion. </w:t>
      </w:r>
      <w:r w:rsidRPr="00F91479">
        <w:rPr>
          <w:rFonts w:ascii="Times New Roman" w:hAnsi="Times New Roman" w:cs="Times New Roman"/>
          <w:i/>
          <w:iCs/>
        </w:rPr>
        <w:t>2024 2nd DMIHER International Conference on Artificial Intelligence in Healthcare, Education and Industry (IDICAIEI)</w:t>
      </w:r>
      <w:r w:rsidRPr="00F91479">
        <w:rPr>
          <w:rFonts w:ascii="Times New Roman" w:hAnsi="Times New Roman" w:cs="Times New Roman"/>
        </w:rPr>
        <w:t>, 1–6. https://doi.org/10.1109/idicaiei61867.2024.10842888</w:t>
      </w:r>
    </w:p>
    <w:p w14:paraId="07294CA5" w14:textId="77777777" w:rsidR="000A5A16" w:rsidRPr="00F91479" w:rsidRDefault="000A5A16" w:rsidP="006D3A45">
      <w:pPr>
        <w:spacing w:line="360" w:lineRule="auto"/>
        <w:ind w:left="720" w:hanging="720"/>
        <w:jc w:val="both"/>
        <w:rPr>
          <w:rFonts w:ascii="Times New Roman" w:hAnsi="Times New Roman" w:cs="Times New Roman"/>
        </w:rPr>
      </w:pPr>
      <w:r w:rsidRPr="00F91479">
        <w:rPr>
          <w:rFonts w:ascii="Times New Roman" w:hAnsi="Times New Roman" w:cs="Times New Roman"/>
        </w:rPr>
        <w:t xml:space="preserve">Irvin, J., </w:t>
      </w:r>
      <w:proofErr w:type="spellStart"/>
      <w:r w:rsidRPr="00F91479">
        <w:rPr>
          <w:rFonts w:ascii="Times New Roman" w:hAnsi="Times New Roman" w:cs="Times New Roman"/>
        </w:rPr>
        <w:t>Rajpurkar</w:t>
      </w:r>
      <w:proofErr w:type="spellEnd"/>
      <w:r w:rsidRPr="00F91479">
        <w:rPr>
          <w:rFonts w:ascii="Times New Roman" w:hAnsi="Times New Roman" w:cs="Times New Roman"/>
        </w:rPr>
        <w:t xml:space="preserve">, P., Ko, M., Yu, Y., Ciurea-Ilcus, S., Chute, C., Marklund, H., </w:t>
      </w:r>
      <w:proofErr w:type="spellStart"/>
      <w:r w:rsidRPr="00F91479">
        <w:rPr>
          <w:rFonts w:ascii="Times New Roman" w:hAnsi="Times New Roman" w:cs="Times New Roman"/>
        </w:rPr>
        <w:t>Haghgoo</w:t>
      </w:r>
      <w:proofErr w:type="spellEnd"/>
      <w:r w:rsidRPr="00F91479">
        <w:rPr>
          <w:rFonts w:ascii="Times New Roman" w:hAnsi="Times New Roman" w:cs="Times New Roman"/>
        </w:rPr>
        <w:t xml:space="preserve">, B., Ball, R., </w:t>
      </w:r>
      <w:proofErr w:type="spellStart"/>
      <w:r w:rsidRPr="00F91479">
        <w:rPr>
          <w:rFonts w:ascii="Times New Roman" w:hAnsi="Times New Roman" w:cs="Times New Roman"/>
        </w:rPr>
        <w:t>Shpanskaya</w:t>
      </w:r>
      <w:proofErr w:type="spellEnd"/>
      <w:r w:rsidRPr="00F91479">
        <w:rPr>
          <w:rFonts w:ascii="Times New Roman" w:hAnsi="Times New Roman" w:cs="Times New Roman"/>
        </w:rPr>
        <w:t xml:space="preserve">, K., Seekins, J., </w:t>
      </w:r>
      <w:proofErr w:type="spellStart"/>
      <w:r w:rsidRPr="00F91479">
        <w:rPr>
          <w:rFonts w:ascii="Times New Roman" w:hAnsi="Times New Roman" w:cs="Times New Roman"/>
        </w:rPr>
        <w:t>Mong</w:t>
      </w:r>
      <w:proofErr w:type="spellEnd"/>
      <w:r w:rsidRPr="00F91479">
        <w:rPr>
          <w:rFonts w:ascii="Times New Roman" w:hAnsi="Times New Roman" w:cs="Times New Roman"/>
        </w:rPr>
        <w:t xml:space="preserve">, D. A., Halabi, S. S., Sandberg, J. K., Jones, R., Larson, D. B., Langlotz, C. P., Patel, B. N., Lungren, M. P., &amp; Ng, A. Y. (2019). </w:t>
      </w:r>
      <w:proofErr w:type="spellStart"/>
      <w:r w:rsidRPr="00F91479">
        <w:rPr>
          <w:rFonts w:ascii="Times New Roman" w:hAnsi="Times New Roman" w:cs="Times New Roman"/>
        </w:rPr>
        <w:t>CheXpert</w:t>
      </w:r>
      <w:proofErr w:type="spellEnd"/>
      <w:r w:rsidRPr="00F91479">
        <w:rPr>
          <w:rFonts w:ascii="Times New Roman" w:hAnsi="Times New Roman" w:cs="Times New Roman"/>
        </w:rPr>
        <w:t xml:space="preserve">: A Large Chest Radiograph Dataset with Uncertainty Labels and Expert Comparison. </w:t>
      </w:r>
      <w:r w:rsidRPr="00F91479">
        <w:rPr>
          <w:rFonts w:ascii="Times New Roman" w:hAnsi="Times New Roman" w:cs="Times New Roman"/>
          <w:i/>
          <w:iCs/>
        </w:rPr>
        <w:t>Proceedings of the AAAI Conference on Artificial Intelligence</w:t>
      </w:r>
      <w:r w:rsidRPr="00F91479">
        <w:rPr>
          <w:rFonts w:ascii="Times New Roman" w:hAnsi="Times New Roman" w:cs="Times New Roman"/>
        </w:rPr>
        <w:t xml:space="preserve">, </w:t>
      </w:r>
      <w:r w:rsidRPr="00F91479">
        <w:rPr>
          <w:rFonts w:ascii="Times New Roman" w:hAnsi="Times New Roman" w:cs="Times New Roman"/>
          <w:i/>
          <w:iCs/>
        </w:rPr>
        <w:t>33</w:t>
      </w:r>
      <w:r w:rsidRPr="00F91479">
        <w:rPr>
          <w:rFonts w:ascii="Times New Roman" w:hAnsi="Times New Roman" w:cs="Times New Roman"/>
        </w:rPr>
        <w:t>, 590–597. https://doi.org/10.1609/aaai.v33i01.3301590</w:t>
      </w:r>
    </w:p>
    <w:p w14:paraId="566E0512" w14:textId="77777777" w:rsidR="000A5A16" w:rsidRPr="00F91479" w:rsidRDefault="000A5A16" w:rsidP="006D3A45">
      <w:pPr>
        <w:spacing w:line="360" w:lineRule="auto"/>
        <w:ind w:left="720" w:hanging="720"/>
        <w:jc w:val="both"/>
        <w:rPr>
          <w:rFonts w:ascii="Times New Roman" w:hAnsi="Times New Roman" w:cs="Times New Roman"/>
        </w:rPr>
      </w:pPr>
      <w:r w:rsidRPr="00F91479">
        <w:rPr>
          <w:rFonts w:ascii="Times New Roman" w:hAnsi="Times New Roman" w:cs="Times New Roman"/>
        </w:rPr>
        <w:t>Javed, H., El-</w:t>
      </w:r>
      <w:proofErr w:type="spellStart"/>
      <w:r w:rsidRPr="00F91479">
        <w:rPr>
          <w:rFonts w:ascii="Times New Roman" w:hAnsi="Times New Roman" w:cs="Times New Roman"/>
        </w:rPr>
        <w:t>Sappagh</w:t>
      </w:r>
      <w:proofErr w:type="spellEnd"/>
      <w:r w:rsidRPr="00F91479">
        <w:rPr>
          <w:rFonts w:ascii="Times New Roman" w:hAnsi="Times New Roman" w:cs="Times New Roman"/>
        </w:rPr>
        <w:t xml:space="preserve">, S., &amp; </w:t>
      </w:r>
      <w:proofErr w:type="spellStart"/>
      <w:r w:rsidRPr="00F91479">
        <w:rPr>
          <w:rFonts w:ascii="Times New Roman" w:hAnsi="Times New Roman" w:cs="Times New Roman"/>
        </w:rPr>
        <w:t>Abuhmed</w:t>
      </w:r>
      <w:proofErr w:type="spellEnd"/>
      <w:r w:rsidRPr="00F91479">
        <w:rPr>
          <w:rFonts w:ascii="Times New Roman" w:hAnsi="Times New Roman" w:cs="Times New Roman"/>
        </w:rPr>
        <w:t xml:space="preserve">, T. (2024). Robustness in deep learning models for medical diagnostics: security and adversarial challenges towards robust AI applications. </w:t>
      </w:r>
      <w:r w:rsidRPr="00F91479">
        <w:rPr>
          <w:rFonts w:ascii="Times New Roman" w:hAnsi="Times New Roman" w:cs="Times New Roman"/>
          <w:i/>
          <w:iCs/>
        </w:rPr>
        <w:t>Artificial Intelligence Review</w:t>
      </w:r>
      <w:r w:rsidRPr="00F91479">
        <w:rPr>
          <w:rFonts w:ascii="Times New Roman" w:hAnsi="Times New Roman" w:cs="Times New Roman"/>
        </w:rPr>
        <w:t xml:space="preserve">, </w:t>
      </w:r>
      <w:r w:rsidRPr="00F91479">
        <w:rPr>
          <w:rFonts w:ascii="Times New Roman" w:hAnsi="Times New Roman" w:cs="Times New Roman"/>
          <w:i/>
          <w:iCs/>
        </w:rPr>
        <w:t>58</w:t>
      </w:r>
      <w:r w:rsidRPr="00F91479">
        <w:rPr>
          <w:rFonts w:ascii="Times New Roman" w:hAnsi="Times New Roman" w:cs="Times New Roman"/>
        </w:rPr>
        <w:t>(1). https://doi.org/10.1007/s10462-024-11005-9</w:t>
      </w:r>
    </w:p>
    <w:p w14:paraId="55C5670B" w14:textId="77777777" w:rsidR="000A5A16" w:rsidRPr="00F91479" w:rsidRDefault="000A5A16" w:rsidP="006D3A45">
      <w:pPr>
        <w:spacing w:line="360" w:lineRule="auto"/>
        <w:ind w:left="720" w:hanging="720"/>
        <w:jc w:val="both"/>
        <w:rPr>
          <w:rFonts w:ascii="Times New Roman" w:hAnsi="Times New Roman" w:cs="Times New Roman"/>
        </w:rPr>
      </w:pPr>
      <w:r w:rsidRPr="00F91479">
        <w:rPr>
          <w:rFonts w:ascii="Times New Roman" w:hAnsi="Times New Roman" w:cs="Times New Roman"/>
        </w:rPr>
        <w:t xml:space="preserve">Johnson, A. E. W., Pollard, T. J., Berkowitz, S. J., Greenbaum, N. R., Lungren, M. P., Deng, C., Mark, R. G., &amp; Horng, S. (2019). MIMIC-CXR, a de-identified publicly available database of chest radiographs with free-text reports. </w:t>
      </w:r>
      <w:r w:rsidRPr="00F91479">
        <w:rPr>
          <w:rFonts w:ascii="Times New Roman" w:hAnsi="Times New Roman" w:cs="Times New Roman"/>
          <w:i/>
          <w:iCs/>
        </w:rPr>
        <w:t>Scientific Data</w:t>
      </w:r>
      <w:r w:rsidRPr="00F91479">
        <w:rPr>
          <w:rFonts w:ascii="Times New Roman" w:hAnsi="Times New Roman" w:cs="Times New Roman"/>
        </w:rPr>
        <w:t xml:space="preserve">, </w:t>
      </w:r>
      <w:r w:rsidRPr="00F91479">
        <w:rPr>
          <w:rFonts w:ascii="Times New Roman" w:hAnsi="Times New Roman" w:cs="Times New Roman"/>
          <w:i/>
          <w:iCs/>
        </w:rPr>
        <w:t>6</w:t>
      </w:r>
      <w:r w:rsidRPr="00F91479">
        <w:rPr>
          <w:rFonts w:ascii="Times New Roman" w:hAnsi="Times New Roman" w:cs="Times New Roman"/>
        </w:rPr>
        <w:t>(1), 317. https://doi.org/10.1038/s41597-019-0322-0</w:t>
      </w:r>
    </w:p>
    <w:p w14:paraId="110EF33B" w14:textId="77777777" w:rsidR="000A5A16" w:rsidRPr="00F91479" w:rsidRDefault="000A5A16" w:rsidP="006D3A45">
      <w:pPr>
        <w:spacing w:line="360" w:lineRule="auto"/>
        <w:ind w:left="720" w:hanging="720"/>
        <w:jc w:val="both"/>
        <w:rPr>
          <w:rFonts w:ascii="Times New Roman" w:hAnsi="Times New Roman" w:cs="Times New Roman"/>
        </w:rPr>
      </w:pPr>
      <w:r w:rsidRPr="00F91479">
        <w:rPr>
          <w:rFonts w:ascii="Times New Roman" w:hAnsi="Times New Roman" w:cs="Times New Roman"/>
        </w:rPr>
        <w:t xml:space="preserve">Kereopa-Yorke, B. (2024). </w:t>
      </w:r>
      <w:r w:rsidRPr="00F91479">
        <w:rPr>
          <w:rFonts w:ascii="Times New Roman" w:hAnsi="Times New Roman" w:cs="Times New Roman"/>
          <w:i/>
          <w:iCs/>
        </w:rPr>
        <w:t>Quantifying Ai Vulnerabilities: A Synthesis of Complexity, Dynamical Systems, and Game Theory</w:t>
      </w:r>
      <w:r w:rsidRPr="00F91479">
        <w:rPr>
          <w:rFonts w:ascii="Times New Roman" w:hAnsi="Times New Roman" w:cs="Times New Roman"/>
        </w:rPr>
        <w:t>. https://doi.org/10.2139/ssrn.4904749</w:t>
      </w:r>
    </w:p>
    <w:p w14:paraId="0595D6EF" w14:textId="77777777" w:rsidR="000A5A16" w:rsidRPr="00F91479" w:rsidRDefault="000A5A16" w:rsidP="006D3A45">
      <w:pPr>
        <w:spacing w:line="360" w:lineRule="auto"/>
        <w:ind w:left="720" w:hanging="720"/>
        <w:jc w:val="both"/>
        <w:rPr>
          <w:rFonts w:ascii="Times New Roman" w:hAnsi="Times New Roman" w:cs="Times New Roman"/>
        </w:rPr>
      </w:pPr>
      <w:r w:rsidRPr="00F91479">
        <w:rPr>
          <w:rFonts w:ascii="Times New Roman" w:hAnsi="Times New Roman" w:cs="Times New Roman"/>
        </w:rPr>
        <w:t xml:space="preserve">Liu, Z., Zou, W., &amp; Lin, C. (2025). Exploring the Influence of Privacy Concerns, AI Literacy, and Perceived Health Stigma on AI Chatbot Use in Healthcare: An Uncertainty Reduction Approach. </w:t>
      </w:r>
      <w:r w:rsidRPr="00F91479">
        <w:rPr>
          <w:rFonts w:ascii="Times New Roman" w:hAnsi="Times New Roman" w:cs="Times New Roman"/>
          <w:i/>
          <w:iCs/>
        </w:rPr>
        <w:t>Patient Education and Counseling</w:t>
      </w:r>
      <w:r w:rsidRPr="00F91479">
        <w:rPr>
          <w:rFonts w:ascii="Times New Roman" w:hAnsi="Times New Roman" w:cs="Times New Roman"/>
        </w:rPr>
        <w:t>, 109271. https://doi.org/10.1016/j.pec.2025.109271</w:t>
      </w:r>
    </w:p>
    <w:p w14:paraId="606340A6" w14:textId="77777777" w:rsidR="000A5A16" w:rsidRPr="00F91479" w:rsidRDefault="000A5A16" w:rsidP="006D3A45">
      <w:pPr>
        <w:spacing w:line="360" w:lineRule="auto"/>
        <w:ind w:left="720" w:hanging="720"/>
        <w:jc w:val="both"/>
        <w:rPr>
          <w:rFonts w:ascii="Times New Roman" w:hAnsi="Times New Roman" w:cs="Times New Roman"/>
        </w:rPr>
      </w:pPr>
      <w:r w:rsidRPr="00F91479">
        <w:rPr>
          <w:rFonts w:ascii="Times New Roman" w:hAnsi="Times New Roman" w:cs="Times New Roman"/>
        </w:rPr>
        <w:t xml:space="preserve">Ma, X., Niu, Y., Gu, L., Wang, Y., Zhao, Y., Bailey, J., &amp; Lu, F. (2020). Understanding adversarial attacks on deep learning based medical image analysis systems. </w:t>
      </w:r>
      <w:r w:rsidRPr="00F91479">
        <w:rPr>
          <w:rFonts w:ascii="Times New Roman" w:hAnsi="Times New Roman" w:cs="Times New Roman"/>
          <w:i/>
          <w:iCs/>
        </w:rPr>
        <w:t>Pattern Recognition</w:t>
      </w:r>
      <w:r w:rsidRPr="00F91479">
        <w:rPr>
          <w:rFonts w:ascii="Times New Roman" w:hAnsi="Times New Roman" w:cs="Times New Roman"/>
        </w:rPr>
        <w:t>, 107332. https://doi.org/10.1016/j.patcog.2020.107332</w:t>
      </w:r>
    </w:p>
    <w:p w14:paraId="5AB4187D" w14:textId="77777777" w:rsidR="000A5A16" w:rsidRPr="00F91479" w:rsidRDefault="000A5A16" w:rsidP="006D3A45">
      <w:pPr>
        <w:spacing w:line="360" w:lineRule="auto"/>
        <w:ind w:left="720" w:hanging="720"/>
        <w:jc w:val="both"/>
        <w:rPr>
          <w:rFonts w:ascii="Times New Roman" w:hAnsi="Times New Roman" w:cs="Times New Roman"/>
        </w:rPr>
      </w:pPr>
      <w:proofErr w:type="spellStart"/>
      <w:r w:rsidRPr="00F91479">
        <w:rPr>
          <w:rFonts w:ascii="Times New Roman" w:hAnsi="Times New Roman" w:cs="Times New Roman"/>
        </w:rPr>
        <w:lastRenderedPageBreak/>
        <w:t>Nanekaran</w:t>
      </w:r>
      <w:proofErr w:type="spellEnd"/>
      <w:r w:rsidRPr="00F91479">
        <w:rPr>
          <w:rFonts w:ascii="Times New Roman" w:hAnsi="Times New Roman" w:cs="Times New Roman"/>
        </w:rPr>
        <w:t xml:space="preserve">, N. P., &amp; </w:t>
      </w:r>
      <w:proofErr w:type="spellStart"/>
      <w:r w:rsidRPr="00F91479">
        <w:rPr>
          <w:rFonts w:ascii="Times New Roman" w:hAnsi="Times New Roman" w:cs="Times New Roman"/>
        </w:rPr>
        <w:t>Ukwatta</w:t>
      </w:r>
      <w:proofErr w:type="spellEnd"/>
      <w:r w:rsidRPr="00F91479">
        <w:rPr>
          <w:rFonts w:ascii="Times New Roman" w:hAnsi="Times New Roman" w:cs="Times New Roman"/>
        </w:rPr>
        <w:t xml:space="preserve">, E. (2025). A novel federated learning framework for medical imaging: Resource‐efficient approach combining PCA with early stopping. </w:t>
      </w:r>
      <w:r w:rsidRPr="00F91479">
        <w:rPr>
          <w:rFonts w:ascii="Times New Roman" w:hAnsi="Times New Roman" w:cs="Times New Roman"/>
          <w:i/>
          <w:iCs/>
        </w:rPr>
        <w:t>Medical Physics</w:t>
      </w:r>
      <w:r w:rsidRPr="00F91479">
        <w:rPr>
          <w:rFonts w:ascii="Times New Roman" w:hAnsi="Times New Roman" w:cs="Times New Roman"/>
        </w:rPr>
        <w:t xml:space="preserve">, </w:t>
      </w:r>
      <w:r w:rsidRPr="00F91479">
        <w:rPr>
          <w:rFonts w:ascii="Times New Roman" w:hAnsi="Times New Roman" w:cs="Times New Roman"/>
          <w:i/>
          <w:iCs/>
        </w:rPr>
        <w:t>52</w:t>
      </w:r>
      <w:r w:rsidRPr="00F91479">
        <w:rPr>
          <w:rFonts w:ascii="Times New Roman" w:hAnsi="Times New Roman" w:cs="Times New Roman"/>
        </w:rPr>
        <w:t>(8). https://doi.org/10.1002/mp.18064</w:t>
      </w:r>
    </w:p>
    <w:p w14:paraId="4A1C5ABC" w14:textId="77777777" w:rsidR="000A5A16" w:rsidRDefault="000A5A16" w:rsidP="006D3A45">
      <w:pPr>
        <w:spacing w:line="360" w:lineRule="auto"/>
        <w:ind w:left="720" w:hanging="720"/>
        <w:jc w:val="both"/>
        <w:rPr>
          <w:rFonts w:ascii="Times New Roman" w:hAnsi="Times New Roman" w:cs="Times New Roman"/>
        </w:rPr>
      </w:pPr>
      <w:r w:rsidRPr="00F91479">
        <w:rPr>
          <w:rFonts w:ascii="Times New Roman" w:hAnsi="Times New Roman" w:cs="Times New Roman"/>
        </w:rPr>
        <w:t xml:space="preserve">Newaz, A. I., Haque, N. I., Sikder, A. K., Rahman, M. M., &amp; </w:t>
      </w:r>
      <w:proofErr w:type="spellStart"/>
      <w:r w:rsidRPr="00F91479">
        <w:rPr>
          <w:rFonts w:ascii="Times New Roman" w:hAnsi="Times New Roman" w:cs="Times New Roman"/>
        </w:rPr>
        <w:t>Uluagac</w:t>
      </w:r>
      <w:proofErr w:type="spellEnd"/>
      <w:r w:rsidRPr="00F91479">
        <w:rPr>
          <w:rFonts w:ascii="Times New Roman" w:hAnsi="Times New Roman" w:cs="Times New Roman"/>
        </w:rPr>
        <w:t xml:space="preserve">, A. S. (2020). </w:t>
      </w:r>
      <w:r w:rsidRPr="00F91479">
        <w:rPr>
          <w:rFonts w:ascii="Times New Roman" w:hAnsi="Times New Roman" w:cs="Times New Roman"/>
          <w:i/>
          <w:iCs/>
        </w:rPr>
        <w:t>Adversarial Attacks to Machine Learning-Based Smart Healthcare Systems</w:t>
      </w:r>
      <w:r w:rsidRPr="00F91479">
        <w:rPr>
          <w:rFonts w:ascii="Times New Roman" w:hAnsi="Times New Roman" w:cs="Times New Roman"/>
        </w:rPr>
        <w:t>. https://doi.org/10.1109/globecom42002.2020.9322472</w:t>
      </w:r>
    </w:p>
    <w:p w14:paraId="43D49768" w14:textId="77777777" w:rsidR="00E553F9" w:rsidRPr="00600C4C" w:rsidRDefault="00E553F9" w:rsidP="00E553F9">
      <w:pPr>
        <w:pStyle w:val="NoSpacing"/>
        <w:spacing w:line="360" w:lineRule="auto"/>
        <w:rPr>
          <w:rFonts w:ascii="Times New Roman" w:hAnsi="Times New Roman" w:cs="Times New Roman"/>
          <w:sz w:val="24"/>
          <w:szCs w:val="24"/>
        </w:rPr>
      </w:pPr>
      <w:proofErr w:type="spellStart"/>
      <w:r w:rsidRPr="00600C4C">
        <w:rPr>
          <w:rFonts w:ascii="Times New Roman" w:hAnsi="Times New Roman" w:cs="Times New Roman"/>
          <w:sz w:val="24"/>
          <w:szCs w:val="24"/>
        </w:rPr>
        <w:t>Olutimehin</w:t>
      </w:r>
      <w:proofErr w:type="spellEnd"/>
      <w:r w:rsidRPr="00600C4C">
        <w:rPr>
          <w:rFonts w:ascii="Times New Roman" w:hAnsi="Times New Roman" w:cs="Times New Roman"/>
          <w:sz w:val="24"/>
          <w:szCs w:val="24"/>
        </w:rPr>
        <w:t xml:space="preserve">, A. T., Ajayi, A. J., </w:t>
      </w:r>
      <w:proofErr w:type="spellStart"/>
      <w:r w:rsidRPr="00600C4C">
        <w:rPr>
          <w:rFonts w:ascii="Times New Roman" w:hAnsi="Times New Roman" w:cs="Times New Roman"/>
          <w:sz w:val="24"/>
          <w:szCs w:val="24"/>
        </w:rPr>
        <w:t>Metibemu</w:t>
      </w:r>
      <w:proofErr w:type="spellEnd"/>
      <w:r w:rsidRPr="00600C4C">
        <w:rPr>
          <w:rFonts w:ascii="Times New Roman" w:hAnsi="Times New Roman" w:cs="Times New Roman"/>
          <w:sz w:val="24"/>
          <w:szCs w:val="24"/>
        </w:rPr>
        <w:t xml:space="preserve">, O. C., Balogun, A. Y., Oladoyinbo, T. O., &amp; Olaniyi, </w:t>
      </w:r>
    </w:p>
    <w:p w14:paraId="4DC15542" w14:textId="538F2C5C" w:rsidR="00E553F9" w:rsidRPr="00600C4C" w:rsidRDefault="00E553F9" w:rsidP="00E553F9">
      <w:pPr>
        <w:pStyle w:val="NoSpacing"/>
        <w:spacing w:line="360" w:lineRule="auto"/>
        <w:ind w:left="720"/>
        <w:rPr>
          <w:rFonts w:ascii="Times New Roman" w:hAnsi="Times New Roman" w:cs="Times New Roman"/>
          <w:sz w:val="24"/>
          <w:szCs w:val="24"/>
        </w:rPr>
      </w:pPr>
      <w:r w:rsidRPr="00600C4C">
        <w:rPr>
          <w:rFonts w:ascii="Times New Roman" w:hAnsi="Times New Roman" w:cs="Times New Roman"/>
          <w:sz w:val="24"/>
          <w:szCs w:val="24"/>
        </w:rPr>
        <w:t xml:space="preserve">O. O. (2025). Adversarial Threats to AI-Driven Systems: Exploring the Attack Surface of Machine Learning Models and Countermeasures. Journal of Engineering Research and Reports, 27(2), 341–362. </w:t>
      </w:r>
      <w:r w:rsidRPr="00E553F9">
        <w:rPr>
          <w:rFonts w:ascii="Times New Roman" w:hAnsi="Times New Roman" w:cs="Times New Roman"/>
          <w:sz w:val="24"/>
          <w:szCs w:val="24"/>
        </w:rPr>
        <w:t>https://doi.org/10.9734/jerr/2025/v27i21413</w:t>
      </w:r>
    </w:p>
    <w:p w14:paraId="3CD1CAA5" w14:textId="77777777" w:rsidR="000A5A16" w:rsidRPr="00F91479" w:rsidRDefault="000A5A16" w:rsidP="006D3A45">
      <w:pPr>
        <w:spacing w:line="360" w:lineRule="auto"/>
        <w:ind w:left="720" w:hanging="720"/>
        <w:jc w:val="both"/>
        <w:rPr>
          <w:rFonts w:ascii="Times New Roman" w:hAnsi="Times New Roman" w:cs="Times New Roman"/>
        </w:rPr>
      </w:pPr>
      <w:proofErr w:type="spellStart"/>
      <w:r w:rsidRPr="00F91479">
        <w:rPr>
          <w:rFonts w:ascii="Times New Roman" w:hAnsi="Times New Roman" w:cs="Times New Roman"/>
        </w:rPr>
        <w:t>Onireti</w:t>
      </w:r>
      <w:proofErr w:type="spellEnd"/>
      <w:r w:rsidRPr="00F91479">
        <w:rPr>
          <w:rFonts w:ascii="Times New Roman" w:hAnsi="Times New Roman" w:cs="Times New Roman"/>
        </w:rPr>
        <w:t xml:space="preserve">, M. Y., Shukla, R. M., &amp; Das, T. (2025). Splitting smarter: Differential privacy for secure healthcare federated learning. </w:t>
      </w:r>
      <w:r w:rsidRPr="00F91479">
        <w:rPr>
          <w:rFonts w:ascii="Times New Roman" w:hAnsi="Times New Roman" w:cs="Times New Roman"/>
          <w:i/>
          <w:iCs/>
        </w:rPr>
        <w:t>Scientific Reports</w:t>
      </w:r>
      <w:r w:rsidRPr="00F91479">
        <w:rPr>
          <w:rFonts w:ascii="Times New Roman" w:hAnsi="Times New Roman" w:cs="Times New Roman"/>
        </w:rPr>
        <w:t xml:space="preserve">, </w:t>
      </w:r>
      <w:r w:rsidRPr="00F91479">
        <w:rPr>
          <w:rFonts w:ascii="Times New Roman" w:hAnsi="Times New Roman" w:cs="Times New Roman"/>
          <w:i/>
          <w:iCs/>
        </w:rPr>
        <w:t>15</w:t>
      </w:r>
      <w:r w:rsidRPr="00F91479">
        <w:rPr>
          <w:rFonts w:ascii="Times New Roman" w:hAnsi="Times New Roman" w:cs="Times New Roman"/>
        </w:rPr>
        <w:t>(1). https://doi.org/10.1038/s41598-025-27472-1</w:t>
      </w:r>
    </w:p>
    <w:p w14:paraId="5757E871" w14:textId="77777777" w:rsidR="000A5A16" w:rsidRPr="00F91479" w:rsidRDefault="000A5A16" w:rsidP="006D3A45">
      <w:pPr>
        <w:spacing w:line="360" w:lineRule="auto"/>
        <w:ind w:left="720" w:hanging="720"/>
        <w:jc w:val="both"/>
        <w:rPr>
          <w:rFonts w:ascii="Times New Roman" w:hAnsi="Times New Roman" w:cs="Times New Roman"/>
        </w:rPr>
      </w:pPr>
      <w:r w:rsidRPr="00F91479">
        <w:rPr>
          <w:rFonts w:ascii="Times New Roman" w:hAnsi="Times New Roman" w:cs="Times New Roman"/>
        </w:rPr>
        <w:t xml:space="preserve">Ravikumar, S., Tasneem, S., Sakib, N., &amp; Islam, K. A. (2024). </w:t>
      </w:r>
      <w:r w:rsidRPr="00F91479">
        <w:rPr>
          <w:rFonts w:ascii="Times New Roman" w:hAnsi="Times New Roman" w:cs="Times New Roman"/>
          <w:i/>
          <w:iCs/>
        </w:rPr>
        <w:t>Securing AI of Healthcare: A Selective Review on Identifying and Preventing Adversarial Attacks</w:t>
      </w:r>
      <w:r w:rsidRPr="00F91479">
        <w:rPr>
          <w:rFonts w:ascii="Times New Roman" w:hAnsi="Times New Roman" w:cs="Times New Roman"/>
        </w:rPr>
        <w:t>. 75–78. https://doi.org/10.1109/orss62274.2024.10697946</w:t>
      </w:r>
    </w:p>
    <w:p w14:paraId="627D2259" w14:textId="77777777" w:rsidR="000A5A16" w:rsidRPr="00F91479" w:rsidRDefault="000A5A16" w:rsidP="006D3A45">
      <w:pPr>
        <w:spacing w:line="360" w:lineRule="auto"/>
        <w:ind w:left="720" w:hanging="720"/>
        <w:jc w:val="both"/>
        <w:rPr>
          <w:rFonts w:ascii="Times New Roman" w:hAnsi="Times New Roman" w:cs="Times New Roman"/>
        </w:rPr>
      </w:pPr>
      <w:r w:rsidRPr="00F91479">
        <w:rPr>
          <w:rFonts w:ascii="Times New Roman" w:hAnsi="Times New Roman" w:cs="Times New Roman"/>
        </w:rPr>
        <w:t xml:space="preserve">Rehman, M. H. U., Hugo, W., Nachev, P., Teo, J. T., </w:t>
      </w:r>
      <w:proofErr w:type="spellStart"/>
      <w:r w:rsidRPr="00F91479">
        <w:rPr>
          <w:rFonts w:ascii="Times New Roman" w:hAnsi="Times New Roman" w:cs="Times New Roman"/>
        </w:rPr>
        <w:t>Ourselin</w:t>
      </w:r>
      <w:proofErr w:type="spellEnd"/>
      <w:r w:rsidRPr="00F91479">
        <w:rPr>
          <w:rFonts w:ascii="Times New Roman" w:hAnsi="Times New Roman" w:cs="Times New Roman"/>
        </w:rPr>
        <w:t xml:space="preserve">, S., &amp; Cardoso, M. J. (2023). Federated learning for medical imaging radiology. </w:t>
      </w:r>
      <w:r w:rsidRPr="00F91479">
        <w:rPr>
          <w:rFonts w:ascii="Times New Roman" w:hAnsi="Times New Roman" w:cs="Times New Roman"/>
          <w:i/>
          <w:iCs/>
        </w:rPr>
        <w:t>British Journal of Radiology</w:t>
      </w:r>
      <w:r w:rsidRPr="00F91479">
        <w:rPr>
          <w:rFonts w:ascii="Times New Roman" w:hAnsi="Times New Roman" w:cs="Times New Roman"/>
        </w:rPr>
        <w:t xml:space="preserve">, </w:t>
      </w:r>
      <w:r w:rsidRPr="00F91479">
        <w:rPr>
          <w:rFonts w:ascii="Times New Roman" w:hAnsi="Times New Roman" w:cs="Times New Roman"/>
          <w:i/>
          <w:iCs/>
        </w:rPr>
        <w:t>96</w:t>
      </w:r>
      <w:r w:rsidRPr="00F91479">
        <w:rPr>
          <w:rFonts w:ascii="Times New Roman" w:hAnsi="Times New Roman" w:cs="Times New Roman"/>
        </w:rPr>
        <w:t>(1150). https://doi.org/10.1259/bjr.20220890</w:t>
      </w:r>
    </w:p>
    <w:p w14:paraId="759B8E5D" w14:textId="77777777" w:rsidR="000A5A16" w:rsidRPr="00F91479" w:rsidRDefault="000A5A16" w:rsidP="006D3A45">
      <w:pPr>
        <w:spacing w:line="360" w:lineRule="auto"/>
        <w:ind w:left="720" w:hanging="720"/>
        <w:jc w:val="both"/>
        <w:rPr>
          <w:rFonts w:ascii="Times New Roman" w:hAnsi="Times New Roman" w:cs="Times New Roman"/>
        </w:rPr>
      </w:pPr>
      <w:r w:rsidRPr="00F91479">
        <w:rPr>
          <w:rFonts w:ascii="Times New Roman" w:hAnsi="Times New Roman" w:cs="Times New Roman"/>
        </w:rPr>
        <w:t xml:space="preserve">Repetto, S., </w:t>
      </w:r>
      <w:proofErr w:type="spellStart"/>
      <w:r w:rsidRPr="00F91479">
        <w:rPr>
          <w:rFonts w:ascii="Times New Roman" w:hAnsi="Times New Roman" w:cs="Times New Roman"/>
        </w:rPr>
        <w:t>Maljkovic</w:t>
      </w:r>
      <w:proofErr w:type="spellEnd"/>
      <w:r w:rsidRPr="00F91479">
        <w:rPr>
          <w:rFonts w:ascii="Times New Roman" w:hAnsi="Times New Roman" w:cs="Times New Roman"/>
        </w:rPr>
        <w:t xml:space="preserve">, I., Lotto, M., </w:t>
      </w:r>
      <w:proofErr w:type="spellStart"/>
      <w:r w:rsidRPr="00F91479">
        <w:rPr>
          <w:rFonts w:ascii="Times New Roman" w:hAnsi="Times New Roman" w:cs="Times New Roman"/>
        </w:rPr>
        <w:t>Cinà</w:t>
      </w:r>
      <w:proofErr w:type="spellEnd"/>
      <w:r w:rsidRPr="00F91479">
        <w:rPr>
          <w:rFonts w:ascii="Times New Roman" w:hAnsi="Times New Roman" w:cs="Times New Roman"/>
        </w:rPr>
        <w:t xml:space="preserve">, A. E., Vascon, S., &amp; Roli, F. (2025). Evaluating the robustness of explainable AI in medical image recognition under natural and adversarial data corruption. </w:t>
      </w:r>
      <w:r w:rsidRPr="00F91479">
        <w:rPr>
          <w:rFonts w:ascii="Times New Roman" w:hAnsi="Times New Roman" w:cs="Times New Roman"/>
          <w:i/>
          <w:iCs/>
        </w:rPr>
        <w:t>Machine Learning</w:t>
      </w:r>
      <w:r w:rsidRPr="00F91479">
        <w:rPr>
          <w:rFonts w:ascii="Times New Roman" w:hAnsi="Times New Roman" w:cs="Times New Roman"/>
        </w:rPr>
        <w:t xml:space="preserve">, </w:t>
      </w:r>
      <w:r w:rsidRPr="00F91479">
        <w:rPr>
          <w:rFonts w:ascii="Times New Roman" w:hAnsi="Times New Roman" w:cs="Times New Roman"/>
          <w:i/>
          <w:iCs/>
        </w:rPr>
        <w:t>115</w:t>
      </w:r>
      <w:r w:rsidRPr="00F91479">
        <w:rPr>
          <w:rFonts w:ascii="Times New Roman" w:hAnsi="Times New Roman" w:cs="Times New Roman"/>
        </w:rPr>
        <w:t>(1). https://doi.org/10.1007/s10994-025-06919-6</w:t>
      </w:r>
    </w:p>
    <w:p w14:paraId="6BB18469" w14:textId="77777777" w:rsidR="000A5A16" w:rsidRPr="00F91479" w:rsidRDefault="000A5A16" w:rsidP="006D3A45">
      <w:pPr>
        <w:spacing w:line="360" w:lineRule="auto"/>
        <w:ind w:left="720" w:hanging="720"/>
        <w:jc w:val="both"/>
        <w:rPr>
          <w:rFonts w:ascii="Times New Roman" w:hAnsi="Times New Roman" w:cs="Times New Roman"/>
        </w:rPr>
      </w:pPr>
      <w:r w:rsidRPr="00F91479">
        <w:rPr>
          <w:rFonts w:ascii="Times New Roman" w:hAnsi="Times New Roman" w:cs="Times New Roman"/>
        </w:rPr>
        <w:t xml:space="preserve">Richardson, J. P., Smith, C., Curtis, S., Watson, S., Zhu, X., Barry, B., &amp; Sharp, R. R. (2021). Patient Apprehensions about the Use of Artificial Intelligence in Healthcare. </w:t>
      </w:r>
      <w:proofErr w:type="spellStart"/>
      <w:r w:rsidRPr="00F91479">
        <w:rPr>
          <w:rFonts w:ascii="Times New Roman" w:hAnsi="Times New Roman" w:cs="Times New Roman"/>
          <w:i/>
          <w:iCs/>
        </w:rPr>
        <w:t>Npj</w:t>
      </w:r>
      <w:proofErr w:type="spellEnd"/>
      <w:r w:rsidRPr="00F91479">
        <w:rPr>
          <w:rFonts w:ascii="Times New Roman" w:hAnsi="Times New Roman" w:cs="Times New Roman"/>
          <w:i/>
          <w:iCs/>
        </w:rPr>
        <w:t xml:space="preserve"> Digital Medicine</w:t>
      </w:r>
      <w:r w:rsidRPr="00F91479">
        <w:rPr>
          <w:rFonts w:ascii="Times New Roman" w:hAnsi="Times New Roman" w:cs="Times New Roman"/>
        </w:rPr>
        <w:t xml:space="preserve">, </w:t>
      </w:r>
      <w:r w:rsidRPr="00F91479">
        <w:rPr>
          <w:rFonts w:ascii="Times New Roman" w:hAnsi="Times New Roman" w:cs="Times New Roman"/>
          <w:i/>
          <w:iCs/>
        </w:rPr>
        <w:t>4</w:t>
      </w:r>
      <w:r w:rsidRPr="00F91479">
        <w:rPr>
          <w:rFonts w:ascii="Times New Roman" w:hAnsi="Times New Roman" w:cs="Times New Roman"/>
        </w:rPr>
        <w:t>(1), 1–6. https://doi.org/10.1038/s41746-021-00509-1</w:t>
      </w:r>
    </w:p>
    <w:p w14:paraId="1431AF73" w14:textId="77777777" w:rsidR="000A5A16" w:rsidRPr="00F91479" w:rsidRDefault="000A5A16" w:rsidP="006D3A45">
      <w:pPr>
        <w:spacing w:line="360" w:lineRule="auto"/>
        <w:ind w:left="720" w:hanging="720"/>
        <w:jc w:val="both"/>
        <w:rPr>
          <w:rFonts w:ascii="Times New Roman" w:hAnsi="Times New Roman" w:cs="Times New Roman"/>
        </w:rPr>
      </w:pPr>
      <w:r w:rsidRPr="00F91479">
        <w:rPr>
          <w:rFonts w:ascii="Times New Roman" w:hAnsi="Times New Roman" w:cs="Times New Roman"/>
        </w:rPr>
        <w:t xml:space="preserve">Sandhu, S. S., Gorji, H. T., Tavakolian, P., Tavakolian, K., &amp; </w:t>
      </w:r>
      <w:proofErr w:type="spellStart"/>
      <w:r w:rsidRPr="00F91479">
        <w:rPr>
          <w:rFonts w:ascii="Times New Roman" w:hAnsi="Times New Roman" w:cs="Times New Roman"/>
        </w:rPr>
        <w:t>Akhbardeh</w:t>
      </w:r>
      <w:proofErr w:type="spellEnd"/>
      <w:r w:rsidRPr="00F91479">
        <w:rPr>
          <w:rFonts w:ascii="Times New Roman" w:hAnsi="Times New Roman" w:cs="Times New Roman"/>
        </w:rPr>
        <w:t xml:space="preserve">, A. (2023). Medical Imaging Applications of Federated Learning. </w:t>
      </w:r>
      <w:r w:rsidRPr="00F91479">
        <w:rPr>
          <w:rFonts w:ascii="Times New Roman" w:hAnsi="Times New Roman" w:cs="Times New Roman"/>
          <w:i/>
          <w:iCs/>
        </w:rPr>
        <w:t>Diagnostics</w:t>
      </w:r>
      <w:r w:rsidRPr="00F91479">
        <w:rPr>
          <w:rFonts w:ascii="Times New Roman" w:hAnsi="Times New Roman" w:cs="Times New Roman"/>
        </w:rPr>
        <w:t xml:space="preserve">, </w:t>
      </w:r>
      <w:r w:rsidRPr="00F91479">
        <w:rPr>
          <w:rFonts w:ascii="Times New Roman" w:hAnsi="Times New Roman" w:cs="Times New Roman"/>
          <w:i/>
          <w:iCs/>
        </w:rPr>
        <w:t>13</w:t>
      </w:r>
      <w:r w:rsidRPr="00F91479">
        <w:rPr>
          <w:rFonts w:ascii="Times New Roman" w:hAnsi="Times New Roman" w:cs="Times New Roman"/>
        </w:rPr>
        <w:t>(19), 3140–3140. https://doi.org/10.3390/diagnostics13193140</w:t>
      </w:r>
    </w:p>
    <w:p w14:paraId="512499A1" w14:textId="77777777" w:rsidR="000A5A16" w:rsidRPr="00F91479" w:rsidRDefault="000A5A16" w:rsidP="006D3A45">
      <w:pPr>
        <w:spacing w:line="360" w:lineRule="auto"/>
        <w:ind w:left="720" w:hanging="720"/>
        <w:jc w:val="both"/>
        <w:rPr>
          <w:rFonts w:ascii="Times New Roman" w:hAnsi="Times New Roman" w:cs="Times New Roman"/>
        </w:rPr>
      </w:pPr>
      <w:proofErr w:type="spellStart"/>
      <w:r w:rsidRPr="00F91479">
        <w:rPr>
          <w:rFonts w:ascii="Times New Roman" w:hAnsi="Times New Roman" w:cs="Times New Roman"/>
        </w:rPr>
        <w:lastRenderedPageBreak/>
        <w:t>Selvakkumar</w:t>
      </w:r>
      <w:proofErr w:type="spellEnd"/>
      <w:r w:rsidRPr="00F91479">
        <w:rPr>
          <w:rFonts w:ascii="Times New Roman" w:hAnsi="Times New Roman" w:cs="Times New Roman"/>
        </w:rPr>
        <w:t xml:space="preserve">, A., Pal, S., &amp; </w:t>
      </w:r>
      <w:proofErr w:type="spellStart"/>
      <w:r w:rsidRPr="00F91479">
        <w:rPr>
          <w:rFonts w:ascii="Times New Roman" w:hAnsi="Times New Roman" w:cs="Times New Roman"/>
        </w:rPr>
        <w:t>Jadidi</w:t>
      </w:r>
      <w:proofErr w:type="spellEnd"/>
      <w:r w:rsidRPr="00F91479">
        <w:rPr>
          <w:rFonts w:ascii="Times New Roman" w:hAnsi="Times New Roman" w:cs="Times New Roman"/>
        </w:rPr>
        <w:t xml:space="preserve">, Z. (2021). </w:t>
      </w:r>
      <w:r w:rsidRPr="00F91479">
        <w:rPr>
          <w:rFonts w:ascii="Times New Roman" w:hAnsi="Times New Roman" w:cs="Times New Roman"/>
          <w:i/>
          <w:iCs/>
        </w:rPr>
        <w:t>Addressing Adversarial Machine Learning Attacks in Smart Healthcare Perspectives</w:t>
      </w:r>
      <w:r w:rsidRPr="00F91479">
        <w:rPr>
          <w:rFonts w:ascii="Times New Roman" w:hAnsi="Times New Roman" w:cs="Times New Roman"/>
        </w:rPr>
        <w:t>. https://doi.org/10.48550/arXiv.2112.08862</w:t>
      </w:r>
    </w:p>
    <w:p w14:paraId="0426A0F0" w14:textId="77777777" w:rsidR="000A5A16" w:rsidRPr="00F91479" w:rsidRDefault="000A5A16" w:rsidP="006D3A45">
      <w:pPr>
        <w:spacing w:line="360" w:lineRule="auto"/>
        <w:ind w:left="720" w:hanging="720"/>
        <w:jc w:val="both"/>
        <w:rPr>
          <w:rFonts w:ascii="Times New Roman" w:hAnsi="Times New Roman" w:cs="Times New Roman"/>
        </w:rPr>
      </w:pPr>
      <w:r w:rsidRPr="00F91479">
        <w:rPr>
          <w:rFonts w:ascii="Times New Roman" w:hAnsi="Times New Roman" w:cs="Times New Roman"/>
        </w:rPr>
        <w:t xml:space="preserve">Sharif, M. I., Mehmood, M., Uddin, M. P., Uddin, M. P., Siddique, K., Akhtar, Z., &amp; Waheed, S. (2024). Federated Learning for Analysis of Medical Images: A Survey. </w:t>
      </w:r>
      <w:r w:rsidRPr="00F91479">
        <w:rPr>
          <w:rFonts w:ascii="Times New Roman" w:hAnsi="Times New Roman" w:cs="Times New Roman"/>
          <w:i/>
          <w:iCs/>
        </w:rPr>
        <w:t>Journal of Computer Science</w:t>
      </w:r>
      <w:r w:rsidRPr="00F91479">
        <w:rPr>
          <w:rFonts w:ascii="Times New Roman" w:hAnsi="Times New Roman" w:cs="Times New Roman"/>
        </w:rPr>
        <w:t xml:space="preserve">, </w:t>
      </w:r>
      <w:r w:rsidRPr="00F91479">
        <w:rPr>
          <w:rFonts w:ascii="Times New Roman" w:hAnsi="Times New Roman" w:cs="Times New Roman"/>
          <w:i/>
          <w:iCs/>
        </w:rPr>
        <w:t>20</w:t>
      </w:r>
      <w:r w:rsidRPr="00F91479">
        <w:rPr>
          <w:rFonts w:ascii="Times New Roman" w:hAnsi="Times New Roman" w:cs="Times New Roman"/>
        </w:rPr>
        <w:t>(12), 1610–1621. https://doi.org/10.3844/jcssp.2024.1610.1621</w:t>
      </w:r>
    </w:p>
    <w:p w14:paraId="58F8DCCB" w14:textId="77777777" w:rsidR="000A5A16" w:rsidRPr="00F91479" w:rsidRDefault="000A5A16" w:rsidP="006D3A45">
      <w:pPr>
        <w:spacing w:line="360" w:lineRule="auto"/>
        <w:ind w:left="720" w:hanging="720"/>
        <w:jc w:val="both"/>
        <w:rPr>
          <w:rFonts w:ascii="Times New Roman" w:hAnsi="Times New Roman" w:cs="Times New Roman"/>
        </w:rPr>
      </w:pPr>
      <w:r w:rsidRPr="00F91479">
        <w:rPr>
          <w:rFonts w:ascii="Times New Roman" w:hAnsi="Times New Roman" w:cs="Times New Roman"/>
        </w:rPr>
        <w:t xml:space="preserve">Shinde, R., Patil, S., Kotecha, K., &amp; Mishra, S. (2026). Ensuring the integrity of AI models: a blockchain-based approach for protecting medical imaging training data. </w:t>
      </w:r>
      <w:r w:rsidRPr="00F91479">
        <w:rPr>
          <w:rFonts w:ascii="Times New Roman" w:hAnsi="Times New Roman" w:cs="Times New Roman"/>
          <w:i/>
          <w:iCs/>
        </w:rPr>
        <w:t>Scientific Reports</w:t>
      </w:r>
      <w:r w:rsidRPr="00F91479">
        <w:rPr>
          <w:rFonts w:ascii="Times New Roman" w:hAnsi="Times New Roman" w:cs="Times New Roman"/>
        </w:rPr>
        <w:t>. https://doi.org/10.1038/s41598-026-44040-3</w:t>
      </w:r>
    </w:p>
    <w:p w14:paraId="5E3B4E22" w14:textId="77777777" w:rsidR="000A5A16" w:rsidRPr="00F91479" w:rsidRDefault="000A5A16" w:rsidP="006D3A45">
      <w:pPr>
        <w:spacing w:line="360" w:lineRule="auto"/>
        <w:ind w:left="720" w:hanging="720"/>
        <w:jc w:val="both"/>
        <w:rPr>
          <w:rFonts w:ascii="Times New Roman" w:hAnsi="Times New Roman" w:cs="Times New Roman"/>
        </w:rPr>
      </w:pPr>
      <w:r w:rsidRPr="00F91479">
        <w:rPr>
          <w:rFonts w:ascii="Times New Roman" w:hAnsi="Times New Roman" w:cs="Times New Roman"/>
        </w:rPr>
        <w:t xml:space="preserve">Shukla, S., Rajkumar, S., Sinha, A., Esha, M., Elango, K., &amp; Sampath, V. (2025). Federated learning with differential privacy for breast cancer diagnosis enabling secure data sharing and model integrity. </w:t>
      </w:r>
      <w:r w:rsidRPr="00F91479">
        <w:rPr>
          <w:rFonts w:ascii="Times New Roman" w:hAnsi="Times New Roman" w:cs="Times New Roman"/>
          <w:i/>
          <w:iCs/>
        </w:rPr>
        <w:t>Scientific Reports</w:t>
      </w:r>
      <w:r w:rsidRPr="00F91479">
        <w:rPr>
          <w:rFonts w:ascii="Times New Roman" w:hAnsi="Times New Roman" w:cs="Times New Roman"/>
        </w:rPr>
        <w:t xml:space="preserve">, </w:t>
      </w:r>
      <w:r w:rsidRPr="00F91479">
        <w:rPr>
          <w:rFonts w:ascii="Times New Roman" w:hAnsi="Times New Roman" w:cs="Times New Roman"/>
          <w:i/>
          <w:iCs/>
        </w:rPr>
        <w:t>15</w:t>
      </w:r>
      <w:r w:rsidRPr="00F91479">
        <w:rPr>
          <w:rFonts w:ascii="Times New Roman" w:hAnsi="Times New Roman" w:cs="Times New Roman"/>
        </w:rPr>
        <w:t>(1). https://doi.org/10.1038/s41598-025-95858-2</w:t>
      </w:r>
    </w:p>
    <w:p w14:paraId="243147E5" w14:textId="77777777" w:rsidR="000A5A16" w:rsidRPr="00F91479" w:rsidRDefault="000A5A16" w:rsidP="006D3A45">
      <w:pPr>
        <w:spacing w:line="360" w:lineRule="auto"/>
        <w:ind w:left="720" w:hanging="720"/>
        <w:jc w:val="both"/>
        <w:rPr>
          <w:rFonts w:ascii="Times New Roman" w:hAnsi="Times New Roman" w:cs="Times New Roman"/>
        </w:rPr>
      </w:pPr>
      <w:r w:rsidRPr="00F91479">
        <w:rPr>
          <w:rFonts w:ascii="Times New Roman" w:hAnsi="Times New Roman" w:cs="Times New Roman"/>
        </w:rPr>
        <w:t xml:space="preserve">Teo, Z. L., Jin, L., Li, S., Miao, D., Zhang, X., Ng, W. Y., Tan, T. F., Lee, D. M., Chua, K. J., Heng, J., Liu, Y., Goh, R. S. M., &amp; Ting, D. S. W. (2024). Federated machine learning in healthcare: A systematic review on clinical applications and technical architecture. </w:t>
      </w:r>
      <w:r w:rsidRPr="00F91479">
        <w:rPr>
          <w:rFonts w:ascii="Times New Roman" w:hAnsi="Times New Roman" w:cs="Times New Roman"/>
          <w:i/>
          <w:iCs/>
        </w:rPr>
        <w:t>Cell Reports Medicine</w:t>
      </w:r>
      <w:r w:rsidRPr="00F91479">
        <w:rPr>
          <w:rFonts w:ascii="Times New Roman" w:hAnsi="Times New Roman" w:cs="Times New Roman"/>
        </w:rPr>
        <w:t xml:space="preserve">, </w:t>
      </w:r>
      <w:r w:rsidRPr="00F91479">
        <w:rPr>
          <w:rFonts w:ascii="Times New Roman" w:hAnsi="Times New Roman" w:cs="Times New Roman"/>
          <w:i/>
          <w:iCs/>
        </w:rPr>
        <w:t>5</w:t>
      </w:r>
      <w:r w:rsidRPr="00F91479">
        <w:rPr>
          <w:rFonts w:ascii="Times New Roman" w:hAnsi="Times New Roman" w:cs="Times New Roman"/>
        </w:rPr>
        <w:t>(2), 101419. https://doi.org/10.1016/j.xcrm.2024.101419</w:t>
      </w:r>
    </w:p>
    <w:p w14:paraId="63ADF7CA" w14:textId="77777777" w:rsidR="00E553F9" w:rsidRDefault="000A5A16" w:rsidP="006D3A45">
      <w:pPr>
        <w:spacing w:line="360" w:lineRule="auto"/>
        <w:ind w:left="720" w:hanging="720"/>
        <w:jc w:val="both"/>
        <w:rPr>
          <w:rFonts w:ascii="Times New Roman" w:hAnsi="Times New Roman" w:cs="Times New Roman"/>
        </w:rPr>
      </w:pPr>
      <w:r w:rsidRPr="00F91479">
        <w:rPr>
          <w:rFonts w:ascii="Times New Roman" w:hAnsi="Times New Roman" w:cs="Times New Roman"/>
        </w:rPr>
        <w:t xml:space="preserve">Tzortzis, I. N., Gutierrez-Torre, A., </w:t>
      </w:r>
      <w:proofErr w:type="spellStart"/>
      <w:r w:rsidRPr="00F91479">
        <w:rPr>
          <w:rFonts w:ascii="Times New Roman" w:hAnsi="Times New Roman" w:cs="Times New Roman"/>
        </w:rPr>
        <w:t>Sykiotis</w:t>
      </w:r>
      <w:proofErr w:type="spellEnd"/>
      <w:r w:rsidRPr="00F91479">
        <w:rPr>
          <w:rFonts w:ascii="Times New Roman" w:hAnsi="Times New Roman" w:cs="Times New Roman"/>
        </w:rPr>
        <w:t xml:space="preserve">, S., </w:t>
      </w:r>
      <w:proofErr w:type="spellStart"/>
      <w:r w:rsidRPr="00F91479">
        <w:rPr>
          <w:rFonts w:ascii="Times New Roman" w:hAnsi="Times New Roman" w:cs="Times New Roman"/>
        </w:rPr>
        <w:t>Agulló</w:t>
      </w:r>
      <w:proofErr w:type="spellEnd"/>
      <w:r w:rsidRPr="00F91479">
        <w:rPr>
          <w:rFonts w:ascii="Times New Roman" w:hAnsi="Times New Roman" w:cs="Times New Roman"/>
        </w:rPr>
        <w:t xml:space="preserve">, F., </w:t>
      </w:r>
      <w:proofErr w:type="spellStart"/>
      <w:r w:rsidRPr="00F91479">
        <w:rPr>
          <w:rFonts w:ascii="Times New Roman" w:hAnsi="Times New Roman" w:cs="Times New Roman"/>
        </w:rPr>
        <w:t>Bakalos</w:t>
      </w:r>
      <w:proofErr w:type="spellEnd"/>
      <w:r w:rsidRPr="00F91479">
        <w:rPr>
          <w:rFonts w:ascii="Times New Roman" w:hAnsi="Times New Roman" w:cs="Times New Roman"/>
        </w:rPr>
        <w:t xml:space="preserve">, N., </w:t>
      </w:r>
      <w:proofErr w:type="spellStart"/>
      <w:r w:rsidRPr="00F91479">
        <w:rPr>
          <w:rFonts w:ascii="Times New Roman" w:hAnsi="Times New Roman" w:cs="Times New Roman"/>
        </w:rPr>
        <w:t>Doulamis</w:t>
      </w:r>
      <w:proofErr w:type="spellEnd"/>
      <w:r w:rsidRPr="00F91479">
        <w:rPr>
          <w:rFonts w:ascii="Times New Roman" w:hAnsi="Times New Roman" w:cs="Times New Roman"/>
        </w:rPr>
        <w:t xml:space="preserve">, A., </w:t>
      </w:r>
      <w:proofErr w:type="spellStart"/>
      <w:r w:rsidRPr="00F91479">
        <w:rPr>
          <w:rFonts w:ascii="Times New Roman" w:hAnsi="Times New Roman" w:cs="Times New Roman"/>
        </w:rPr>
        <w:t>Doulamis</w:t>
      </w:r>
      <w:proofErr w:type="spellEnd"/>
      <w:r w:rsidRPr="00F91479">
        <w:rPr>
          <w:rFonts w:ascii="Times New Roman" w:hAnsi="Times New Roman" w:cs="Times New Roman"/>
        </w:rPr>
        <w:t xml:space="preserve">, N., &amp; </w:t>
      </w:r>
      <w:proofErr w:type="spellStart"/>
      <w:r w:rsidRPr="00F91479">
        <w:rPr>
          <w:rFonts w:ascii="Times New Roman" w:hAnsi="Times New Roman" w:cs="Times New Roman"/>
        </w:rPr>
        <w:t>Berral</w:t>
      </w:r>
      <w:proofErr w:type="spellEnd"/>
      <w:r w:rsidRPr="00F91479">
        <w:rPr>
          <w:rFonts w:ascii="Times New Roman" w:hAnsi="Times New Roman" w:cs="Times New Roman"/>
        </w:rPr>
        <w:t xml:space="preserve">, J. Ll. (2025). Towards generalizable Federated Learning in medical imaging: A real-world case study on mammography data. </w:t>
      </w:r>
      <w:r w:rsidRPr="00F91479">
        <w:rPr>
          <w:rFonts w:ascii="Times New Roman" w:hAnsi="Times New Roman" w:cs="Times New Roman"/>
          <w:i/>
          <w:iCs/>
        </w:rPr>
        <w:t>Computational and Structural Biotechnology Journal</w:t>
      </w:r>
      <w:r w:rsidRPr="00F91479">
        <w:rPr>
          <w:rFonts w:ascii="Times New Roman" w:hAnsi="Times New Roman" w:cs="Times New Roman"/>
        </w:rPr>
        <w:t xml:space="preserve">, </w:t>
      </w:r>
      <w:r w:rsidRPr="00F91479">
        <w:rPr>
          <w:rFonts w:ascii="Times New Roman" w:hAnsi="Times New Roman" w:cs="Times New Roman"/>
          <w:i/>
          <w:iCs/>
        </w:rPr>
        <w:t>28</w:t>
      </w:r>
      <w:r w:rsidRPr="00F91479">
        <w:rPr>
          <w:rFonts w:ascii="Times New Roman" w:hAnsi="Times New Roman" w:cs="Times New Roman"/>
        </w:rPr>
        <w:t>, 106–117. https://doi.org/10.1016/j.csbj.2025.03.031</w:t>
      </w:r>
    </w:p>
    <w:p w14:paraId="30049C6D" w14:textId="77777777" w:rsidR="00E553F9" w:rsidRDefault="00E553F9" w:rsidP="00E553F9">
      <w:pPr>
        <w:pStyle w:val="NoSpacing"/>
        <w:spacing w:line="360" w:lineRule="auto"/>
        <w:rPr>
          <w:rFonts w:ascii="Times New Roman" w:hAnsi="Times New Roman" w:cs="Times New Roman"/>
          <w:sz w:val="24"/>
          <w:szCs w:val="24"/>
          <w:lang w:val="es-ES"/>
        </w:rPr>
      </w:pPr>
      <w:r w:rsidRPr="004D3195">
        <w:rPr>
          <w:rFonts w:ascii="Times New Roman" w:hAnsi="Times New Roman" w:cs="Times New Roman"/>
          <w:sz w:val="24"/>
          <w:szCs w:val="24"/>
          <w:lang w:val="es-ES"/>
        </w:rPr>
        <w:t xml:space="preserve">Udechukwu, L. M., </w:t>
      </w:r>
      <w:proofErr w:type="spellStart"/>
      <w:r w:rsidRPr="004D3195">
        <w:rPr>
          <w:rFonts w:ascii="Times New Roman" w:hAnsi="Times New Roman" w:cs="Times New Roman"/>
          <w:sz w:val="24"/>
          <w:szCs w:val="24"/>
          <w:lang w:val="es-ES"/>
        </w:rPr>
        <w:t>Oladoyinbo</w:t>
      </w:r>
      <w:proofErr w:type="spellEnd"/>
      <w:r w:rsidRPr="004D3195">
        <w:rPr>
          <w:rFonts w:ascii="Times New Roman" w:hAnsi="Times New Roman" w:cs="Times New Roman"/>
          <w:sz w:val="24"/>
          <w:szCs w:val="24"/>
          <w:lang w:val="es-ES"/>
        </w:rPr>
        <w:t xml:space="preserve">, T. O., Mayeke, N. R., </w:t>
      </w:r>
      <w:proofErr w:type="spellStart"/>
      <w:r w:rsidRPr="004D3195">
        <w:rPr>
          <w:rFonts w:ascii="Times New Roman" w:hAnsi="Times New Roman" w:cs="Times New Roman"/>
          <w:sz w:val="24"/>
          <w:szCs w:val="24"/>
          <w:lang w:val="es-ES"/>
        </w:rPr>
        <w:t>Adesokan-Imran</w:t>
      </w:r>
      <w:proofErr w:type="spellEnd"/>
      <w:r w:rsidRPr="004D3195">
        <w:rPr>
          <w:rFonts w:ascii="Times New Roman" w:hAnsi="Times New Roman" w:cs="Times New Roman"/>
          <w:sz w:val="24"/>
          <w:szCs w:val="24"/>
          <w:lang w:val="es-ES"/>
        </w:rPr>
        <w:t xml:space="preserve">, T. O., &amp; </w:t>
      </w:r>
      <w:proofErr w:type="spellStart"/>
      <w:r w:rsidRPr="004D3195">
        <w:rPr>
          <w:rFonts w:ascii="Times New Roman" w:hAnsi="Times New Roman" w:cs="Times New Roman"/>
          <w:sz w:val="24"/>
          <w:szCs w:val="24"/>
          <w:lang w:val="es-ES"/>
        </w:rPr>
        <w:t>Olasege</w:t>
      </w:r>
      <w:proofErr w:type="spellEnd"/>
      <w:r w:rsidRPr="004D3195">
        <w:rPr>
          <w:rFonts w:ascii="Times New Roman" w:hAnsi="Times New Roman" w:cs="Times New Roman"/>
          <w:sz w:val="24"/>
          <w:szCs w:val="24"/>
          <w:lang w:val="es-ES"/>
        </w:rPr>
        <w:t xml:space="preserve">, R. O. </w:t>
      </w:r>
    </w:p>
    <w:p w14:paraId="3BF1C110" w14:textId="50E54FBD" w:rsidR="00E553F9" w:rsidRPr="00D8182A" w:rsidRDefault="00E553F9" w:rsidP="00E553F9">
      <w:pPr>
        <w:pStyle w:val="NoSpacing"/>
        <w:spacing w:line="360" w:lineRule="auto"/>
        <w:ind w:left="720"/>
        <w:rPr>
          <w:rFonts w:ascii="Times New Roman" w:hAnsi="Times New Roman" w:cs="Times New Roman"/>
          <w:sz w:val="24"/>
          <w:szCs w:val="24"/>
        </w:rPr>
      </w:pPr>
      <w:r w:rsidRPr="00D8182A">
        <w:rPr>
          <w:rFonts w:ascii="Times New Roman" w:hAnsi="Times New Roman" w:cs="Times New Roman"/>
          <w:sz w:val="24"/>
          <w:szCs w:val="24"/>
        </w:rPr>
        <w:t xml:space="preserve">(2025). AI-driven adversarial defense framework with generative adversarial network for secure healthcare IoT ecosystems. Archives of Current Research International, 25(10), 148–165. </w:t>
      </w:r>
      <w:r w:rsidRPr="00E553F9">
        <w:rPr>
          <w:rFonts w:ascii="Times New Roman" w:hAnsi="Times New Roman" w:cs="Times New Roman"/>
          <w:sz w:val="24"/>
          <w:szCs w:val="24"/>
        </w:rPr>
        <w:t>https://doi.org/10.9734/acri/2025/v25i101556</w:t>
      </w:r>
    </w:p>
    <w:p w14:paraId="3B47C0C9" w14:textId="2BC29A80" w:rsidR="000A5A16" w:rsidRPr="00F91479" w:rsidRDefault="000A5A16" w:rsidP="006D3A45">
      <w:pPr>
        <w:spacing w:line="360" w:lineRule="auto"/>
        <w:ind w:left="720" w:hanging="720"/>
        <w:jc w:val="both"/>
        <w:rPr>
          <w:rFonts w:ascii="Times New Roman" w:hAnsi="Times New Roman" w:cs="Times New Roman"/>
        </w:rPr>
      </w:pPr>
      <w:r w:rsidRPr="00F91479">
        <w:rPr>
          <w:rFonts w:ascii="Times New Roman" w:hAnsi="Times New Roman" w:cs="Times New Roman"/>
        </w:rPr>
        <w:t xml:space="preserve">Van der Velden, B. H. M., Kuijf, H. J., Gilhuijs, K. G. A., &amp; </w:t>
      </w:r>
      <w:proofErr w:type="spellStart"/>
      <w:r w:rsidRPr="00F91479">
        <w:rPr>
          <w:rFonts w:ascii="Times New Roman" w:hAnsi="Times New Roman" w:cs="Times New Roman"/>
        </w:rPr>
        <w:t>Viergever</w:t>
      </w:r>
      <w:proofErr w:type="spellEnd"/>
      <w:r w:rsidRPr="00F91479">
        <w:rPr>
          <w:rFonts w:ascii="Times New Roman" w:hAnsi="Times New Roman" w:cs="Times New Roman"/>
        </w:rPr>
        <w:t xml:space="preserve">, M. A. (2022). Explainable artificial intelligence (XAI) in deep learning-based medical image analysis. </w:t>
      </w:r>
      <w:r w:rsidRPr="00F91479">
        <w:rPr>
          <w:rFonts w:ascii="Times New Roman" w:hAnsi="Times New Roman" w:cs="Times New Roman"/>
          <w:i/>
          <w:iCs/>
        </w:rPr>
        <w:t>Medical Image Analysis</w:t>
      </w:r>
      <w:r w:rsidRPr="00F91479">
        <w:rPr>
          <w:rFonts w:ascii="Times New Roman" w:hAnsi="Times New Roman" w:cs="Times New Roman"/>
        </w:rPr>
        <w:t xml:space="preserve">, </w:t>
      </w:r>
      <w:r w:rsidRPr="00F91479">
        <w:rPr>
          <w:rFonts w:ascii="Times New Roman" w:hAnsi="Times New Roman" w:cs="Times New Roman"/>
          <w:i/>
          <w:iCs/>
        </w:rPr>
        <w:t>79</w:t>
      </w:r>
      <w:r w:rsidRPr="00F91479">
        <w:rPr>
          <w:rFonts w:ascii="Times New Roman" w:hAnsi="Times New Roman" w:cs="Times New Roman"/>
        </w:rPr>
        <w:t>, 102470. https://doi.org/10.1016/j.media.2022.102470</w:t>
      </w:r>
    </w:p>
    <w:p w14:paraId="4ABBABBF" w14:textId="77777777" w:rsidR="000A5A16" w:rsidRPr="00F91479" w:rsidRDefault="000A5A16" w:rsidP="006D3A45">
      <w:pPr>
        <w:spacing w:line="360" w:lineRule="auto"/>
        <w:ind w:left="720" w:hanging="720"/>
        <w:jc w:val="both"/>
        <w:rPr>
          <w:rFonts w:ascii="Times New Roman" w:hAnsi="Times New Roman" w:cs="Times New Roman"/>
        </w:rPr>
      </w:pPr>
      <w:r w:rsidRPr="00F91479">
        <w:rPr>
          <w:rFonts w:ascii="Times New Roman" w:hAnsi="Times New Roman" w:cs="Times New Roman"/>
        </w:rPr>
        <w:lastRenderedPageBreak/>
        <w:t xml:space="preserve">Watson, M., &amp; Al Moubayed, N. (2021). </w:t>
      </w:r>
      <w:r w:rsidRPr="00F91479">
        <w:rPr>
          <w:rFonts w:ascii="Times New Roman" w:hAnsi="Times New Roman" w:cs="Times New Roman"/>
          <w:i/>
          <w:iCs/>
        </w:rPr>
        <w:t>Attack-agnostic Adversarial Detection on Medical Data Using Explainable Machine Learning</w:t>
      </w:r>
      <w:r w:rsidRPr="00F91479">
        <w:rPr>
          <w:rFonts w:ascii="Times New Roman" w:hAnsi="Times New Roman" w:cs="Times New Roman"/>
        </w:rPr>
        <w:t>. https://doi.org/10.48550/arXiv.2105.01959</w:t>
      </w:r>
    </w:p>
    <w:p w14:paraId="1CB8983A" w14:textId="77777777" w:rsidR="000A5A16" w:rsidRPr="00F91479" w:rsidRDefault="000A5A16" w:rsidP="006D3A45">
      <w:pPr>
        <w:spacing w:line="360" w:lineRule="auto"/>
        <w:ind w:left="720" w:hanging="720"/>
        <w:jc w:val="both"/>
        <w:rPr>
          <w:rFonts w:ascii="Times New Roman" w:hAnsi="Times New Roman" w:cs="Times New Roman"/>
        </w:rPr>
      </w:pPr>
      <w:r w:rsidRPr="00F91479">
        <w:rPr>
          <w:rFonts w:ascii="Times New Roman" w:hAnsi="Times New Roman" w:cs="Times New Roman"/>
        </w:rPr>
        <w:t xml:space="preserve">Williamson, S. M., &amp; </w:t>
      </w:r>
      <w:proofErr w:type="spellStart"/>
      <w:r w:rsidRPr="00F91479">
        <w:rPr>
          <w:rFonts w:ascii="Times New Roman" w:hAnsi="Times New Roman" w:cs="Times New Roman"/>
        </w:rPr>
        <w:t>Prybutok</w:t>
      </w:r>
      <w:proofErr w:type="spellEnd"/>
      <w:r w:rsidRPr="00F91479">
        <w:rPr>
          <w:rFonts w:ascii="Times New Roman" w:hAnsi="Times New Roman" w:cs="Times New Roman"/>
        </w:rPr>
        <w:t xml:space="preserve">, V. (2024). Balancing Privacy and Progress: A Review of Privacy Challenges, Systemic Oversight, and Patient Perceptions in AI-Driven Healthcare. </w:t>
      </w:r>
      <w:r w:rsidRPr="00F91479">
        <w:rPr>
          <w:rFonts w:ascii="Times New Roman" w:hAnsi="Times New Roman" w:cs="Times New Roman"/>
          <w:i/>
          <w:iCs/>
        </w:rPr>
        <w:t>Applied Sciences</w:t>
      </w:r>
      <w:r w:rsidRPr="00F91479">
        <w:rPr>
          <w:rFonts w:ascii="Times New Roman" w:hAnsi="Times New Roman" w:cs="Times New Roman"/>
        </w:rPr>
        <w:t xml:space="preserve">, </w:t>
      </w:r>
      <w:r w:rsidRPr="00F91479">
        <w:rPr>
          <w:rFonts w:ascii="Times New Roman" w:hAnsi="Times New Roman" w:cs="Times New Roman"/>
          <w:i/>
          <w:iCs/>
        </w:rPr>
        <w:t>14</w:t>
      </w:r>
      <w:r w:rsidRPr="00F91479">
        <w:rPr>
          <w:rFonts w:ascii="Times New Roman" w:hAnsi="Times New Roman" w:cs="Times New Roman"/>
        </w:rPr>
        <w:t>(2), 675. https://doi.org/10.3390/app14020675</w:t>
      </w:r>
    </w:p>
    <w:p w14:paraId="70B4BABD" w14:textId="77777777" w:rsidR="000A5A16" w:rsidRPr="00F91479" w:rsidRDefault="000A5A16" w:rsidP="006D3A45">
      <w:pPr>
        <w:spacing w:line="360" w:lineRule="auto"/>
        <w:ind w:left="720" w:hanging="720"/>
        <w:jc w:val="both"/>
        <w:rPr>
          <w:rFonts w:ascii="Times New Roman" w:hAnsi="Times New Roman" w:cs="Times New Roman"/>
        </w:rPr>
      </w:pPr>
      <w:r w:rsidRPr="00F91479">
        <w:rPr>
          <w:rFonts w:ascii="Times New Roman" w:hAnsi="Times New Roman" w:cs="Times New Roman"/>
        </w:rPr>
        <w:t xml:space="preserve">Yang, Y., Jin, Q., Huang, F., &amp; Lu, Z. (2024). Adversarial Attacks on Large Language Models in Medicine. </w:t>
      </w:r>
      <w:proofErr w:type="spellStart"/>
      <w:r w:rsidRPr="00F91479">
        <w:rPr>
          <w:rFonts w:ascii="Times New Roman" w:hAnsi="Times New Roman" w:cs="Times New Roman"/>
          <w:i/>
          <w:iCs/>
        </w:rPr>
        <w:t>ArXiv</w:t>
      </w:r>
      <w:proofErr w:type="spellEnd"/>
      <w:r w:rsidRPr="00F91479">
        <w:rPr>
          <w:rFonts w:ascii="Times New Roman" w:hAnsi="Times New Roman" w:cs="Times New Roman"/>
        </w:rPr>
        <w:t>, arXiv:2406.12259v3. https://pubmed.ncbi.nlm.nih.gov/39398204/</w:t>
      </w:r>
    </w:p>
    <w:p w14:paraId="606CE469" w14:textId="77777777" w:rsidR="000A5A16" w:rsidRPr="00F91479" w:rsidRDefault="000A5A16" w:rsidP="006D3A45">
      <w:pPr>
        <w:spacing w:line="360" w:lineRule="auto"/>
        <w:ind w:left="720" w:hanging="720"/>
        <w:jc w:val="both"/>
        <w:rPr>
          <w:rFonts w:ascii="Times New Roman" w:hAnsi="Times New Roman" w:cs="Times New Roman"/>
        </w:rPr>
      </w:pPr>
      <w:r w:rsidRPr="00F91479">
        <w:rPr>
          <w:rFonts w:ascii="Times New Roman" w:hAnsi="Times New Roman" w:cs="Times New Roman"/>
        </w:rPr>
        <w:t xml:space="preserve">Yang, Y., Wang, H., Du, K., Wang, X., Zhao, J., Han, D., Yang, Y., &amp; Zang, S. (2025). Factors associated with patient privacy concerns in AI-based health monitoring devices among nursing students: a cross-sectional study. </w:t>
      </w:r>
      <w:r w:rsidRPr="00F91479">
        <w:rPr>
          <w:rFonts w:ascii="Times New Roman" w:hAnsi="Times New Roman" w:cs="Times New Roman"/>
          <w:i/>
          <w:iCs/>
        </w:rPr>
        <w:t>BMC Nursing</w:t>
      </w:r>
      <w:r w:rsidRPr="00F91479">
        <w:rPr>
          <w:rFonts w:ascii="Times New Roman" w:hAnsi="Times New Roman" w:cs="Times New Roman"/>
        </w:rPr>
        <w:t xml:space="preserve">, </w:t>
      </w:r>
      <w:r w:rsidRPr="00F91479">
        <w:rPr>
          <w:rFonts w:ascii="Times New Roman" w:hAnsi="Times New Roman" w:cs="Times New Roman"/>
          <w:i/>
          <w:iCs/>
        </w:rPr>
        <w:t>24</w:t>
      </w:r>
      <w:r w:rsidRPr="00F91479">
        <w:rPr>
          <w:rFonts w:ascii="Times New Roman" w:hAnsi="Times New Roman" w:cs="Times New Roman"/>
        </w:rPr>
        <w:t>(1). https://doi.org/10.1186/s12912-025-03453-7</w:t>
      </w:r>
    </w:p>
    <w:p w14:paraId="4C8384CF" w14:textId="77777777" w:rsidR="000A5A16" w:rsidRPr="00F91479" w:rsidRDefault="000A5A16" w:rsidP="006D3A45">
      <w:pPr>
        <w:spacing w:line="360" w:lineRule="auto"/>
        <w:ind w:left="720" w:hanging="720"/>
        <w:jc w:val="both"/>
        <w:rPr>
          <w:rFonts w:ascii="Times New Roman" w:hAnsi="Times New Roman" w:cs="Times New Roman"/>
        </w:rPr>
      </w:pPr>
      <w:r w:rsidRPr="00F91479">
        <w:rPr>
          <w:rFonts w:ascii="Times New Roman" w:hAnsi="Times New Roman" w:cs="Times New Roman"/>
        </w:rPr>
        <w:t xml:space="preserve">Zheng, L., Cao, Y., Yoshikawa, M., Shen, Y., Rashed, E. A., Taura, K., Hanaoka, S., &amp; Zhang, T. (2025). Sensitivity-Aware Differential Privacy for Federated Medical Imaging. </w:t>
      </w:r>
      <w:r w:rsidRPr="00F91479">
        <w:rPr>
          <w:rFonts w:ascii="Times New Roman" w:hAnsi="Times New Roman" w:cs="Times New Roman"/>
          <w:i/>
          <w:iCs/>
        </w:rPr>
        <w:t>Sensors</w:t>
      </w:r>
      <w:r w:rsidRPr="00F91479">
        <w:rPr>
          <w:rFonts w:ascii="Times New Roman" w:hAnsi="Times New Roman" w:cs="Times New Roman"/>
        </w:rPr>
        <w:t xml:space="preserve">, </w:t>
      </w:r>
      <w:r w:rsidRPr="00F91479">
        <w:rPr>
          <w:rFonts w:ascii="Times New Roman" w:hAnsi="Times New Roman" w:cs="Times New Roman"/>
          <w:i/>
          <w:iCs/>
        </w:rPr>
        <w:t>25</w:t>
      </w:r>
      <w:r w:rsidRPr="00F91479">
        <w:rPr>
          <w:rFonts w:ascii="Times New Roman" w:hAnsi="Times New Roman" w:cs="Times New Roman"/>
        </w:rPr>
        <w:t>(9), 2847–2847. https://doi.org/10.3390/s25092847</w:t>
      </w:r>
    </w:p>
    <w:p w14:paraId="6C8ACBEB" w14:textId="77777777" w:rsidR="000A5A16" w:rsidRPr="00F91479" w:rsidRDefault="000A5A16" w:rsidP="00F91479">
      <w:pPr>
        <w:spacing w:line="360" w:lineRule="auto"/>
        <w:jc w:val="both"/>
        <w:rPr>
          <w:rFonts w:ascii="Times New Roman" w:hAnsi="Times New Roman" w:cs="Times New Roman"/>
        </w:rPr>
      </w:pPr>
    </w:p>
    <w:p w14:paraId="57271DF2" w14:textId="77777777" w:rsidR="000A5A16" w:rsidRPr="00F91479" w:rsidRDefault="000A5A16" w:rsidP="00F91479">
      <w:pPr>
        <w:spacing w:line="360" w:lineRule="auto"/>
        <w:jc w:val="both"/>
        <w:rPr>
          <w:rFonts w:ascii="Times New Roman" w:hAnsi="Times New Roman" w:cs="Times New Roman"/>
          <w:b/>
          <w:bCs/>
        </w:rPr>
      </w:pPr>
    </w:p>
    <w:sectPr w:rsidR="000A5A16" w:rsidRPr="00F9147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704F5" w14:textId="77777777" w:rsidR="00AD3EAD" w:rsidRDefault="00AD3EAD" w:rsidP="00551110">
      <w:pPr>
        <w:spacing w:after="0" w:line="240" w:lineRule="auto"/>
      </w:pPr>
      <w:r>
        <w:separator/>
      </w:r>
    </w:p>
  </w:endnote>
  <w:endnote w:type="continuationSeparator" w:id="0">
    <w:p w14:paraId="15CC1F7D" w14:textId="77777777" w:rsidR="00AD3EAD" w:rsidRDefault="00AD3EAD" w:rsidP="00551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C259" w14:textId="77777777" w:rsidR="00551110" w:rsidRDefault="005511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F17EF" w14:textId="77777777" w:rsidR="00551110" w:rsidRDefault="005511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BD6E4" w14:textId="77777777" w:rsidR="00551110" w:rsidRDefault="005511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225B8" w14:textId="77777777" w:rsidR="00AD3EAD" w:rsidRDefault="00AD3EAD" w:rsidP="00551110">
      <w:pPr>
        <w:spacing w:after="0" w:line="240" w:lineRule="auto"/>
      </w:pPr>
      <w:r>
        <w:separator/>
      </w:r>
    </w:p>
  </w:footnote>
  <w:footnote w:type="continuationSeparator" w:id="0">
    <w:p w14:paraId="5056A924" w14:textId="77777777" w:rsidR="00AD3EAD" w:rsidRDefault="00AD3EAD" w:rsidP="00551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E0C49" w14:textId="3017567D" w:rsidR="00551110" w:rsidRDefault="00551110">
    <w:pPr>
      <w:pStyle w:val="Header"/>
    </w:pPr>
    <w:r>
      <w:rPr>
        <w:noProof/>
      </w:rPr>
      <w:pict w14:anchorId="56AFC4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48985"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9660D" w14:textId="61F7BEAB" w:rsidR="00551110" w:rsidRDefault="00551110">
    <w:pPr>
      <w:pStyle w:val="Header"/>
    </w:pPr>
    <w:r>
      <w:rPr>
        <w:noProof/>
      </w:rPr>
      <w:pict w14:anchorId="39FAB4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48986"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2A74C" w14:textId="17F43E1C" w:rsidR="00551110" w:rsidRDefault="00551110">
    <w:pPr>
      <w:pStyle w:val="Header"/>
    </w:pPr>
    <w:r>
      <w:rPr>
        <w:noProof/>
      </w:rPr>
      <w:pict w14:anchorId="5355A6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48984"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B0673"/>
    <w:multiLevelType w:val="hybridMultilevel"/>
    <w:tmpl w:val="2A1849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A16"/>
    <w:rsid w:val="00055616"/>
    <w:rsid w:val="000A5A16"/>
    <w:rsid w:val="000F6B07"/>
    <w:rsid w:val="00103041"/>
    <w:rsid w:val="0011536E"/>
    <w:rsid w:val="00155EDE"/>
    <w:rsid w:val="001C1E86"/>
    <w:rsid w:val="00247576"/>
    <w:rsid w:val="00273EEE"/>
    <w:rsid w:val="002A23FC"/>
    <w:rsid w:val="003276D7"/>
    <w:rsid w:val="00385BB1"/>
    <w:rsid w:val="003A4C61"/>
    <w:rsid w:val="004845FD"/>
    <w:rsid w:val="004E7146"/>
    <w:rsid w:val="00551110"/>
    <w:rsid w:val="00563FC1"/>
    <w:rsid w:val="005A1358"/>
    <w:rsid w:val="005F7313"/>
    <w:rsid w:val="006D3A45"/>
    <w:rsid w:val="007B5B00"/>
    <w:rsid w:val="008B3500"/>
    <w:rsid w:val="008D0246"/>
    <w:rsid w:val="008F0B54"/>
    <w:rsid w:val="008F77D1"/>
    <w:rsid w:val="00AD3EAD"/>
    <w:rsid w:val="00B6394C"/>
    <w:rsid w:val="00C67D38"/>
    <w:rsid w:val="00CB0BA3"/>
    <w:rsid w:val="00CF0AB2"/>
    <w:rsid w:val="00D31703"/>
    <w:rsid w:val="00E553F9"/>
    <w:rsid w:val="00F53401"/>
    <w:rsid w:val="00F91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A8F4F0"/>
  <w15:chartTrackingRefBased/>
  <w15:docId w15:val="{F99A74CC-4C9E-4FD8-BA7A-B235A335E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5A16"/>
  </w:style>
  <w:style w:type="paragraph" w:styleId="Heading1">
    <w:name w:val="heading 1"/>
    <w:basedOn w:val="Normal"/>
    <w:next w:val="Normal"/>
    <w:link w:val="Heading1Char"/>
    <w:uiPriority w:val="9"/>
    <w:qFormat/>
    <w:rsid w:val="000A5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5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5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5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5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5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5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5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5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5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5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A16"/>
    <w:rPr>
      <w:rFonts w:eastAsiaTheme="majorEastAsia" w:cstheme="majorBidi"/>
      <w:color w:val="272727" w:themeColor="text1" w:themeTint="D8"/>
    </w:rPr>
  </w:style>
  <w:style w:type="paragraph" w:styleId="Title">
    <w:name w:val="Title"/>
    <w:basedOn w:val="Normal"/>
    <w:next w:val="Normal"/>
    <w:link w:val="TitleChar"/>
    <w:uiPriority w:val="10"/>
    <w:qFormat/>
    <w:rsid w:val="000A5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A16"/>
    <w:pPr>
      <w:spacing w:before="160"/>
      <w:jc w:val="center"/>
    </w:pPr>
    <w:rPr>
      <w:i/>
      <w:iCs/>
      <w:color w:val="404040" w:themeColor="text1" w:themeTint="BF"/>
    </w:rPr>
  </w:style>
  <w:style w:type="character" w:customStyle="1" w:styleId="QuoteChar">
    <w:name w:val="Quote Char"/>
    <w:basedOn w:val="DefaultParagraphFont"/>
    <w:link w:val="Quote"/>
    <w:uiPriority w:val="29"/>
    <w:rsid w:val="000A5A16"/>
    <w:rPr>
      <w:i/>
      <w:iCs/>
      <w:color w:val="404040" w:themeColor="text1" w:themeTint="BF"/>
    </w:rPr>
  </w:style>
  <w:style w:type="paragraph" w:styleId="ListParagraph">
    <w:name w:val="List Paragraph"/>
    <w:basedOn w:val="Normal"/>
    <w:uiPriority w:val="34"/>
    <w:qFormat/>
    <w:rsid w:val="000A5A16"/>
    <w:pPr>
      <w:ind w:left="720"/>
      <w:contextualSpacing/>
    </w:pPr>
  </w:style>
  <w:style w:type="character" w:styleId="IntenseEmphasis">
    <w:name w:val="Intense Emphasis"/>
    <w:basedOn w:val="DefaultParagraphFont"/>
    <w:uiPriority w:val="21"/>
    <w:qFormat/>
    <w:rsid w:val="000A5A16"/>
    <w:rPr>
      <w:i/>
      <w:iCs/>
      <w:color w:val="0F4761" w:themeColor="accent1" w:themeShade="BF"/>
    </w:rPr>
  </w:style>
  <w:style w:type="paragraph" w:styleId="IntenseQuote">
    <w:name w:val="Intense Quote"/>
    <w:basedOn w:val="Normal"/>
    <w:next w:val="Normal"/>
    <w:link w:val="IntenseQuoteChar"/>
    <w:uiPriority w:val="30"/>
    <w:qFormat/>
    <w:rsid w:val="000A5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5A16"/>
    <w:rPr>
      <w:i/>
      <w:iCs/>
      <w:color w:val="0F4761" w:themeColor="accent1" w:themeShade="BF"/>
    </w:rPr>
  </w:style>
  <w:style w:type="character" w:styleId="IntenseReference">
    <w:name w:val="Intense Reference"/>
    <w:basedOn w:val="DefaultParagraphFont"/>
    <w:uiPriority w:val="32"/>
    <w:qFormat/>
    <w:rsid w:val="000A5A16"/>
    <w:rPr>
      <w:b/>
      <w:bCs/>
      <w:smallCaps/>
      <w:color w:val="0F4761" w:themeColor="accent1" w:themeShade="BF"/>
      <w:spacing w:val="5"/>
    </w:rPr>
  </w:style>
  <w:style w:type="paragraph" w:styleId="NoSpacing">
    <w:name w:val="No Spacing"/>
    <w:uiPriority w:val="1"/>
    <w:qFormat/>
    <w:rsid w:val="003A4C61"/>
    <w:pPr>
      <w:spacing w:after="0" w:line="240" w:lineRule="auto"/>
    </w:pPr>
    <w:rPr>
      <w:kern w:val="0"/>
      <w:sz w:val="22"/>
      <w:szCs w:val="22"/>
      <w14:ligatures w14:val="none"/>
    </w:rPr>
  </w:style>
  <w:style w:type="character" w:styleId="Hyperlink">
    <w:name w:val="Hyperlink"/>
    <w:basedOn w:val="DefaultParagraphFont"/>
    <w:uiPriority w:val="99"/>
    <w:unhideWhenUsed/>
    <w:rsid w:val="00E553F9"/>
    <w:rPr>
      <w:color w:val="467886" w:themeColor="hyperlink"/>
      <w:u w:val="single"/>
    </w:rPr>
  </w:style>
  <w:style w:type="character" w:styleId="UnresolvedMention">
    <w:name w:val="Unresolved Mention"/>
    <w:basedOn w:val="DefaultParagraphFont"/>
    <w:uiPriority w:val="99"/>
    <w:semiHidden/>
    <w:unhideWhenUsed/>
    <w:rsid w:val="00E553F9"/>
    <w:rPr>
      <w:color w:val="605E5C"/>
      <w:shd w:val="clear" w:color="auto" w:fill="E1DFDD"/>
    </w:rPr>
  </w:style>
  <w:style w:type="paragraph" w:styleId="Header">
    <w:name w:val="header"/>
    <w:basedOn w:val="Normal"/>
    <w:link w:val="HeaderChar"/>
    <w:uiPriority w:val="99"/>
    <w:unhideWhenUsed/>
    <w:rsid w:val="005511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110"/>
  </w:style>
  <w:style w:type="paragraph" w:styleId="Footer">
    <w:name w:val="footer"/>
    <w:basedOn w:val="Normal"/>
    <w:link w:val="FooterChar"/>
    <w:uiPriority w:val="99"/>
    <w:unhideWhenUsed/>
    <w:rsid w:val="005511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350</TotalTime>
  <Pages>26</Pages>
  <Words>7270</Words>
  <Characters>41442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Otolorin</dc:creator>
  <cp:keywords/>
  <dc:description/>
  <cp:lastModifiedBy>SDI 1084</cp:lastModifiedBy>
  <cp:revision>21</cp:revision>
  <dcterms:created xsi:type="dcterms:W3CDTF">2026-03-28T16:57:00Z</dcterms:created>
  <dcterms:modified xsi:type="dcterms:W3CDTF">2026-04-01T13:39:00Z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90a3ffdd-5f8c-47c9-9aee-5d493038e5b0</vt:lpwstr>
  </property>
</Properties>
</file>