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8F244" w14:textId="77777777" w:rsidR="001F7B08" w:rsidRDefault="001F7B08">
      <w:pPr>
        <w:pStyle w:val="Title"/>
        <w:spacing w:after="0"/>
        <w:jc w:val="both"/>
        <w:rPr>
          <w:rFonts w:ascii="Arial" w:eastAsia="Arial" w:hAnsi="Arial" w:cs="Arial"/>
        </w:rPr>
      </w:pPr>
    </w:p>
    <w:p w14:paraId="4662F01F" w14:textId="77777777" w:rsidR="001F7B08" w:rsidRDefault="00921D5B">
      <w:pPr>
        <w:pBdr>
          <w:top w:val="nil"/>
          <w:left w:val="nil"/>
          <w:bottom w:val="nil"/>
          <w:right w:val="nil"/>
          <w:between w:val="nil"/>
        </w:pBdr>
        <w:jc w:val="right"/>
        <w:rPr>
          <w:rFonts w:ascii="Arial" w:eastAsia="Arial" w:hAnsi="Arial" w:cs="Arial"/>
          <w:b/>
          <w:bCs/>
          <w:color w:val="000000"/>
          <w:sz w:val="36"/>
          <w:szCs w:val="36"/>
        </w:rPr>
      </w:pPr>
      <w:bookmarkStart w:id="0" w:name="_heading=h.gla2rp2g5eqo" w:colFirst="0" w:colLast="0"/>
      <w:bookmarkEnd w:id="0"/>
      <w:r>
        <w:rPr>
          <w:rFonts w:ascii="Arial" w:eastAsia="Arial" w:hAnsi="Arial" w:cs="Arial"/>
          <w:b/>
          <w:bCs/>
          <w:color w:val="000000"/>
          <w:sz w:val="36"/>
          <w:szCs w:val="36"/>
        </w:rPr>
        <w:t xml:space="preserve">Optimizing Merkle Tree Operations in a High-Performance Blockchain VM: Architectural Approaches and Performance Analysis </w:t>
      </w:r>
    </w:p>
    <w:p w14:paraId="5CA2B1CC" w14:textId="77777777" w:rsidR="001F7B08" w:rsidRDefault="001F7B08">
      <w:pPr>
        <w:pBdr>
          <w:top w:val="nil"/>
          <w:left w:val="nil"/>
          <w:bottom w:val="nil"/>
          <w:right w:val="nil"/>
          <w:between w:val="nil"/>
        </w:pBdr>
        <w:jc w:val="both"/>
        <w:rPr>
          <w:rFonts w:ascii="Arial" w:eastAsia="Arial" w:hAnsi="Arial" w:cs="Arial"/>
          <w:b/>
          <w:bCs/>
          <w:color w:val="000000"/>
          <w:sz w:val="36"/>
          <w:szCs w:val="36"/>
        </w:rPr>
      </w:pPr>
    </w:p>
    <w:p w14:paraId="04770236" w14:textId="77777777" w:rsidR="001F7B08" w:rsidRDefault="001F7B08">
      <w:pPr>
        <w:pBdr>
          <w:top w:val="nil"/>
          <w:left w:val="nil"/>
          <w:bottom w:val="nil"/>
          <w:right w:val="nil"/>
          <w:between w:val="nil"/>
        </w:pBdr>
        <w:jc w:val="both"/>
        <w:rPr>
          <w:rFonts w:ascii="Arial" w:eastAsia="Arial" w:hAnsi="Arial" w:cs="Arial"/>
          <w:color w:val="000000"/>
        </w:rPr>
      </w:pPr>
    </w:p>
    <w:p w14:paraId="649C90B4" w14:textId="77777777" w:rsidR="001F7B08" w:rsidRDefault="001F7B08">
      <w:pPr>
        <w:pBdr>
          <w:top w:val="nil"/>
          <w:left w:val="nil"/>
          <w:bottom w:val="nil"/>
          <w:right w:val="nil"/>
          <w:between w:val="nil"/>
        </w:pBdr>
        <w:jc w:val="both"/>
        <w:rPr>
          <w:rFonts w:ascii="Arial" w:eastAsia="Arial" w:hAnsi="Arial" w:cs="Arial"/>
          <w:color w:val="000000"/>
        </w:rPr>
      </w:pPr>
    </w:p>
    <w:p w14:paraId="65684758" w14:textId="77777777" w:rsidR="001F7B08" w:rsidRDefault="00921D5B">
      <w:pPr>
        <w:pBdr>
          <w:top w:val="nil"/>
          <w:left w:val="nil"/>
          <w:bottom w:val="nil"/>
          <w:right w:val="nil"/>
          <w:between w:val="nil"/>
        </w:pBdr>
        <w:jc w:val="both"/>
        <w:rPr>
          <w:rFonts w:ascii="Arial" w:eastAsia="Arial" w:hAnsi="Arial" w:cs="Arial"/>
          <w:color w:val="000000"/>
          <w:sz w:val="16"/>
          <w:szCs w:val="16"/>
        </w:rPr>
        <w:sectPr w:rsidR="001F7B08" w:rsidSect="00EB04C1">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5E976DB2" wp14:editId="725826FE">
                <wp:extent cx="0" cy="19050"/>
                <wp:effectExtent l="0" t="0" r="0" b="0"/>
                <wp:docPr id="4" name="Straight Arrow Connector 4"/>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0" cy="19050"/>
                <wp:effectExtent b="0" l="0" r="0" t="0"/>
                <wp:docPr id="4"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6C85E1C5" w14:textId="77777777" w:rsidR="001F7B08" w:rsidRDefault="00921D5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6733247F" w14:textId="77777777" w:rsidR="001F7B08" w:rsidRDefault="001F7B08">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F7B08" w14:paraId="18974DCA" w14:textId="77777777">
        <w:tc>
          <w:tcPr>
            <w:tcW w:w="8424" w:type="dxa"/>
            <w:shd w:val="clear" w:color="auto" w:fill="F2F2F2"/>
          </w:tcPr>
          <w:p w14:paraId="300C0590"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Aims:</w:t>
            </w:r>
            <w:r>
              <w:rPr>
                <w:rFonts w:ascii="Arial" w:eastAsia="Arial" w:hAnsi="Arial" w:cs="Arial"/>
                <w:color w:val="000000"/>
              </w:rPr>
              <w:t xml:space="preserve"> To analyze architectural and algorithmic approaches for optimizing Merkle tree operations in a high-performance blockchain virtual machine and to assess their role in achieving high transaction throughput.</w:t>
            </w:r>
          </w:p>
          <w:p w14:paraId="583E2E97"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t xml:space="preserve"> This study was designed as a structural–functional and comparative analytical investigation. It examined how the execution model, authenticated data structures, cryptographic primitives, and storage subsystem interact to influence throughput, proof size, </w:t>
            </w:r>
            <w:r>
              <w:rPr>
                <w:rFonts w:ascii="Arial" w:eastAsia="Arial" w:hAnsi="Arial" w:cs="Arial"/>
                <w:color w:val="000000"/>
              </w:rPr>
              <w:t>and state-update efficiency.</w:t>
            </w:r>
          </w:p>
          <w:p w14:paraId="648E496B"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The study was conducted through analysis of publicly available Rust implementations and technical materials related to a high-performance blockchain virtual machine during the preparation of this re</w:t>
            </w:r>
            <w:r>
              <w:rPr>
                <w:rFonts w:ascii="Arial" w:eastAsia="Arial" w:hAnsi="Arial" w:cs="Arial"/>
                <w:color w:val="000000"/>
              </w:rPr>
              <w:t>search.</w:t>
            </w:r>
          </w:p>
          <w:p w14:paraId="41A383A9"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Core modules of the virtual machine, transaction manager, cryptographic subsystem, and storage layer were analyzed. Binary Merkle Tree and Sparse Merkle Tree algorithms, as well as the Quick Merkle Database design, were reconstructed f</w:t>
            </w:r>
            <w:r>
              <w:rPr>
                <w:rFonts w:ascii="Arial" w:eastAsia="Arial" w:hAnsi="Arial" w:cs="Arial"/>
                <w:color w:val="000000"/>
              </w:rPr>
              <w:t>rom implementation details. The study assessed insertion, update, and proof-generation complexity, write amplification on solid-state drives, and benchmark-based throughput under workloads dominated by simple transfers and memory-resident hot state.</w:t>
            </w:r>
          </w:p>
          <w:p w14:paraId="38FEB28D"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Result</w:t>
            </w:r>
            <w:r>
              <w:rPr>
                <w:rFonts w:ascii="Arial" w:eastAsia="Arial" w:hAnsi="Arial" w:cs="Arial"/>
                <w:b/>
                <w:bCs/>
                <w:color w:val="000000"/>
              </w:rPr>
              <w:t>s:</w:t>
            </w:r>
            <w:r>
              <w:rPr>
                <w:rFonts w:ascii="Arial" w:eastAsia="Arial" w:hAnsi="Arial" w:cs="Arial"/>
                <w:color w:val="000000"/>
              </w:rPr>
              <w:t xml:space="preserve"> The findings showed that the system replaces a monolithic Merkle Patricia Trie with a hybrid model using Binary Merkle Trees for immutable data and Sparse Merkle Trees for mutable state. Sparse Merkle Tree proofs were reduced from 8192 bytes to several </w:t>
            </w:r>
            <w:r>
              <w:rPr>
                <w:rFonts w:ascii="Arial" w:eastAsia="Arial" w:hAnsi="Arial" w:cs="Arial"/>
                <w:color w:val="000000"/>
              </w:rPr>
              <w:t>hundred bytes in sparse cases through bitmask compression and omission of default siblings. Additional gains were achieved through implicit default values, precomputed zero hashes, and single-leaf optimization. Deterministic parallel scheduling based on th</w:t>
            </w:r>
            <w:r>
              <w:rPr>
                <w:rFonts w:ascii="Arial" w:eastAsia="Arial" w:hAnsi="Arial" w:cs="Arial"/>
                <w:color w:val="000000"/>
              </w:rPr>
              <w:t xml:space="preserve">e Unspent Transaction Output model and strict access lists enabled conflict-free multi-core execution. The Quick Merkle Database reduced write amplification through in-memory </w:t>
            </w:r>
            <w:proofErr w:type="spellStart"/>
            <w:r>
              <w:rPr>
                <w:rFonts w:ascii="Arial" w:eastAsia="Arial" w:hAnsi="Arial" w:cs="Arial"/>
                <w:color w:val="000000"/>
              </w:rPr>
              <w:t>merkleization</w:t>
            </w:r>
            <w:proofErr w:type="spellEnd"/>
            <w:r>
              <w:rPr>
                <w:rFonts w:ascii="Arial" w:eastAsia="Arial" w:hAnsi="Arial" w:cs="Arial"/>
                <w:color w:val="000000"/>
              </w:rPr>
              <w:t xml:space="preserve"> and append-only logging. Under favorable workloads, the architectur</w:t>
            </w:r>
            <w:r>
              <w:rPr>
                <w:rFonts w:ascii="Arial" w:eastAsia="Arial" w:hAnsi="Arial" w:cs="Arial"/>
                <w:color w:val="000000"/>
              </w:rPr>
              <w:t>e sustained about 21,000 transactions per second on commodity multi-core processors.</w:t>
            </w:r>
          </w:p>
          <w:p w14:paraId="1E14A1FE"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Specialized Merkle structures, deterministic parallel execution, and append-only memory-indexed storage together provide an effective strategy for improving bl</w:t>
            </w:r>
            <w:r>
              <w:rPr>
                <w:rFonts w:ascii="Arial" w:eastAsia="Arial" w:hAnsi="Arial" w:cs="Arial"/>
                <w:color w:val="000000"/>
              </w:rPr>
              <w:t>ockchain scalability while preserving verifiable state transitions.</w:t>
            </w:r>
          </w:p>
        </w:tc>
      </w:tr>
    </w:tbl>
    <w:p w14:paraId="7F9000EA" w14:textId="77777777" w:rsidR="001F7B08" w:rsidRDefault="001F7B08">
      <w:pPr>
        <w:pBdr>
          <w:top w:val="nil"/>
          <w:left w:val="nil"/>
          <w:bottom w:val="nil"/>
          <w:right w:val="nil"/>
          <w:between w:val="nil"/>
        </w:pBdr>
        <w:jc w:val="both"/>
        <w:rPr>
          <w:rFonts w:ascii="Arial" w:eastAsia="Arial" w:hAnsi="Arial" w:cs="Arial"/>
          <w:i/>
          <w:iCs/>
          <w:color w:val="000000"/>
        </w:rPr>
      </w:pPr>
    </w:p>
    <w:p w14:paraId="52801C99" w14:textId="77777777" w:rsidR="001F7B08" w:rsidRDefault="00921D5B">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high-performance blockchain VM, Sparse Merkle Tree, transaction parallelization, blockchain scalability, SHA-256, state pruning, Quick Merkle Database</w:t>
      </w:r>
    </w:p>
    <w:p w14:paraId="17D602B6" w14:textId="77777777" w:rsidR="001F7B08" w:rsidRDefault="001F7B08">
      <w:pPr>
        <w:pBdr>
          <w:top w:val="nil"/>
          <w:left w:val="nil"/>
          <w:bottom w:val="nil"/>
          <w:right w:val="nil"/>
          <w:between w:val="nil"/>
        </w:pBdr>
        <w:jc w:val="both"/>
        <w:rPr>
          <w:rFonts w:ascii="Arial" w:eastAsia="Arial" w:hAnsi="Arial" w:cs="Arial"/>
          <w:i/>
          <w:iCs/>
          <w:color w:val="000000"/>
        </w:rPr>
      </w:pPr>
    </w:p>
    <w:p w14:paraId="0832AD87" w14:textId="77777777" w:rsidR="001F7B08" w:rsidRDefault="00921D5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1B37CA5E" w14:textId="77777777" w:rsidR="001F7B08" w:rsidRDefault="001F7B08">
      <w:pPr>
        <w:keepNext/>
        <w:pBdr>
          <w:top w:val="nil"/>
          <w:left w:val="nil"/>
          <w:bottom w:val="nil"/>
          <w:right w:val="nil"/>
          <w:between w:val="nil"/>
        </w:pBdr>
        <w:jc w:val="both"/>
        <w:rPr>
          <w:rFonts w:ascii="Arial" w:eastAsia="Arial" w:hAnsi="Arial" w:cs="Arial"/>
          <w:b/>
          <w:bCs/>
          <w:smallCaps/>
          <w:color w:val="000000"/>
          <w:sz w:val="22"/>
          <w:szCs w:val="22"/>
        </w:rPr>
      </w:pPr>
    </w:p>
    <w:p w14:paraId="465B4613"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w:t>
      </w:r>
      <w:r>
        <w:rPr>
          <w:rFonts w:ascii="Arial" w:eastAsia="Arial" w:hAnsi="Arial" w:cs="Arial"/>
          <w:color w:val="000000"/>
        </w:rPr>
        <w:t>contemporary ecosystem of decentralized computation is experiencing a scalability crisis whose root cause lies less in network bandwidth or processor compute capacity and more in the efficiency of storage subsystems and state access (State I/O) (Fan, Niu &amp;</w:t>
      </w:r>
      <w:r>
        <w:rPr>
          <w:rFonts w:ascii="Arial" w:eastAsia="Arial" w:hAnsi="Arial" w:cs="Arial"/>
          <w:color w:val="000000"/>
        </w:rPr>
        <w:t xml:space="preserve"> Liu, 2022). As blockchain networks such as Ethereum accumulate history and active state (account balance </w:t>
      </w:r>
      <w:r>
        <w:rPr>
          <w:rFonts w:ascii="Arial" w:eastAsia="Arial" w:hAnsi="Arial" w:cs="Arial"/>
          <w:color w:val="000000"/>
        </w:rPr>
        <w:lastRenderedPageBreak/>
        <w:t>sets, smart contract storage), the volume of data required for transaction validation reaches terabyte scale.</w:t>
      </w:r>
    </w:p>
    <w:p w14:paraId="369C1D25" w14:textId="77777777" w:rsidR="001F7B08" w:rsidRDefault="001F7B08">
      <w:pPr>
        <w:pBdr>
          <w:top w:val="nil"/>
          <w:left w:val="nil"/>
          <w:bottom w:val="nil"/>
          <w:right w:val="nil"/>
          <w:between w:val="nil"/>
        </w:pBdr>
        <w:jc w:val="both"/>
        <w:rPr>
          <w:rFonts w:ascii="Arial" w:eastAsia="Arial" w:hAnsi="Arial" w:cs="Arial"/>
          <w:color w:val="000000"/>
        </w:rPr>
      </w:pPr>
    </w:p>
    <w:p w14:paraId="1E16F0E8"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classical model inherited from earl</w:t>
      </w:r>
      <w:r>
        <w:rPr>
          <w:rFonts w:ascii="Arial" w:eastAsia="Arial" w:hAnsi="Arial" w:cs="Arial"/>
          <w:color w:val="000000"/>
        </w:rPr>
        <w:t>y implementations relies on authenticated data structures (ADS), such as the Merkle Patricia Trie (MPT) (Deng, Yan &amp; Tang, 2024). These structures guarantee cryptographic integrity, allowing light clients to verify data without downloading the whole ledger</w:t>
      </w:r>
      <w:r>
        <w:rPr>
          <w:rFonts w:ascii="Arial" w:eastAsia="Arial" w:hAnsi="Arial" w:cs="Arial"/>
          <w:color w:val="000000"/>
        </w:rPr>
        <w:t xml:space="preserve">. However, as noted by researchers, MPT implementations built on generic key–value stores (e.g., </w:t>
      </w:r>
      <w:proofErr w:type="spellStart"/>
      <w:r>
        <w:rPr>
          <w:rFonts w:ascii="Arial" w:eastAsia="Arial" w:hAnsi="Arial" w:cs="Arial"/>
          <w:color w:val="000000"/>
        </w:rPr>
        <w:t>LevelDB</w:t>
      </w:r>
      <w:proofErr w:type="spellEnd"/>
      <w:r>
        <w:rPr>
          <w:rFonts w:ascii="Arial" w:eastAsia="Arial" w:hAnsi="Arial" w:cs="Arial"/>
          <w:color w:val="000000"/>
        </w:rPr>
        <w:t xml:space="preserve"> or </w:t>
      </w:r>
      <w:proofErr w:type="spellStart"/>
      <w:r>
        <w:rPr>
          <w:rFonts w:ascii="Arial" w:eastAsia="Arial" w:hAnsi="Arial" w:cs="Arial"/>
          <w:color w:val="000000"/>
        </w:rPr>
        <w:t>RocksDB</w:t>
      </w:r>
      <w:proofErr w:type="spellEnd"/>
      <w:r>
        <w:rPr>
          <w:rFonts w:ascii="Arial" w:eastAsia="Arial" w:hAnsi="Arial" w:cs="Arial"/>
          <w:color w:val="000000"/>
        </w:rPr>
        <w:t>) suffer from random read latency (Liang et al., 2024). Reading a single value from state may require multiple disk accesses, since each tree</w:t>
      </w:r>
      <w:r>
        <w:rPr>
          <w:rFonts w:ascii="Arial" w:eastAsia="Arial" w:hAnsi="Arial" w:cs="Arial"/>
          <w:color w:val="000000"/>
        </w:rPr>
        <w:t xml:space="preserve"> node is stored under a separate key. At state sizes of hundreds of millions of entries, this leads to catastrophic performance degradation, rendering the system I/O-bound (limited by input–output throughput).</w:t>
      </w:r>
    </w:p>
    <w:p w14:paraId="7124AD4D" w14:textId="77777777" w:rsidR="001F7B08" w:rsidRDefault="001F7B08">
      <w:pPr>
        <w:pBdr>
          <w:top w:val="nil"/>
          <w:left w:val="nil"/>
          <w:bottom w:val="nil"/>
          <w:right w:val="nil"/>
          <w:between w:val="nil"/>
        </w:pBdr>
        <w:jc w:val="both"/>
        <w:rPr>
          <w:rFonts w:ascii="Arial" w:eastAsia="Arial" w:hAnsi="Arial" w:cs="Arial"/>
          <w:color w:val="000000"/>
        </w:rPr>
      </w:pPr>
    </w:p>
    <w:p w14:paraId="27194595"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high-performance blockchain VM represents a</w:t>
      </w:r>
      <w:r>
        <w:rPr>
          <w:rFonts w:ascii="Arial" w:eastAsia="Arial" w:hAnsi="Arial" w:cs="Arial"/>
          <w:color w:val="000000"/>
        </w:rPr>
        <w:t>n attempt at a fundamental rethinking of execution architecture. Positioned as the fastest execution layer for a modular stack, a high-performance blockchain VM forgoes opcode-level compatibility with the EVM in favor of an architecture optimized for paral</w:t>
      </w:r>
      <w:r>
        <w:rPr>
          <w:rFonts w:ascii="Arial" w:eastAsia="Arial" w:hAnsi="Arial" w:cs="Arial"/>
          <w:color w:val="000000"/>
        </w:rPr>
        <w:t>lelism and efficient I/O. The central element of this strategy is a unique implementation of Merkle trees and the abandonment of the global sequential state locking characteristic of account-based models.</w:t>
      </w:r>
    </w:p>
    <w:p w14:paraId="0F8F1A1B" w14:textId="77777777" w:rsidR="001F7B08" w:rsidRDefault="001F7B08">
      <w:pPr>
        <w:pBdr>
          <w:top w:val="nil"/>
          <w:left w:val="nil"/>
          <w:bottom w:val="nil"/>
          <w:right w:val="nil"/>
          <w:between w:val="nil"/>
        </w:pBdr>
        <w:jc w:val="both"/>
        <w:rPr>
          <w:rFonts w:ascii="Arial" w:eastAsia="Arial" w:hAnsi="Arial" w:cs="Arial"/>
          <w:color w:val="000000"/>
        </w:rPr>
      </w:pPr>
    </w:p>
    <w:p w14:paraId="7FE94164"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scientific problem is rooted in the tension between the need for strict cryptographic verification of every state transition (which requires recomputing the Merkle tree root hash) and the need for high throughput (tens of thousands of transactions per </w:t>
      </w:r>
      <w:r>
        <w:rPr>
          <w:rFonts w:ascii="Arial" w:eastAsia="Arial" w:hAnsi="Arial" w:cs="Arial"/>
          <w:color w:val="000000"/>
        </w:rPr>
        <w:t xml:space="preserve">second). In traditional systems, root </w:t>
      </w:r>
      <w:proofErr w:type="spellStart"/>
      <w:r>
        <w:rPr>
          <w:rFonts w:ascii="Arial" w:eastAsia="Arial" w:hAnsi="Arial" w:cs="Arial"/>
          <w:color w:val="000000"/>
        </w:rPr>
        <w:t>recomputation</w:t>
      </w:r>
      <w:proofErr w:type="spellEnd"/>
      <w:r>
        <w:rPr>
          <w:rFonts w:ascii="Arial" w:eastAsia="Arial" w:hAnsi="Arial" w:cs="Arial"/>
          <w:color w:val="000000"/>
        </w:rPr>
        <w:t xml:space="preserve"> is a sequential operation that blocks block finalization.</w:t>
      </w:r>
    </w:p>
    <w:p w14:paraId="327E9363" w14:textId="77777777" w:rsidR="001F7B08" w:rsidRDefault="001F7B08">
      <w:pPr>
        <w:pBdr>
          <w:top w:val="nil"/>
          <w:left w:val="nil"/>
          <w:bottom w:val="nil"/>
          <w:right w:val="nil"/>
          <w:between w:val="nil"/>
        </w:pBdr>
        <w:jc w:val="both"/>
        <w:rPr>
          <w:rFonts w:ascii="Arial" w:eastAsia="Arial" w:hAnsi="Arial" w:cs="Arial"/>
          <w:color w:val="000000"/>
        </w:rPr>
      </w:pPr>
    </w:p>
    <w:p w14:paraId="3CE912C2"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Existing solutions, such as </w:t>
      </w:r>
      <w:proofErr w:type="spellStart"/>
      <w:r>
        <w:rPr>
          <w:rFonts w:ascii="Arial" w:eastAsia="Arial" w:hAnsi="Arial" w:cs="Arial"/>
          <w:color w:val="000000"/>
        </w:rPr>
        <w:t>Verkle</w:t>
      </w:r>
      <w:proofErr w:type="spellEnd"/>
      <w:r>
        <w:rPr>
          <w:rFonts w:ascii="Arial" w:eastAsia="Arial" w:hAnsi="Arial" w:cs="Arial"/>
          <w:color w:val="000000"/>
        </w:rPr>
        <w:t xml:space="preserve"> Trees (based on vector commitments) or Concurrent Merkle Trees (used in Solana), introduce different trade-off</w:t>
      </w:r>
      <w:r>
        <w:rPr>
          <w:rFonts w:ascii="Arial" w:eastAsia="Arial" w:hAnsi="Arial" w:cs="Arial"/>
          <w:color w:val="000000"/>
        </w:rPr>
        <w:t xml:space="preserve">s. </w:t>
      </w:r>
      <w:proofErr w:type="spellStart"/>
      <w:r>
        <w:rPr>
          <w:rFonts w:ascii="Arial" w:eastAsia="Arial" w:hAnsi="Arial" w:cs="Arial"/>
          <w:color w:val="000000"/>
        </w:rPr>
        <w:t>Verkle</w:t>
      </w:r>
      <w:proofErr w:type="spellEnd"/>
      <w:r>
        <w:rPr>
          <w:rFonts w:ascii="Arial" w:eastAsia="Arial" w:hAnsi="Arial" w:cs="Arial"/>
          <w:color w:val="000000"/>
        </w:rPr>
        <w:t xml:space="preserve"> Trees reduce proof size but require computationally expensive elliptic-curve-based cryptography (Oberst, 2025). Concurrent Merkle Trees enable parallel writes but complicate conflict resolution logic. A high-performance blockchain VM proposes a t</w:t>
      </w:r>
      <w:r>
        <w:rPr>
          <w:rFonts w:ascii="Arial" w:eastAsia="Arial" w:hAnsi="Arial" w:cs="Arial"/>
          <w:color w:val="000000"/>
        </w:rPr>
        <w:t>hird path: using sparse trees (SMT) with aggressive structural optimization and fast hash functions (SHA-256), coupled with a UTXO model for deterministic parallelism.</w:t>
      </w:r>
    </w:p>
    <w:p w14:paraId="5481757E" w14:textId="77777777" w:rsidR="001F7B08" w:rsidRDefault="001F7B08">
      <w:pPr>
        <w:pBdr>
          <w:top w:val="nil"/>
          <w:left w:val="nil"/>
          <w:bottom w:val="nil"/>
          <w:right w:val="nil"/>
          <w:between w:val="nil"/>
        </w:pBdr>
        <w:jc w:val="both"/>
        <w:rPr>
          <w:rFonts w:ascii="Arial" w:eastAsia="Arial" w:hAnsi="Arial" w:cs="Arial"/>
          <w:color w:val="000000"/>
        </w:rPr>
      </w:pPr>
    </w:p>
    <w:p w14:paraId="05853486"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deep analysis of this approach is required because the UTXO model's influence on ADS </w:t>
      </w:r>
      <w:r>
        <w:rPr>
          <w:rFonts w:ascii="Arial" w:eastAsia="Arial" w:hAnsi="Arial" w:cs="Arial"/>
          <w:color w:val="000000"/>
        </w:rPr>
        <w:t>structure and performance in high-load environments remains insufficient (Melo et al., 2024). In particular, the question remains open as to how exactly strict Access Lists transform disk access patterns and enable circumventing Amdahl’s law constraints du</w:t>
      </w:r>
      <w:r>
        <w:rPr>
          <w:rFonts w:ascii="Arial" w:eastAsia="Arial" w:hAnsi="Arial" w:cs="Arial"/>
          <w:color w:val="000000"/>
        </w:rPr>
        <w:t>ring block formation.</w:t>
      </w:r>
    </w:p>
    <w:p w14:paraId="623CB2AC"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objective of this study is to provide a comprehensive analysis of architectural and algorithmic methods for optimizing Merkle tree operations in a high-performance blockchain VM environment and to evaluate their contribution to ac</w:t>
      </w:r>
      <w:r>
        <w:rPr>
          <w:rFonts w:ascii="Arial" w:eastAsia="Arial" w:hAnsi="Arial" w:cs="Arial"/>
          <w:color w:val="000000"/>
        </w:rPr>
        <w:t>hieving 21,000 TPS.</w:t>
      </w:r>
    </w:p>
    <w:p w14:paraId="4D9F60F4" w14:textId="77777777" w:rsidR="001F7B08" w:rsidRDefault="001F7B08">
      <w:pPr>
        <w:pBdr>
          <w:top w:val="nil"/>
          <w:left w:val="nil"/>
          <w:bottom w:val="nil"/>
          <w:right w:val="nil"/>
          <w:between w:val="nil"/>
        </w:pBdr>
        <w:jc w:val="both"/>
        <w:rPr>
          <w:rFonts w:ascii="Arial" w:eastAsia="Arial" w:hAnsi="Arial" w:cs="Arial"/>
          <w:color w:val="000000"/>
        </w:rPr>
      </w:pPr>
    </w:p>
    <w:p w14:paraId="76573CC4"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achieve this objective, the following tasks are addressed:</w:t>
      </w:r>
    </w:p>
    <w:p w14:paraId="0BC31A07" w14:textId="77777777" w:rsidR="001F7B08" w:rsidRDefault="00921D5B">
      <w:pPr>
        <w:numPr>
          <w:ilvl w:val="0"/>
          <w:numId w:val="1"/>
        </w:numPr>
        <w:pBdr>
          <w:top w:val="nil"/>
          <w:left w:val="nil"/>
          <w:bottom w:val="nil"/>
          <w:right w:val="nil"/>
          <w:between w:val="nil"/>
        </w:pBdr>
        <w:ind w:left="0" w:firstLine="567"/>
        <w:jc w:val="both"/>
        <w:rPr>
          <w:rFonts w:ascii="Arial" w:eastAsia="Arial" w:hAnsi="Arial" w:cs="Arial"/>
          <w:color w:val="000000"/>
        </w:rPr>
      </w:pPr>
      <w:r>
        <w:rPr>
          <w:rFonts w:ascii="Arial" w:eastAsia="Arial" w:hAnsi="Arial" w:cs="Arial"/>
          <w:color w:val="000000"/>
        </w:rPr>
        <w:t>To conduct a detailed examination of the specifications of a high-performance blockchain VM cryptographic primitives, identifying structural differences between the Binary M</w:t>
      </w:r>
      <w:r>
        <w:rPr>
          <w:rFonts w:ascii="Arial" w:eastAsia="Arial" w:hAnsi="Arial" w:cs="Arial"/>
          <w:color w:val="000000"/>
        </w:rPr>
        <w:t>erkle Tree (BMT) and the Sparse Merkle Tree (SMT) and their analogues.</w:t>
      </w:r>
    </w:p>
    <w:p w14:paraId="56CA2488" w14:textId="77777777" w:rsidR="001F7B08" w:rsidRDefault="00921D5B">
      <w:pPr>
        <w:numPr>
          <w:ilvl w:val="0"/>
          <w:numId w:val="1"/>
        </w:numPr>
        <w:pBdr>
          <w:top w:val="nil"/>
          <w:left w:val="nil"/>
          <w:bottom w:val="nil"/>
          <w:right w:val="nil"/>
          <w:between w:val="nil"/>
        </w:pBdr>
        <w:ind w:left="0" w:firstLine="567"/>
        <w:jc w:val="both"/>
        <w:rPr>
          <w:rFonts w:ascii="Arial" w:eastAsia="Arial" w:hAnsi="Arial" w:cs="Arial"/>
          <w:color w:val="000000"/>
        </w:rPr>
      </w:pPr>
      <w:r>
        <w:rPr>
          <w:rFonts w:ascii="Arial" w:eastAsia="Arial" w:hAnsi="Arial" w:cs="Arial"/>
          <w:color w:val="000000"/>
        </w:rPr>
        <w:t>To investigate the interaction mechanism among the UTXO model, Access Lists, and the transaction scheduler to identify dependencies that affect parallel updates of Merkle tree branches.</w:t>
      </w:r>
    </w:p>
    <w:p w14:paraId="23E852C5" w14:textId="77777777" w:rsidR="001F7B08" w:rsidRDefault="00921D5B">
      <w:pPr>
        <w:numPr>
          <w:ilvl w:val="0"/>
          <w:numId w:val="1"/>
        </w:numPr>
        <w:pBdr>
          <w:top w:val="nil"/>
          <w:left w:val="nil"/>
          <w:bottom w:val="nil"/>
          <w:right w:val="nil"/>
          <w:between w:val="nil"/>
        </w:pBdr>
        <w:ind w:left="0" w:firstLine="567"/>
        <w:jc w:val="both"/>
        <w:rPr>
          <w:rFonts w:ascii="Arial" w:eastAsia="Arial" w:hAnsi="Arial" w:cs="Arial"/>
          <w:color w:val="000000"/>
        </w:rPr>
      </w:pPr>
      <w:r>
        <w:rPr>
          <w:rFonts w:ascii="Arial" w:eastAsia="Arial" w:hAnsi="Arial" w:cs="Arial"/>
          <w:color w:val="000000"/>
        </w:rPr>
        <w:t>To analyze the effectiveness of the proposed data storage solutions (including the Quick Merkle Database, QMDB) in the context of minimizing write amplification and random disk access.</w:t>
      </w:r>
    </w:p>
    <w:p w14:paraId="22BC0F7B" w14:textId="77777777" w:rsidR="001F7B08" w:rsidRDefault="00921D5B">
      <w:pPr>
        <w:numPr>
          <w:ilvl w:val="0"/>
          <w:numId w:val="1"/>
        </w:numPr>
        <w:pBdr>
          <w:top w:val="nil"/>
          <w:left w:val="nil"/>
          <w:bottom w:val="nil"/>
          <w:right w:val="nil"/>
          <w:between w:val="nil"/>
        </w:pBdr>
        <w:ind w:left="0" w:firstLine="567"/>
        <w:jc w:val="both"/>
        <w:rPr>
          <w:rFonts w:ascii="Arial" w:eastAsia="Arial" w:hAnsi="Arial" w:cs="Arial"/>
          <w:color w:val="000000"/>
        </w:rPr>
      </w:pPr>
      <w:r>
        <w:rPr>
          <w:rFonts w:ascii="Arial" w:eastAsia="Arial" w:hAnsi="Arial" w:cs="Arial"/>
          <w:color w:val="000000"/>
        </w:rPr>
        <w:lastRenderedPageBreak/>
        <w:t>To justify the choice of the SHA-256 hash function instead of ZK-frien</w:t>
      </w:r>
      <w:r>
        <w:rPr>
          <w:rFonts w:ascii="Arial" w:eastAsia="Arial" w:hAnsi="Arial" w:cs="Arial"/>
          <w:color w:val="000000"/>
        </w:rPr>
        <w:t>dly alternatives (Poseidon, Rescue) from the standpoint of balancing execution speed and the cost of generating validity proofs.</w:t>
      </w:r>
    </w:p>
    <w:p w14:paraId="23AAB934" w14:textId="77777777" w:rsidR="001F7B08" w:rsidRDefault="00921D5B">
      <w:pPr>
        <w:numPr>
          <w:ilvl w:val="0"/>
          <w:numId w:val="1"/>
        </w:numPr>
        <w:pBdr>
          <w:top w:val="nil"/>
          <w:left w:val="nil"/>
          <w:bottom w:val="nil"/>
          <w:right w:val="nil"/>
          <w:between w:val="nil"/>
        </w:pBdr>
        <w:ind w:left="0" w:firstLine="567"/>
        <w:jc w:val="both"/>
        <w:rPr>
          <w:rFonts w:ascii="Arial" w:eastAsia="Arial" w:hAnsi="Arial" w:cs="Arial"/>
          <w:color w:val="000000"/>
        </w:rPr>
      </w:pPr>
      <w:r>
        <w:rPr>
          <w:rFonts w:ascii="Arial" w:eastAsia="Arial" w:hAnsi="Arial" w:cs="Arial"/>
          <w:color w:val="000000"/>
        </w:rPr>
        <w:t>To evaluate inclusion proof sizes and the efficiency of bitmask compression in SMT.</w:t>
      </w:r>
    </w:p>
    <w:p w14:paraId="678FB95C" w14:textId="77777777" w:rsidR="001F7B08" w:rsidRDefault="001F7B08">
      <w:pPr>
        <w:pBdr>
          <w:top w:val="nil"/>
          <w:left w:val="nil"/>
          <w:bottom w:val="nil"/>
          <w:right w:val="nil"/>
          <w:between w:val="nil"/>
        </w:pBdr>
        <w:jc w:val="both"/>
        <w:rPr>
          <w:rFonts w:ascii="Arial" w:eastAsia="Arial" w:hAnsi="Arial" w:cs="Arial"/>
          <w:color w:val="000000"/>
        </w:rPr>
      </w:pPr>
    </w:p>
    <w:p w14:paraId="0FC6E47A" w14:textId="77777777" w:rsidR="001F7B08" w:rsidRDefault="00921D5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 and methods </w:t>
      </w:r>
    </w:p>
    <w:p w14:paraId="5C37DEEE" w14:textId="77777777" w:rsidR="001F7B08" w:rsidRDefault="001F7B08">
      <w:pPr>
        <w:keepNext/>
        <w:pBdr>
          <w:top w:val="nil"/>
          <w:left w:val="nil"/>
          <w:bottom w:val="nil"/>
          <w:right w:val="nil"/>
          <w:between w:val="nil"/>
        </w:pBdr>
        <w:jc w:val="both"/>
        <w:rPr>
          <w:rFonts w:ascii="Arial" w:eastAsia="Arial" w:hAnsi="Arial" w:cs="Arial"/>
          <w:b/>
          <w:bCs/>
          <w:smallCaps/>
          <w:color w:val="000000"/>
          <w:sz w:val="22"/>
          <w:szCs w:val="22"/>
        </w:rPr>
      </w:pPr>
    </w:p>
    <w:p w14:paraId="66703CA8"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is </w:t>
      </w:r>
      <w:r>
        <w:rPr>
          <w:rFonts w:ascii="Arial" w:eastAsia="Arial" w:hAnsi="Arial" w:cs="Arial"/>
          <w:color w:val="000000"/>
        </w:rPr>
        <w:t xml:space="preserve">based on the method of structural–functional analysis of software and hardware complexes. A high-performance blockchain VM is examined as a complex system composed of interrelated components: a virtual machine, a transaction manager, a cryptographic core, </w:t>
      </w:r>
      <w:r>
        <w:rPr>
          <w:rFonts w:ascii="Arial" w:eastAsia="Arial" w:hAnsi="Arial" w:cs="Arial"/>
          <w:color w:val="000000"/>
        </w:rPr>
        <w:t>and a data storage layer. The analysis is conducted at three levels of abstraction: comparison of state models (UTXO vs. account-based), data structures (trees, lists, Bloom filters), memory and disk access patterns, and utilization of processor instructio</w:t>
      </w:r>
      <w:r>
        <w:rPr>
          <w:rFonts w:ascii="Arial" w:eastAsia="Arial" w:hAnsi="Arial" w:cs="Arial"/>
          <w:color w:val="000000"/>
        </w:rPr>
        <w:t>ns (SIMD, SHA extensions).</w:t>
      </w:r>
    </w:p>
    <w:p w14:paraId="7AD3DDF5" w14:textId="77777777" w:rsidR="001F7B08" w:rsidRDefault="001F7B08">
      <w:pPr>
        <w:pBdr>
          <w:top w:val="nil"/>
          <w:left w:val="nil"/>
          <w:bottom w:val="nil"/>
          <w:right w:val="nil"/>
          <w:between w:val="nil"/>
        </w:pBdr>
        <w:jc w:val="both"/>
        <w:rPr>
          <w:rFonts w:ascii="Arial" w:eastAsia="Arial" w:hAnsi="Arial" w:cs="Arial"/>
          <w:color w:val="000000"/>
        </w:rPr>
      </w:pPr>
    </w:p>
    <w:p w14:paraId="2CF6F38B"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 comparative analysis, asymptotic complexity metrics (Big O notation) are used for insertion, update, and proof-generation operations, as well as the Write Amplification Factor (WAF) to assess SSD drive load.</w:t>
      </w:r>
    </w:p>
    <w:p w14:paraId="18E9F8EF" w14:textId="77777777" w:rsidR="001F7B08" w:rsidRDefault="001F7B08">
      <w:pPr>
        <w:pBdr>
          <w:top w:val="nil"/>
          <w:left w:val="nil"/>
          <w:bottom w:val="nil"/>
          <w:right w:val="nil"/>
          <w:between w:val="nil"/>
        </w:pBdr>
        <w:jc w:val="both"/>
        <w:rPr>
          <w:rFonts w:ascii="Arial" w:eastAsia="Arial" w:hAnsi="Arial" w:cs="Arial"/>
          <w:color w:val="000000"/>
        </w:rPr>
      </w:pPr>
    </w:p>
    <w:p w14:paraId="62FFAFB4"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primary mate</w:t>
      </w:r>
      <w:r>
        <w:rPr>
          <w:rFonts w:ascii="Arial" w:eastAsia="Arial" w:hAnsi="Arial" w:cs="Arial"/>
          <w:color w:val="000000"/>
        </w:rPr>
        <w:t>rials, Rust implementations of fuel-core, fuel-</w:t>
      </w:r>
      <w:proofErr w:type="spellStart"/>
      <w:r>
        <w:rPr>
          <w:rFonts w:ascii="Arial" w:eastAsia="Arial" w:hAnsi="Arial" w:cs="Arial"/>
          <w:color w:val="000000"/>
        </w:rPr>
        <w:t>vm</w:t>
      </w:r>
      <w:proofErr w:type="spellEnd"/>
      <w:r>
        <w:rPr>
          <w:rFonts w:ascii="Arial" w:eastAsia="Arial" w:hAnsi="Arial" w:cs="Arial"/>
          <w:color w:val="000000"/>
        </w:rPr>
        <w:t>, and fuel-</w:t>
      </w:r>
      <w:proofErr w:type="spellStart"/>
      <w:r>
        <w:rPr>
          <w:rFonts w:ascii="Arial" w:eastAsia="Arial" w:hAnsi="Arial" w:cs="Arial"/>
          <w:color w:val="000000"/>
        </w:rPr>
        <w:t>merkle</w:t>
      </w:r>
      <w:proofErr w:type="spellEnd"/>
      <w:r>
        <w:rPr>
          <w:rFonts w:ascii="Arial" w:eastAsia="Arial" w:hAnsi="Arial" w:cs="Arial"/>
          <w:color w:val="000000"/>
        </w:rPr>
        <w:t xml:space="preserve"> are analyzed to verify algorithmic decisions; articles on ADS optimization are used, in particular works on the Quick Merkle Database (QMDB) and studies of SMT performance; in addition, loa</w:t>
      </w:r>
      <w:r>
        <w:rPr>
          <w:rFonts w:ascii="Arial" w:eastAsia="Arial" w:hAnsi="Arial" w:cs="Arial"/>
          <w:color w:val="000000"/>
        </w:rPr>
        <w:t>d testing data obtained using Criterion.rs tooling and published in technical reports by Fuel Labs and the community are utilized.</w:t>
      </w:r>
    </w:p>
    <w:p w14:paraId="06048627" w14:textId="77777777" w:rsidR="001F7B08" w:rsidRDefault="001F7B08">
      <w:pPr>
        <w:pBdr>
          <w:top w:val="nil"/>
          <w:left w:val="nil"/>
          <w:bottom w:val="nil"/>
          <w:right w:val="nil"/>
          <w:between w:val="nil"/>
        </w:pBdr>
        <w:jc w:val="both"/>
        <w:rPr>
          <w:rFonts w:ascii="Arial" w:eastAsia="Arial" w:hAnsi="Arial" w:cs="Arial"/>
          <w:color w:val="000000"/>
        </w:rPr>
      </w:pPr>
    </w:p>
    <w:p w14:paraId="769B4002"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 the analysis of the 21,000 TPS figure, a synthetic benchmark extrapolation methodology is applied. It is recognized that</w:t>
      </w:r>
      <w:r>
        <w:rPr>
          <w:rFonts w:ascii="Arial" w:eastAsia="Arial" w:hAnsi="Arial" w:cs="Arial"/>
          <w:color w:val="000000"/>
        </w:rPr>
        <w:t xml:space="preserve"> the throughput of simple transfers differs from that of complex smart contract calls. The model incorporates constraints on memory bandwidth (DRAM) and SSD latency for random reads of 4 KB blocks, a typical pattern for accessing Merkle tree leaves.</w:t>
      </w:r>
    </w:p>
    <w:p w14:paraId="3CF3959F" w14:textId="77777777" w:rsidR="001F7B08" w:rsidRDefault="001F7B08">
      <w:pPr>
        <w:pBdr>
          <w:top w:val="nil"/>
          <w:left w:val="nil"/>
          <w:bottom w:val="nil"/>
          <w:right w:val="nil"/>
          <w:between w:val="nil"/>
        </w:pBdr>
        <w:jc w:val="both"/>
        <w:rPr>
          <w:rFonts w:ascii="Arial" w:eastAsia="Arial" w:hAnsi="Arial" w:cs="Arial"/>
          <w:color w:val="000000"/>
        </w:rPr>
      </w:pPr>
    </w:p>
    <w:p w14:paraId="67BFC934" w14:textId="77777777" w:rsidR="001F7B08" w:rsidRDefault="001F7B08">
      <w:pPr>
        <w:pBdr>
          <w:top w:val="nil"/>
          <w:left w:val="nil"/>
          <w:bottom w:val="nil"/>
          <w:right w:val="nil"/>
          <w:between w:val="nil"/>
        </w:pBdr>
        <w:jc w:val="both"/>
        <w:rPr>
          <w:rFonts w:ascii="Arial" w:eastAsia="Arial" w:hAnsi="Arial" w:cs="Arial"/>
          <w:color w:val="000000"/>
        </w:rPr>
      </w:pPr>
    </w:p>
    <w:p w14:paraId="4396C4EE" w14:textId="77777777" w:rsidR="001F7B08" w:rsidRDefault="00921D5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w:t>
      </w:r>
      <w:r>
        <w:rPr>
          <w:rFonts w:ascii="Arial" w:eastAsia="Arial" w:hAnsi="Arial" w:cs="Arial"/>
          <w:b/>
          <w:bCs/>
          <w:smallCaps/>
          <w:color w:val="000000"/>
          <w:sz w:val="22"/>
          <w:szCs w:val="22"/>
        </w:rPr>
        <w:t>esults</w:t>
      </w:r>
    </w:p>
    <w:p w14:paraId="0A0DADAA" w14:textId="77777777" w:rsidR="001F7B08" w:rsidRDefault="001F7B08">
      <w:pPr>
        <w:keepNext/>
        <w:pBdr>
          <w:top w:val="nil"/>
          <w:left w:val="nil"/>
          <w:bottom w:val="nil"/>
          <w:right w:val="nil"/>
          <w:between w:val="nil"/>
        </w:pBdr>
        <w:jc w:val="both"/>
        <w:rPr>
          <w:rFonts w:ascii="Arial" w:eastAsia="Arial" w:hAnsi="Arial" w:cs="Arial"/>
          <w:b/>
          <w:bCs/>
          <w:smallCaps/>
          <w:color w:val="000000"/>
          <w:sz w:val="22"/>
          <w:szCs w:val="22"/>
        </w:rPr>
      </w:pPr>
    </w:p>
    <w:p w14:paraId="49CC0602"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high-performance blockchain VM architecture abandons a single monolithic tree for all data types and applies the principle of specialization. Two fundamentally distinct tree types are employed: the Binary Merkle Tree (BMT) for immutable data and </w:t>
      </w:r>
      <w:r>
        <w:rPr>
          <w:rFonts w:ascii="Arial" w:eastAsia="Arial" w:hAnsi="Arial" w:cs="Arial"/>
          <w:color w:val="000000"/>
        </w:rPr>
        <w:t>the Sparse Merkle Tree (SMT) for mutable state.</w:t>
      </w:r>
    </w:p>
    <w:p w14:paraId="330F5DDC" w14:textId="77777777" w:rsidR="001F7B08" w:rsidRDefault="001F7B08">
      <w:pPr>
        <w:pBdr>
          <w:top w:val="nil"/>
          <w:left w:val="nil"/>
          <w:bottom w:val="nil"/>
          <w:right w:val="nil"/>
          <w:between w:val="nil"/>
        </w:pBdr>
        <w:jc w:val="both"/>
        <w:rPr>
          <w:rFonts w:ascii="Arial" w:eastAsia="Arial" w:hAnsi="Arial" w:cs="Arial"/>
          <w:color w:val="000000"/>
        </w:rPr>
      </w:pPr>
    </w:p>
    <w:p w14:paraId="6F90804F"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BMT is used in a high-performance blockchain VM to commit data that does not require frequent point updates after creation, for example, hashing smart contract bytecode or lists of transaction identifiers wi</w:t>
      </w:r>
      <w:r>
        <w:rPr>
          <w:rFonts w:ascii="Arial" w:eastAsia="Arial" w:hAnsi="Arial" w:cs="Arial"/>
          <w:color w:val="000000"/>
        </w:rPr>
        <w:t>thin a block.</w:t>
      </w:r>
    </w:p>
    <w:p w14:paraId="15974A2B" w14:textId="77777777" w:rsidR="001F7B08" w:rsidRDefault="001F7B08">
      <w:pPr>
        <w:pBdr>
          <w:top w:val="nil"/>
          <w:left w:val="nil"/>
          <w:bottom w:val="nil"/>
          <w:right w:val="nil"/>
          <w:between w:val="nil"/>
        </w:pBdr>
        <w:jc w:val="both"/>
        <w:rPr>
          <w:rFonts w:ascii="Arial" w:eastAsia="Arial" w:hAnsi="Arial" w:cs="Arial"/>
          <w:color w:val="000000"/>
        </w:rPr>
      </w:pPr>
    </w:p>
    <w:p w14:paraId="680503A6"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high-performance blockchain VM employs several technical features to enhance security and improve tree performance. One key aspect is domain separation, designed to prevent second-preimage attacks. Within this protection scheme, internal n</w:t>
      </w:r>
      <w:r>
        <w:rPr>
          <w:rFonts w:ascii="Arial" w:eastAsia="Arial" w:hAnsi="Arial" w:cs="Arial"/>
          <w:color w:val="000000"/>
        </w:rPr>
        <w:t>odes and leaves are hashed with distinct prefixes, preventing mutual reinterpretation. Tree leaves are hashed with an additional 0x00 byte, while internal nodes are hashed with a 0x01 byte. This distinction reliably identifies and differentiates nodes of o</w:t>
      </w:r>
      <w:r>
        <w:rPr>
          <w:rFonts w:ascii="Arial" w:eastAsia="Arial" w:hAnsi="Arial" w:cs="Arial"/>
          <w:color w:val="000000"/>
        </w:rPr>
        <w:t>ne type from the other.</w:t>
      </w:r>
    </w:p>
    <w:p w14:paraId="2369E1B4" w14:textId="77777777" w:rsidR="001F7B08" w:rsidRDefault="001F7B08">
      <w:pPr>
        <w:pBdr>
          <w:top w:val="nil"/>
          <w:left w:val="nil"/>
          <w:bottom w:val="nil"/>
          <w:right w:val="nil"/>
          <w:between w:val="nil"/>
        </w:pBdr>
        <w:jc w:val="both"/>
        <w:rPr>
          <w:rFonts w:ascii="Arial" w:eastAsia="Arial" w:hAnsi="Arial" w:cs="Arial"/>
          <w:color w:val="000000"/>
        </w:rPr>
      </w:pPr>
    </w:p>
    <w:p w14:paraId="30048D89"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high-performance blockchain VM also differs from the Bitcoin implementation by lacking strict tree alignment. In Bitcoin, when handling an odd number of leaves, the last element must be duplicated to preserve a balanced tree </w:t>
      </w:r>
      <w:r>
        <w:rPr>
          <w:rFonts w:ascii="Arial" w:eastAsia="Arial" w:hAnsi="Arial" w:cs="Arial"/>
          <w:color w:val="000000"/>
        </w:rPr>
        <w:t xml:space="preserve">structure (Kuznetsov et al., 2024). In contrast, the </w:t>
      </w:r>
      <w:r>
        <w:rPr>
          <w:rFonts w:ascii="Arial" w:eastAsia="Arial" w:hAnsi="Arial" w:cs="Arial"/>
          <w:color w:val="000000"/>
        </w:rPr>
        <w:lastRenderedPageBreak/>
        <w:t>BMT in a high-performance blockchain VM admits an unbalanced structure, simplifying on-the-fly tree construction. This enables efficient processing of arbitrary numbers of elements without the need for a</w:t>
      </w:r>
      <w:r>
        <w:rPr>
          <w:rFonts w:ascii="Arial" w:eastAsia="Arial" w:hAnsi="Arial" w:cs="Arial"/>
          <w:color w:val="000000"/>
        </w:rPr>
        <w:t>dditional redistribution or data duplication, thereby reducing computational overhead during block formation.</w:t>
      </w:r>
    </w:p>
    <w:p w14:paraId="39B67DC3" w14:textId="77777777" w:rsidR="001F7B08" w:rsidRDefault="001F7B08">
      <w:pPr>
        <w:pBdr>
          <w:top w:val="nil"/>
          <w:left w:val="nil"/>
          <w:bottom w:val="nil"/>
          <w:right w:val="nil"/>
          <w:between w:val="nil"/>
        </w:pBdr>
        <w:jc w:val="both"/>
        <w:rPr>
          <w:rFonts w:ascii="Arial" w:eastAsia="Arial" w:hAnsi="Arial" w:cs="Arial"/>
          <w:color w:val="000000"/>
        </w:rPr>
      </w:pPr>
    </w:p>
    <w:p w14:paraId="29037623"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SMT is a critical component for storing contract storage and the global state. It is a tree of fixed height (256 levels) that spans the entir</w:t>
      </w:r>
      <w:r>
        <w:rPr>
          <w:rFonts w:ascii="Arial" w:eastAsia="Arial" w:hAnsi="Arial" w:cs="Arial"/>
          <w:color w:val="000000"/>
        </w:rPr>
        <w:t>e key address space of SHA-256.</w:t>
      </w:r>
    </w:p>
    <w:p w14:paraId="04D7DD75" w14:textId="77777777" w:rsidR="001F7B08" w:rsidRDefault="001F7B08">
      <w:pPr>
        <w:pBdr>
          <w:top w:val="nil"/>
          <w:left w:val="nil"/>
          <w:bottom w:val="nil"/>
          <w:right w:val="nil"/>
          <w:between w:val="nil"/>
        </w:pBdr>
        <w:jc w:val="both"/>
        <w:rPr>
          <w:rFonts w:ascii="Arial" w:eastAsia="Arial" w:hAnsi="Arial" w:cs="Arial"/>
          <w:color w:val="000000"/>
        </w:rPr>
      </w:pPr>
    </w:p>
    <w:p w14:paraId="68578294"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high-performance blockchain VM implements several fundamental SMT optimizations to improve performance and reduce computational cost. One key optimization is the use of implicit default values. The primary problem of spar</w:t>
      </w:r>
      <w:r>
        <w:rPr>
          <w:rFonts w:ascii="Arial" w:eastAsia="Arial" w:hAnsi="Arial" w:cs="Arial"/>
          <w:color w:val="000000"/>
        </w:rPr>
        <w:t>se trees is the need to store a large number of empty nodes, which inflates data volume. A high-performance blockchain VM solves this problem radically: empty nodes are not stored physically. A node's value will be the pre-computed Zero Hash value if a nod</w:t>
      </w:r>
      <w:r>
        <w:rPr>
          <w:rFonts w:ascii="Arial" w:eastAsia="Arial" w:hAnsi="Arial" w:cs="Arial"/>
          <w:color w:val="000000"/>
        </w:rPr>
        <w:t>e at height is the root of an empty subtree. If a leaf has zero height, the leaf's value is the empty string's hash. The hash function is SHA-256. For all other heights, the value near an empty node is encoded as 32 bytes of zero. This is in contrast to th</w:t>
      </w:r>
      <w:r>
        <w:rPr>
          <w:rFonts w:ascii="Arial" w:eastAsia="Arial" w:hAnsi="Arial" w:cs="Arial"/>
          <w:color w:val="000000"/>
        </w:rPr>
        <w:t>e classical implementation, where hashing an empty subtree requires recursively hashing two empty subtrees. It does not require processing zero branches, improving the system's performance.</w:t>
      </w:r>
    </w:p>
    <w:p w14:paraId="00396700" w14:textId="77777777" w:rsidR="001F7B08" w:rsidRDefault="001F7B08">
      <w:pPr>
        <w:pBdr>
          <w:top w:val="nil"/>
          <w:left w:val="nil"/>
          <w:bottom w:val="nil"/>
          <w:right w:val="nil"/>
          <w:between w:val="nil"/>
        </w:pBdr>
        <w:jc w:val="both"/>
        <w:rPr>
          <w:rFonts w:ascii="Arial" w:eastAsia="Arial" w:hAnsi="Arial" w:cs="Arial"/>
          <w:color w:val="000000"/>
        </w:rPr>
      </w:pPr>
    </w:p>
    <w:p w14:paraId="35310873"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Another vital optimization is the so-called single-leaf optimizat</w:t>
      </w:r>
      <w:r>
        <w:rPr>
          <w:rFonts w:ascii="Arial" w:eastAsia="Arial" w:hAnsi="Arial" w:cs="Arial"/>
          <w:color w:val="000000"/>
        </w:rPr>
        <w:t>ion. This optimization represents a substantial improvement of the algorithm. In a standard tree, the path to a leaf always consists of a large number of steps. In Fuel SMT, if a subtree contains only a single non-empty leaf, the hashing process is shorten</w:t>
      </w:r>
      <w:r>
        <w:rPr>
          <w:rFonts w:ascii="Arial" w:eastAsia="Arial" w:hAnsi="Arial" w:cs="Arial"/>
          <w:color w:val="000000"/>
        </w:rPr>
        <w:t>ed. Instead of storing a long chain of multiple internal nodes, the subtree root is replaced by the leaf itself. This approach significantly accelerates access to individual keys, especially under uniform hash distribution. In the best case, access time is</w:t>
      </w:r>
      <w:r>
        <w:rPr>
          <w:rFonts w:ascii="Arial" w:eastAsia="Arial" w:hAnsi="Arial" w:cs="Arial"/>
          <w:color w:val="000000"/>
        </w:rPr>
        <w:t xml:space="preserve"> reduced from logarithmic to constant complexity. As a result, the volume of data required to generate a proof and the number of database reads are reduced, resulting in a substantial performance increase.</w:t>
      </w:r>
    </w:p>
    <w:p w14:paraId="351DE604" w14:textId="77777777" w:rsidR="001F7B08" w:rsidRDefault="001F7B08">
      <w:pPr>
        <w:pBdr>
          <w:top w:val="nil"/>
          <w:left w:val="nil"/>
          <w:bottom w:val="nil"/>
          <w:right w:val="nil"/>
          <w:between w:val="nil"/>
        </w:pBdr>
        <w:jc w:val="both"/>
        <w:rPr>
          <w:rFonts w:ascii="Arial" w:eastAsia="Arial" w:hAnsi="Arial" w:cs="Arial"/>
          <w:color w:val="000000"/>
        </w:rPr>
      </w:pPr>
    </w:p>
    <w:p w14:paraId="570DFF31"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mathematical model of the proof size for an S</w:t>
      </w:r>
      <w:r>
        <w:rPr>
          <w:rFonts w:ascii="Arial" w:eastAsia="Arial" w:hAnsi="Arial" w:cs="Arial"/>
          <w:color w:val="000000"/>
        </w:rPr>
        <w:t>MT of height 256 assumes that an inclusion proof consists of an array of sibling nodes. Without optimizations, the size of such a proof would be 256 elements of 32 bytes, totaling 8 kilobytes.</w:t>
      </w:r>
    </w:p>
    <w:p w14:paraId="4F03EF8A" w14:textId="77777777" w:rsidR="001F7B08" w:rsidRDefault="001F7B08">
      <w:pPr>
        <w:pBdr>
          <w:top w:val="nil"/>
          <w:left w:val="nil"/>
          <w:bottom w:val="nil"/>
          <w:right w:val="nil"/>
          <w:between w:val="nil"/>
        </w:pBdr>
        <w:jc w:val="both"/>
        <w:rPr>
          <w:rFonts w:ascii="Arial" w:eastAsia="Arial" w:hAnsi="Arial" w:cs="Arial"/>
          <w:color w:val="000000"/>
        </w:rPr>
      </w:pPr>
    </w:p>
    <w:p w14:paraId="65095AD2"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a high-performance blockchain VM uses a bitmask-based</w:t>
      </w:r>
      <w:r>
        <w:rPr>
          <w:rFonts w:ascii="Arial" w:eastAsia="Arial" w:hAnsi="Arial" w:cs="Arial"/>
          <w:color w:val="000000"/>
        </w:rPr>
        <w:t xml:space="preserve"> data compression method. In this case, the proof includes a bit field called </w:t>
      </w:r>
      <w:proofErr w:type="spellStart"/>
      <w:r>
        <w:rPr>
          <w:rFonts w:ascii="Arial" w:eastAsia="Arial" w:hAnsi="Arial" w:cs="Arial"/>
          <w:color w:val="000000"/>
        </w:rPr>
        <w:t>includedSiblings</w:t>
      </w:r>
      <w:proofErr w:type="spellEnd"/>
      <w:r>
        <w:rPr>
          <w:rFonts w:ascii="Arial" w:eastAsia="Arial" w:hAnsi="Arial" w:cs="Arial"/>
          <w:color w:val="000000"/>
        </w:rPr>
        <w:t>, which is 32 bytes (256 bits) in size. Each bit in this field indicates whether the corresponding sibling at a particular tree level must be included. If the bit</w:t>
      </w:r>
      <w:r>
        <w:rPr>
          <w:rFonts w:ascii="Arial" w:eastAsia="Arial" w:hAnsi="Arial" w:cs="Arial"/>
          <w:color w:val="000000"/>
        </w:rPr>
        <w:t xml:space="preserve"> at position </w:t>
      </w:r>
      <w:proofErr w:type="spellStart"/>
      <w:r>
        <w:rPr>
          <w:rFonts w:ascii="Arial" w:eastAsia="Arial" w:hAnsi="Arial" w:cs="Arial"/>
          <w:color w:val="000000"/>
        </w:rPr>
        <w:t>i</w:t>
      </w:r>
      <w:proofErr w:type="spellEnd"/>
      <w:r>
        <w:rPr>
          <w:rFonts w:ascii="Arial" w:eastAsia="Arial" w:hAnsi="Arial" w:cs="Arial"/>
          <w:color w:val="000000"/>
        </w:rPr>
        <w:t xml:space="preserve"> is 0, then the sibling at that level is a default (empty) value and is not transmitted in the proof. If the bit is 1, the sibling at that level is present in the sibling array.</w:t>
      </w:r>
    </w:p>
    <w:p w14:paraId="32EE1463" w14:textId="77777777" w:rsidR="001F7B08" w:rsidRDefault="001F7B08">
      <w:pPr>
        <w:pBdr>
          <w:top w:val="nil"/>
          <w:left w:val="nil"/>
          <w:bottom w:val="nil"/>
          <w:right w:val="nil"/>
          <w:between w:val="nil"/>
        </w:pBdr>
        <w:jc w:val="both"/>
        <w:rPr>
          <w:rFonts w:ascii="Arial" w:eastAsia="Arial" w:hAnsi="Arial" w:cs="Arial"/>
          <w:color w:val="000000"/>
        </w:rPr>
      </w:pPr>
    </w:p>
    <w:p w14:paraId="7290FB98"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proof size is computed as the sum of 32 bytes for the bitma</w:t>
      </w:r>
      <w:r>
        <w:rPr>
          <w:rFonts w:ascii="Arial" w:eastAsia="Arial" w:hAnsi="Arial" w:cs="Arial"/>
          <w:color w:val="000000"/>
        </w:rPr>
        <w:t xml:space="preserve">sk and the number of non-empty nodes on the path to the root, each multiplied by 32 bytes. The number of non-empty nodes is denoted by N(non-empty). In a highly sparse tree, where the number of non-empty nodes is significantly less than 256, proofs can be </w:t>
      </w:r>
      <w:r>
        <w:rPr>
          <w:rFonts w:ascii="Arial" w:eastAsia="Arial" w:hAnsi="Arial" w:cs="Arial"/>
          <w:color w:val="000000"/>
        </w:rPr>
        <w:t xml:space="preserve">compressed to several hundred bytes, substantially reducing their size. Table 1 provides a comparative characterization with the Merkle Patricia Trie (Ethereum). </w:t>
      </w:r>
    </w:p>
    <w:p w14:paraId="3F10EA0F" w14:textId="77777777" w:rsidR="001F7B08" w:rsidRDefault="001F7B08">
      <w:pPr>
        <w:pBdr>
          <w:top w:val="nil"/>
          <w:left w:val="nil"/>
          <w:bottom w:val="nil"/>
          <w:right w:val="nil"/>
          <w:between w:val="nil"/>
        </w:pBdr>
        <w:jc w:val="both"/>
        <w:rPr>
          <w:rFonts w:ascii="Arial" w:eastAsia="Arial" w:hAnsi="Arial" w:cs="Arial"/>
          <w:color w:val="000000"/>
        </w:rPr>
      </w:pPr>
    </w:p>
    <w:p w14:paraId="06F01466" w14:textId="77777777" w:rsidR="001F7B08" w:rsidRDefault="001F7B08">
      <w:pPr>
        <w:pBdr>
          <w:top w:val="nil"/>
          <w:left w:val="nil"/>
          <w:bottom w:val="nil"/>
          <w:right w:val="nil"/>
          <w:between w:val="nil"/>
        </w:pBdr>
        <w:jc w:val="both"/>
        <w:rPr>
          <w:rFonts w:ascii="Arial" w:eastAsia="Arial" w:hAnsi="Arial" w:cs="Arial"/>
          <w:color w:val="000000"/>
        </w:rPr>
      </w:pPr>
    </w:p>
    <w:p w14:paraId="434B4374" w14:textId="77777777" w:rsidR="001F7B08" w:rsidRDefault="00921D5B">
      <w:pPr>
        <w:tabs>
          <w:tab w:val="left" w:pos="1080"/>
        </w:tabs>
        <w:jc w:val="both"/>
        <w:rPr>
          <w:rFonts w:ascii="Arial" w:eastAsia="Arial" w:hAnsi="Arial" w:cs="Arial"/>
          <w:b/>
          <w:bCs/>
        </w:rPr>
      </w:pPr>
      <w:r>
        <w:rPr>
          <w:rFonts w:ascii="Arial" w:eastAsia="Arial" w:hAnsi="Arial" w:cs="Arial"/>
          <w:b/>
          <w:bCs/>
        </w:rPr>
        <w:t>Table 1.</w:t>
      </w:r>
      <w:r>
        <w:rPr>
          <w:rFonts w:ascii="Arial" w:eastAsia="Arial" w:hAnsi="Arial" w:cs="Arial"/>
          <w:b/>
          <w:bCs/>
        </w:rPr>
        <w:tab/>
        <w:t>Comparison with Merkle Patricia Trie (Ethereum)</w:t>
      </w:r>
    </w:p>
    <w:tbl>
      <w:tblPr>
        <w:tblStyle w:val="a0"/>
        <w:tblW w:w="8248" w:type="dxa"/>
        <w:tblLayout w:type="fixed"/>
        <w:tblLook w:val="0400" w:firstRow="0" w:lastRow="0" w:firstColumn="0" w:lastColumn="0" w:noHBand="0" w:noVBand="1"/>
      </w:tblPr>
      <w:tblGrid>
        <w:gridCol w:w="3778"/>
        <w:gridCol w:w="2139"/>
        <w:gridCol w:w="2331"/>
      </w:tblGrid>
      <w:tr w:rsidR="001F7B08" w14:paraId="6F3B851E" w14:textId="77777777">
        <w:trPr>
          <w:trHeight w:val="645"/>
        </w:trPr>
        <w:tc>
          <w:tcPr>
            <w:tcW w:w="3778" w:type="dxa"/>
            <w:tcBorders>
              <w:top w:val="single" w:sz="4" w:space="0" w:color="000000"/>
              <w:bottom w:val="single" w:sz="4" w:space="0" w:color="000000"/>
            </w:tcBorders>
            <w:tcMar>
              <w:top w:w="20" w:type="dxa"/>
              <w:left w:w="20" w:type="dxa"/>
              <w:bottom w:w="20" w:type="dxa"/>
              <w:right w:w="20" w:type="dxa"/>
            </w:tcMar>
          </w:tcPr>
          <w:p w14:paraId="39678E09" w14:textId="77777777" w:rsidR="001F7B08" w:rsidRDefault="00921D5B">
            <w:pPr>
              <w:rPr>
                <w:rFonts w:ascii="Arial" w:eastAsia="Arial" w:hAnsi="Arial" w:cs="Arial"/>
              </w:rPr>
            </w:pPr>
            <w:r>
              <w:rPr>
                <w:rFonts w:ascii="Arial" w:eastAsia="Arial" w:hAnsi="Arial" w:cs="Arial"/>
                <w:b/>
                <w:bCs/>
                <w:color w:val="1F1F1F"/>
              </w:rPr>
              <w:t>Parameter</w:t>
            </w:r>
          </w:p>
        </w:tc>
        <w:tc>
          <w:tcPr>
            <w:tcW w:w="2139" w:type="dxa"/>
            <w:tcBorders>
              <w:top w:val="single" w:sz="4" w:space="0" w:color="000000"/>
              <w:bottom w:val="single" w:sz="4" w:space="0" w:color="000000"/>
            </w:tcBorders>
            <w:tcMar>
              <w:top w:w="20" w:type="dxa"/>
              <w:left w:w="20" w:type="dxa"/>
              <w:bottom w:w="20" w:type="dxa"/>
              <w:right w:w="20" w:type="dxa"/>
            </w:tcMar>
          </w:tcPr>
          <w:p w14:paraId="54C0C164" w14:textId="77777777" w:rsidR="001F7B08" w:rsidRDefault="00921D5B">
            <w:pPr>
              <w:rPr>
                <w:rFonts w:ascii="Arial" w:eastAsia="Arial" w:hAnsi="Arial" w:cs="Arial"/>
              </w:rPr>
            </w:pPr>
            <w:r>
              <w:rPr>
                <w:rFonts w:ascii="Arial" w:eastAsia="Arial" w:hAnsi="Arial" w:cs="Arial"/>
                <w:b/>
                <w:bCs/>
                <w:color w:val="1F1F1F"/>
              </w:rPr>
              <w:t>Ethereum MPT</w:t>
            </w:r>
          </w:p>
        </w:tc>
        <w:tc>
          <w:tcPr>
            <w:tcW w:w="2331" w:type="dxa"/>
            <w:tcBorders>
              <w:top w:val="single" w:sz="4" w:space="0" w:color="000000"/>
              <w:bottom w:val="single" w:sz="4" w:space="0" w:color="000000"/>
            </w:tcBorders>
            <w:tcMar>
              <w:top w:w="20" w:type="dxa"/>
              <w:left w:w="20" w:type="dxa"/>
              <w:bottom w:w="20" w:type="dxa"/>
              <w:right w:w="20" w:type="dxa"/>
            </w:tcMar>
          </w:tcPr>
          <w:p w14:paraId="01C7F62B" w14:textId="77777777" w:rsidR="001F7B08" w:rsidRDefault="00921D5B">
            <w:pPr>
              <w:rPr>
                <w:rFonts w:ascii="Arial" w:eastAsia="Arial" w:hAnsi="Arial" w:cs="Arial"/>
              </w:rPr>
            </w:pPr>
            <w:r>
              <w:rPr>
                <w:rFonts w:ascii="Arial" w:eastAsia="Arial" w:hAnsi="Arial" w:cs="Arial"/>
                <w:b/>
                <w:bCs/>
                <w:color w:val="1F1F1F"/>
              </w:rPr>
              <w:t>High-perfor</w:t>
            </w:r>
            <w:r>
              <w:rPr>
                <w:rFonts w:ascii="Arial" w:eastAsia="Arial" w:hAnsi="Arial" w:cs="Arial"/>
                <w:b/>
                <w:bCs/>
                <w:color w:val="1F1F1F"/>
              </w:rPr>
              <w:t>mance blockchain VM Sparse Merkle Tree (SMT)</w:t>
            </w:r>
          </w:p>
        </w:tc>
      </w:tr>
      <w:tr w:rsidR="001F7B08" w14:paraId="1AB11882" w14:textId="77777777">
        <w:trPr>
          <w:trHeight w:val="360"/>
        </w:trPr>
        <w:tc>
          <w:tcPr>
            <w:tcW w:w="3778" w:type="dxa"/>
            <w:tcBorders>
              <w:top w:val="single" w:sz="4" w:space="0" w:color="000000"/>
            </w:tcBorders>
            <w:tcMar>
              <w:top w:w="20" w:type="dxa"/>
              <w:left w:w="20" w:type="dxa"/>
              <w:bottom w:w="20" w:type="dxa"/>
              <w:right w:w="20" w:type="dxa"/>
            </w:tcMar>
          </w:tcPr>
          <w:p w14:paraId="596EC443" w14:textId="77777777" w:rsidR="001F7B08" w:rsidRDefault="00921D5B">
            <w:pPr>
              <w:rPr>
                <w:rFonts w:ascii="Arial" w:eastAsia="Arial" w:hAnsi="Arial" w:cs="Arial"/>
              </w:rPr>
            </w:pPr>
            <w:r>
              <w:rPr>
                <w:rFonts w:ascii="Arial" w:eastAsia="Arial" w:hAnsi="Arial" w:cs="Arial"/>
                <w:color w:val="1F1F1F"/>
              </w:rPr>
              <w:lastRenderedPageBreak/>
              <w:t>Impact on Performance</w:t>
            </w:r>
          </w:p>
        </w:tc>
        <w:tc>
          <w:tcPr>
            <w:tcW w:w="2139" w:type="dxa"/>
            <w:tcBorders>
              <w:top w:val="single" w:sz="4" w:space="0" w:color="000000"/>
            </w:tcBorders>
            <w:tcMar>
              <w:top w:w="20" w:type="dxa"/>
              <w:left w:w="20" w:type="dxa"/>
              <w:bottom w:w="20" w:type="dxa"/>
              <w:right w:w="20" w:type="dxa"/>
            </w:tcMar>
          </w:tcPr>
          <w:p w14:paraId="096C328F" w14:textId="77777777" w:rsidR="001F7B08" w:rsidRDefault="00921D5B">
            <w:pPr>
              <w:rPr>
                <w:rFonts w:ascii="Arial" w:eastAsia="Arial" w:hAnsi="Arial" w:cs="Arial"/>
              </w:rPr>
            </w:pPr>
            <w:r>
              <w:rPr>
                <w:rFonts w:ascii="Arial" w:eastAsia="Arial" w:hAnsi="Arial" w:cs="Arial"/>
                <w:color w:val="1F1F1F"/>
              </w:rPr>
              <w:t>High</w:t>
            </w:r>
          </w:p>
        </w:tc>
        <w:tc>
          <w:tcPr>
            <w:tcW w:w="2331" w:type="dxa"/>
            <w:tcBorders>
              <w:top w:val="single" w:sz="4" w:space="0" w:color="000000"/>
            </w:tcBorders>
            <w:tcMar>
              <w:top w:w="20" w:type="dxa"/>
              <w:left w:w="20" w:type="dxa"/>
              <w:bottom w:w="20" w:type="dxa"/>
              <w:right w:w="20" w:type="dxa"/>
            </w:tcMar>
          </w:tcPr>
          <w:p w14:paraId="16DC40DD" w14:textId="77777777" w:rsidR="001F7B08" w:rsidRDefault="00921D5B">
            <w:pPr>
              <w:rPr>
                <w:rFonts w:ascii="Arial" w:eastAsia="Arial" w:hAnsi="Arial" w:cs="Arial"/>
              </w:rPr>
            </w:pPr>
            <w:r>
              <w:rPr>
                <w:rFonts w:ascii="Arial" w:eastAsia="Arial" w:hAnsi="Arial" w:cs="Arial"/>
                <w:color w:val="1F1F1F"/>
              </w:rPr>
              <w:t>Lower</w:t>
            </w:r>
          </w:p>
        </w:tc>
      </w:tr>
      <w:tr w:rsidR="001F7B08" w14:paraId="5F74FB1B" w14:textId="77777777">
        <w:trPr>
          <w:trHeight w:val="360"/>
        </w:trPr>
        <w:tc>
          <w:tcPr>
            <w:tcW w:w="3778" w:type="dxa"/>
            <w:tcMar>
              <w:top w:w="20" w:type="dxa"/>
              <w:left w:w="20" w:type="dxa"/>
              <w:bottom w:w="20" w:type="dxa"/>
              <w:right w:w="20" w:type="dxa"/>
            </w:tcMar>
          </w:tcPr>
          <w:p w14:paraId="1705EBE0" w14:textId="77777777" w:rsidR="001F7B08" w:rsidRDefault="00921D5B">
            <w:pPr>
              <w:rPr>
                <w:rFonts w:ascii="Arial" w:eastAsia="Arial" w:hAnsi="Arial" w:cs="Arial"/>
              </w:rPr>
            </w:pPr>
            <w:r>
              <w:rPr>
                <w:rFonts w:ascii="Arial" w:eastAsia="Arial" w:hAnsi="Arial" w:cs="Arial"/>
                <w:color w:val="1F1F1F"/>
              </w:rPr>
              <w:t>Tree Basis</w:t>
            </w:r>
          </w:p>
        </w:tc>
        <w:tc>
          <w:tcPr>
            <w:tcW w:w="2139" w:type="dxa"/>
            <w:tcMar>
              <w:top w:w="20" w:type="dxa"/>
              <w:left w:w="20" w:type="dxa"/>
              <w:bottom w:w="20" w:type="dxa"/>
              <w:right w:w="20" w:type="dxa"/>
            </w:tcMar>
          </w:tcPr>
          <w:p w14:paraId="5936B023" w14:textId="77777777" w:rsidR="001F7B08" w:rsidRDefault="00921D5B">
            <w:pPr>
              <w:rPr>
                <w:rFonts w:ascii="Arial" w:eastAsia="Arial" w:hAnsi="Arial" w:cs="Arial"/>
              </w:rPr>
            </w:pPr>
            <w:r>
              <w:rPr>
                <w:rFonts w:ascii="Arial" w:eastAsia="Arial" w:hAnsi="Arial" w:cs="Arial"/>
                <w:color w:val="1F1F1F"/>
              </w:rPr>
              <w:t>Radix-16 (</w:t>
            </w:r>
            <w:proofErr w:type="spellStart"/>
            <w:r>
              <w:rPr>
                <w:rFonts w:ascii="Arial" w:eastAsia="Arial" w:hAnsi="Arial" w:cs="Arial"/>
                <w:color w:val="1F1F1F"/>
              </w:rPr>
              <w:t>Hexary</w:t>
            </w:r>
            <w:proofErr w:type="spellEnd"/>
            <w:r>
              <w:rPr>
                <w:rFonts w:ascii="Arial" w:eastAsia="Arial" w:hAnsi="Arial" w:cs="Arial"/>
                <w:color w:val="1F1F1F"/>
              </w:rPr>
              <w:t>)</w:t>
            </w:r>
          </w:p>
        </w:tc>
        <w:tc>
          <w:tcPr>
            <w:tcW w:w="2331" w:type="dxa"/>
            <w:tcMar>
              <w:top w:w="20" w:type="dxa"/>
              <w:left w:w="20" w:type="dxa"/>
              <w:bottom w:w="20" w:type="dxa"/>
              <w:right w:w="20" w:type="dxa"/>
            </w:tcMar>
          </w:tcPr>
          <w:p w14:paraId="22101EA9" w14:textId="77777777" w:rsidR="001F7B08" w:rsidRDefault="00921D5B">
            <w:pPr>
              <w:rPr>
                <w:rFonts w:ascii="Arial" w:eastAsia="Arial" w:hAnsi="Arial" w:cs="Arial"/>
              </w:rPr>
            </w:pPr>
            <w:r>
              <w:rPr>
                <w:rFonts w:ascii="Arial" w:eastAsia="Arial" w:hAnsi="Arial" w:cs="Arial"/>
                <w:color w:val="1F1F1F"/>
              </w:rPr>
              <w:t>Binary (Radix-2)</w:t>
            </w:r>
          </w:p>
        </w:tc>
      </w:tr>
      <w:tr w:rsidR="001F7B08" w14:paraId="78D741DD" w14:textId="77777777">
        <w:trPr>
          <w:trHeight w:val="645"/>
        </w:trPr>
        <w:tc>
          <w:tcPr>
            <w:tcW w:w="3778" w:type="dxa"/>
            <w:tcMar>
              <w:top w:w="20" w:type="dxa"/>
              <w:left w:w="20" w:type="dxa"/>
              <w:bottom w:w="20" w:type="dxa"/>
              <w:right w:w="20" w:type="dxa"/>
            </w:tcMar>
          </w:tcPr>
          <w:p w14:paraId="25D2201D" w14:textId="77777777" w:rsidR="001F7B08" w:rsidRDefault="00921D5B">
            <w:pPr>
              <w:rPr>
                <w:rFonts w:ascii="Arial" w:eastAsia="Arial" w:hAnsi="Arial" w:cs="Arial"/>
              </w:rPr>
            </w:pPr>
            <w:r>
              <w:rPr>
                <w:rFonts w:ascii="Arial" w:eastAsia="Arial" w:hAnsi="Arial" w:cs="Arial"/>
                <w:color w:val="1F1F1F"/>
              </w:rPr>
              <w:t>Binary tree is simpler for ZK arithmetic and hardware implementation.</w:t>
            </w:r>
          </w:p>
        </w:tc>
        <w:tc>
          <w:tcPr>
            <w:tcW w:w="2139" w:type="dxa"/>
            <w:tcMar>
              <w:top w:w="20" w:type="dxa"/>
              <w:left w:w="20" w:type="dxa"/>
              <w:bottom w:w="20" w:type="dxa"/>
              <w:right w:w="20" w:type="dxa"/>
            </w:tcMar>
          </w:tcPr>
          <w:p w14:paraId="0926C231" w14:textId="77777777" w:rsidR="001F7B08" w:rsidRDefault="00921D5B">
            <w:pPr>
              <w:rPr>
                <w:rFonts w:ascii="Arial" w:eastAsia="Arial" w:hAnsi="Arial" w:cs="Arial"/>
              </w:rPr>
            </w:pPr>
            <w:r>
              <w:rPr>
                <w:rFonts w:ascii="Arial" w:eastAsia="Arial" w:hAnsi="Arial" w:cs="Arial"/>
                <w:color w:val="1F1F1F"/>
              </w:rPr>
              <w:t>Yes</w:t>
            </w:r>
          </w:p>
        </w:tc>
        <w:tc>
          <w:tcPr>
            <w:tcW w:w="2331" w:type="dxa"/>
            <w:tcMar>
              <w:top w:w="20" w:type="dxa"/>
              <w:left w:w="20" w:type="dxa"/>
              <w:bottom w:w="20" w:type="dxa"/>
              <w:right w:w="20" w:type="dxa"/>
            </w:tcMar>
          </w:tcPr>
          <w:p w14:paraId="2EF49A7C" w14:textId="77777777" w:rsidR="001F7B08" w:rsidRDefault="00921D5B">
            <w:pPr>
              <w:rPr>
                <w:rFonts w:ascii="Arial" w:eastAsia="Arial" w:hAnsi="Arial" w:cs="Arial"/>
              </w:rPr>
            </w:pPr>
            <w:r>
              <w:rPr>
                <w:rFonts w:ascii="Arial" w:eastAsia="Arial" w:hAnsi="Arial" w:cs="Arial"/>
                <w:color w:val="1F1F1F"/>
              </w:rPr>
              <w:t>No</w:t>
            </w:r>
          </w:p>
        </w:tc>
      </w:tr>
      <w:tr w:rsidR="001F7B08" w14:paraId="0DEC5222" w14:textId="77777777">
        <w:trPr>
          <w:trHeight w:val="645"/>
        </w:trPr>
        <w:tc>
          <w:tcPr>
            <w:tcW w:w="3778" w:type="dxa"/>
            <w:tcMar>
              <w:top w:w="20" w:type="dxa"/>
              <w:left w:w="20" w:type="dxa"/>
              <w:bottom w:w="20" w:type="dxa"/>
              <w:right w:w="20" w:type="dxa"/>
            </w:tcMar>
          </w:tcPr>
          <w:p w14:paraId="7506ABAD" w14:textId="77777777" w:rsidR="001F7B08" w:rsidRDefault="00921D5B">
            <w:pPr>
              <w:rPr>
                <w:rFonts w:ascii="Arial" w:eastAsia="Arial" w:hAnsi="Arial" w:cs="Arial"/>
              </w:rPr>
            </w:pPr>
            <w:r>
              <w:rPr>
                <w:rFonts w:ascii="Arial" w:eastAsia="Arial" w:hAnsi="Arial" w:cs="Arial"/>
                <w:color w:val="1F1F1F"/>
              </w:rPr>
              <w:t>Storage Structure</w:t>
            </w:r>
          </w:p>
        </w:tc>
        <w:tc>
          <w:tcPr>
            <w:tcW w:w="2139" w:type="dxa"/>
            <w:tcMar>
              <w:top w:w="20" w:type="dxa"/>
              <w:left w:w="20" w:type="dxa"/>
              <w:bottom w:w="20" w:type="dxa"/>
              <w:right w:w="20" w:type="dxa"/>
            </w:tcMar>
          </w:tcPr>
          <w:p w14:paraId="1BF4F75F" w14:textId="77777777" w:rsidR="001F7B08" w:rsidRDefault="00921D5B">
            <w:pPr>
              <w:rPr>
                <w:rFonts w:ascii="Arial" w:eastAsia="Arial" w:hAnsi="Arial" w:cs="Arial"/>
              </w:rPr>
            </w:pPr>
            <w:r>
              <w:rPr>
                <w:rFonts w:ascii="Arial" w:eastAsia="Arial" w:hAnsi="Arial" w:cs="Arial"/>
                <w:color w:val="1F1F1F"/>
              </w:rPr>
              <w:t xml:space="preserve">Complex: Extension, Branch, Leaf </w:t>
            </w:r>
            <w:r>
              <w:rPr>
                <w:rFonts w:ascii="Arial" w:eastAsia="Arial" w:hAnsi="Arial" w:cs="Arial"/>
                <w:color w:val="1F1F1F"/>
              </w:rPr>
              <w:t>nodes</w:t>
            </w:r>
          </w:p>
        </w:tc>
        <w:tc>
          <w:tcPr>
            <w:tcW w:w="2331" w:type="dxa"/>
            <w:tcMar>
              <w:top w:w="20" w:type="dxa"/>
              <w:left w:w="20" w:type="dxa"/>
              <w:bottom w:w="20" w:type="dxa"/>
              <w:right w:w="20" w:type="dxa"/>
            </w:tcMar>
          </w:tcPr>
          <w:p w14:paraId="1FC2C42A" w14:textId="77777777" w:rsidR="001F7B08" w:rsidRDefault="00921D5B">
            <w:pPr>
              <w:rPr>
                <w:rFonts w:ascii="Arial" w:eastAsia="Arial" w:hAnsi="Arial" w:cs="Arial"/>
              </w:rPr>
            </w:pPr>
            <w:r>
              <w:rPr>
                <w:rFonts w:ascii="Arial" w:eastAsia="Arial" w:hAnsi="Arial" w:cs="Arial"/>
                <w:color w:val="1F1F1F"/>
              </w:rPr>
              <w:t>Simple: Leaf, Empty</w:t>
            </w:r>
          </w:p>
        </w:tc>
      </w:tr>
      <w:tr w:rsidR="001F7B08" w14:paraId="3553DDCB" w14:textId="77777777">
        <w:trPr>
          <w:trHeight w:val="645"/>
        </w:trPr>
        <w:tc>
          <w:tcPr>
            <w:tcW w:w="3778" w:type="dxa"/>
            <w:tcMar>
              <w:top w:w="20" w:type="dxa"/>
              <w:left w:w="20" w:type="dxa"/>
              <w:bottom w:w="20" w:type="dxa"/>
              <w:right w:w="20" w:type="dxa"/>
            </w:tcMar>
          </w:tcPr>
          <w:p w14:paraId="3E1791C8" w14:textId="77777777" w:rsidR="001F7B08" w:rsidRDefault="00921D5B">
            <w:pPr>
              <w:rPr>
                <w:rFonts w:ascii="Arial" w:eastAsia="Arial" w:hAnsi="Arial" w:cs="Arial"/>
              </w:rPr>
            </w:pPr>
            <w:r>
              <w:rPr>
                <w:rFonts w:ascii="Arial" w:eastAsia="Arial" w:hAnsi="Arial" w:cs="Arial"/>
                <w:color w:val="1F1F1F"/>
              </w:rPr>
              <w:t>SMT reduces overhead for parsing complex node types.</w:t>
            </w:r>
          </w:p>
        </w:tc>
        <w:tc>
          <w:tcPr>
            <w:tcW w:w="2139" w:type="dxa"/>
            <w:tcMar>
              <w:top w:w="20" w:type="dxa"/>
              <w:left w:w="20" w:type="dxa"/>
              <w:bottom w:w="20" w:type="dxa"/>
              <w:right w:w="20" w:type="dxa"/>
            </w:tcMar>
          </w:tcPr>
          <w:p w14:paraId="29407EAC" w14:textId="77777777" w:rsidR="001F7B08" w:rsidRDefault="00921D5B">
            <w:pPr>
              <w:rPr>
                <w:rFonts w:ascii="Arial" w:eastAsia="Arial" w:hAnsi="Arial" w:cs="Arial"/>
              </w:rPr>
            </w:pPr>
            <w:r>
              <w:rPr>
                <w:rFonts w:ascii="Arial" w:eastAsia="Arial" w:hAnsi="Arial" w:cs="Arial"/>
                <w:color w:val="1F1F1F"/>
              </w:rPr>
              <w:t>No</w:t>
            </w:r>
          </w:p>
        </w:tc>
        <w:tc>
          <w:tcPr>
            <w:tcW w:w="2331" w:type="dxa"/>
            <w:tcMar>
              <w:top w:w="20" w:type="dxa"/>
              <w:left w:w="20" w:type="dxa"/>
              <w:bottom w:w="20" w:type="dxa"/>
              <w:right w:w="20" w:type="dxa"/>
            </w:tcMar>
          </w:tcPr>
          <w:p w14:paraId="2A485E3C" w14:textId="77777777" w:rsidR="001F7B08" w:rsidRDefault="00921D5B">
            <w:pPr>
              <w:rPr>
                <w:rFonts w:ascii="Arial" w:eastAsia="Arial" w:hAnsi="Arial" w:cs="Arial"/>
              </w:rPr>
            </w:pPr>
            <w:r>
              <w:rPr>
                <w:rFonts w:ascii="Arial" w:eastAsia="Arial" w:hAnsi="Arial" w:cs="Arial"/>
                <w:color w:val="1F1F1F"/>
              </w:rPr>
              <w:t>Yes</w:t>
            </w:r>
          </w:p>
        </w:tc>
      </w:tr>
      <w:tr w:rsidR="001F7B08" w14:paraId="41CD69F3" w14:textId="77777777">
        <w:trPr>
          <w:trHeight w:val="930"/>
        </w:trPr>
        <w:tc>
          <w:tcPr>
            <w:tcW w:w="3778" w:type="dxa"/>
            <w:tcMar>
              <w:top w:w="20" w:type="dxa"/>
              <w:left w:w="20" w:type="dxa"/>
              <w:bottom w:w="20" w:type="dxa"/>
              <w:right w:w="20" w:type="dxa"/>
            </w:tcMar>
          </w:tcPr>
          <w:p w14:paraId="6D707ED9" w14:textId="77777777" w:rsidR="001F7B08" w:rsidRDefault="00921D5B">
            <w:pPr>
              <w:rPr>
                <w:rFonts w:ascii="Arial" w:eastAsia="Arial" w:hAnsi="Arial" w:cs="Arial"/>
              </w:rPr>
            </w:pPr>
            <w:r>
              <w:rPr>
                <w:rFonts w:ascii="Arial" w:eastAsia="Arial" w:hAnsi="Arial" w:cs="Arial"/>
                <w:color w:val="1F1F1F"/>
              </w:rPr>
              <w:t>Height</w:t>
            </w:r>
          </w:p>
        </w:tc>
        <w:tc>
          <w:tcPr>
            <w:tcW w:w="2139" w:type="dxa"/>
            <w:tcMar>
              <w:top w:w="20" w:type="dxa"/>
              <w:left w:w="20" w:type="dxa"/>
              <w:bottom w:w="20" w:type="dxa"/>
              <w:right w:w="20" w:type="dxa"/>
            </w:tcMar>
          </w:tcPr>
          <w:p w14:paraId="0FBF3D53" w14:textId="77777777" w:rsidR="001F7B08" w:rsidRDefault="00921D5B">
            <w:pPr>
              <w:rPr>
                <w:rFonts w:ascii="Arial" w:eastAsia="Arial" w:hAnsi="Arial" w:cs="Arial"/>
              </w:rPr>
            </w:pPr>
            <w:r>
              <w:rPr>
                <w:rFonts w:ascii="Arial" w:eastAsia="Arial" w:hAnsi="Arial" w:cs="Arial"/>
                <w:color w:val="1F1F1F"/>
              </w:rPr>
              <w:t>Variable (~4-8 levels physically, up to 64 logically)</w:t>
            </w:r>
          </w:p>
        </w:tc>
        <w:tc>
          <w:tcPr>
            <w:tcW w:w="2331" w:type="dxa"/>
            <w:tcMar>
              <w:top w:w="20" w:type="dxa"/>
              <w:left w:w="20" w:type="dxa"/>
              <w:bottom w:w="20" w:type="dxa"/>
              <w:right w:w="20" w:type="dxa"/>
            </w:tcMar>
          </w:tcPr>
          <w:p w14:paraId="36A0619C" w14:textId="77777777" w:rsidR="001F7B08" w:rsidRDefault="00921D5B">
            <w:pPr>
              <w:rPr>
                <w:rFonts w:ascii="Arial" w:eastAsia="Arial" w:hAnsi="Arial" w:cs="Arial"/>
              </w:rPr>
            </w:pPr>
            <w:r>
              <w:rPr>
                <w:rFonts w:ascii="Arial" w:eastAsia="Arial" w:hAnsi="Arial" w:cs="Arial"/>
                <w:color w:val="1F1F1F"/>
              </w:rPr>
              <w:t>Fixed logical (256), optimized physical</w:t>
            </w:r>
          </w:p>
        </w:tc>
      </w:tr>
      <w:tr w:rsidR="001F7B08" w14:paraId="4E505E52" w14:textId="77777777">
        <w:trPr>
          <w:trHeight w:val="645"/>
        </w:trPr>
        <w:tc>
          <w:tcPr>
            <w:tcW w:w="3778" w:type="dxa"/>
            <w:tcMar>
              <w:top w:w="20" w:type="dxa"/>
              <w:left w:w="20" w:type="dxa"/>
              <w:bottom w:w="20" w:type="dxa"/>
              <w:right w:w="20" w:type="dxa"/>
            </w:tcMar>
          </w:tcPr>
          <w:p w14:paraId="006665AD" w14:textId="77777777" w:rsidR="001F7B08" w:rsidRDefault="00921D5B">
            <w:pPr>
              <w:rPr>
                <w:rFonts w:ascii="Arial" w:eastAsia="Arial" w:hAnsi="Arial" w:cs="Arial"/>
              </w:rPr>
            </w:pPr>
            <w:r>
              <w:rPr>
                <w:rFonts w:ascii="Arial" w:eastAsia="Arial" w:hAnsi="Arial" w:cs="Arial"/>
                <w:color w:val="1F1F1F"/>
              </w:rPr>
              <w:t>Fixed height simplifies proof size prediction.</w:t>
            </w:r>
          </w:p>
        </w:tc>
        <w:tc>
          <w:tcPr>
            <w:tcW w:w="2139" w:type="dxa"/>
            <w:tcMar>
              <w:top w:w="20" w:type="dxa"/>
              <w:left w:w="20" w:type="dxa"/>
              <w:bottom w:w="20" w:type="dxa"/>
              <w:right w:w="20" w:type="dxa"/>
            </w:tcMar>
          </w:tcPr>
          <w:p w14:paraId="73573B84" w14:textId="77777777" w:rsidR="001F7B08" w:rsidRDefault="00921D5B">
            <w:pPr>
              <w:rPr>
                <w:rFonts w:ascii="Arial" w:eastAsia="Arial" w:hAnsi="Arial" w:cs="Arial"/>
              </w:rPr>
            </w:pPr>
            <w:r>
              <w:rPr>
                <w:rFonts w:ascii="Arial" w:eastAsia="Arial" w:hAnsi="Arial" w:cs="Arial"/>
                <w:color w:val="1F1F1F"/>
              </w:rPr>
              <w:t>No</w:t>
            </w:r>
          </w:p>
        </w:tc>
        <w:tc>
          <w:tcPr>
            <w:tcW w:w="2331" w:type="dxa"/>
            <w:tcMar>
              <w:top w:w="20" w:type="dxa"/>
              <w:left w:w="20" w:type="dxa"/>
              <w:bottom w:w="20" w:type="dxa"/>
              <w:right w:w="20" w:type="dxa"/>
            </w:tcMar>
          </w:tcPr>
          <w:p w14:paraId="74933475" w14:textId="77777777" w:rsidR="001F7B08" w:rsidRDefault="00921D5B">
            <w:pPr>
              <w:rPr>
                <w:rFonts w:ascii="Arial" w:eastAsia="Arial" w:hAnsi="Arial" w:cs="Arial"/>
              </w:rPr>
            </w:pPr>
            <w:r>
              <w:rPr>
                <w:rFonts w:ascii="Arial" w:eastAsia="Arial" w:hAnsi="Arial" w:cs="Arial"/>
                <w:color w:val="1F1F1F"/>
              </w:rPr>
              <w:t>Yes</w:t>
            </w:r>
          </w:p>
        </w:tc>
      </w:tr>
      <w:tr w:rsidR="001F7B08" w14:paraId="5F8A6A90" w14:textId="77777777">
        <w:trPr>
          <w:trHeight w:val="360"/>
        </w:trPr>
        <w:tc>
          <w:tcPr>
            <w:tcW w:w="3778" w:type="dxa"/>
            <w:tcMar>
              <w:top w:w="20" w:type="dxa"/>
              <w:left w:w="20" w:type="dxa"/>
              <w:bottom w:w="20" w:type="dxa"/>
              <w:right w:w="20" w:type="dxa"/>
            </w:tcMar>
          </w:tcPr>
          <w:p w14:paraId="7C3F4654" w14:textId="77777777" w:rsidR="001F7B08" w:rsidRDefault="00921D5B">
            <w:pPr>
              <w:rPr>
                <w:rFonts w:ascii="Arial" w:eastAsia="Arial" w:hAnsi="Arial" w:cs="Arial"/>
              </w:rPr>
            </w:pPr>
            <w:r>
              <w:rPr>
                <w:rFonts w:ascii="Arial" w:eastAsia="Arial" w:hAnsi="Arial" w:cs="Arial"/>
                <w:color w:val="1F1F1F"/>
              </w:rPr>
              <w:t xml:space="preserve">Hash </w:t>
            </w:r>
            <w:r>
              <w:rPr>
                <w:rFonts w:ascii="Arial" w:eastAsia="Arial" w:hAnsi="Arial" w:cs="Arial"/>
                <w:color w:val="1F1F1F"/>
              </w:rPr>
              <w:t>Function</w:t>
            </w:r>
          </w:p>
        </w:tc>
        <w:tc>
          <w:tcPr>
            <w:tcW w:w="2139" w:type="dxa"/>
            <w:tcMar>
              <w:top w:w="20" w:type="dxa"/>
              <w:left w:w="20" w:type="dxa"/>
              <w:bottom w:w="20" w:type="dxa"/>
              <w:right w:w="20" w:type="dxa"/>
            </w:tcMar>
          </w:tcPr>
          <w:p w14:paraId="2279FCDA" w14:textId="77777777" w:rsidR="001F7B08" w:rsidRDefault="00921D5B">
            <w:pPr>
              <w:rPr>
                <w:rFonts w:ascii="Arial" w:eastAsia="Arial" w:hAnsi="Arial" w:cs="Arial"/>
              </w:rPr>
            </w:pPr>
            <w:r>
              <w:rPr>
                <w:rFonts w:ascii="Arial" w:eastAsia="Arial" w:hAnsi="Arial" w:cs="Arial"/>
                <w:color w:val="1F1F1F"/>
              </w:rPr>
              <w:t>Keccak-256 (SHA-3)</w:t>
            </w:r>
          </w:p>
        </w:tc>
        <w:tc>
          <w:tcPr>
            <w:tcW w:w="2331" w:type="dxa"/>
            <w:tcMar>
              <w:top w:w="20" w:type="dxa"/>
              <w:left w:w="20" w:type="dxa"/>
              <w:bottom w:w="20" w:type="dxa"/>
              <w:right w:w="20" w:type="dxa"/>
            </w:tcMar>
          </w:tcPr>
          <w:p w14:paraId="3CE6063F" w14:textId="77777777" w:rsidR="001F7B08" w:rsidRDefault="00921D5B">
            <w:pPr>
              <w:rPr>
                <w:rFonts w:ascii="Arial" w:eastAsia="Arial" w:hAnsi="Arial" w:cs="Arial"/>
              </w:rPr>
            </w:pPr>
            <w:r>
              <w:rPr>
                <w:rFonts w:ascii="Arial" w:eastAsia="Arial" w:hAnsi="Arial" w:cs="Arial"/>
                <w:color w:val="1F1F1F"/>
              </w:rPr>
              <w:t>SHA-2-256</w:t>
            </w:r>
          </w:p>
        </w:tc>
      </w:tr>
      <w:tr w:rsidR="001F7B08" w14:paraId="5674B3CF" w14:textId="77777777">
        <w:trPr>
          <w:trHeight w:val="1215"/>
        </w:trPr>
        <w:tc>
          <w:tcPr>
            <w:tcW w:w="3778" w:type="dxa"/>
            <w:tcMar>
              <w:top w:w="20" w:type="dxa"/>
              <w:left w:w="20" w:type="dxa"/>
              <w:bottom w:w="20" w:type="dxa"/>
              <w:right w:w="20" w:type="dxa"/>
            </w:tcMar>
          </w:tcPr>
          <w:p w14:paraId="5C2701AF" w14:textId="77777777" w:rsidR="001F7B08" w:rsidRDefault="00921D5B">
            <w:pPr>
              <w:rPr>
                <w:rFonts w:ascii="Arial" w:eastAsia="Arial" w:hAnsi="Arial" w:cs="Arial"/>
              </w:rPr>
            </w:pPr>
            <w:r>
              <w:rPr>
                <w:rFonts w:ascii="Arial" w:eastAsia="Arial" w:hAnsi="Arial" w:cs="Arial"/>
                <w:color w:val="1F1F1F"/>
              </w:rPr>
              <w:t>SHA-256 has hardware support (Intel SHA-NI), accelerating computation by 5-10 times compared to software-based Keccak.</w:t>
            </w:r>
          </w:p>
        </w:tc>
        <w:tc>
          <w:tcPr>
            <w:tcW w:w="2139" w:type="dxa"/>
            <w:tcMar>
              <w:top w:w="20" w:type="dxa"/>
              <w:left w:w="20" w:type="dxa"/>
              <w:bottom w:w="20" w:type="dxa"/>
              <w:right w:w="20" w:type="dxa"/>
            </w:tcMar>
          </w:tcPr>
          <w:p w14:paraId="5F787B93" w14:textId="77777777" w:rsidR="001F7B08" w:rsidRDefault="00921D5B">
            <w:pPr>
              <w:rPr>
                <w:rFonts w:ascii="Arial" w:eastAsia="Arial" w:hAnsi="Arial" w:cs="Arial"/>
              </w:rPr>
            </w:pPr>
            <w:r>
              <w:rPr>
                <w:rFonts w:ascii="Arial" w:eastAsia="Arial" w:hAnsi="Arial" w:cs="Arial"/>
                <w:color w:val="1F1F1F"/>
              </w:rPr>
              <w:t>No</w:t>
            </w:r>
          </w:p>
        </w:tc>
        <w:tc>
          <w:tcPr>
            <w:tcW w:w="2331" w:type="dxa"/>
            <w:tcMar>
              <w:top w:w="20" w:type="dxa"/>
              <w:left w:w="20" w:type="dxa"/>
              <w:bottom w:w="20" w:type="dxa"/>
              <w:right w:w="20" w:type="dxa"/>
            </w:tcMar>
          </w:tcPr>
          <w:p w14:paraId="2C29B0E9" w14:textId="77777777" w:rsidR="001F7B08" w:rsidRDefault="00921D5B">
            <w:pPr>
              <w:rPr>
                <w:rFonts w:ascii="Arial" w:eastAsia="Arial" w:hAnsi="Arial" w:cs="Arial"/>
              </w:rPr>
            </w:pPr>
            <w:r>
              <w:rPr>
                <w:rFonts w:ascii="Arial" w:eastAsia="Arial" w:hAnsi="Arial" w:cs="Arial"/>
                <w:color w:val="1F1F1F"/>
              </w:rPr>
              <w:t>Yes</w:t>
            </w:r>
          </w:p>
        </w:tc>
      </w:tr>
      <w:tr w:rsidR="001F7B08" w14:paraId="5C11F99C" w14:textId="77777777">
        <w:trPr>
          <w:trHeight w:val="750"/>
        </w:trPr>
        <w:tc>
          <w:tcPr>
            <w:tcW w:w="3778" w:type="dxa"/>
            <w:tcMar>
              <w:top w:w="20" w:type="dxa"/>
              <w:left w:w="20" w:type="dxa"/>
              <w:bottom w:w="20" w:type="dxa"/>
              <w:right w:w="20" w:type="dxa"/>
            </w:tcMar>
          </w:tcPr>
          <w:p w14:paraId="5622EBE2" w14:textId="77777777" w:rsidR="001F7B08" w:rsidRDefault="00921D5B">
            <w:pPr>
              <w:rPr>
                <w:rFonts w:ascii="Arial" w:eastAsia="Arial" w:hAnsi="Arial" w:cs="Arial"/>
              </w:rPr>
            </w:pPr>
            <w:r>
              <w:rPr>
                <w:rFonts w:ascii="Arial" w:eastAsia="Arial" w:hAnsi="Arial" w:cs="Arial"/>
                <w:color w:val="1F1F1F"/>
              </w:rPr>
              <w:t>Write Amplification</w:t>
            </w:r>
          </w:p>
        </w:tc>
        <w:tc>
          <w:tcPr>
            <w:tcW w:w="2139" w:type="dxa"/>
            <w:tcMar>
              <w:top w:w="20" w:type="dxa"/>
              <w:left w:w="20" w:type="dxa"/>
              <w:bottom w:w="20" w:type="dxa"/>
              <w:right w:w="20" w:type="dxa"/>
            </w:tcMar>
          </w:tcPr>
          <w:p w14:paraId="14C01538" w14:textId="77777777" w:rsidR="001F7B08" w:rsidRDefault="00921D5B">
            <w:pPr>
              <w:rPr>
                <w:rFonts w:ascii="Arial" w:eastAsia="Arial" w:hAnsi="Arial" w:cs="Arial"/>
              </w:rPr>
            </w:pPr>
            <w:r>
              <w:rPr>
                <w:rFonts w:ascii="Arial" w:eastAsia="Arial" w:hAnsi="Arial" w:cs="Arial"/>
                <w:color w:val="1F1F1F"/>
              </w:rPr>
              <w:t>Extremely high (changing a leaf requires rewriting all path nodes)</w:t>
            </w:r>
          </w:p>
        </w:tc>
        <w:tc>
          <w:tcPr>
            <w:tcW w:w="2331" w:type="dxa"/>
            <w:tcMar>
              <w:top w:w="20" w:type="dxa"/>
              <w:left w:w="20" w:type="dxa"/>
              <w:bottom w:w="20" w:type="dxa"/>
              <w:right w:w="20" w:type="dxa"/>
            </w:tcMar>
          </w:tcPr>
          <w:p w14:paraId="27FAD033" w14:textId="77777777" w:rsidR="001F7B08" w:rsidRDefault="00921D5B">
            <w:pPr>
              <w:rPr>
                <w:rFonts w:ascii="Arial" w:eastAsia="Arial" w:hAnsi="Arial" w:cs="Arial"/>
              </w:rPr>
            </w:pPr>
            <w:r>
              <w:rPr>
                <w:rFonts w:ascii="Arial" w:eastAsia="Arial" w:hAnsi="Arial" w:cs="Arial"/>
                <w:color w:val="1F1F1F"/>
              </w:rPr>
              <w:t>Optimized (thanks to batched writes and QMDB structure)</w:t>
            </w:r>
          </w:p>
        </w:tc>
      </w:tr>
      <w:tr w:rsidR="001F7B08" w14:paraId="2D90D23B" w14:textId="77777777">
        <w:trPr>
          <w:trHeight w:val="285"/>
        </w:trPr>
        <w:tc>
          <w:tcPr>
            <w:tcW w:w="3778" w:type="dxa"/>
            <w:tcBorders>
              <w:bottom w:val="single" w:sz="4" w:space="0" w:color="000000"/>
            </w:tcBorders>
            <w:tcMar>
              <w:top w:w="20" w:type="dxa"/>
              <w:left w:w="20" w:type="dxa"/>
              <w:bottom w:w="20" w:type="dxa"/>
              <w:right w:w="20" w:type="dxa"/>
            </w:tcMar>
          </w:tcPr>
          <w:p w14:paraId="38A1C1A5" w14:textId="77777777" w:rsidR="001F7B08" w:rsidRDefault="00921D5B">
            <w:pPr>
              <w:rPr>
                <w:rFonts w:ascii="Arial" w:eastAsia="Arial" w:hAnsi="Arial" w:cs="Arial"/>
              </w:rPr>
            </w:pPr>
            <w:r>
              <w:rPr>
                <w:rFonts w:ascii="Arial" w:eastAsia="Arial" w:hAnsi="Arial" w:cs="Arial"/>
                <w:color w:val="1F1F1F"/>
              </w:rPr>
              <w:t>Reduces SSD load, eliminates I/O stall.</w:t>
            </w:r>
          </w:p>
        </w:tc>
        <w:tc>
          <w:tcPr>
            <w:tcW w:w="2139" w:type="dxa"/>
            <w:tcBorders>
              <w:bottom w:val="single" w:sz="4" w:space="0" w:color="000000"/>
            </w:tcBorders>
            <w:tcMar>
              <w:top w:w="20" w:type="dxa"/>
              <w:left w:w="20" w:type="dxa"/>
              <w:bottom w:w="20" w:type="dxa"/>
              <w:right w:w="20" w:type="dxa"/>
            </w:tcMar>
          </w:tcPr>
          <w:p w14:paraId="308EA6F7" w14:textId="77777777" w:rsidR="001F7B08" w:rsidRDefault="00921D5B">
            <w:pPr>
              <w:rPr>
                <w:rFonts w:ascii="Arial" w:eastAsia="Arial" w:hAnsi="Arial" w:cs="Arial"/>
              </w:rPr>
            </w:pPr>
            <w:r>
              <w:rPr>
                <w:rFonts w:ascii="Arial" w:eastAsia="Arial" w:hAnsi="Arial" w:cs="Arial"/>
                <w:color w:val="1F1F1F"/>
              </w:rPr>
              <w:t>No</w:t>
            </w:r>
          </w:p>
        </w:tc>
        <w:tc>
          <w:tcPr>
            <w:tcW w:w="2331" w:type="dxa"/>
            <w:tcBorders>
              <w:bottom w:val="single" w:sz="4" w:space="0" w:color="000000"/>
            </w:tcBorders>
            <w:tcMar>
              <w:top w:w="20" w:type="dxa"/>
              <w:left w:w="20" w:type="dxa"/>
              <w:bottom w:w="20" w:type="dxa"/>
              <w:right w:w="20" w:type="dxa"/>
            </w:tcMar>
          </w:tcPr>
          <w:p w14:paraId="6BA82B44" w14:textId="77777777" w:rsidR="001F7B08" w:rsidRDefault="00921D5B">
            <w:pPr>
              <w:rPr>
                <w:rFonts w:ascii="Arial" w:eastAsia="Arial" w:hAnsi="Arial" w:cs="Arial"/>
              </w:rPr>
            </w:pPr>
            <w:r>
              <w:rPr>
                <w:rFonts w:ascii="Arial" w:eastAsia="Arial" w:hAnsi="Arial" w:cs="Arial"/>
                <w:color w:val="1F1F1F"/>
              </w:rPr>
              <w:t>Yes</w:t>
            </w:r>
          </w:p>
        </w:tc>
      </w:tr>
    </w:tbl>
    <w:p w14:paraId="27DDE518" w14:textId="77777777" w:rsidR="001F7B08" w:rsidRDefault="001F7B08">
      <w:pPr>
        <w:tabs>
          <w:tab w:val="left" w:pos="1080"/>
        </w:tabs>
        <w:jc w:val="both"/>
        <w:rPr>
          <w:rFonts w:ascii="Arial" w:eastAsia="Arial" w:hAnsi="Arial" w:cs="Arial"/>
          <w:b/>
          <w:bCs/>
        </w:rPr>
      </w:pPr>
    </w:p>
    <w:p w14:paraId="06AAA463" w14:textId="77777777" w:rsidR="001F7B08" w:rsidRDefault="001F7B08">
      <w:pPr>
        <w:tabs>
          <w:tab w:val="left" w:pos="1080"/>
        </w:tabs>
        <w:jc w:val="both"/>
        <w:rPr>
          <w:rFonts w:ascii="Arial" w:eastAsia="Arial" w:hAnsi="Arial" w:cs="Arial"/>
          <w:b/>
          <w:bCs/>
        </w:rPr>
      </w:pPr>
    </w:p>
    <w:p w14:paraId="5B711532"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principal performance barrier in Ethereum-type blockchains is the sequential execution of transactions (Das et al., 2025). A high-performance </w:t>
      </w:r>
      <w:r>
        <w:rPr>
          <w:rFonts w:ascii="Arial" w:eastAsia="Arial" w:hAnsi="Arial" w:cs="Arial"/>
          <w:color w:val="000000"/>
        </w:rPr>
        <w:t>blockchain VM overcomes this barrier by integrating the UTXO (Unspent Transaction Output) model with a strict Access List mechanism.</w:t>
      </w:r>
    </w:p>
    <w:p w14:paraId="1C4717F3" w14:textId="77777777" w:rsidR="001F7B08" w:rsidRDefault="001F7B08">
      <w:pPr>
        <w:pBdr>
          <w:top w:val="nil"/>
          <w:left w:val="nil"/>
          <w:bottom w:val="nil"/>
          <w:right w:val="nil"/>
          <w:between w:val="nil"/>
        </w:pBdr>
        <w:jc w:val="both"/>
        <w:rPr>
          <w:rFonts w:ascii="Arial" w:eastAsia="Arial" w:hAnsi="Arial" w:cs="Arial"/>
          <w:color w:val="000000"/>
        </w:rPr>
      </w:pPr>
    </w:p>
    <w:p w14:paraId="6E6E979F"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the account model, global state is mutable. Any transaction can, in principle, modify any memory slot (for example, via</w:t>
      </w:r>
      <w:r>
        <w:rPr>
          <w:rFonts w:ascii="Arial" w:eastAsia="Arial" w:hAnsi="Arial" w:cs="Arial"/>
          <w:color w:val="000000"/>
        </w:rPr>
        <w:t xml:space="preserve"> DELEGATECALL), which makes static dependency analysis impossible without prior execution (Taherdoost, 2023). In a high-performance blockchain VM, each transaction must include the list of inputs it consumes. This requirement constructs a deterministic dep</w:t>
      </w:r>
      <w:r>
        <w:rPr>
          <w:rFonts w:ascii="Arial" w:eastAsia="Arial" w:hAnsi="Arial" w:cs="Arial"/>
          <w:color w:val="000000"/>
        </w:rPr>
        <w:t>endency graph before execution begins.</w:t>
      </w:r>
    </w:p>
    <w:p w14:paraId="23BBA081" w14:textId="77777777" w:rsidR="001F7B08" w:rsidRDefault="001F7B08">
      <w:pPr>
        <w:pBdr>
          <w:top w:val="nil"/>
          <w:left w:val="nil"/>
          <w:bottom w:val="nil"/>
          <w:right w:val="nil"/>
          <w:between w:val="nil"/>
        </w:pBdr>
        <w:jc w:val="both"/>
        <w:rPr>
          <w:rFonts w:ascii="Arial" w:eastAsia="Arial" w:hAnsi="Arial" w:cs="Arial"/>
          <w:color w:val="000000"/>
        </w:rPr>
      </w:pPr>
    </w:p>
    <w:p w14:paraId="70094482"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parallel scheduling algorithm in a high-performance blockchain VM comprises several stages, as illustrated in Figure 1. Initially, the node collects a batch of transactions from the </w:t>
      </w:r>
      <w:proofErr w:type="spellStart"/>
      <w:r>
        <w:rPr>
          <w:rFonts w:ascii="Arial" w:eastAsia="Arial" w:hAnsi="Arial" w:cs="Arial"/>
          <w:color w:val="000000"/>
        </w:rPr>
        <w:t>mempool</w:t>
      </w:r>
      <w:proofErr w:type="spellEnd"/>
      <w:r>
        <w:rPr>
          <w:rFonts w:ascii="Arial" w:eastAsia="Arial" w:hAnsi="Arial" w:cs="Arial"/>
          <w:color w:val="000000"/>
        </w:rPr>
        <w:t>, meaning that the syst</w:t>
      </w:r>
      <w:r>
        <w:rPr>
          <w:rFonts w:ascii="Arial" w:eastAsia="Arial" w:hAnsi="Arial" w:cs="Arial"/>
          <w:color w:val="000000"/>
        </w:rPr>
        <w:t>em selects transactions awaiting processing.</w:t>
      </w:r>
    </w:p>
    <w:p w14:paraId="2E9632A7" w14:textId="77777777" w:rsidR="001F7B08" w:rsidRDefault="001F7B08">
      <w:pPr>
        <w:pBdr>
          <w:top w:val="nil"/>
          <w:left w:val="nil"/>
          <w:bottom w:val="nil"/>
          <w:right w:val="nil"/>
          <w:between w:val="nil"/>
        </w:pBdr>
        <w:jc w:val="both"/>
        <w:rPr>
          <w:rFonts w:ascii="Arial" w:eastAsia="Arial" w:hAnsi="Arial" w:cs="Arial"/>
          <w:color w:val="000000"/>
        </w:rPr>
      </w:pPr>
    </w:p>
    <w:p w14:paraId="5321FB39"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Then, a conflict graph is constructed by analyzing the input fields of each transaction. Suppose two transactions, for example, transactions TX(A) and TX(B), consume different UTXOs (do not spend identical outp</w:t>
      </w:r>
      <w:r>
        <w:rPr>
          <w:rFonts w:ascii="Arial" w:eastAsia="Arial" w:hAnsi="Arial" w:cs="Arial"/>
          <w:color w:val="000000"/>
        </w:rPr>
        <w:t xml:space="preserve">uts) and do not reference the same mutable contracts. In that case, </w:t>
      </w:r>
      <w:r>
        <w:rPr>
          <w:rFonts w:ascii="Arial" w:eastAsia="Arial" w:hAnsi="Arial" w:cs="Arial"/>
          <w:color w:val="000000"/>
        </w:rPr>
        <w:lastRenderedPageBreak/>
        <w:t>these transactions are marked as independent. This enables the system to detect the absence of conflicts between such transactions and to conclude that they can be executed in parallel.</w:t>
      </w:r>
    </w:p>
    <w:p w14:paraId="59AF8948" w14:textId="77777777" w:rsidR="001F7B08" w:rsidRDefault="001F7B08">
      <w:pPr>
        <w:pBdr>
          <w:top w:val="nil"/>
          <w:left w:val="nil"/>
          <w:bottom w:val="nil"/>
          <w:right w:val="nil"/>
          <w:between w:val="nil"/>
        </w:pBdr>
        <w:jc w:val="both"/>
        <w:rPr>
          <w:rFonts w:ascii="Arial" w:eastAsia="Arial" w:hAnsi="Arial" w:cs="Arial"/>
          <w:color w:val="000000"/>
        </w:rPr>
      </w:pPr>
    </w:p>
    <w:p w14:paraId="3E326540"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w:t>
      </w:r>
      <w:r>
        <w:rPr>
          <w:rFonts w:ascii="Arial" w:eastAsia="Arial" w:hAnsi="Arial" w:cs="Arial"/>
          <w:color w:val="000000"/>
        </w:rPr>
        <w:t>inally, independent transactions are distributed across CPU cores or worker threads. Thus, transaction execution proceeds in parallel, significantly increasing throughput and reducing transaction processing time.</w:t>
      </w:r>
    </w:p>
    <w:p w14:paraId="2E6316C7" w14:textId="77777777" w:rsidR="001F7B08" w:rsidRDefault="001F7B08">
      <w:pPr>
        <w:pBdr>
          <w:top w:val="nil"/>
          <w:left w:val="nil"/>
          <w:bottom w:val="nil"/>
          <w:right w:val="nil"/>
          <w:between w:val="nil"/>
        </w:pBdr>
        <w:jc w:val="both"/>
        <w:rPr>
          <w:rFonts w:ascii="Arial" w:eastAsia="Arial" w:hAnsi="Arial" w:cs="Arial"/>
          <w:color w:val="000000"/>
        </w:rPr>
      </w:pPr>
    </w:p>
    <w:p w14:paraId="2A6D918F" w14:textId="77777777" w:rsidR="001F7B08" w:rsidRDefault="001F7B08">
      <w:pPr>
        <w:pBdr>
          <w:top w:val="nil"/>
          <w:left w:val="nil"/>
          <w:bottom w:val="nil"/>
          <w:right w:val="nil"/>
          <w:between w:val="nil"/>
        </w:pBdr>
        <w:jc w:val="both"/>
        <w:rPr>
          <w:rFonts w:ascii="Arial" w:eastAsia="Arial" w:hAnsi="Arial" w:cs="Arial"/>
          <w:color w:val="000000"/>
        </w:rPr>
      </w:pPr>
    </w:p>
    <w:p w14:paraId="4875D671" w14:textId="77777777" w:rsidR="001F7B08" w:rsidRDefault="00921D5B">
      <w:pPr>
        <w:jc w:val="center"/>
        <w:rPr>
          <w:rFonts w:ascii="Arial" w:eastAsia="Arial" w:hAnsi="Arial" w:cs="Arial"/>
          <w:b/>
          <w:bCs/>
          <w:sz w:val="22"/>
          <w:szCs w:val="22"/>
        </w:rPr>
      </w:pPr>
      <w:r>
        <w:rPr>
          <w:rFonts w:ascii="Arial" w:eastAsia="Arial" w:hAnsi="Arial" w:cs="Arial"/>
          <w:b/>
          <w:bCs/>
          <w:noProof/>
          <w:sz w:val="22"/>
          <w:szCs w:val="22"/>
        </w:rPr>
        <w:drawing>
          <wp:inline distT="0" distB="0" distL="0" distR="0" wp14:anchorId="3ADCDC9A" wp14:editId="4607E360">
            <wp:extent cx="4709568" cy="205757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709568" cy="2057578"/>
                    </a:xfrm>
                    <a:prstGeom prst="rect">
                      <a:avLst/>
                    </a:prstGeom>
                    <a:ln/>
                  </pic:spPr>
                </pic:pic>
              </a:graphicData>
            </a:graphic>
          </wp:inline>
        </w:drawing>
      </w:r>
    </w:p>
    <w:p w14:paraId="6BB08F6E" w14:textId="77777777" w:rsidR="001F7B08" w:rsidRDefault="001F7B08">
      <w:pPr>
        <w:jc w:val="both"/>
        <w:rPr>
          <w:rFonts w:ascii="Arial" w:eastAsia="Arial" w:hAnsi="Arial" w:cs="Arial"/>
          <w:b/>
          <w:bCs/>
        </w:rPr>
      </w:pPr>
    </w:p>
    <w:p w14:paraId="6F7B5BC1" w14:textId="77777777" w:rsidR="001F7B08" w:rsidRDefault="00921D5B">
      <w:pPr>
        <w:jc w:val="both"/>
        <w:rPr>
          <w:rFonts w:ascii="Arial" w:eastAsia="Arial" w:hAnsi="Arial" w:cs="Arial"/>
          <w:b/>
          <w:bCs/>
        </w:rPr>
      </w:pPr>
      <w:r>
        <w:rPr>
          <w:rFonts w:ascii="Arial" w:eastAsia="Arial" w:hAnsi="Arial" w:cs="Arial"/>
          <w:b/>
          <w:bCs/>
        </w:rPr>
        <w:t xml:space="preserve">Fig. 1. A High-Performance Blockchain </w:t>
      </w:r>
      <w:r>
        <w:rPr>
          <w:rFonts w:ascii="Arial" w:eastAsia="Arial" w:hAnsi="Arial" w:cs="Arial"/>
          <w:b/>
          <w:bCs/>
        </w:rPr>
        <w:t>VM Parallel Scheduling Algorithm</w:t>
      </w:r>
    </w:p>
    <w:p w14:paraId="6A7BF16C" w14:textId="77777777" w:rsidR="001F7B08" w:rsidRDefault="001F7B08">
      <w:pPr>
        <w:ind w:left="360"/>
        <w:jc w:val="both"/>
        <w:rPr>
          <w:rFonts w:ascii="Arial" w:eastAsia="Arial" w:hAnsi="Arial" w:cs="Arial"/>
          <w:i/>
          <w:iCs/>
          <w:sz w:val="18"/>
          <w:szCs w:val="18"/>
        </w:rPr>
      </w:pPr>
    </w:p>
    <w:p w14:paraId="2FE9B53F"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directly impacts operations on Merkle trees. Instead of locking the entire state tree for each update (Global Lock), threads can compute new hashes for independent subtrees (twigs) in parallel. Final aggregation (stit</w:t>
      </w:r>
      <w:r>
        <w:rPr>
          <w:rFonts w:ascii="Arial" w:eastAsia="Arial" w:hAnsi="Arial" w:cs="Arial"/>
          <w:color w:val="000000"/>
        </w:rPr>
        <w:t xml:space="preserve">ching the root) occurs only once at the end of the block, amortizing the cost of </w:t>
      </w:r>
      <w:proofErr w:type="spellStart"/>
      <w:r>
        <w:rPr>
          <w:rFonts w:ascii="Arial" w:eastAsia="Arial" w:hAnsi="Arial" w:cs="Arial"/>
          <w:color w:val="000000"/>
        </w:rPr>
        <w:t>recomputation</w:t>
      </w:r>
      <w:proofErr w:type="spellEnd"/>
      <w:r>
        <w:rPr>
          <w:rFonts w:ascii="Arial" w:eastAsia="Arial" w:hAnsi="Arial" w:cs="Arial"/>
          <w:color w:val="000000"/>
        </w:rPr>
        <w:t>.</w:t>
      </w:r>
    </w:p>
    <w:p w14:paraId="33DAF2C7" w14:textId="77777777" w:rsidR="001F7B08" w:rsidRDefault="001F7B08">
      <w:pPr>
        <w:pBdr>
          <w:top w:val="nil"/>
          <w:left w:val="nil"/>
          <w:bottom w:val="nil"/>
          <w:right w:val="nil"/>
          <w:between w:val="nil"/>
        </w:pBdr>
        <w:jc w:val="both"/>
        <w:rPr>
          <w:rFonts w:ascii="Arial" w:eastAsia="Arial" w:hAnsi="Arial" w:cs="Arial"/>
          <w:color w:val="000000"/>
        </w:rPr>
      </w:pPr>
    </w:p>
    <w:p w14:paraId="71A07B4E"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the UTXO model, state is the set of unspent outputs. Once an output is spent, it is removed from the active set (the set is destroyed). This creates a natur</w:t>
      </w:r>
      <w:r>
        <w:rPr>
          <w:rFonts w:ascii="Arial" w:eastAsia="Arial" w:hAnsi="Arial" w:cs="Arial"/>
          <w:color w:val="000000"/>
        </w:rPr>
        <w:t xml:space="preserve">al garbage collection mechanism. Unlike Ethereum, where obsolete contract storage slots can persist indefinitely (Zhou, Milani </w:t>
      </w:r>
      <w:proofErr w:type="spellStart"/>
      <w:r>
        <w:rPr>
          <w:rFonts w:ascii="Arial" w:eastAsia="Arial" w:hAnsi="Arial" w:cs="Arial"/>
          <w:color w:val="000000"/>
        </w:rPr>
        <w:t>Fard</w:t>
      </w:r>
      <w:proofErr w:type="spellEnd"/>
      <w:r>
        <w:rPr>
          <w:rFonts w:ascii="Arial" w:eastAsia="Arial" w:hAnsi="Arial" w:cs="Arial"/>
          <w:color w:val="000000"/>
        </w:rPr>
        <w:t xml:space="preserve"> &amp; </w:t>
      </w:r>
      <w:proofErr w:type="spellStart"/>
      <w:r>
        <w:rPr>
          <w:rFonts w:ascii="Arial" w:eastAsia="Arial" w:hAnsi="Arial" w:cs="Arial"/>
          <w:color w:val="000000"/>
        </w:rPr>
        <w:t>Makanju</w:t>
      </w:r>
      <w:proofErr w:type="spellEnd"/>
      <w:r>
        <w:rPr>
          <w:rFonts w:ascii="Arial" w:eastAsia="Arial" w:hAnsi="Arial" w:cs="Arial"/>
          <w:color w:val="000000"/>
        </w:rPr>
        <w:t>, 2022), inflating the MPT, spent UTXOs are excluded from the SMT in a high-performance blockchain VM. This maintai</w:t>
      </w:r>
      <w:r>
        <w:rPr>
          <w:rFonts w:ascii="Arial" w:eastAsia="Arial" w:hAnsi="Arial" w:cs="Arial"/>
          <w:color w:val="000000"/>
        </w:rPr>
        <w:t>ns tree compactness and prevents uncontrolled state bloat, preserving high access speed to leaves.</w:t>
      </w:r>
    </w:p>
    <w:p w14:paraId="34A75653" w14:textId="77777777" w:rsidR="001F7B08" w:rsidRDefault="001F7B08">
      <w:pPr>
        <w:pBdr>
          <w:top w:val="nil"/>
          <w:left w:val="nil"/>
          <w:bottom w:val="nil"/>
          <w:right w:val="nil"/>
          <w:between w:val="nil"/>
        </w:pBdr>
        <w:jc w:val="both"/>
        <w:rPr>
          <w:rFonts w:ascii="Arial" w:eastAsia="Arial" w:hAnsi="Arial" w:cs="Arial"/>
          <w:color w:val="000000"/>
        </w:rPr>
      </w:pPr>
    </w:p>
    <w:p w14:paraId="12A772B7"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support throughput of 21,000+ TPS, standard databases such as </w:t>
      </w:r>
      <w:proofErr w:type="spellStart"/>
      <w:r>
        <w:rPr>
          <w:rFonts w:ascii="Arial" w:eastAsia="Arial" w:hAnsi="Arial" w:cs="Arial"/>
          <w:color w:val="000000"/>
        </w:rPr>
        <w:t>RocksDB</w:t>
      </w:r>
      <w:proofErr w:type="spellEnd"/>
      <w:r>
        <w:rPr>
          <w:rFonts w:ascii="Arial" w:eastAsia="Arial" w:hAnsi="Arial" w:cs="Arial"/>
          <w:color w:val="000000"/>
        </w:rPr>
        <w:t xml:space="preserve"> (LSM-tree) become a bottleneck due to high write amplification and random access. To address this, a specialized solution, the Quick Merkle Database (QMDB), was developed (Zhang et al., 2025).</w:t>
      </w:r>
    </w:p>
    <w:p w14:paraId="3CE891AD" w14:textId="77777777" w:rsidR="001F7B08" w:rsidRDefault="001F7B08">
      <w:pPr>
        <w:pBdr>
          <w:top w:val="nil"/>
          <w:left w:val="nil"/>
          <w:bottom w:val="nil"/>
          <w:right w:val="nil"/>
          <w:between w:val="nil"/>
        </w:pBdr>
        <w:jc w:val="both"/>
        <w:rPr>
          <w:rFonts w:ascii="Arial" w:eastAsia="Arial" w:hAnsi="Arial" w:cs="Arial"/>
          <w:color w:val="000000"/>
        </w:rPr>
      </w:pPr>
    </w:p>
    <w:p w14:paraId="4129605B"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solution implements the concept of in-memory </w:t>
      </w:r>
      <w:proofErr w:type="spellStart"/>
      <w:r>
        <w:rPr>
          <w:rFonts w:ascii="Arial" w:eastAsia="Arial" w:hAnsi="Arial" w:cs="Arial"/>
          <w:color w:val="000000"/>
        </w:rPr>
        <w:t>merkleizati</w:t>
      </w:r>
      <w:r>
        <w:rPr>
          <w:rFonts w:ascii="Arial" w:eastAsia="Arial" w:hAnsi="Arial" w:cs="Arial"/>
          <w:color w:val="000000"/>
        </w:rPr>
        <w:t>on</w:t>
      </w:r>
      <w:proofErr w:type="spellEnd"/>
      <w:r>
        <w:rPr>
          <w:rFonts w:ascii="Arial" w:eastAsia="Arial" w:hAnsi="Arial" w:cs="Arial"/>
          <w:color w:val="000000"/>
        </w:rPr>
        <w:t>. Traditional approaches store the tree structure (internal nodes) on disk (</w:t>
      </w:r>
      <w:proofErr w:type="spellStart"/>
      <w:r>
        <w:rPr>
          <w:rFonts w:ascii="Arial" w:eastAsia="Arial" w:hAnsi="Arial" w:cs="Arial"/>
          <w:color w:val="000000"/>
        </w:rPr>
        <w:t>Mardiansyah</w:t>
      </w:r>
      <w:proofErr w:type="spellEnd"/>
      <w:r>
        <w:rPr>
          <w:rFonts w:ascii="Arial" w:eastAsia="Arial" w:hAnsi="Arial" w:cs="Arial"/>
          <w:color w:val="000000"/>
        </w:rPr>
        <w:t xml:space="preserve">, </w:t>
      </w:r>
      <w:proofErr w:type="spellStart"/>
      <w:r>
        <w:rPr>
          <w:rFonts w:ascii="Arial" w:eastAsia="Arial" w:hAnsi="Arial" w:cs="Arial"/>
          <w:color w:val="000000"/>
        </w:rPr>
        <w:t>Muis</w:t>
      </w:r>
      <w:proofErr w:type="spellEnd"/>
      <w:r>
        <w:rPr>
          <w:rFonts w:ascii="Arial" w:eastAsia="Arial" w:hAnsi="Arial" w:cs="Arial"/>
          <w:color w:val="000000"/>
        </w:rPr>
        <w:t xml:space="preserve"> &amp; Sari, 2023). QMDB maintains the tree in main memory using a highly efficient compressed structure called twigs.</w:t>
      </w:r>
    </w:p>
    <w:p w14:paraId="6B6259F9" w14:textId="77777777" w:rsidR="001F7B08" w:rsidRDefault="001F7B08">
      <w:pPr>
        <w:pBdr>
          <w:top w:val="nil"/>
          <w:left w:val="nil"/>
          <w:bottom w:val="nil"/>
          <w:right w:val="nil"/>
          <w:between w:val="nil"/>
        </w:pBdr>
        <w:jc w:val="both"/>
        <w:rPr>
          <w:rFonts w:ascii="Arial" w:eastAsia="Arial" w:hAnsi="Arial" w:cs="Arial"/>
          <w:color w:val="000000"/>
        </w:rPr>
      </w:pPr>
    </w:p>
    <w:p w14:paraId="37229A45"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Twigs are fixed subtrees that group updates. </w:t>
      </w:r>
      <w:r>
        <w:rPr>
          <w:rFonts w:ascii="Arial" w:eastAsia="Arial" w:hAnsi="Arial" w:cs="Arial"/>
          <w:color w:val="000000"/>
        </w:rPr>
        <w:t>Due to this grouping and the absence of any need to store intermediate node hashes on disk, QMDB achieves a memory footprint of only ~2.3 bytes per entry. This enables keeping the tree structure for billions of entries (exceeding the current Ethereum state</w:t>
      </w:r>
      <w:r>
        <w:rPr>
          <w:rFonts w:ascii="Arial" w:eastAsia="Arial" w:hAnsi="Arial" w:cs="Arial"/>
          <w:color w:val="000000"/>
        </w:rPr>
        <w:t xml:space="preserve"> by a factor of 10) entirely in RAM (several tens of gigabytes), eliminating disk reads during tree navigation (Zhang et al., 2025).</w:t>
      </w:r>
    </w:p>
    <w:p w14:paraId="458529CC" w14:textId="77777777" w:rsidR="001F7B08" w:rsidRDefault="001F7B08">
      <w:pPr>
        <w:pBdr>
          <w:top w:val="nil"/>
          <w:left w:val="nil"/>
          <w:bottom w:val="nil"/>
          <w:right w:val="nil"/>
          <w:between w:val="nil"/>
        </w:pBdr>
        <w:jc w:val="both"/>
        <w:rPr>
          <w:rFonts w:ascii="Arial" w:eastAsia="Arial" w:hAnsi="Arial" w:cs="Arial"/>
          <w:color w:val="000000"/>
        </w:rPr>
      </w:pPr>
    </w:p>
    <w:p w14:paraId="20A1640F"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Instead of modifying data in place or using LSM (Log-Structured Merge Tree) levels, QMDB employs an append-only log. This </w:t>
      </w:r>
      <w:r>
        <w:rPr>
          <w:rFonts w:ascii="Arial" w:eastAsia="Arial" w:hAnsi="Arial" w:cs="Arial"/>
          <w:color w:val="000000"/>
        </w:rPr>
        <w:t>approach significantly reduces system impact and improves performance.</w:t>
      </w:r>
    </w:p>
    <w:p w14:paraId="6A884AF8" w14:textId="77777777" w:rsidR="001F7B08" w:rsidRDefault="001F7B08">
      <w:pPr>
        <w:pBdr>
          <w:top w:val="nil"/>
          <w:left w:val="nil"/>
          <w:bottom w:val="nil"/>
          <w:right w:val="nil"/>
          <w:between w:val="nil"/>
        </w:pBdr>
        <w:jc w:val="both"/>
        <w:rPr>
          <w:rFonts w:ascii="Arial" w:eastAsia="Arial" w:hAnsi="Arial" w:cs="Arial"/>
          <w:color w:val="000000"/>
        </w:rPr>
      </w:pPr>
    </w:p>
    <w:p w14:paraId="09B0FCCA"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One advantage of this method is the reduction in the Write Amplification Factor (WAF). All updates are written sequentially, which aligns ideally with SSD physics by minimizing device </w:t>
      </w:r>
      <w:r>
        <w:rPr>
          <w:rFonts w:ascii="Arial" w:eastAsia="Arial" w:hAnsi="Arial" w:cs="Arial"/>
          <w:color w:val="000000"/>
        </w:rPr>
        <w:t>wear and write-related latency. As a result, write operations become more efficient, and their impact on the disk is minimized.</w:t>
      </w:r>
    </w:p>
    <w:p w14:paraId="65DE8C0D" w14:textId="77777777" w:rsidR="001F7B08" w:rsidRDefault="001F7B08">
      <w:pPr>
        <w:pBdr>
          <w:top w:val="nil"/>
          <w:left w:val="nil"/>
          <w:bottom w:val="nil"/>
          <w:right w:val="nil"/>
          <w:between w:val="nil"/>
        </w:pBdr>
        <w:jc w:val="both"/>
        <w:rPr>
          <w:rFonts w:ascii="Arial" w:eastAsia="Arial" w:hAnsi="Arial" w:cs="Arial"/>
          <w:color w:val="000000"/>
        </w:rPr>
      </w:pPr>
    </w:p>
    <w:p w14:paraId="25AFB12E"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terms of I/O complexity, the state update complexity in QMDB is reduced from the logarithmic complexity inherent to </w:t>
      </w:r>
      <w:proofErr w:type="spellStart"/>
      <w:r>
        <w:rPr>
          <w:rFonts w:ascii="Arial" w:eastAsia="Arial" w:hAnsi="Arial" w:cs="Arial"/>
          <w:color w:val="000000"/>
        </w:rPr>
        <w:t>RocksDB</w:t>
      </w:r>
      <w:proofErr w:type="spellEnd"/>
      <w:r>
        <w:rPr>
          <w:rFonts w:ascii="Arial" w:eastAsia="Arial" w:hAnsi="Arial" w:cs="Arial"/>
          <w:color w:val="000000"/>
        </w:rPr>
        <w:t xml:space="preserve"> </w:t>
      </w:r>
      <w:r>
        <w:rPr>
          <w:rFonts w:ascii="Arial" w:eastAsia="Arial" w:hAnsi="Arial" w:cs="Arial"/>
          <w:color w:val="000000"/>
        </w:rPr>
        <w:t>to constant complexity in amortized time. This means that state updates in QMDB are executed faster and with lower overhead. For reads, a single SSD access is sufficient to retrieve a leaf value, since the index resides in memory, thereby significantly acc</w:t>
      </w:r>
      <w:r>
        <w:rPr>
          <w:rFonts w:ascii="Arial" w:eastAsia="Arial" w:hAnsi="Arial" w:cs="Arial"/>
          <w:color w:val="000000"/>
        </w:rPr>
        <w:t>elerating the process.</w:t>
      </w:r>
    </w:p>
    <w:p w14:paraId="602CFF1C" w14:textId="77777777" w:rsidR="001F7B08" w:rsidRDefault="001F7B08">
      <w:pPr>
        <w:pBdr>
          <w:top w:val="nil"/>
          <w:left w:val="nil"/>
          <w:bottom w:val="nil"/>
          <w:right w:val="nil"/>
          <w:between w:val="nil"/>
        </w:pBdr>
        <w:jc w:val="both"/>
        <w:rPr>
          <w:rFonts w:ascii="Arial" w:eastAsia="Arial" w:hAnsi="Arial" w:cs="Arial"/>
          <w:color w:val="000000"/>
        </w:rPr>
      </w:pPr>
    </w:p>
    <w:p w14:paraId="3943C75D"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Benchmarks show that, relative to </w:t>
      </w:r>
      <w:proofErr w:type="spellStart"/>
      <w:r>
        <w:rPr>
          <w:rFonts w:ascii="Arial" w:eastAsia="Arial" w:hAnsi="Arial" w:cs="Arial"/>
          <w:color w:val="000000"/>
        </w:rPr>
        <w:t>RocksDB</w:t>
      </w:r>
      <w:proofErr w:type="spellEnd"/>
      <w:r>
        <w:rPr>
          <w:rFonts w:ascii="Arial" w:eastAsia="Arial" w:hAnsi="Arial" w:cs="Arial"/>
          <w:color w:val="000000"/>
        </w:rPr>
        <w:t xml:space="preserve">, QMDB provides a substantial performance improvement. It increases throughput by a factor of 6 compared to </w:t>
      </w:r>
      <w:proofErr w:type="spellStart"/>
      <w:r>
        <w:rPr>
          <w:rFonts w:ascii="Arial" w:eastAsia="Arial" w:hAnsi="Arial" w:cs="Arial"/>
          <w:color w:val="000000"/>
        </w:rPr>
        <w:t>RocksDB</w:t>
      </w:r>
      <w:proofErr w:type="spellEnd"/>
      <w:r>
        <w:rPr>
          <w:rFonts w:ascii="Arial" w:eastAsia="Arial" w:hAnsi="Arial" w:cs="Arial"/>
          <w:color w:val="000000"/>
        </w:rPr>
        <w:t xml:space="preserve"> and reduces Merkle proof generation latency by more than 100× (Zhang et al.</w:t>
      </w:r>
      <w:r>
        <w:rPr>
          <w:rFonts w:ascii="Arial" w:eastAsia="Arial" w:hAnsi="Arial" w:cs="Arial"/>
          <w:color w:val="000000"/>
        </w:rPr>
        <w:t>, 2025). QMDB can sustain up to 1 million token transfers per second in isolated tests, confirming its high efficiency for large-scale data workloads.</w:t>
      </w:r>
    </w:p>
    <w:p w14:paraId="78440DBA" w14:textId="77777777" w:rsidR="001F7B08" w:rsidRDefault="001F7B08">
      <w:pPr>
        <w:pBdr>
          <w:top w:val="nil"/>
          <w:left w:val="nil"/>
          <w:bottom w:val="nil"/>
          <w:right w:val="nil"/>
          <w:between w:val="nil"/>
        </w:pBdr>
        <w:jc w:val="both"/>
        <w:rPr>
          <w:rFonts w:ascii="Arial" w:eastAsia="Arial" w:hAnsi="Arial" w:cs="Arial"/>
          <w:color w:val="000000"/>
        </w:rPr>
      </w:pPr>
    </w:p>
    <w:p w14:paraId="65CF9BB1" w14:textId="77777777" w:rsidR="001F7B08" w:rsidRDefault="00921D5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DISUCSSION</w:t>
      </w:r>
    </w:p>
    <w:p w14:paraId="6894D0B5" w14:textId="77777777" w:rsidR="001F7B08" w:rsidRDefault="001F7B08">
      <w:pPr>
        <w:keepNext/>
        <w:pBdr>
          <w:top w:val="nil"/>
          <w:left w:val="nil"/>
          <w:bottom w:val="nil"/>
          <w:right w:val="nil"/>
          <w:between w:val="nil"/>
        </w:pBdr>
        <w:jc w:val="both"/>
        <w:rPr>
          <w:rFonts w:ascii="Arial" w:eastAsia="Arial" w:hAnsi="Arial" w:cs="Arial"/>
          <w:b/>
          <w:bCs/>
          <w:smallCaps/>
          <w:color w:val="000000"/>
          <w:sz w:val="22"/>
          <w:szCs w:val="22"/>
        </w:rPr>
      </w:pPr>
    </w:p>
    <w:p w14:paraId="30178FD0"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choice of a hash function is an essential architectural decision that directly </w:t>
      </w:r>
      <w:r>
        <w:rPr>
          <w:rFonts w:ascii="Arial" w:eastAsia="Arial" w:hAnsi="Arial" w:cs="Arial"/>
          <w:color w:val="000000"/>
        </w:rPr>
        <w:t>affects system performance. In a high-performance blockchain VM, the SHA-2-256 hash function is used for all Merkle tree operations. This decision is driven by the need to ensure both security and operational efficiency.</w:t>
      </w:r>
    </w:p>
    <w:p w14:paraId="12F4F329" w14:textId="77777777" w:rsidR="001F7B08" w:rsidRDefault="001F7B08">
      <w:pPr>
        <w:pBdr>
          <w:top w:val="nil"/>
          <w:left w:val="nil"/>
          <w:bottom w:val="nil"/>
          <w:right w:val="nil"/>
          <w:between w:val="nil"/>
        </w:pBdr>
        <w:jc w:val="both"/>
        <w:rPr>
          <w:rFonts w:ascii="Arial" w:eastAsia="Arial" w:hAnsi="Arial" w:cs="Arial"/>
          <w:color w:val="000000"/>
        </w:rPr>
      </w:pPr>
    </w:p>
    <w:p w14:paraId="5A212224"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the context of a </w:t>
      </w:r>
      <w:r>
        <w:rPr>
          <w:rFonts w:ascii="Arial" w:eastAsia="Arial" w:hAnsi="Arial" w:cs="Arial"/>
          <w:color w:val="000000"/>
        </w:rPr>
        <w:t>high-performance blockchain, the primary metric is the time required to verify a transaction on a validator’s processor node. Modern processors, such as AMD Zen 3/4, Intel Core 12th generation and later, and Apple M-series chips, are equipped with hardware</w:t>
      </w:r>
      <w:r>
        <w:rPr>
          <w:rFonts w:ascii="Arial" w:eastAsia="Arial" w:hAnsi="Arial" w:cs="Arial"/>
          <w:color w:val="000000"/>
        </w:rPr>
        <w:t xml:space="preserve"> instructions for SHA-256, known as SHA extensions. These hardware capabilities enable high per-core hashing throughput, significantly accelerating verification and transaction processing in the blockchain.</w:t>
      </w:r>
    </w:p>
    <w:p w14:paraId="4427AC66" w14:textId="77777777" w:rsidR="001F7B08" w:rsidRDefault="001F7B08">
      <w:pPr>
        <w:pBdr>
          <w:top w:val="nil"/>
          <w:left w:val="nil"/>
          <w:bottom w:val="nil"/>
          <w:right w:val="nil"/>
          <w:between w:val="nil"/>
        </w:pBdr>
        <w:jc w:val="both"/>
        <w:rPr>
          <w:rFonts w:ascii="Arial" w:eastAsia="Arial" w:hAnsi="Arial" w:cs="Arial"/>
          <w:color w:val="000000"/>
        </w:rPr>
      </w:pPr>
    </w:p>
    <w:p w14:paraId="410D9F6B"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use of SHA-256 creates a barrier to integrat</w:t>
      </w:r>
      <w:r>
        <w:rPr>
          <w:rFonts w:ascii="Arial" w:eastAsia="Arial" w:hAnsi="Arial" w:cs="Arial"/>
          <w:color w:val="000000"/>
        </w:rPr>
        <w:t xml:space="preserve">ion with Zero-Knowledge Proof (ZK-Rollup) systems. Representing SHA-256 in arithmetic circuits (R1CS, </w:t>
      </w:r>
      <w:proofErr w:type="spellStart"/>
      <w:r>
        <w:rPr>
          <w:rFonts w:ascii="Arial" w:eastAsia="Arial" w:hAnsi="Arial" w:cs="Arial"/>
          <w:color w:val="000000"/>
        </w:rPr>
        <w:t>Plonkish</w:t>
      </w:r>
      <w:proofErr w:type="spellEnd"/>
      <w:r>
        <w:rPr>
          <w:rFonts w:ascii="Arial" w:eastAsia="Arial" w:hAnsi="Arial" w:cs="Arial"/>
          <w:color w:val="000000"/>
        </w:rPr>
        <w:t>) is highly inefficient due to the abundance of bit-level operations (XOR, ROT), which require thousands of constraints per hash.</w:t>
      </w:r>
    </w:p>
    <w:p w14:paraId="42A9A7F5" w14:textId="77777777" w:rsidR="001F7B08" w:rsidRDefault="001F7B08">
      <w:pPr>
        <w:pBdr>
          <w:top w:val="nil"/>
          <w:left w:val="nil"/>
          <w:bottom w:val="nil"/>
          <w:right w:val="nil"/>
          <w:between w:val="nil"/>
        </w:pBdr>
        <w:jc w:val="both"/>
        <w:rPr>
          <w:rFonts w:ascii="Arial" w:eastAsia="Arial" w:hAnsi="Arial" w:cs="Arial"/>
          <w:color w:val="000000"/>
        </w:rPr>
      </w:pPr>
    </w:p>
    <w:p w14:paraId="019D44EA"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high-performa</w:t>
      </w:r>
      <w:r>
        <w:rPr>
          <w:rFonts w:ascii="Arial" w:eastAsia="Arial" w:hAnsi="Arial" w:cs="Arial"/>
          <w:color w:val="000000"/>
        </w:rPr>
        <w:t xml:space="preserve">nce blockchain VM is primarily positioned as an Optimistic Rollup. In this model, fraud proofs execute on a CPU (or in a MIPS environment, as in Cannon), where SHA-256 is efficient. Suppose ZK validation becomes necessary in the future. In that case, Fuel </w:t>
      </w:r>
      <w:r>
        <w:rPr>
          <w:rFonts w:ascii="Arial" w:eastAsia="Arial" w:hAnsi="Arial" w:cs="Arial"/>
          <w:color w:val="000000"/>
        </w:rPr>
        <w:t>will likely rely on specialized ZK coprocessors or a RISC Zero approach that allows proving the execution of arbitrary Rust code (including SHA-256) without changing the protocol's cryptographic assumptions, albeit at a higher cost than a native ZK functio</w:t>
      </w:r>
      <w:r>
        <w:rPr>
          <w:rFonts w:ascii="Arial" w:eastAsia="Arial" w:hAnsi="Arial" w:cs="Arial"/>
          <w:color w:val="000000"/>
        </w:rPr>
        <w:t>n.</w:t>
      </w:r>
    </w:p>
    <w:p w14:paraId="09696F7F" w14:textId="77777777" w:rsidR="001F7B08" w:rsidRDefault="001F7B08">
      <w:pPr>
        <w:pBdr>
          <w:top w:val="nil"/>
          <w:left w:val="nil"/>
          <w:bottom w:val="nil"/>
          <w:right w:val="nil"/>
          <w:between w:val="nil"/>
        </w:pBdr>
        <w:jc w:val="both"/>
        <w:rPr>
          <w:rFonts w:ascii="Arial" w:eastAsia="Arial" w:hAnsi="Arial" w:cs="Arial"/>
          <w:color w:val="000000"/>
        </w:rPr>
      </w:pPr>
    </w:p>
    <w:p w14:paraId="2CE70E3E"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throughput of 21,000 TPS on a Ryzen 5950X processor is the result of the synergy among all the previously described system components. This metric demonstrates the system's high efficiency, driven by various optimizations, including the selection o</w:t>
      </w:r>
      <w:r>
        <w:rPr>
          <w:rFonts w:ascii="Arial" w:eastAsia="Arial" w:hAnsi="Arial" w:cs="Arial"/>
          <w:color w:val="000000"/>
        </w:rPr>
        <w:t>f the hash function and the data architecture.</w:t>
      </w:r>
    </w:p>
    <w:p w14:paraId="371A1ADB" w14:textId="77777777" w:rsidR="001F7B08" w:rsidRDefault="001F7B08">
      <w:pPr>
        <w:pBdr>
          <w:top w:val="nil"/>
          <w:left w:val="nil"/>
          <w:bottom w:val="nil"/>
          <w:right w:val="nil"/>
          <w:between w:val="nil"/>
        </w:pBdr>
        <w:jc w:val="both"/>
        <w:rPr>
          <w:rFonts w:ascii="Arial" w:eastAsia="Arial" w:hAnsi="Arial" w:cs="Arial"/>
          <w:color w:val="000000"/>
        </w:rPr>
      </w:pPr>
    </w:p>
    <w:p w14:paraId="7F8519D6"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decomposition of this result includes several factors. First, the workload of the benchmark consisted of simple transfers, which involve only signature verification and balance (UTXO) updates. This is a l</w:t>
      </w:r>
      <w:r>
        <w:rPr>
          <w:rFonts w:ascii="Arial" w:eastAsia="Arial" w:hAnsi="Arial" w:cs="Arial"/>
          <w:color w:val="000000"/>
        </w:rPr>
        <w:t>ow-complexity operation that enables the system to achieve high performance on relatively simple computations.</w:t>
      </w:r>
    </w:p>
    <w:p w14:paraId="303D19D5" w14:textId="77777777" w:rsidR="001F7B08" w:rsidRDefault="001F7B08">
      <w:pPr>
        <w:pBdr>
          <w:top w:val="nil"/>
          <w:left w:val="nil"/>
          <w:bottom w:val="nil"/>
          <w:right w:val="nil"/>
          <w:between w:val="nil"/>
        </w:pBdr>
        <w:jc w:val="both"/>
        <w:rPr>
          <w:rFonts w:ascii="Arial" w:eastAsia="Arial" w:hAnsi="Arial" w:cs="Arial"/>
          <w:color w:val="000000"/>
        </w:rPr>
      </w:pPr>
    </w:p>
    <w:p w14:paraId="3314DA38"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Second, parallelism is exploited to the fullest extent. The 16 cores of the Ryzen 5950X operate at maximal efficiency thanks to the absence of c</w:t>
      </w:r>
      <w:r>
        <w:rPr>
          <w:rFonts w:ascii="Arial" w:eastAsia="Arial" w:hAnsi="Arial" w:cs="Arial"/>
          <w:color w:val="000000"/>
        </w:rPr>
        <w:t>onflicts in the benchmark dataset. Theoretical scaling limits are close to linear, meaning that overall transaction throughput is proportional to the number of processor cores multiplied by system efficiency.</w:t>
      </w:r>
    </w:p>
    <w:p w14:paraId="42046804" w14:textId="77777777" w:rsidR="001F7B08" w:rsidRDefault="001F7B08">
      <w:pPr>
        <w:pBdr>
          <w:top w:val="nil"/>
          <w:left w:val="nil"/>
          <w:bottom w:val="nil"/>
          <w:right w:val="nil"/>
          <w:between w:val="nil"/>
        </w:pBdr>
        <w:jc w:val="both"/>
        <w:rPr>
          <w:rFonts w:ascii="Arial" w:eastAsia="Arial" w:hAnsi="Arial" w:cs="Arial"/>
          <w:color w:val="000000"/>
        </w:rPr>
      </w:pPr>
    </w:p>
    <w:p w14:paraId="3E173AD8"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Regarding I/O, the test was conducted under co</w:t>
      </w:r>
      <w:r>
        <w:rPr>
          <w:rFonts w:ascii="Arial" w:eastAsia="Arial" w:hAnsi="Arial" w:cs="Arial"/>
          <w:color w:val="000000"/>
        </w:rPr>
        <w:t>nditions where the hot state fit entirely in RAM. This was made possible by using a data structure analogous to QMDB or its mock implementations, which eliminates the delays associated with disk reads and writes. In a real network with terabyte-scale state</w:t>
      </w:r>
      <w:r>
        <w:rPr>
          <w:rFonts w:ascii="Arial" w:eastAsia="Arial" w:hAnsi="Arial" w:cs="Arial"/>
          <w:color w:val="000000"/>
        </w:rPr>
        <w:t>, throughput will be lower. Still, the SMT architecture, combined with QMDB, ensures that performance degradation will not be logarithmic, unlike Ethereum, where state growth leads to substantial scalability limitations.</w:t>
      </w:r>
    </w:p>
    <w:p w14:paraId="1C393EB2" w14:textId="77777777" w:rsidR="001F7B08" w:rsidRDefault="001F7B08">
      <w:pPr>
        <w:pBdr>
          <w:top w:val="nil"/>
          <w:left w:val="nil"/>
          <w:bottom w:val="nil"/>
          <w:right w:val="nil"/>
          <w:between w:val="nil"/>
        </w:pBdr>
        <w:jc w:val="both"/>
        <w:rPr>
          <w:rFonts w:ascii="Arial" w:eastAsia="Arial" w:hAnsi="Arial" w:cs="Arial"/>
          <w:color w:val="000000"/>
        </w:rPr>
      </w:pPr>
    </w:p>
    <w:p w14:paraId="5B26FE6A"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comparative analysis with analog</w:t>
      </w:r>
      <w:r>
        <w:rPr>
          <w:rFonts w:ascii="Arial" w:eastAsia="Arial" w:hAnsi="Arial" w:cs="Arial"/>
          <w:color w:val="000000"/>
        </w:rPr>
        <w:t>ues is instructive. Solana uses Concurrent Merkle Trees to achieve parallelism. Solana employs a change log that allows validators to race ahead of root computation by applying changes optimistically. This requires complex synchronization logic (Anza).</w:t>
      </w:r>
    </w:p>
    <w:p w14:paraId="01FB1ADA" w14:textId="77777777" w:rsidR="001F7B08" w:rsidRDefault="001F7B08">
      <w:pPr>
        <w:pBdr>
          <w:top w:val="nil"/>
          <w:left w:val="nil"/>
          <w:bottom w:val="nil"/>
          <w:right w:val="nil"/>
          <w:between w:val="nil"/>
        </w:pBdr>
        <w:jc w:val="both"/>
        <w:rPr>
          <w:rFonts w:ascii="Arial" w:eastAsia="Arial" w:hAnsi="Arial" w:cs="Arial"/>
          <w:color w:val="000000"/>
        </w:rPr>
      </w:pPr>
    </w:p>
    <w:p w14:paraId="1941D7B8" w14:textId="77777777" w:rsidR="001F7B08" w:rsidRDefault="00921D5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w:t>
      </w:r>
      <w:r>
        <w:rPr>
          <w:rFonts w:ascii="Arial" w:eastAsia="Arial" w:hAnsi="Arial" w:cs="Arial"/>
          <w:color w:val="000000"/>
        </w:rPr>
        <w:t>high-performance blockchain VM achieves parallelism deterministically through UTXO. Threads update independent parts of the tree without complex concurrent management, since memory regions are separated at the protocol level. This makes the system more rob</w:t>
      </w:r>
      <w:r>
        <w:rPr>
          <w:rFonts w:ascii="Arial" w:eastAsia="Arial" w:hAnsi="Arial" w:cs="Arial"/>
          <w:color w:val="000000"/>
        </w:rPr>
        <w:t>ust and predictable.</w:t>
      </w:r>
    </w:p>
    <w:p w14:paraId="0DFD5C01" w14:textId="77777777" w:rsidR="001F7B08" w:rsidRDefault="001F7B08">
      <w:pPr>
        <w:pBdr>
          <w:top w:val="nil"/>
          <w:left w:val="nil"/>
          <w:bottom w:val="nil"/>
          <w:right w:val="nil"/>
          <w:between w:val="nil"/>
        </w:pBdr>
        <w:jc w:val="both"/>
        <w:rPr>
          <w:rFonts w:ascii="Arial" w:eastAsia="Arial" w:hAnsi="Arial" w:cs="Arial"/>
          <w:color w:val="000000"/>
        </w:rPr>
      </w:pPr>
    </w:p>
    <w:p w14:paraId="4BBF58A5" w14:textId="77777777" w:rsidR="001F7B08" w:rsidRDefault="00921D5B">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Verkle</w:t>
      </w:r>
      <w:proofErr w:type="spellEnd"/>
      <w:r>
        <w:rPr>
          <w:rFonts w:ascii="Arial" w:eastAsia="Arial" w:hAnsi="Arial" w:cs="Arial"/>
          <w:color w:val="000000"/>
        </w:rPr>
        <w:t xml:space="preserve"> Trees use vector commitments to produce ultra-compact proofs (hundreds of bytes) irrespective of tree width. The proposed SMT uses bitmasks. Proofs are larger than those of </w:t>
      </w:r>
      <w:proofErr w:type="spellStart"/>
      <w:r>
        <w:rPr>
          <w:rFonts w:ascii="Arial" w:eastAsia="Arial" w:hAnsi="Arial" w:cs="Arial"/>
          <w:color w:val="000000"/>
        </w:rPr>
        <w:t>Verkle</w:t>
      </w:r>
      <w:proofErr w:type="spellEnd"/>
      <w:r>
        <w:rPr>
          <w:rFonts w:ascii="Arial" w:eastAsia="Arial" w:hAnsi="Arial" w:cs="Arial"/>
          <w:color w:val="000000"/>
        </w:rPr>
        <w:t xml:space="preserve"> Trees but significantly cheaper to generate (SH</w:t>
      </w:r>
      <w:r>
        <w:rPr>
          <w:rFonts w:ascii="Arial" w:eastAsia="Arial" w:hAnsi="Arial" w:cs="Arial"/>
          <w:color w:val="000000"/>
        </w:rPr>
        <w:t>A-256 vs. elliptic-curve pairings). The proposed model effectively assumes that network bandwidth grows faster than CPU capacity for complex cryptography. Therefore, heavy proofs that are fast to generate are preferable to light proofs that are expensive t</w:t>
      </w:r>
      <w:r>
        <w:rPr>
          <w:rFonts w:ascii="Arial" w:eastAsia="Arial" w:hAnsi="Arial" w:cs="Arial"/>
          <w:color w:val="000000"/>
        </w:rPr>
        <w:t xml:space="preserve">o compute. A comparison of blockchain protocols, Solana, a high-performance blockchain VM, and </w:t>
      </w:r>
      <w:proofErr w:type="spellStart"/>
      <w:r>
        <w:rPr>
          <w:rFonts w:ascii="Arial" w:eastAsia="Arial" w:hAnsi="Arial" w:cs="Arial"/>
          <w:color w:val="000000"/>
        </w:rPr>
        <w:t>Verkle</w:t>
      </w:r>
      <w:proofErr w:type="spellEnd"/>
      <w:r>
        <w:rPr>
          <w:rFonts w:ascii="Arial" w:eastAsia="Arial" w:hAnsi="Arial" w:cs="Arial"/>
          <w:color w:val="000000"/>
        </w:rPr>
        <w:t xml:space="preserve"> Trees is shown in Table 2.</w:t>
      </w:r>
    </w:p>
    <w:p w14:paraId="06B89A52" w14:textId="77777777" w:rsidR="001F7B08" w:rsidRDefault="001F7B08">
      <w:pPr>
        <w:pBdr>
          <w:top w:val="nil"/>
          <w:left w:val="nil"/>
          <w:bottom w:val="nil"/>
          <w:right w:val="nil"/>
          <w:between w:val="nil"/>
        </w:pBdr>
        <w:jc w:val="both"/>
        <w:rPr>
          <w:rFonts w:ascii="Arial" w:eastAsia="Arial" w:hAnsi="Arial" w:cs="Arial"/>
          <w:color w:val="000000"/>
        </w:rPr>
      </w:pPr>
    </w:p>
    <w:p w14:paraId="7304F03C" w14:textId="77777777" w:rsidR="001F7B08" w:rsidRDefault="00921D5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Table 2.</w:t>
      </w:r>
      <w:r>
        <w:rPr>
          <w:rFonts w:ascii="Arial" w:eastAsia="Arial" w:hAnsi="Arial" w:cs="Arial"/>
          <w:b/>
          <w:bCs/>
          <w:color w:val="000000"/>
        </w:rPr>
        <w:tab/>
        <w:t xml:space="preserve">Comparison of Blockchain Protocols: Solana, a high-performance blockchain VM, and </w:t>
      </w:r>
      <w:proofErr w:type="spellStart"/>
      <w:r>
        <w:rPr>
          <w:rFonts w:ascii="Arial" w:eastAsia="Arial" w:hAnsi="Arial" w:cs="Arial"/>
          <w:b/>
          <w:bCs/>
          <w:color w:val="000000"/>
        </w:rPr>
        <w:t>Verkle</w:t>
      </w:r>
      <w:proofErr w:type="spellEnd"/>
      <w:r>
        <w:rPr>
          <w:rFonts w:ascii="Arial" w:eastAsia="Arial" w:hAnsi="Arial" w:cs="Arial"/>
          <w:b/>
          <w:bCs/>
          <w:color w:val="000000"/>
        </w:rPr>
        <w:t xml:space="preserve"> Trees</w:t>
      </w:r>
    </w:p>
    <w:p w14:paraId="1F8133B2" w14:textId="77777777" w:rsidR="001F7B08" w:rsidRDefault="001F7B08">
      <w:pPr>
        <w:pBdr>
          <w:top w:val="nil"/>
          <w:left w:val="nil"/>
          <w:bottom w:val="nil"/>
          <w:right w:val="nil"/>
          <w:between w:val="nil"/>
        </w:pBdr>
        <w:jc w:val="both"/>
        <w:rPr>
          <w:rFonts w:ascii="Arial" w:eastAsia="Arial" w:hAnsi="Arial" w:cs="Arial"/>
          <w:b/>
          <w:bCs/>
          <w:color w:val="000000"/>
        </w:rPr>
      </w:pPr>
    </w:p>
    <w:tbl>
      <w:tblPr>
        <w:tblStyle w:val="a1"/>
        <w:tblW w:w="8248" w:type="dxa"/>
        <w:tblLayout w:type="fixed"/>
        <w:tblLook w:val="0400" w:firstRow="0" w:lastRow="0" w:firstColumn="0" w:lastColumn="0" w:noHBand="0" w:noVBand="1"/>
      </w:tblPr>
      <w:tblGrid>
        <w:gridCol w:w="1836"/>
        <w:gridCol w:w="2007"/>
        <w:gridCol w:w="2505"/>
        <w:gridCol w:w="1900"/>
      </w:tblGrid>
      <w:tr w:rsidR="001F7B08" w14:paraId="2EB84DA7" w14:textId="77777777">
        <w:trPr>
          <w:trHeight w:val="360"/>
        </w:trPr>
        <w:tc>
          <w:tcPr>
            <w:tcW w:w="1836" w:type="dxa"/>
            <w:tcBorders>
              <w:top w:val="single" w:sz="4" w:space="0" w:color="000000"/>
              <w:bottom w:val="single" w:sz="4" w:space="0" w:color="000000"/>
            </w:tcBorders>
            <w:tcMar>
              <w:top w:w="20" w:type="dxa"/>
              <w:left w:w="20" w:type="dxa"/>
              <w:bottom w:w="20" w:type="dxa"/>
              <w:right w:w="20" w:type="dxa"/>
            </w:tcMar>
          </w:tcPr>
          <w:p w14:paraId="3AA8FDEB" w14:textId="77777777" w:rsidR="001F7B08" w:rsidRDefault="00921D5B">
            <w:pPr>
              <w:rPr>
                <w:rFonts w:ascii="Arial" w:eastAsia="Arial" w:hAnsi="Arial" w:cs="Arial"/>
              </w:rPr>
            </w:pPr>
            <w:r>
              <w:rPr>
                <w:rFonts w:ascii="Arial" w:eastAsia="Arial" w:hAnsi="Arial" w:cs="Arial"/>
                <w:b/>
                <w:bCs/>
                <w:color w:val="1F1F1F"/>
              </w:rPr>
              <w:t>Parameter</w:t>
            </w:r>
          </w:p>
        </w:tc>
        <w:tc>
          <w:tcPr>
            <w:tcW w:w="2007" w:type="dxa"/>
            <w:tcBorders>
              <w:top w:val="single" w:sz="4" w:space="0" w:color="000000"/>
              <w:bottom w:val="single" w:sz="4" w:space="0" w:color="000000"/>
            </w:tcBorders>
            <w:tcMar>
              <w:top w:w="20" w:type="dxa"/>
              <w:left w:w="20" w:type="dxa"/>
              <w:bottom w:w="20" w:type="dxa"/>
              <w:right w:w="20" w:type="dxa"/>
            </w:tcMar>
          </w:tcPr>
          <w:p w14:paraId="0021FA70" w14:textId="77777777" w:rsidR="001F7B08" w:rsidRDefault="00921D5B">
            <w:pPr>
              <w:rPr>
                <w:rFonts w:ascii="Arial" w:eastAsia="Arial" w:hAnsi="Arial" w:cs="Arial"/>
              </w:rPr>
            </w:pPr>
            <w:r>
              <w:rPr>
                <w:rFonts w:ascii="Arial" w:eastAsia="Arial" w:hAnsi="Arial" w:cs="Arial"/>
                <w:b/>
                <w:bCs/>
                <w:color w:val="1F1F1F"/>
              </w:rPr>
              <w:t>Solana</w:t>
            </w:r>
          </w:p>
        </w:tc>
        <w:tc>
          <w:tcPr>
            <w:tcW w:w="2505" w:type="dxa"/>
            <w:tcBorders>
              <w:top w:val="single" w:sz="4" w:space="0" w:color="000000"/>
              <w:bottom w:val="single" w:sz="4" w:space="0" w:color="000000"/>
            </w:tcBorders>
            <w:tcMar>
              <w:top w:w="20" w:type="dxa"/>
              <w:left w:w="20" w:type="dxa"/>
              <w:bottom w:w="20" w:type="dxa"/>
              <w:right w:w="20" w:type="dxa"/>
            </w:tcMar>
          </w:tcPr>
          <w:p w14:paraId="32915AE7" w14:textId="77777777" w:rsidR="001F7B08" w:rsidRDefault="00921D5B">
            <w:pPr>
              <w:rPr>
                <w:rFonts w:ascii="Arial" w:eastAsia="Arial" w:hAnsi="Arial" w:cs="Arial"/>
              </w:rPr>
            </w:pPr>
            <w:r>
              <w:rPr>
                <w:rFonts w:ascii="Arial" w:eastAsia="Arial" w:hAnsi="Arial" w:cs="Arial"/>
                <w:b/>
                <w:bCs/>
                <w:color w:val="1F1F1F"/>
              </w:rPr>
              <w:t xml:space="preserve">A </w:t>
            </w:r>
            <w:r>
              <w:rPr>
                <w:rFonts w:ascii="Arial" w:eastAsia="Arial" w:hAnsi="Arial" w:cs="Arial"/>
                <w:b/>
                <w:bCs/>
                <w:color w:val="1F1F1F"/>
              </w:rPr>
              <w:t>high-performance blockchain VM</w:t>
            </w:r>
          </w:p>
        </w:tc>
        <w:tc>
          <w:tcPr>
            <w:tcW w:w="1900" w:type="dxa"/>
            <w:tcBorders>
              <w:top w:val="single" w:sz="4" w:space="0" w:color="000000"/>
              <w:bottom w:val="single" w:sz="4" w:space="0" w:color="000000"/>
            </w:tcBorders>
            <w:tcMar>
              <w:top w:w="20" w:type="dxa"/>
              <w:left w:w="20" w:type="dxa"/>
              <w:bottom w:w="20" w:type="dxa"/>
              <w:right w:w="20" w:type="dxa"/>
            </w:tcMar>
          </w:tcPr>
          <w:p w14:paraId="0D591CF3" w14:textId="77777777" w:rsidR="001F7B08" w:rsidRDefault="00921D5B">
            <w:pPr>
              <w:rPr>
                <w:rFonts w:ascii="Arial" w:eastAsia="Arial" w:hAnsi="Arial" w:cs="Arial"/>
              </w:rPr>
            </w:pPr>
            <w:proofErr w:type="spellStart"/>
            <w:r>
              <w:rPr>
                <w:rFonts w:ascii="Arial" w:eastAsia="Arial" w:hAnsi="Arial" w:cs="Arial"/>
                <w:b/>
                <w:bCs/>
                <w:color w:val="1F1F1F"/>
              </w:rPr>
              <w:t>Verkle</w:t>
            </w:r>
            <w:proofErr w:type="spellEnd"/>
            <w:r>
              <w:rPr>
                <w:rFonts w:ascii="Arial" w:eastAsia="Arial" w:hAnsi="Arial" w:cs="Arial"/>
                <w:b/>
                <w:bCs/>
                <w:color w:val="1F1F1F"/>
              </w:rPr>
              <w:t xml:space="preserve"> Trees</w:t>
            </w:r>
          </w:p>
        </w:tc>
      </w:tr>
      <w:tr w:rsidR="001F7B08" w14:paraId="395BF9B5" w14:textId="77777777">
        <w:trPr>
          <w:trHeight w:val="645"/>
        </w:trPr>
        <w:tc>
          <w:tcPr>
            <w:tcW w:w="1836" w:type="dxa"/>
            <w:tcBorders>
              <w:top w:val="single" w:sz="4" w:space="0" w:color="000000"/>
            </w:tcBorders>
            <w:tcMar>
              <w:top w:w="20" w:type="dxa"/>
              <w:left w:w="20" w:type="dxa"/>
              <w:bottom w:w="20" w:type="dxa"/>
              <w:right w:w="20" w:type="dxa"/>
            </w:tcMar>
          </w:tcPr>
          <w:p w14:paraId="6F87BC0F" w14:textId="77777777" w:rsidR="001F7B08" w:rsidRDefault="00921D5B">
            <w:pPr>
              <w:rPr>
                <w:rFonts w:ascii="Arial" w:eastAsia="Arial" w:hAnsi="Arial" w:cs="Arial"/>
              </w:rPr>
            </w:pPr>
            <w:r>
              <w:rPr>
                <w:rFonts w:ascii="Arial" w:eastAsia="Arial" w:hAnsi="Arial" w:cs="Arial"/>
                <w:b/>
                <w:bCs/>
                <w:color w:val="1F1F1F"/>
              </w:rPr>
              <w:t>Tree Type</w:t>
            </w:r>
          </w:p>
        </w:tc>
        <w:tc>
          <w:tcPr>
            <w:tcW w:w="2007" w:type="dxa"/>
            <w:tcBorders>
              <w:top w:val="single" w:sz="4" w:space="0" w:color="000000"/>
            </w:tcBorders>
            <w:tcMar>
              <w:top w:w="20" w:type="dxa"/>
              <w:left w:w="20" w:type="dxa"/>
              <w:bottom w:w="20" w:type="dxa"/>
              <w:right w:w="20" w:type="dxa"/>
            </w:tcMar>
          </w:tcPr>
          <w:p w14:paraId="454674B9" w14:textId="77777777" w:rsidR="001F7B08" w:rsidRDefault="00921D5B">
            <w:pPr>
              <w:rPr>
                <w:rFonts w:ascii="Arial" w:eastAsia="Arial" w:hAnsi="Arial" w:cs="Arial"/>
              </w:rPr>
            </w:pPr>
            <w:r>
              <w:rPr>
                <w:rFonts w:ascii="Arial" w:eastAsia="Arial" w:hAnsi="Arial" w:cs="Arial"/>
                <w:color w:val="1F1F1F"/>
              </w:rPr>
              <w:t>Concurrent Merkle Trees</w:t>
            </w:r>
          </w:p>
        </w:tc>
        <w:tc>
          <w:tcPr>
            <w:tcW w:w="2505" w:type="dxa"/>
            <w:tcBorders>
              <w:top w:val="single" w:sz="4" w:space="0" w:color="000000"/>
            </w:tcBorders>
            <w:tcMar>
              <w:top w:w="20" w:type="dxa"/>
              <w:left w:w="20" w:type="dxa"/>
              <w:bottom w:w="20" w:type="dxa"/>
              <w:right w:w="20" w:type="dxa"/>
            </w:tcMar>
          </w:tcPr>
          <w:p w14:paraId="3AF8BEFD" w14:textId="77777777" w:rsidR="001F7B08" w:rsidRDefault="00921D5B">
            <w:pPr>
              <w:rPr>
                <w:rFonts w:ascii="Arial" w:eastAsia="Arial" w:hAnsi="Arial" w:cs="Arial"/>
              </w:rPr>
            </w:pPr>
            <w:r>
              <w:rPr>
                <w:rFonts w:ascii="Arial" w:eastAsia="Arial" w:hAnsi="Arial" w:cs="Arial"/>
                <w:color w:val="1F1F1F"/>
              </w:rPr>
              <w:t>UTXO (Unspent Transaction Output)</w:t>
            </w:r>
          </w:p>
        </w:tc>
        <w:tc>
          <w:tcPr>
            <w:tcW w:w="1900" w:type="dxa"/>
            <w:tcBorders>
              <w:top w:val="single" w:sz="4" w:space="0" w:color="000000"/>
            </w:tcBorders>
            <w:tcMar>
              <w:top w:w="20" w:type="dxa"/>
              <w:left w:w="20" w:type="dxa"/>
              <w:bottom w:w="20" w:type="dxa"/>
              <w:right w:w="20" w:type="dxa"/>
            </w:tcMar>
          </w:tcPr>
          <w:p w14:paraId="73C3CB52" w14:textId="77777777" w:rsidR="001F7B08" w:rsidRDefault="00921D5B">
            <w:pPr>
              <w:rPr>
                <w:rFonts w:ascii="Arial" w:eastAsia="Arial" w:hAnsi="Arial" w:cs="Arial"/>
              </w:rPr>
            </w:pPr>
            <w:proofErr w:type="spellStart"/>
            <w:r>
              <w:rPr>
                <w:rFonts w:ascii="Arial" w:eastAsia="Arial" w:hAnsi="Arial" w:cs="Arial"/>
                <w:color w:val="1F1F1F"/>
              </w:rPr>
              <w:t>Verkle</w:t>
            </w:r>
            <w:proofErr w:type="spellEnd"/>
            <w:r>
              <w:rPr>
                <w:rFonts w:ascii="Arial" w:eastAsia="Arial" w:hAnsi="Arial" w:cs="Arial"/>
                <w:color w:val="1F1F1F"/>
              </w:rPr>
              <w:t xml:space="preserve"> Trees</w:t>
            </w:r>
          </w:p>
        </w:tc>
      </w:tr>
      <w:tr w:rsidR="001F7B08" w14:paraId="7DF2569B" w14:textId="77777777">
        <w:trPr>
          <w:trHeight w:val="930"/>
        </w:trPr>
        <w:tc>
          <w:tcPr>
            <w:tcW w:w="1836" w:type="dxa"/>
            <w:tcMar>
              <w:top w:w="20" w:type="dxa"/>
              <w:left w:w="20" w:type="dxa"/>
              <w:bottom w:w="20" w:type="dxa"/>
              <w:right w:w="20" w:type="dxa"/>
            </w:tcMar>
          </w:tcPr>
          <w:p w14:paraId="18876468" w14:textId="77777777" w:rsidR="001F7B08" w:rsidRDefault="00921D5B">
            <w:pPr>
              <w:rPr>
                <w:rFonts w:ascii="Arial" w:eastAsia="Arial" w:hAnsi="Arial" w:cs="Arial"/>
              </w:rPr>
            </w:pPr>
            <w:r>
              <w:rPr>
                <w:rFonts w:ascii="Arial" w:eastAsia="Arial" w:hAnsi="Arial" w:cs="Arial"/>
                <w:b/>
                <w:bCs/>
                <w:color w:val="1F1F1F"/>
              </w:rPr>
              <w:t>Parallelism Method</w:t>
            </w:r>
          </w:p>
        </w:tc>
        <w:tc>
          <w:tcPr>
            <w:tcW w:w="2007" w:type="dxa"/>
            <w:tcMar>
              <w:top w:w="20" w:type="dxa"/>
              <w:left w:w="20" w:type="dxa"/>
              <w:bottom w:w="20" w:type="dxa"/>
              <w:right w:w="20" w:type="dxa"/>
            </w:tcMar>
          </w:tcPr>
          <w:p w14:paraId="1D23A07B" w14:textId="77777777" w:rsidR="001F7B08" w:rsidRDefault="00921D5B">
            <w:pPr>
              <w:rPr>
                <w:rFonts w:ascii="Arial" w:eastAsia="Arial" w:hAnsi="Arial" w:cs="Arial"/>
              </w:rPr>
            </w:pPr>
            <w:r>
              <w:rPr>
                <w:rFonts w:ascii="Arial" w:eastAsia="Arial" w:hAnsi="Arial" w:cs="Arial"/>
                <w:color w:val="1F1F1F"/>
              </w:rPr>
              <w:t>Parallelism through Merkle trees</w:t>
            </w:r>
          </w:p>
        </w:tc>
        <w:tc>
          <w:tcPr>
            <w:tcW w:w="2505" w:type="dxa"/>
            <w:tcMar>
              <w:top w:w="20" w:type="dxa"/>
              <w:left w:w="20" w:type="dxa"/>
              <w:bottom w:w="20" w:type="dxa"/>
              <w:right w:w="20" w:type="dxa"/>
            </w:tcMar>
          </w:tcPr>
          <w:p w14:paraId="7AD05916" w14:textId="77777777" w:rsidR="001F7B08" w:rsidRDefault="00921D5B">
            <w:pPr>
              <w:rPr>
                <w:rFonts w:ascii="Arial" w:eastAsia="Arial" w:hAnsi="Arial" w:cs="Arial"/>
              </w:rPr>
            </w:pPr>
            <w:r>
              <w:rPr>
                <w:rFonts w:ascii="Arial" w:eastAsia="Arial" w:hAnsi="Arial" w:cs="Arial"/>
                <w:color w:val="1F1F1F"/>
              </w:rPr>
              <w:t>Deterministic parallelism through independent threads</w:t>
            </w:r>
          </w:p>
        </w:tc>
        <w:tc>
          <w:tcPr>
            <w:tcW w:w="1900" w:type="dxa"/>
            <w:tcMar>
              <w:top w:w="20" w:type="dxa"/>
              <w:left w:w="20" w:type="dxa"/>
              <w:bottom w:w="20" w:type="dxa"/>
              <w:right w:w="20" w:type="dxa"/>
            </w:tcMar>
          </w:tcPr>
          <w:p w14:paraId="25F688FF" w14:textId="77777777" w:rsidR="001F7B08" w:rsidRDefault="00921D5B">
            <w:pPr>
              <w:rPr>
                <w:rFonts w:ascii="Arial" w:eastAsia="Arial" w:hAnsi="Arial" w:cs="Arial"/>
              </w:rPr>
            </w:pPr>
            <w:r>
              <w:rPr>
                <w:rFonts w:ascii="Arial" w:eastAsia="Arial" w:hAnsi="Arial" w:cs="Arial"/>
                <w:color w:val="1F1F1F"/>
              </w:rPr>
              <w:t xml:space="preserve">Ultra-compact proofs </w:t>
            </w:r>
            <w:r>
              <w:rPr>
                <w:rFonts w:ascii="Arial" w:eastAsia="Arial" w:hAnsi="Arial" w:cs="Arial"/>
                <w:color w:val="1F1F1F"/>
              </w:rPr>
              <w:t>with Vector Commitments</w:t>
            </w:r>
          </w:p>
        </w:tc>
      </w:tr>
      <w:tr w:rsidR="001F7B08" w14:paraId="164594B9" w14:textId="77777777">
        <w:trPr>
          <w:trHeight w:val="1215"/>
        </w:trPr>
        <w:tc>
          <w:tcPr>
            <w:tcW w:w="1836" w:type="dxa"/>
            <w:tcMar>
              <w:top w:w="20" w:type="dxa"/>
              <w:left w:w="20" w:type="dxa"/>
              <w:bottom w:w="20" w:type="dxa"/>
              <w:right w:w="20" w:type="dxa"/>
            </w:tcMar>
          </w:tcPr>
          <w:p w14:paraId="54F16C72" w14:textId="77777777" w:rsidR="001F7B08" w:rsidRDefault="00921D5B">
            <w:pPr>
              <w:rPr>
                <w:rFonts w:ascii="Arial" w:eastAsia="Arial" w:hAnsi="Arial" w:cs="Arial"/>
              </w:rPr>
            </w:pPr>
            <w:r>
              <w:rPr>
                <w:rFonts w:ascii="Arial" w:eastAsia="Arial" w:hAnsi="Arial" w:cs="Arial"/>
                <w:b/>
                <w:bCs/>
                <w:color w:val="1F1F1F"/>
              </w:rPr>
              <w:t>Computation Optimization</w:t>
            </w:r>
          </w:p>
        </w:tc>
        <w:tc>
          <w:tcPr>
            <w:tcW w:w="2007" w:type="dxa"/>
            <w:tcMar>
              <w:top w:w="20" w:type="dxa"/>
              <w:left w:w="20" w:type="dxa"/>
              <w:bottom w:w="20" w:type="dxa"/>
              <w:right w:w="20" w:type="dxa"/>
            </w:tcMar>
          </w:tcPr>
          <w:p w14:paraId="4CDA403C" w14:textId="77777777" w:rsidR="001F7B08" w:rsidRDefault="00921D5B">
            <w:pPr>
              <w:rPr>
                <w:rFonts w:ascii="Arial" w:eastAsia="Arial" w:hAnsi="Arial" w:cs="Arial"/>
              </w:rPr>
            </w:pPr>
            <w:r>
              <w:rPr>
                <w:rFonts w:ascii="Arial" w:eastAsia="Arial" w:hAnsi="Arial" w:cs="Arial"/>
                <w:color w:val="1F1F1F"/>
              </w:rPr>
              <w:t>Change log for optimistically applying changes</w:t>
            </w:r>
          </w:p>
        </w:tc>
        <w:tc>
          <w:tcPr>
            <w:tcW w:w="2505" w:type="dxa"/>
            <w:tcMar>
              <w:top w:w="20" w:type="dxa"/>
              <w:left w:w="20" w:type="dxa"/>
              <w:bottom w:w="20" w:type="dxa"/>
              <w:right w:w="20" w:type="dxa"/>
            </w:tcMar>
          </w:tcPr>
          <w:p w14:paraId="6BDF0A12" w14:textId="77777777" w:rsidR="001F7B08" w:rsidRDefault="00921D5B">
            <w:pPr>
              <w:rPr>
                <w:rFonts w:ascii="Arial" w:eastAsia="Arial" w:hAnsi="Arial" w:cs="Arial"/>
              </w:rPr>
            </w:pPr>
            <w:r>
              <w:rPr>
                <w:rFonts w:ascii="Arial" w:eastAsia="Arial" w:hAnsi="Arial" w:cs="Arial"/>
                <w:color w:val="1F1F1F"/>
              </w:rPr>
              <w:t>Updating independent parts of the tree without complex concurrent management</w:t>
            </w:r>
          </w:p>
        </w:tc>
        <w:tc>
          <w:tcPr>
            <w:tcW w:w="1900" w:type="dxa"/>
            <w:tcMar>
              <w:top w:w="20" w:type="dxa"/>
              <w:left w:w="20" w:type="dxa"/>
              <w:bottom w:w="20" w:type="dxa"/>
              <w:right w:w="20" w:type="dxa"/>
            </w:tcMar>
          </w:tcPr>
          <w:p w14:paraId="6692514B" w14:textId="77777777" w:rsidR="001F7B08" w:rsidRDefault="00921D5B">
            <w:pPr>
              <w:rPr>
                <w:rFonts w:ascii="Arial" w:eastAsia="Arial" w:hAnsi="Arial" w:cs="Arial"/>
              </w:rPr>
            </w:pPr>
            <w:r>
              <w:rPr>
                <w:rFonts w:ascii="Arial" w:eastAsia="Arial" w:hAnsi="Arial" w:cs="Arial"/>
                <w:color w:val="1F1F1F"/>
              </w:rPr>
              <w:t>Fast proof generation regardless of tree width</w:t>
            </w:r>
          </w:p>
        </w:tc>
      </w:tr>
      <w:tr w:rsidR="001F7B08" w14:paraId="2E596A9A" w14:textId="77777777">
        <w:trPr>
          <w:trHeight w:val="930"/>
        </w:trPr>
        <w:tc>
          <w:tcPr>
            <w:tcW w:w="1836" w:type="dxa"/>
            <w:tcMar>
              <w:top w:w="20" w:type="dxa"/>
              <w:left w:w="20" w:type="dxa"/>
              <w:bottom w:w="20" w:type="dxa"/>
              <w:right w:w="20" w:type="dxa"/>
            </w:tcMar>
          </w:tcPr>
          <w:p w14:paraId="066734F5" w14:textId="77777777" w:rsidR="001F7B08" w:rsidRDefault="00921D5B">
            <w:pPr>
              <w:rPr>
                <w:rFonts w:ascii="Arial" w:eastAsia="Arial" w:hAnsi="Arial" w:cs="Arial"/>
              </w:rPr>
            </w:pPr>
            <w:r>
              <w:rPr>
                <w:rFonts w:ascii="Arial" w:eastAsia="Arial" w:hAnsi="Arial" w:cs="Arial"/>
                <w:b/>
                <w:bCs/>
                <w:color w:val="1F1F1F"/>
              </w:rPr>
              <w:lastRenderedPageBreak/>
              <w:t>Synchronization Complexity</w:t>
            </w:r>
          </w:p>
        </w:tc>
        <w:tc>
          <w:tcPr>
            <w:tcW w:w="2007" w:type="dxa"/>
            <w:tcMar>
              <w:top w:w="20" w:type="dxa"/>
              <w:left w:w="20" w:type="dxa"/>
              <w:bottom w:w="20" w:type="dxa"/>
              <w:right w:w="20" w:type="dxa"/>
            </w:tcMar>
          </w:tcPr>
          <w:p w14:paraId="406753E0" w14:textId="77777777" w:rsidR="001F7B08" w:rsidRDefault="00921D5B">
            <w:pPr>
              <w:rPr>
                <w:rFonts w:ascii="Arial" w:eastAsia="Arial" w:hAnsi="Arial" w:cs="Arial"/>
              </w:rPr>
            </w:pPr>
            <w:r>
              <w:rPr>
                <w:rFonts w:ascii="Arial" w:eastAsia="Arial" w:hAnsi="Arial" w:cs="Arial"/>
                <w:color w:val="1F1F1F"/>
              </w:rPr>
              <w:t>Complex</w:t>
            </w:r>
            <w:r>
              <w:rPr>
                <w:rFonts w:ascii="Arial" w:eastAsia="Arial" w:hAnsi="Arial" w:cs="Arial"/>
                <w:color w:val="1F1F1F"/>
              </w:rPr>
              <w:t xml:space="preserve"> synchronization logic (Anza)</w:t>
            </w:r>
          </w:p>
        </w:tc>
        <w:tc>
          <w:tcPr>
            <w:tcW w:w="2505" w:type="dxa"/>
            <w:tcMar>
              <w:top w:w="20" w:type="dxa"/>
              <w:left w:w="20" w:type="dxa"/>
              <w:bottom w:w="20" w:type="dxa"/>
              <w:right w:w="20" w:type="dxa"/>
            </w:tcMar>
          </w:tcPr>
          <w:p w14:paraId="57098D0B" w14:textId="77777777" w:rsidR="001F7B08" w:rsidRDefault="00921D5B">
            <w:pPr>
              <w:rPr>
                <w:rFonts w:ascii="Arial" w:eastAsia="Arial" w:hAnsi="Arial" w:cs="Arial"/>
              </w:rPr>
            </w:pPr>
            <w:r>
              <w:rPr>
                <w:rFonts w:ascii="Arial" w:eastAsia="Arial" w:hAnsi="Arial" w:cs="Arial"/>
                <w:color w:val="1F1F1F"/>
              </w:rPr>
              <w:t>Simple memory area separation at the protocol level</w:t>
            </w:r>
          </w:p>
        </w:tc>
        <w:tc>
          <w:tcPr>
            <w:tcW w:w="1900" w:type="dxa"/>
            <w:tcMar>
              <w:top w:w="20" w:type="dxa"/>
              <w:left w:w="20" w:type="dxa"/>
              <w:bottom w:w="20" w:type="dxa"/>
              <w:right w:w="20" w:type="dxa"/>
            </w:tcMar>
          </w:tcPr>
          <w:p w14:paraId="2474C294" w14:textId="77777777" w:rsidR="001F7B08" w:rsidRDefault="00921D5B">
            <w:pPr>
              <w:rPr>
                <w:rFonts w:ascii="Arial" w:eastAsia="Arial" w:hAnsi="Arial" w:cs="Arial"/>
              </w:rPr>
            </w:pPr>
            <w:r>
              <w:rPr>
                <w:rFonts w:ascii="Arial" w:eastAsia="Arial" w:hAnsi="Arial" w:cs="Arial"/>
                <w:color w:val="1F1F1F"/>
              </w:rPr>
              <w:t>Proof complexity (SHA-256)</w:t>
            </w:r>
          </w:p>
        </w:tc>
      </w:tr>
      <w:tr w:rsidR="001F7B08" w14:paraId="211E893A" w14:textId="77777777">
        <w:trPr>
          <w:trHeight w:val="479"/>
        </w:trPr>
        <w:tc>
          <w:tcPr>
            <w:tcW w:w="1836" w:type="dxa"/>
            <w:tcBorders>
              <w:bottom w:val="single" w:sz="4" w:space="0" w:color="000000"/>
            </w:tcBorders>
            <w:tcMar>
              <w:top w:w="20" w:type="dxa"/>
              <w:left w:w="20" w:type="dxa"/>
              <w:bottom w:w="20" w:type="dxa"/>
              <w:right w:w="20" w:type="dxa"/>
            </w:tcMar>
          </w:tcPr>
          <w:p w14:paraId="375B70AF" w14:textId="77777777" w:rsidR="001F7B08" w:rsidRDefault="00921D5B">
            <w:pPr>
              <w:rPr>
                <w:rFonts w:ascii="Arial" w:eastAsia="Arial" w:hAnsi="Arial" w:cs="Arial"/>
              </w:rPr>
            </w:pPr>
            <w:r>
              <w:rPr>
                <w:rFonts w:ascii="Arial" w:eastAsia="Arial" w:hAnsi="Arial" w:cs="Arial"/>
                <w:b/>
                <w:bCs/>
                <w:color w:val="1F1F1F"/>
              </w:rPr>
              <w:t>Data Handling Mechanism</w:t>
            </w:r>
          </w:p>
        </w:tc>
        <w:tc>
          <w:tcPr>
            <w:tcW w:w="2007" w:type="dxa"/>
            <w:tcBorders>
              <w:bottom w:val="single" w:sz="4" w:space="0" w:color="000000"/>
            </w:tcBorders>
            <w:tcMar>
              <w:top w:w="20" w:type="dxa"/>
              <w:left w:w="20" w:type="dxa"/>
              <w:bottom w:w="20" w:type="dxa"/>
              <w:right w:w="20" w:type="dxa"/>
            </w:tcMar>
          </w:tcPr>
          <w:p w14:paraId="49FEC224" w14:textId="77777777" w:rsidR="001F7B08" w:rsidRDefault="00921D5B">
            <w:pPr>
              <w:rPr>
                <w:rFonts w:ascii="Arial" w:eastAsia="Arial" w:hAnsi="Arial" w:cs="Arial"/>
              </w:rPr>
            </w:pPr>
            <w:r>
              <w:rPr>
                <w:rFonts w:ascii="Arial" w:eastAsia="Arial" w:hAnsi="Arial" w:cs="Arial"/>
                <w:color w:val="1F1F1F"/>
              </w:rPr>
              <w:t>Validators race ahead in computing the root</w:t>
            </w:r>
          </w:p>
        </w:tc>
        <w:tc>
          <w:tcPr>
            <w:tcW w:w="2505" w:type="dxa"/>
            <w:tcBorders>
              <w:bottom w:val="single" w:sz="4" w:space="0" w:color="000000"/>
            </w:tcBorders>
            <w:tcMar>
              <w:top w:w="20" w:type="dxa"/>
              <w:left w:w="20" w:type="dxa"/>
              <w:bottom w:w="20" w:type="dxa"/>
              <w:right w:w="20" w:type="dxa"/>
            </w:tcMar>
          </w:tcPr>
          <w:p w14:paraId="4D6AAD61" w14:textId="77777777" w:rsidR="001F7B08" w:rsidRDefault="00921D5B">
            <w:pPr>
              <w:rPr>
                <w:rFonts w:ascii="Arial" w:eastAsia="Arial" w:hAnsi="Arial" w:cs="Arial"/>
              </w:rPr>
            </w:pPr>
            <w:r>
              <w:rPr>
                <w:rFonts w:ascii="Arial" w:eastAsia="Arial" w:hAnsi="Arial" w:cs="Arial"/>
                <w:color w:val="1F1F1F"/>
              </w:rPr>
              <w:t>Stability and predictability</w:t>
            </w:r>
          </w:p>
        </w:tc>
        <w:tc>
          <w:tcPr>
            <w:tcW w:w="1900" w:type="dxa"/>
            <w:tcBorders>
              <w:bottom w:val="single" w:sz="4" w:space="0" w:color="000000"/>
            </w:tcBorders>
            <w:tcMar>
              <w:top w:w="20" w:type="dxa"/>
              <w:left w:w="20" w:type="dxa"/>
              <w:bottom w:w="20" w:type="dxa"/>
              <w:right w:w="20" w:type="dxa"/>
            </w:tcMar>
          </w:tcPr>
          <w:p w14:paraId="108A34F6" w14:textId="77777777" w:rsidR="001F7B08" w:rsidRDefault="00921D5B">
            <w:pPr>
              <w:rPr>
                <w:rFonts w:ascii="Arial" w:eastAsia="Arial" w:hAnsi="Arial" w:cs="Arial"/>
              </w:rPr>
            </w:pPr>
            <w:r>
              <w:rPr>
                <w:rFonts w:ascii="Arial" w:eastAsia="Arial" w:hAnsi="Arial" w:cs="Arial"/>
                <w:color w:val="1F1F1F"/>
              </w:rPr>
              <w:t>Use of bit masks in the proposed SMT</w:t>
            </w:r>
          </w:p>
        </w:tc>
      </w:tr>
    </w:tbl>
    <w:p w14:paraId="2B8330F7" w14:textId="77777777" w:rsidR="001F7B08" w:rsidRDefault="001F7B08" w:rsidP="004E0AB9">
      <w:pPr>
        <w:pBdr>
          <w:top w:val="nil"/>
          <w:left w:val="nil"/>
          <w:bottom w:val="nil"/>
          <w:right w:val="nil"/>
          <w:between w:val="nil"/>
        </w:pBdr>
        <w:jc w:val="both"/>
        <w:rPr>
          <w:rFonts w:ascii="Arial" w:eastAsia="Arial" w:hAnsi="Arial" w:cs="Arial"/>
          <w:color w:val="000000"/>
        </w:rPr>
      </w:pPr>
    </w:p>
    <w:p w14:paraId="62FA44BA" w14:textId="77777777" w:rsidR="001F7B08" w:rsidRDefault="001F7B08" w:rsidP="004E0AB9">
      <w:pPr>
        <w:pBdr>
          <w:top w:val="nil"/>
          <w:left w:val="nil"/>
          <w:bottom w:val="nil"/>
          <w:right w:val="nil"/>
          <w:between w:val="nil"/>
        </w:pBdr>
        <w:jc w:val="both"/>
        <w:rPr>
          <w:rFonts w:ascii="Arial" w:eastAsia="Arial" w:hAnsi="Arial" w:cs="Arial"/>
          <w:color w:val="000000"/>
        </w:rPr>
      </w:pPr>
    </w:p>
    <w:p w14:paraId="362B7AF9" w14:textId="77777777" w:rsidR="001F7B08" w:rsidRDefault="00921D5B" w:rsidP="004E0AB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4. </w:t>
      </w:r>
      <w:r>
        <w:rPr>
          <w:rFonts w:ascii="Arial" w:eastAsia="Arial" w:hAnsi="Arial" w:cs="Arial"/>
          <w:b/>
          <w:bCs/>
          <w:smallCaps/>
          <w:color w:val="000000"/>
          <w:sz w:val="22"/>
          <w:szCs w:val="22"/>
        </w:rPr>
        <w:t>Conclusion</w:t>
      </w:r>
    </w:p>
    <w:p w14:paraId="3D196F69" w14:textId="77777777" w:rsidR="001F7B08" w:rsidRDefault="001F7B08" w:rsidP="004E0AB9">
      <w:pPr>
        <w:keepNext/>
        <w:pBdr>
          <w:top w:val="nil"/>
          <w:left w:val="nil"/>
          <w:bottom w:val="nil"/>
          <w:right w:val="nil"/>
          <w:between w:val="nil"/>
        </w:pBdr>
        <w:jc w:val="both"/>
        <w:rPr>
          <w:rFonts w:ascii="Arial" w:eastAsia="Arial" w:hAnsi="Arial" w:cs="Arial"/>
          <w:b/>
          <w:bCs/>
          <w:smallCaps/>
          <w:color w:val="000000"/>
          <w:sz w:val="22"/>
          <w:szCs w:val="22"/>
        </w:rPr>
      </w:pPr>
    </w:p>
    <w:p w14:paraId="13D3D787" w14:textId="77777777" w:rsidR="001F7B08" w:rsidRDefault="00921D5B" w:rsidP="004E0A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analysis conducted shows that a high-performance blockchain VM architecture constitutes an integrated solution to the scalability problem at the execution layer. Several key approaches underpin this architecture's success.</w:t>
      </w:r>
    </w:p>
    <w:p w14:paraId="41001B5A" w14:textId="77777777" w:rsidR="001F7B08" w:rsidRDefault="001F7B08" w:rsidP="004E0AB9">
      <w:pPr>
        <w:pBdr>
          <w:top w:val="nil"/>
          <w:left w:val="nil"/>
          <w:bottom w:val="nil"/>
          <w:right w:val="nil"/>
          <w:between w:val="nil"/>
        </w:pBdr>
        <w:jc w:val="both"/>
        <w:rPr>
          <w:rFonts w:ascii="Arial" w:eastAsia="Arial" w:hAnsi="Arial" w:cs="Arial"/>
          <w:color w:val="000000"/>
        </w:rPr>
      </w:pPr>
    </w:p>
    <w:p w14:paraId="3C262636" w14:textId="77777777" w:rsidR="001F7B08" w:rsidRDefault="00921D5B" w:rsidP="004E0A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First, the </w:t>
      </w:r>
      <w:r>
        <w:rPr>
          <w:rFonts w:ascii="Arial" w:eastAsia="Arial" w:hAnsi="Arial" w:cs="Arial"/>
          <w:color w:val="000000"/>
        </w:rPr>
        <w:t>hybridization of data structures. The use of specialized Merkle trees, Binary Merkle Trees (BMT) for code and Sparse Merkle Trees (SMT) for state, enables data storage to be optimized according to distinct access patterns. This approach allows for efficien</w:t>
      </w:r>
      <w:r>
        <w:rPr>
          <w:rFonts w:ascii="Arial" w:eastAsia="Arial" w:hAnsi="Arial" w:cs="Arial"/>
          <w:color w:val="000000"/>
        </w:rPr>
        <w:t>t management of both code and state, thereby improving overall system performance.</w:t>
      </w:r>
    </w:p>
    <w:p w14:paraId="1E94A948" w14:textId="77777777" w:rsidR="001F7B08" w:rsidRDefault="001F7B08" w:rsidP="004E0AB9">
      <w:pPr>
        <w:pBdr>
          <w:top w:val="nil"/>
          <w:left w:val="nil"/>
          <w:bottom w:val="nil"/>
          <w:right w:val="nil"/>
          <w:between w:val="nil"/>
        </w:pBdr>
        <w:jc w:val="both"/>
        <w:rPr>
          <w:rFonts w:ascii="Arial" w:eastAsia="Arial" w:hAnsi="Arial" w:cs="Arial"/>
          <w:color w:val="000000"/>
        </w:rPr>
      </w:pPr>
    </w:p>
    <w:p w14:paraId="482EE375" w14:textId="77777777" w:rsidR="001F7B08" w:rsidRDefault="00921D5B" w:rsidP="004E0A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Second, the abandonment of legacy storage solutions. Migration to QMDB with in-memory </w:t>
      </w:r>
      <w:proofErr w:type="spellStart"/>
      <w:r>
        <w:rPr>
          <w:rFonts w:ascii="Arial" w:eastAsia="Arial" w:hAnsi="Arial" w:cs="Arial"/>
          <w:color w:val="000000"/>
        </w:rPr>
        <w:t>merkleization</w:t>
      </w:r>
      <w:proofErr w:type="spellEnd"/>
      <w:r>
        <w:rPr>
          <w:rFonts w:ascii="Arial" w:eastAsia="Arial" w:hAnsi="Arial" w:cs="Arial"/>
          <w:color w:val="000000"/>
        </w:rPr>
        <w:t xml:space="preserve"> and append-only logs eliminates one of the principal bottlenecks of mode</w:t>
      </w:r>
      <w:r>
        <w:rPr>
          <w:rFonts w:ascii="Arial" w:eastAsia="Arial" w:hAnsi="Arial" w:cs="Arial"/>
          <w:color w:val="000000"/>
        </w:rPr>
        <w:t>rn blockchains, I/O latency. This substantially increases transaction processing speed and improves overall system efficiency.</w:t>
      </w:r>
    </w:p>
    <w:p w14:paraId="49D8D11A" w14:textId="77777777" w:rsidR="001F7B08" w:rsidRDefault="001F7B08" w:rsidP="004E0AB9">
      <w:pPr>
        <w:pBdr>
          <w:top w:val="nil"/>
          <w:left w:val="nil"/>
          <w:bottom w:val="nil"/>
          <w:right w:val="nil"/>
          <w:between w:val="nil"/>
        </w:pBdr>
        <w:jc w:val="both"/>
        <w:rPr>
          <w:rFonts w:ascii="Arial" w:eastAsia="Arial" w:hAnsi="Arial" w:cs="Arial"/>
          <w:color w:val="000000"/>
        </w:rPr>
      </w:pPr>
    </w:p>
    <w:p w14:paraId="1DDAA4DE" w14:textId="77777777" w:rsidR="001F7B08" w:rsidRDefault="00921D5B" w:rsidP="004E0A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Finally, the synergy of the UTXO and SMT models. The UTXO model not only promotes execution parallelism but also prevents Merkle</w:t>
      </w:r>
      <w:r>
        <w:rPr>
          <w:rFonts w:ascii="Arial" w:eastAsia="Arial" w:hAnsi="Arial" w:cs="Arial"/>
          <w:color w:val="000000"/>
        </w:rPr>
        <w:t xml:space="preserve"> tree performance degradation through natural state cleanup. This process, known as state pruning, enables efficient state management without overloading the Merkle tree, thereby sustaining high performance even as network scale increases.</w:t>
      </w:r>
    </w:p>
    <w:p w14:paraId="67F3AAFE" w14:textId="77777777" w:rsidR="001F7B08" w:rsidRDefault="001F7B08" w:rsidP="004E0AB9">
      <w:pPr>
        <w:pBdr>
          <w:top w:val="nil"/>
          <w:left w:val="nil"/>
          <w:bottom w:val="nil"/>
          <w:right w:val="nil"/>
          <w:between w:val="nil"/>
        </w:pBdr>
        <w:jc w:val="both"/>
        <w:rPr>
          <w:rFonts w:ascii="Arial" w:eastAsia="Arial" w:hAnsi="Arial" w:cs="Arial"/>
          <w:color w:val="000000"/>
        </w:rPr>
      </w:pPr>
    </w:p>
    <w:p w14:paraId="09F3C405" w14:textId="77777777" w:rsidR="001F7B08" w:rsidRDefault="00921D5B" w:rsidP="004E0A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results of </w:t>
      </w:r>
      <w:r>
        <w:rPr>
          <w:rFonts w:ascii="Arial" w:eastAsia="Arial" w:hAnsi="Arial" w:cs="Arial"/>
          <w:color w:val="000000"/>
        </w:rPr>
        <w:t xml:space="preserve">the study are highly relevant to developers of L2 solutions and high-load </w:t>
      </w:r>
      <w:proofErr w:type="spellStart"/>
      <w:r>
        <w:rPr>
          <w:rFonts w:ascii="Arial" w:eastAsia="Arial" w:hAnsi="Arial" w:cs="Arial"/>
          <w:color w:val="000000"/>
        </w:rPr>
        <w:t>dApps</w:t>
      </w:r>
      <w:proofErr w:type="spellEnd"/>
      <w:r>
        <w:rPr>
          <w:rFonts w:ascii="Arial" w:eastAsia="Arial" w:hAnsi="Arial" w:cs="Arial"/>
          <w:color w:val="000000"/>
        </w:rPr>
        <w:t>. They demonstrate that achieving tens of thousands of TPS is possible on commodity hardware, provided that appropriate architectural abstractions are selected. In the future, a</w:t>
      </w:r>
      <w:r>
        <w:rPr>
          <w:rFonts w:ascii="Arial" w:eastAsia="Arial" w:hAnsi="Arial" w:cs="Arial"/>
          <w:color w:val="000000"/>
        </w:rPr>
        <w:t>s requirements for ZK verifiability intensify, a high-performance blockchain VM may need to adapt its hashing layer; however, the current emphasis on CPU and I/O performance confers a significant competitive advantage in the high-performance computing (HPC</w:t>
      </w:r>
      <w:r>
        <w:rPr>
          <w:rFonts w:ascii="Arial" w:eastAsia="Arial" w:hAnsi="Arial" w:cs="Arial"/>
          <w:color w:val="000000"/>
        </w:rPr>
        <w:t>) niche on the blockchain.</w:t>
      </w:r>
    </w:p>
    <w:p w14:paraId="67B39CF3" w14:textId="77777777" w:rsidR="001F7B08" w:rsidRDefault="001F7B08" w:rsidP="004E0AB9">
      <w:pPr>
        <w:pBdr>
          <w:top w:val="nil"/>
          <w:left w:val="nil"/>
          <w:bottom w:val="nil"/>
          <w:right w:val="nil"/>
          <w:between w:val="nil"/>
        </w:pBdr>
        <w:jc w:val="both"/>
        <w:rPr>
          <w:rFonts w:ascii="Arial" w:eastAsia="Arial" w:hAnsi="Arial" w:cs="Arial"/>
          <w:color w:val="000000"/>
        </w:rPr>
      </w:pPr>
    </w:p>
    <w:p w14:paraId="61D31273" w14:textId="77777777" w:rsidR="004E0AB9" w:rsidRDefault="004E0AB9" w:rsidP="004E0AB9">
      <w:pPr>
        <w:keepNext/>
        <w:pBdr>
          <w:top w:val="nil"/>
          <w:left w:val="nil"/>
          <w:bottom w:val="nil"/>
          <w:right w:val="nil"/>
          <w:between w:val="nil"/>
        </w:pBdr>
        <w:jc w:val="both"/>
        <w:rPr>
          <w:rFonts w:ascii="Arial" w:eastAsia="Arial" w:hAnsi="Arial" w:cs="Arial"/>
          <w:color w:val="000000"/>
        </w:rPr>
      </w:pPr>
      <w:bookmarkStart w:id="1" w:name="_GoBack"/>
      <w:bookmarkEnd w:id="1"/>
    </w:p>
    <w:p w14:paraId="3FAAA4C0" w14:textId="77777777" w:rsidR="004E0AB9" w:rsidRDefault="004E0AB9" w:rsidP="004E0AB9">
      <w:pPr>
        <w:keepNext/>
        <w:pBdr>
          <w:top w:val="nil"/>
          <w:left w:val="nil"/>
          <w:bottom w:val="nil"/>
          <w:right w:val="nil"/>
          <w:between w:val="nil"/>
        </w:pBdr>
        <w:jc w:val="both"/>
        <w:rPr>
          <w:rFonts w:ascii="Arial" w:eastAsia="Arial" w:hAnsi="Arial" w:cs="Arial"/>
          <w:color w:val="000000"/>
        </w:rPr>
      </w:pPr>
    </w:p>
    <w:p w14:paraId="04D0DDEC" w14:textId="77777777" w:rsidR="004E0AB9" w:rsidRPr="004E0AB9" w:rsidRDefault="004E0AB9" w:rsidP="004E0AB9">
      <w:pPr>
        <w:keepNext/>
        <w:pBdr>
          <w:top w:val="nil"/>
          <w:left w:val="nil"/>
          <w:bottom w:val="nil"/>
          <w:right w:val="nil"/>
          <w:between w:val="nil"/>
        </w:pBdr>
        <w:jc w:val="both"/>
        <w:rPr>
          <w:rFonts w:ascii="Arial" w:eastAsia="Arial" w:hAnsi="Arial" w:cs="Arial"/>
          <w:color w:val="000000"/>
        </w:rPr>
      </w:pPr>
      <w:r w:rsidRPr="004E0AB9">
        <w:rPr>
          <w:rFonts w:ascii="Arial" w:eastAsia="Arial" w:hAnsi="Arial" w:cs="Arial"/>
          <w:color w:val="000000"/>
        </w:rPr>
        <w:t>COMPETING INTERESTS DISCLAIMER:</w:t>
      </w:r>
    </w:p>
    <w:p w14:paraId="2FD1732F" w14:textId="5BDE5C88" w:rsidR="004E0AB9" w:rsidRDefault="004E0AB9" w:rsidP="004E0AB9">
      <w:pPr>
        <w:keepNext/>
        <w:pBdr>
          <w:top w:val="nil"/>
          <w:left w:val="nil"/>
          <w:bottom w:val="nil"/>
          <w:right w:val="nil"/>
          <w:between w:val="nil"/>
        </w:pBdr>
        <w:jc w:val="both"/>
        <w:rPr>
          <w:rFonts w:ascii="Arial" w:eastAsia="Arial" w:hAnsi="Arial" w:cs="Arial"/>
          <w:color w:val="000000"/>
        </w:rPr>
      </w:pPr>
      <w:r w:rsidRPr="004E0AB9">
        <w:rPr>
          <w:rFonts w:ascii="Arial" w:eastAsia="Arial" w:hAnsi="Arial" w:cs="Arial"/>
          <w:color w:val="000000"/>
        </w:rPr>
        <w:t>Authors have declared that they have no known competing financial interests OR non-financial interests OR personal relationships that could have appeared to influence the work reported in this paper.</w:t>
      </w:r>
    </w:p>
    <w:p w14:paraId="1F93A567" w14:textId="77777777" w:rsidR="001F7B08" w:rsidRDefault="001F7B08" w:rsidP="004E0AB9">
      <w:pPr>
        <w:keepNext/>
        <w:pBdr>
          <w:top w:val="nil"/>
          <w:left w:val="nil"/>
          <w:bottom w:val="nil"/>
          <w:right w:val="nil"/>
          <w:between w:val="nil"/>
        </w:pBdr>
        <w:jc w:val="both"/>
        <w:rPr>
          <w:rFonts w:ascii="Arial" w:eastAsia="Arial" w:hAnsi="Arial" w:cs="Arial"/>
          <w:color w:val="000000"/>
        </w:rPr>
      </w:pPr>
    </w:p>
    <w:p w14:paraId="7E3D12D7" w14:textId="77777777" w:rsidR="001F7B08" w:rsidRDefault="001F7B08" w:rsidP="004E0AB9">
      <w:pPr>
        <w:keepNext/>
        <w:pBdr>
          <w:top w:val="nil"/>
          <w:left w:val="nil"/>
          <w:bottom w:val="nil"/>
          <w:right w:val="nil"/>
          <w:between w:val="nil"/>
        </w:pBdr>
        <w:jc w:val="both"/>
        <w:rPr>
          <w:rFonts w:ascii="Arial" w:eastAsia="Arial" w:hAnsi="Arial" w:cs="Arial"/>
          <w:b/>
          <w:bCs/>
          <w:smallCaps/>
          <w:color w:val="000000"/>
          <w:sz w:val="22"/>
          <w:szCs w:val="22"/>
        </w:rPr>
      </w:pPr>
    </w:p>
    <w:p w14:paraId="0808CBAD" w14:textId="77777777" w:rsidR="001F7B08" w:rsidRDefault="00921D5B" w:rsidP="004E0AB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547A7234" w14:textId="77777777" w:rsidR="001F7B08" w:rsidRDefault="001F7B08" w:rsidP="004E0AB9">
      <w:pPr>
        <w:keepNext/>
        <w:pBdr>
          <w:top w:val="nil"/>
          <w:left w:val="nil"/>
          <w:bottom w:val="nil"/>
          <w:right w:val="nil"/>
          <w:between w:val="nil"/>
        </w:pBdr>
        <w:jc w:val="both"/>
        <w:rPr>
          <w:rFonts w:ascii="Arial" w:eastAsia="Arial" w:hAnsi="Arial" w:cs="Arial"/>
          <w:b/>
          <w:bCs/>
          <w:smallCaps/>
          <w:color w:val="000000"/>
          <w:sz w:val="22"/>
          <w:szCs w:val="22"/>
        </w:rPr>
      </w:pPr>
    </w:p>
    <w:p w14:paraId="787C243B" w14:textId="77777777" w:rsidR="001F7B08" w:rsidRDefault="00921D5B" w:rsidP="004E0AB9">
      <w:pPr>
        <w:pBdr>
          <w:top w:val="nil"/>
          <w:left w:val="nil"/>
          <w:bottom w:val="nil"/>
          <w:right w:val="nil"/>
          <w:between w:val="nil"/>
        </w:pBdr>
        <w:jc w:val="both"/>
        <w:rPr>
          <w:color w:val="000000"/>
        </w:rPr>
      </w:pPr>
      <w:r>
        <w:rPr>
          <w:color w:val="000000"/>
        </w:rPr>
        <w:t>Anza. (n.d.). Synchronization. Available at https://docs.anza.xyz/consensus/synchronization (accessed November 11, 2025).</w:t>
      </w:r>
    </w:p>
    <w:p w14:paraId="4D86E87D" w14:textId="77777777" w:rsidR="001F7B08" w:rsidRDefault="001F7B08" w:rsidP="004E0AB9">
      <w:pPr>
        <w:pBdr>
          <w:top w:val="nil"/>
          <w:left w:val="nil"/>
          <w:bottom w:val="nil"/>
          <w:right w:val="nil"/>
          <w:between w:val="nil"/>
        </w:pBdr>
        <w:jc w:val="both"/>
        <w:rPr>
          <w:color w:val="000000"/>
        </w:rPr>
      </w:pPr>
    </w:p>
    <w:p w14:paraId="4B91E365" w14:textId="77777777" w:rsidR="001F7B08" w:rsidRDefault="00921D5B" w:rsidP="004E0AB9">
      <w:pPr>
        <w:pBdr>
          <w:top w:val="nil"/>
          <w:left w:val="nil"/>
          <w:bottom w:val="nil"/>
          <w:right w:val="nil"/>
          <w:between w:val="nil"/>
        </w:pBdr>
        <w:jc w:val="both"/>
        <w:rPr>
          <w:color w:val="000000"/>
        </w:rPr>
      </w:pPr>
      <w:r>
        <w:rPr>
          <w:color w:val="000000"/>
        </w:rPr>
        <w:lastRenderedPageBreak/>
        <w:t xml:space="preserve">Das, S., </w:t>
      </w:r>
      <w:proofErr w:type="spellStart"/>
      <w:r>
        <w:rPr>
          <w:color w:val="000000"/>
        </w:rPr>
        <w:t>Preechakul</w:t>
      </w:r>
      <w:proofErr w:type="spellEnd"/>
      <w:r>
        <w:rPr>
          <w:color w:val="000000"/>
        </w:rPr>
        <w:t>, K., Bäumer, J., Patel, R., &amp; Li, J. J. (2025). Accelerating Blockchai</w:t>
      </w:r>
      <w:r>
        <w:rPr>
          <w:color w:val="000000"/>
        </w:rPr>
        <w:t xml:space="preserve">n Scalability: New Models for Parallel Transaction Execution in the EVM. </w:t>
      </w:r>
      <w:proofErr w:type="spellStart"/>
      <w:r>
        <w:rPr>
          <w:color w:val="000000"/>
        </w:rPr>
        <w:t>arXiv</w:t>
      </w:r>
      <w:proofErr w:type="spellEnd"/>
      <w:r>
        <w:rPr>
          <w:color w:val="000000"/>
        </w:rPr>
        <w:t xml:space="preserve"> preprints. https://doi.org/10.48550/arxiv.2504.01370</w:t>
      </w:r>
    </w:p>
    <w:p w14:paraId="36CD6751" w14:textId="77777777" w:rsidR="001F7B08" w:rsidRDefault="001F7B08" w:rsidP="004E0AB9">
      <w:pPr>
        <w:pBdr>
          <w:top w:val="nil"/>
          <w:left w:val="nil"/>
          <w:bottom w:val="nil"/>
          <w:right w:val="nil"/>
          <w:between w:val="nil"/>
        </w:pBdr>
        <w:jc w:val="both"/>
        <w:rPr>
          <w:color w:val="000000"/>
        </w:rPr>
      </w:pPr>
    </w:p>
    <w:p w14:paraId="01016F2A" w14:textId="77777777" w:rsidR="001F7B08" w:rsidRDefault="00921D5B" w:rsidP="004E0AB9">
      <w:pPr>
        <w:pBdr>
          <w:top w:val="nil"/>
          <w:left w:val="nil"/>
          <w:bottom w:val="nil"/>
          <w:right w:val="nil"/>
          <w:between w:val="nil"/>
        </w:pBdr>
        <w:jc w:val="both"/>
        <w:rPr>
          <w:color w:val="000000"/>
        </w:rPr>
      </w:pPr>
      <w:r>
        <w:rPr>
          <w:color w:val="000000"/>
        </w:rPr>
        <w:t>Deng, Y., Yan, M., &amp; Tang, B. (2024). Accelerating Merkle Patricia Trie with GPU. Proceedings of the VLDB Endowment, 17, 18</w:t>
      </w:r>
      <w:r>
        <w:rPr>
          <w:color w:val="000000"/>
        </w:rPr>
        <w:t>56–1869. https://doi.org/10.14778/3659437.3659443</w:t>
      </w:r>
    </w:p>
    <w:p w14:paraId="2F123E7A" w14:textId="77777777" w:rsidR="001F7B08" w:rsidRDefault="001F7B08" w:rsidP="004E0AB9">
      <w:pPr>
        <w:pBdr>
          <w:top w:val="nil"/>
          <w:left w:val="nil"/>
          <w:bottom w:val="nil"/>
          <w:right w:val="nil"/>
          <w:between w:val="nil"/>
        </w:pBdr>
        <w:jc w:val="both"/>
        <w:rPr>
          <w:color w:val="000000"/>
        </w:rPr>
      </w:pPr>
    </w:p>
    <w:p w14:paraId="69F3AC34" w14:textId="77777777" w:rsidR="001F7B08" w:rsidRDefault="00921D5B" w:rsidP="004E0AB9">
      <w:pPr>
        <w:pBdr>
          <w:top w:val="nil"/>
          <w:left w:val="nil"/>
          <w:bottom w:val="nil"/>
          <w:right w:val="nil"/>
          <w:between w:val="nil"/>
        </w:pBdr>
        <w:jc w:val="both"/>
        <w:rPr>
          <w:color w:val="000000"/>
        </w:rPr>
      </w:pPr>
      <w:r>
        <w:rPr>
          <w:color w:val="000000"/>
        </w:rPr>
        <w:t>Fan, X., Niu, B., &amp; Liu, Z. (2022). Scalable blockchain storage systems: research progress and models. Computing, 104, 1497–1524. https://doi.org/10.1007/s00607-022-01063-8</w:t>
      </w:r>
    </w:p>
    <w:p w14:paraId="44224316" w14:textId="77777777" w:rsidR="001F7B08" w:rsidRDefault="001F7B08" w:rsidP="004E0AB9">
      <w:pPr>
        <w:pBdr>
          <w:top w:val="nil"/>
          <w:left w:val="nil"/>
          <w:bottom w:val="nil"/>
          <w:right w:val="nil"/>
          <w:between w:val="nil"/>
        </w:pBdr>
        <w:jc w:val="both"/>
        <w:rPr>
          <w:color w:val="000000"/>
        </w:rPr>
      </w:pPr>
    </w:p>
    <w:p w14:paraId="71746C45" w14:textId="77777777" w:rsidR="001F7B08" w:rsidRDefault="00921D5B" w:rsidP="004E0AB9">
      <w:pPr>
        <w:pBdr>
          <w:top w:val="nil"/>
          <w:left w:val="nil"/>
          <w:bottom w:val="nil"/>
          <w:right w:val="nil"/>
          <w:between w:val="nil"/>
        </w:pBdr>
        <w:jc w:val="both"/>
        <w:rPr>
          <w:color w:val="000000"/>
        </w:rPr>
      </w:pPr>
      <w:r>
        <w:rPr>
          <w:color w:val="000000"/>
        </w:rPr>
        <w:t>Kuznetsov, O., Rusnak, A., Yezh</w:t>
      </w:r>
      <w:r>
        <w:rPr>
          <w:color w:val="000000"/>
        </w:rPr>
        <w:t xml:space="preserve">ov, A., Kuznetsova, K., </w:t>
      </w:r>
      <w:proofErr w:type="spellStart"/>
      <w:r>
        <w:rPr>
          <w:color w:val="000000"/>
        </w:rPr>
        <w:t>Kanonik</w:t>
      </w:r>
      <w:proofErr w:type="spellEnd"/>
      <w:r>
        <w:rPr>
          <w:color w:val="000000"/>
        </w:rPr>
        <w:t>, D., &amp; Domin, O. (2024). Evaluating the Security of Merkle Trees: An Analysis of Data Falsification Probabilities. Cryptography, 8, 33. https://doi.org/10.3390/cryptography8030033</w:t>
      </w:r>
    </w:p>
    <w:p w14:paraId="1A6A85A2" w14:textId="77777777" w:rsidR="001F7B08" w:rsidRDefault="001F7B08" w:rsidP="004E0AB9">
      <w:pPr>
        <w:pBdr>
          <w:top w:val="nil"/>
          <w:left w:val="nil"/>
          <w:bottom w:val="nil"/>
          <w:right w:val="nil"/>
          <w:between w:val="nil"/>
        </w:pBdr>
        <w:jc w:val="both"/>
        <w:rPr>
          <w:color w:val="000000"/>
        </w:rPr>
      </w:pPr>
    </w:p>
    <w:p w14:paraId="0395675B" w14:textId="77777777" w:rsidR="001F7B08" w:rsidRDefault="00921D5B" w:rsidP="004E0AB9">
      <w:pPr>
        <w:pBdr>
          <w:top w:val="nil"/>
          <w:left w:val="nil"/>
          <w:bottom w:val="nil"/>
          <w:right w:val="nil"/>
          <w:between w:val="nil"/>
        </w:pBdr>
        <w:jc w:val="both"/>
        <w:rPr>
          <w:color w:val="000000"/>
        </w:rPr>
      </w:pPr>
      <w:r>
        <w:rPr>
          <w:color w:val="000000"/>
        </w:rPr>
        <w:t>Liang, J., Chen, W., Hong, Z., Zhu, H., Qiu</w:t>
      </w:r>
      <w:r>
        <w:rPr>
          <w:color w:val="000000"/>
        </w:rPr>
        <w:t xml:space="preserve">, W., &amp; Zheng, Z. (2024). </w:t>
      </w:r>
      <w:proofErr w:type="spellStart"/>
      <w:r>
        <w:rPr>
          <w:color w:val="000000"/>
        </w:rPr>
        <w:t>MoltDB</w:t>
      </w:r>
      <w:proofErr w:type="spellEnd"/>
      <w:r>
        <w:rPr>
          <w:color w:val="000000"/>
        </w:rPr>
        <w:t>: Accelerating Blockchain via Ancient State Segregation. IEEE Transactions on Parallel and Distributed Systems, 35, 2545–2558. https://doi.org/10.1109/tpds.2024.3467927</w:t>
      </w:r>
    </w:p>
    <w:p w14:paraId="15AAB6D3" w14:textId="77777777" w:rsidR="001F7B08" w:rsidRDefault="001F7B08" w:rsidP="004E0AB9">
      <w:pPr>
        <w:pBdr>
          <w:top w:val="nil"/>
          <w:left w:val="nil"/>
          <w:bottom w:val="nil"/>
          <w:right w:val="nil"/>
          <w:between w:val="nil"/>
        </w:pBdr>
        <w:jc w:val="both"/>
        <w:rPr>
          <w:color w:val="000000"/>
        </w:rPr>
      </w:pPr>
    </w:p>
    <w:p w14:paraId="513468EF" w14:textId="77777777" w:rsidR="001F7B08" w:rsidRDefault="00921D5B" w:rsidP="004E0AB9">
      <w:pPr>
        <w:pBdr>
          <w:top w:val="nil"/>
          <w:left w:val="nil"/>
          <w:bottom w:val="nil"/>
          <w:right w:val="nil"/>
          <w:between w:val="nil"/>
        </w:pBdr>
        <w:jc w:val="both"/>
        <w:rPr>
          <w:color w:val="000000"/>
        </w:rPr>
      </w:pPr>
      <w:proofErr w:type="spellStart"/>
      <w:r>
        <w:rPr>
          <w:color w:val="000000"/>
        </w:rPr>
        <w:t>Mardiansyah</w:t>
      </w:r>
      <w:proofErr w:type="spellEnd"/>
      <w:r>
        <w:rPr>
          <w:color w:val="000000"/>
        </w:rPr>
        <w:t xml:space="preserve">, V., Muis, A., &amp; Sari, R. F. (2023). </w:t>
      </w:r>
      <w:r>
        <w:rPr>
          <w:color w:val="000000"/>
        </w:rPr>
        <w:t>Multi-State Merkle Patricia Trie (MSMPT): High-Performance Data Structures for Multi-Query Processing Based on Lightweight Blockchain. IEEE Access, 11, 117282–117296. https://doi.org/10.1109/access.2023.3325748</w:t>
      </w:r>
    </w:p>
    <w:p w14:paraId="62AA8013" w14:textId="77777777" w:rsidR="001F7B08" w:rsidRDefault="001F7B08" w:rsidP="004E0AB9">
      <w:pPr>
        <w:pBdr>
          <w:top w:val="nil"/>
          <w:left w:val="nil"/>
          <w:bottom w:val="nil"/>
          <w:right w:val="nil"/>
          <w:between w:val="nil"/>
        </w:pBdr>
        <w:jc w:val="both"/>
        <w:rPr>
          <w:color w:val="000000"/>
        </w:rPr>
      </w:pPr>
    </w:p>
    <w:p w14:paraId="42003E48" w14:textId="77777777" w:rsidR="001F7B08" w:rsidRDefault="00921D5B" w:rsidP="004E0AB9">
      <w:pPr>
        <w:pBdr>
          <w:top w:val="nil"/>
          <w:left w:val="nil"/>
          <w:bottom w:val="nil"/>
          <w:right w:val="nil"/>
          <w:between w:val="nil"/>
        </w:pBdr>
        <w:jc w:val="both"/>
        <w:rPr>
          <w:color w:val="000000"/>
        </w:rPr>
      </w:pPr>
      <w:r>
        <w:rPr>
          <w:color w:val="000000"/>
        </w:rPr>
        <w:t>Melo, D., Pomares-Hernández, S. E., Rodrígue</w:t>
      </w:r>
      <w:r>
        <w:rPr>
          <w:color w:val="000000"/>
        </w:rPr>
        <w:t>z-Henríquez, L. M. X., &amp; Pérez-</w:t>
      </w:r>
      <w:proofErr w:type="spellStart"/>
      <w:r>
        <w:rPr>
          <w:color w:val="000000"/>
        </w:rPr>
        <w:t>Sansalvador</w:t>
      </w:r>
      <w:proofErr w:type="spellEnd"/>
      <w:r>
        <w:rPr>
          <w:color w:val="000000"/>
        </w:rPr>
        <w:t>, J. C. (2024). Unlocking Blockchain UTXO Transactional Patterns and Their Effect on Storage and Throughput Trade-Offs. Computers, 13, 146. https://doi.org/10.3390/computers13060146</w:t>
      </w:r>
    </w:p>
    <w:p w14:paraId="1E6220C8" w14:textId="77777777" w:rsidR="001F7B08" w:rsidRDefault="001F7B08" w:rsidP="004E0AB9">
      <w:pPr>
        <w:pBdr>
          <w:top w:val="nil"/>
          <w:left w:val="nil"/>
          <w:bottom w:val="nil"/>
          <w:right w:val="nil"/>
          <w:between w:val="nil"/>
        </w:pBdr>
        <w:jc w:val="both"/>
        <w:rPr>
          <w:color w:val="000000"/>
        </w:rPr>
      </w:pPr>
    </w:p>
    <w:p w14:paraId="35905D37" w14:textId="77777777" w:rsidR="001F7B08" w:rsidRDefault="00921D5B" w:rsidP="004E0AB9">
      <w:pPr>
        <w:pBdr>
          <w:top w:val="nil"/>
          <w:left w:val="nil"/>
          <w:bottom w:val="nil"/>
          <w:right w:val="nil"/>
          <w:between w:val="nil"/>
        </w:pBdr>
        <w:jc w:val="both"/>
        <w:rPr>
          <w:color w:val="000000"/>
        </w:rPr>
      </w:pPr>
      <w:r>
        <w:rPr>
          <w:color w:val="000000"/>
        </w:rPr>
        <w:t>Oberst, J. (2025). Towards Stat</w:t>
      </w:r>
      <w:r>
        <w:rPr>
          <w:color w:val="000000"/>
        </w:rPr>
        <w:t xml:space="preserve">eless Clients in Ethereum: Benchmarking </w:t>
      </w:r>
      <w:proofErr w:type="spellStart"/>
      <w:r>
        <w:rPr>
          <w:color w:val="000000"/>
        </w:rPr>
        <w:t>Verkle</w:t>
      </w:r>
      <w:proofErr w:type="spellEnd"/>
      <w:r>
        <w:rPr>
          <w:color w:val="000000"/>
        </w:rPr>
        <w:t xml:space="preserve"> Trees and Binary Merkle Trees with SNARKs. </w:t>
      </w:r>
      <w:proofErr w:type="spellStart"/>
      <w:r>
        <w:rPr>
          <w:color w:val="000000"/>
        </w:rPr>
        <w:t>arXiv</w:t>
      </w:r>
      <w:proofErr w:type="spellEnd"/>
      <w:r>
        <w:rPr>
          <w:color w:val="000000"/>
        </w:rPr>
        <w:t xml:space="preserve"> preprints. https://doi.org/10.48550/arxiv.2504.14069</w:t>
      </w:r>
    </w:p>
    <w:p w14:paraId="7E54E889" w14:textId="77777777" w:rsidR="001F7B08" w:rsidRDefault="001F7B08" w:rsidP="004E0AB9">
      <w:pPr>
        <w:pBdr>
          <w:top w:val="nil"/>
          <w:left w:val="nil"/>
          <w:bottom w:val="nil"/>
          <w:right w:val="nil"/>
          <w:between w:val="nil"/>
        </w:pBdr>
        <w:jc w:val="both"/>
        <w:rPr>
          <w:color w:val="000000"/>
        </w:rPr>
      </w:pPr>
    </w:p>
    <w:p w14:paraId="1A69BCA5" w14:textId="77777777" w:rsidR="001F7B08" w:rsidRDefault="00921D5B" w:rsidP="004E0AB9">
      <w:pPr>
        <w:pBdr>
          <w:top w:val="nil"/>
          <w:left w:val="nil"/>
          <w:bottom w:val="nil"/>
          <w:right w:val="nil"/>
          <w:between w:val="nil"/>
        </w:pBdr>
        <w:jc w:val="both"/>
        <w:rPr>
          <w:color w:val="000000"/>
        </w:rPr>
      </w:pPr>
      <w:r>
        <w:rPr>
          <w:color w:val="000000"/>
        </w:rPr>
        <w:t xml:space="preserve">Taherdoost, H. (2023). Smart Contracts in Blockchain Technology: A Critical Review. Information, 14, 117. </w:t>
      </w:r>
      <w:r>
        <w:rPr>
          <w:color w:val="000000"/>
        </w:rPr>
        <w:t>https://doi.org/10.3390/info14020117</w:t>
      </w:r>
    </w:p>
    <w:p w14:paraId="6576B691" w14:textId="77777777" w:rsidR="001F7B08" w:rsidRDefault="001F7B08" w:rsidP="004E0AB9">
      <w:pPr>
        <w:pBdr>
          <w:top w:val="nil"/>
          <w:left w:val="nil"/>
          <w:bottom w:val="nil"/>
          <w:right w:val="nil"/>
          <w:between w:val="nil"/>
        </w:pBdr>
        <w:jc w:val="both"/>
        <w:rPr>
          <w:color w:val="000000"/>
        </w:rPr>
      </w:pPr>
    </w:p>
    <w:p w14:paraId="1646D476" w14:textId="77777777" w:rsidR="001F7B08" w:rsidRDefault="00921D5B" w:rsidP="004E0AB9">
      <w:pPr>
        <w:pBdr>
          <w:top w:val="nil"/>
          <w:left w:val="nil"/>
          <w:bottom w:val="nil"/>
          <w:right w:val="nil"/>
          <w:between w:val="nil"/>
        </w:pBdr>
        <w:jc w:val="both"/>
        <w:rPr>
          <w:color w:val="000000"/>
        </w:rPr>
      </w:pPr>
      <w:r>
        <w:rPr>
          <w:color w:val="000000"/>
        </w:rPr>
        <w:t xml:space="preserve">Zhang, I., Zarick, R., Wong, D., Kim, T., Pellegrino, B., Li, M., et al. (2025). QMDB: Quick Merkle Database. </w:t>
      </w:r>
      <w:proofErr w:type="spellStart"/>
      <w:r>
        <w:rPr>
          <w:color w:val="000000"/>
        </w:rPr>
        <w:t>arXiv</w:t>
      </w:r>
      <w:proofErr w:type="spellEnd"/>
      <w:r>
        <w:rPr>
          <w:color w:val="000000"/>
        </w:rPr>
        <w:t xml:space="preserve"> preprints. https://doi.org/10.48550/arxiv.2501.05262</w:t>
      </w:r>
    </w:p>
    <w:p w14:paraId="3651690B" w14:textId="77777777" w:rsidR="001F7B08" w:rsidRDefault="001F7B08" w:rsidP="004E0AB9">
      <w:pPr>
        <w:pBdr>
          <w:top w:val="nil"/>
          <w:left w:val="nil"/>
          <w:bottom w:val="nil"/>
          <w:right w:val="nil"/>
          <w:between w:val="nil"/>
        </w:pBdr>
        <w:jc w:val="both"/>
        <w:rPr>
          <w:color w:val="000000"/>
        </w:rPr>
      </w:pPr>
    </w:p>
    <w:p w14:paraId="6C378AFC" w14:textId="77777777" w:rsidR="001F7B08" w:rsidRDefault="00921D5B" w:rsidP="004E0AB9">
      <w:pPr>
        <w:pBdr>
          <w:top w:val="nil"/>
          <w:left w:val="nil"/>
          <w:bottom w:val="nil"/>
          <w:right w:val="nil"/>
          <w:between w:val="nil"/>
        </w:pBdr>
        <w:rPr>
          <w:color w:val="000000"/>
        </w:rPr>
      </w:pPr>
      <w:r>
        <w:rPr>
          <w:color w:val="000000"/>
        </w:rPr>
        <w:t xml:space="preserve">Zhou, H., Milani Fard, A., &amp; </w:t>
      </w:r>
      <w:proofErr w:type="spellStart"/>
      <w:r>
        <w:rPr>
          <w:color w:val="000000"/>
        </w:rPr>
        <w:t>Makanju</w:t>
      </w:r>
      <w:proofErr w:type="spellEnd"/>
      <w:r>
        <w:rPr>
          <w:color w:val="000000"/>
        </w:rPr>
        <w:t>, A. (2022).</w:t>
      </w:r>
      <w:r>
        <w:rPr>
          <w:color w:val="000000"/>
        </w:rPr>
        <w:t xml:space="preserve"> The State of Ethereum Smart Contracts Security: Vulnerabilities, Countermeasures, and Tool Support. Journal of Cybersecurity and Privacy, 2, 358–378. https://doi.org/10.3390/jcp2020019</w:t>
      </w:r>
    </w:p>
    <w:p w14:paraId="29DBC408" w14:textId="77777777" w:rsidR="001F7B08" w:rsidRDefault="001F7B08">
      <w:pPr>
        <w:keepNext/>
        <w:pBdr>
          <w:top w:val="nil"/>
          <w:left w:val="nil"/>
          <w:bottom w:val="nil"/>
          <w:right w:val="nil"/>
          <w:between w:val="nil"/>
        </w:pBdr>
        <w:jc w:val="both"/>
        <w:rPr>
          <w:rFonts w:ascii="Arial" w:eastAsia="Arial" w:hAnsi="Arial" w:cs="Arial"/>
          <w:smallCaps/>
          <w:color w:val="000000"/>
          <w:sz w:val="22"/>
          <w:szCs w:val="22"/>
        </w:rPr>
        <w:sectPr w:rsidR="001F7B08" w:rsidSect="00EB04C1">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6EFC42B1" w14:textId="77777777" w:rsidR="001F7B08" w:rsidRDefault="001F7B08">
      <w:pPr>
        <w:keepNext/>
        <w:pBdr>
          <w:top w:val="nil"/>
          <w:left w:val="nil"/>
          <w:bottom w:val="nil"/>
          <w:right w:val="nil"/>
          <w:between w:val="nil"/>
        </w:pBdr>
        <w:jc w:val="both"/>
        <w:rPr>
          <w:rFonts w:ascii="Arial" w:eastAsia="Arial" w:hAnsi="Arial" w:cs="Arial"/>
          <w:smallCaps/>
          <w:color w:val="000000"/>
          <w:sz w:val="22"/>
          <w:szCs w:val="22"/>
        </w:rPr>
      </w:pPr>
    </w:p>
    <w:sectPr w:rsidR="001F7B08" w:rsidSect="00EB04C1">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116F7" w14:textId="77777777" w:rsidR="00921D5B" w:rsidRDefault="00921D5B">
      <w:r>
        <w:separator/>
      </w:r>
    </w:p>
  </w:endnote>
  <w:endnote w:type="continuationSeparator" w:id="0">
    <w:p w14:paraId="48634D09" w14:textId="77777777" w:rsidR="00921D5B" w:rsidRDefault="00921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9CD7EF3B-6BD7-44D3-A197-57F8823D1915}"/>
    <w:embedBold r:id="rId2" w:fontKey="{FF639654-D344-4CD6-ADFB-43BC6443BBC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96925B6F-4368-4714-94FF-916DB5D6ED97}"/>
  </w:font>
  <w:font w:name="Helvetica">
    <w:panose1 w:val="020B0604020202020204"/>
    <w:charset w:val="00"/>
    <w:family w:val="swiss"/>
    <w:pitch w:val="variable"/>
    <w:sig w:usb0="E0002EFF" w:usb1="C000785B" w:usb2="00000009" w:usb3="00000000" w:csb0="000001FF" w:csb1="00000000"/>
    <w:embedRegular r:id="rId4" w:fontKey="{199AFD66-AE83-4398-B4E4-801E6C67C3FD}"/>
  </w:font>
  <w:font w:name="Tahoma">
    <w:panose1 w:val="020B0604030504040204"/>
    <w:charset w:val="00"/>
    <w:family w:val="swiss"/>
    <w:pitch w:val="variable"/>
    <w:sig w:usb0="E1002EFF" w:usb1="C000605B" w:usb2="00000029" w:usb3="00000000" w:csb0="000101FF" w:csb1="00000000"/>
    <w:embedRegular r:id="rId5" w:fontKey="{B2C67566-8560-487F-9BD6-5DF79CDB7F71}"/>
  </w:font>
  <w:font w:name="Georgia">
    <w:panose1 w:val="02040502050405020303"/>
    <w:charset w:val="00"/>
    <w:family w:val="roman"/>
    <w:pitch w:val="variable"/>
    <w:sig w:usb0="00000287" w:usb1="00000000" w:usb2="00000000" w:usb3="00000000" w:csb0="0000009F" w:csb1="00000000"/>
    <w:embedItalic r:id="rId6" w:fontKey="{80537A72-CE03-4DC7-A925-4EA7EEC84040}"/>
  </w:font>
  <w:font w:name="Cambria">
    <w:panose1 w:val="02040503050406030204"/>
    <w:charset w:val="00"/>
    <w:family w:val="roman"/>
    <w:pitch w:val="variable"/>
    <w:sig w:usb0="E00006FF" w:usb1="420024FF" w:usb2="02000000" w:usb3="00000000" w:csb0="0000019F" w:csb1="00000000"/>
    <w:embedRegular r:id="rId7" w:fontKey="{3104BBEF-8DF2-409C-901E-D5D2825221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C1C6D" w14:textId="77777777" w:rsidR="00EB04C1" w:rsidRDefault="00EB04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A6600" w14:textId="77777777" w:rsidR="00EB04C1" w:rsidRDefault="00EB04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A48AE" w14:textId="77777777" w:rsidR="001F7B08" w:rsidRDefault="001F7B0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C930397" w14:textId="77777777" w:rsidR="001F7B08" w:rsidRDefault="00921D5B">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EFDA388" w14:textId="77777777" w:rsidR="001F7B08" w:rsidRDefault="001F7B0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3774C8F" w14:textId="77777777" w:rsidR="001F7B08" w:rsidRDefault="00921D5B">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CB456" w14:textId="77777777" w:rsidR="001F7B08" w:rsidRDefault="001F7B0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1BF58" w14:textId="77777777" w:rsidR="00921D5B" w:rsidRDefault="00921D5B">
      <w:r>
        <w:separator/>
      </w:r>
    </w:p>
  </w:footnote>
  <w:footnote w:type="continuationSeparator" w:id="0">
    <w:p w14:paraId="7D8710CC" w14:textId="77777777" w:rsidR="00921D5B" w:rsidRDefault="00921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E96E8" w14:textId="61CF9294" w:rsidR="00EB04C1" w:rsidRDefault="00EB04C1">
    <w:pPr>
      <w:pStyle w:val="Header"/>
    </w:pPr>
    <w:r>
      <w:rPr>
        <w:noProof/>
      </w:rPr>
      <w:pict w14:anchorId="5A614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100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A4CC7" w14:textId="15CF98E3" w:rsidR="00EB04C1" w:rsidRDefault="00EB04C1">
    <w:pPr>
      <w:pStyle w:val="Header"/>
    </w:pPr>
    <w:r>
      <w:rPr>
        <w:noProof/>
      </w:rPr>
      <w:pict w14:anchorId="122AF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100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1BAD4" w14:textId="0023C49E" w:rsidR="001F7B08" w:rsidRDefault="00EB04C1">
    <w:pPr>
      <w:ind w:left="2160"/>
      <w:jc w:val="center"/>
      <w:rPr>
        <w:rFonts w:ascii="Times New Roman" w:eastAsia="Times New Roman" w:hAnsi="Times New Roman" w:cs="Times New Roman"/>
        <w:i/>
        <w:iCs/>
        <w:sz w:val="18"/>
        <w:szCs w:val="18"/>
      </w:rPr>
    </w:pPr>
    <w:r>
      <w:rPr>
        <w:noProof/>
      </w:rPr>
      <w:pict w14:anchorId="7B36CB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100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2A992F95" w14:textId="77777777" w:rsidR="001F7B08" w:rsidRDefault="00921D5B">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1C3356E" w14:textId="77777777" w:rsidR="001F7B08" w:rsidRDefault="00921D5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48E58FAE" w14:textId="77777777" w:rsidR="001F7B08" w:rsidRDefault="00921D5B">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9C5F46F" w14:textId="77777777" w:rsidR="001F7B08" w:rsidRDefault="00921D5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A3F0138" w14:textId="77777777" w:rsidR="001F7B08" w:rsidRDefault="00921D5B">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E1E9257" w14:textId="77777777" w:rsidR="001F7B08" w:rsidRDefault="00921D5B">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B361D" w14:textId="71180545" w:rsidR="00EB04C1" w:rsidRDefault="00EB04C1">
    <w:pPr>
      <w:pStyle w:val="Header"/>
    </w:pPr>
    <w:r>
      <w:rPr>
        <w:noProof/>
      </w:rPr>
      <w:pict w14:anchorId="03C32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100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15694" w14:textId="2E4CA159" w:rsidR="00EB04C1" w:rsidRDefault="00EB04C1">
    <w:pPr>
      <w:pStyle w:val="Header"/>
    </w:pPr>
    <w:r>
      <w:rPr>
        <w:noProof/>
      </w:rPr>
      <w:pict w14:anchorId="4F23D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100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0D1BE" w14:textId="26A5BC4E" w:rsidR="00EB04C1" w:rsidRDefault="00EB04C1">
    <w:pPr>
      <w:pStyle w:val="Header"/>
    </w:pPr>
    <w:r>
      <w:rPr>
        <w:noProof/>
      </w:rPr>
      <w:pict w14:anchorId="187A4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100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E79E2"/>
    <w:multiLevelType w:val="multilevel"/>
    <w:tmpl w:val="309AD8C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9F24546"/>
    <w:multiLevelType w:val="multilevel"/>
    <w:tmpl w:val="C6D2E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B08"/>
    <w:rsid w:val="001F7B08"/>
    <w:rsid w:val="004E0AB9"/>
    <w:rsid w:val="00541DB4"/>
    <w:rsid w:val="00617939"/>
    <w:rsid w:val="00921D5B"/>
    <w:rsid w:val="00EB0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B6CF4A"/>
  <w15:docId w15:val="{AF1B1170-BA91-4364-B933-0735BD0FC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4A0DE8"/>
    <w:pPr>
      <w:spacing w:before="100" w:beforeAutospacing="1" w:after="100" w:afterAutospacing="1"/>
    </w:pPr>
    <w:rPr>
      <w:rFonts w:ascii="Times New Roman" w:hAnsi="Times New Roman"/>
      <w:sz w:val="24"/>
      <w:szCs w:val="24"/>
      <w:lang w:val="ru-RU" w:eastAsia="ru-RU"/>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4E0AB9"/>
    <w:rPr>
      <w:color w:val="605E5C"/>
      <w:shd w:val="clear" w:color="auto" w:fill="E1DFDD"/>
    </w:rPr>
  </w:style>
  <w:style w:type="paragraph" w:styleId="ListParagraph">
    <w:name w:val="List Paragraph"/>
    <w:basedOn w:val="Normal"/>
    <w:uiPriority w:val="34"/>
    <w:qFormat/>
    <w:rsid w:val="004E0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MLoLgHWJZpPTzaMCbqdiBUlTw==">CgMxLjAyDmguZ2xhMnJwMmc1ZXFvOABqJwoUc3VnZ2VzdC45bGE1bHp2ZjVleXISD0lseWEgTGlzdG9wYWRvdnIhMVZzOFRMd0JiYXVJTTEtN3BTWC1neERYV0tENWxMNEpO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4290</Words>
  <Characters>24459</Characters>
  <Application>Microsoft Office Word</Application>
  <DocSecurity>0</DocSecurity>
  <Lines>203</Lines>
  <Paragraphs>57</Paragraphs>
  <ScaleCrop>false</ScaleCrop>
  <Company/>
  <LinksUpToDate>false</LinksUpToDate>
  <CharactersWithSpaces>28692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3</cp:revision>
  <dcterms:created xsi:type="dcterms:W3CDTF">2026-03-26T05:45:00Z</dcterms:created>
  <dcterms:modified xsi:type="dcterms:W3CDTF">2026-03-28T10:19:00Z</dcterms:modified>
</cp:coreProperties>
</file>