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34D46" w14:textId="417D621B" w:rsidR="007C2F14" w:rsidRPr="007C2F14" w:rsidRDefault="007C2F14" w:rsidP="007C2F14">
      <w:pPr>
        <w:spacing w:line="240" w:lineRule="auto"/>
        <w:rPr>
          <w:rFonts w:ascii="Times New Roman" w:hAnsi="Times New Roman" w:cs="Times New Roman"/>
          <w:b/>
          <w:bCs/>
          <w:u w:val="single"/>
        </w:rPr>
      </w:pPr>
      <w:r w:rsidRPr="007C2F14">
        <w:rPr>
          <w:rFonts w:ascii="Times New Roman" w:hAnsi="Times New Roman" w:cs="Times New Roman"/>
          <w:b/>
          <w:bCs/>
          <w:u w:val="single"/>
        </w:rPr>
        <w:t>Original Research Article</w:t>
      </w:r>
    </w:p>
    <w:p w14:paraId="2D03334C" w14:textId="1B0A3B58" w:rsidR="00AE5419" w:rsidRPr="003B0C52" w:rsidRDefault="006F0D79" w:rsidP="00ED4CCF">
      <w:pPr>
        <w:spacing w:line="240" w:lineRule="auto"/>
        <w:jc w:val="right"/>
        <w:rPr>
          <w:rFonts w:ascii="Times New Roman" w:hAnsi="Times New Roman" w:cs="Times New Roman"/>
          <w:b/>
          <w:bCs/>
        </w:rPr>
      </w:pPr>
      <w:r w:rsidRPr="003B0C52">
        <w:rPr>
          <w:rFonts w:ascii="Times New Roman" w:hAnsi="Times New Roman" w:cs="Times New Roman"/>
          <w:b/>
          <w:bCs/>
        </w:rPr>
        <w:t>MULTILEVEL BETA REGRESSION MODEL FOR POTATO POST-HARVEST LOSSES ALONG THE FARM-MARKET VALUE CHAIN</w:t>
      </w:r>
      <w:r w:rsidR="00437DD0">
        <w:rPr>
          <w:rFonts w:ascii="Times New Roman" w:hAnsi="Times New Roman" w:cs="Times New Roman"/>
          <w:b/>
          <w:bCs/>
        </w:rPr>
        <w:t xml:space="preserve"> IN KENYA</w:t>
      </w:r>
    </w:p>
    <w:p w14:paraId="2E24E72A" w14:textId="261818C5" w:rsidR="000D1E8C" w:rsidRDefault="000D1E8C" w:rsidP="003B0C52">
      <w:pPr>
        <w:spacing w:after="0" w:line="240" w:lineRule="auto"/>
        <w:contextualSpacing/>
        <w:rPr>
          <w:rFonts w:ascii="Times New Roman" w:hAnsi="Times New Roman" w:cs="Times New Roman"/>
          <w:b/>
          <w:bCs/>
        </w:rPr>
      </w:pPr>
    </w:p>
    <w:p w14:paraId="4B460F23" w14:textId="77777777" w:rsidR="00EB2B80" w:rsidRPr="003B0C52" w:rsidRDefault="00EB2B80" w:rsidP="003B0C52">
      <w:pPr>
        <w:spacing w:after="0" w:line="240" w:lineRule="auto"/>
        <w:contextualSpacing/>
        <w:rPr>
          <w:rFonts w:ascii="Times New Roman" w:hAnsi="Times New Roman" w:cs="Times New Roman"/>
          <w:b/>
          <w:bCs/>
        </w:rPr>
      </w:pPr>
    </w:p>
    <w:p w14:paraId="16A65332" w14:textId="77777777" w:rsidR="000D1E8C" w:rsidRPr="003B0C52" w:rsidRDefault="000D1E8C" w:rsidP="003B0C52">
      <w:pPr>
        <w:spacing w:after="0" w:line="240" w:lineRule="auto"/>
        <w:contextualSpacing/>
        <w:rPr>
          <w:rFonts w:ascii="Times New Roman" w:hAnsi="Times New Roman" w:cs="Times New Roman"/>
          <w:b/>
          <w:bCs/>
        </w:rPr>
      </w:pPr>
    </w:p>
    <w:p w14:paraId="0A76A41D" w14:textId="0A513BEB" w:rsidR="000D1E8C" w:rsidRPr="003B0C52" w:rsidRDefault="000D1E8C" w:rsidP="003B0C52">
      <w:pPr>
        <w:pStyle w:val="Heading2"/>
        <w:spacing w:line="240" w:lineRule="auto"/>
        <w:rPr>
          <w:rFonts w:ascii="Times New Roman" w:hAnsi="Times New Roman" w:cs="Times New Roman"/>
          <w:b/>
          <w:bCs/>
          <w:color w:val="auto"/>
          <w:sz w:val="24"/>
          <w:szCs w:val="24"/>
        </w:rPr>
      </w:pPr>
      <w:r w:rsidRPr="003B0C52">
        <w:rPr>
          <w:rFonts w:ascii="Times New Roman" w:hAnsi="Times New Roman" w:cs="Times New Roman"/>
          <w:b/>
          <w:bCs/>
          <w:color w:val="auto"/>
          <w:sz w:val="24"/>
          <w:szCs w:val="24"/>
        </w:rPr>
        <w:t>Abstract</w:t>
      </w:r>
    </w:p>
    <w:p w14:paraId="32708B6F" w14:textId="6C3AA14D" w:rsidR="000D1E8C" w:rsidRPr="005A22AE" w:rsidRDefault="000D1E8C" w:rsidP="003B0C52">
      <w:pPr>
        <w:spacing w:after="0" w:line="240" w:lineRule="auto"/>
        <w:contextualSpacing/>
        <w:jc w:val="both"/>
        <w:rPr>
          <w:rFonts w:ascii="Arial" w:hAnsi="Arial" w:cs="Arial"/>
          <w:sz w:val="22"/>
          <w:szCs w:val="22"/>
        </w:rPr>
      </w:pPr>
      <w:r w:rsidRPr="005A22AE">
        <w:rPr>
          <w:rFonts w:ascii="Arial" w:hAnsi="Arial" w:cs="Arial"/>
          <w:sz w:val="22"/>
          <w:szCs w:val="22"/>
        </w:rPr>
        <w:t xml:space="preserve">Post-harvest losses in potato value chain is one of the major threats to food security and farmers livelihoods in Kenya. This paper uses multilevel beta regression modeling approach to study the determinants and spatial heterogeneity of post-harvest potato losses in Kenya farm-market value chain. Using data from stratified cross-sectional survey of 628 value chain actors (smallholder farmers, transporters, wholesalers, and retailers) within Nakuru and </w:t>
      </w:r>
      <w:proofErr w:type="spellStart"/>
      <w:r w:rsidRPr="005A22AE">
        <w:rPr>
          <w:rFonts w:ascii="Arial" w:hAnsi="Arial" w:cs="Arial"/>
          <w:sz w:val="22"/>
          <w:szCs w:val="22"/>
        </w:rPr>
        <w:t>Nyandarua</w:t>
      </w:r>
      <w:proofErr w:type="spellEnd"/>
      <w:r w:rsidRPr="005A22AE">
        <w:rPr>
          <w:rFonts w:ascii="Arial" w:hAnsi="Arial" w:cs="Arial"/>
          <w:sz w:val="22"/>
          <w:szCs w:val="22"/>
        </w:rPr>
        <w:t xml:space="preserve"> counties, the major potato producing highlands in the country. Five models were estimated in succession; Poisson baseline, single-level Negative Binomial (NB), multilevel NB, single-level Beta regression, and the final multilevel Beta regression model. We show that the multilevel beta regression is the best model </w:t>
      </w:r>
      <w:r w:rsidRPr="005A22AE">
        <w:rPr>
          <w:rFonts w:ascii="Arial" w:hAnsi="Arial" w:cs="Arial"/>
          <w:iCs/>
          <w:sz w:val="22"/>
          <w:szCs w:val="22"/>
        </w:rPr>
        <w:t xml:space="preserve">(AIC=2711.30, log-likelihood=1375.65, LRT: </w:t>
      </w:r>
      <m:oMath>
        <m:sSup>
          <m:sSupPr>
            <m:ctrlPr>
              <w:rPr>
                <w:rFonts w:ascii="Cambria Math" w:hAnsi="Cambria Math" w:cs="Arial"/>
                <w:iCs/>
                <w:sz w:val="22"/>
                <w:szCs w:val="22"/>
              </w:rPr>
            </m:ctrlPr>
          </m:sSupPr>
          <m:e>
            <m:r>
              <m:rPr>
                <m:sty m:val="p"/>
              </m:rPr>
              <w:rPr>
                <w:rFonts w:ascii="Cambria Math" w:hAnsi="Cambria Math" w:cs="Arial"/>
                <w:sz w:val="22"/>
                <w:szCs w:val="22"/>
              </w:rPr>
              <m:t>χ</m:t>
            </m:r>
          </m:e>
          <m:sup>
            <m:r>
              <m:rPr>
                <m:sty m:val="p"/>
              </m:rPr>
              <w:rPr>
                <w:rFonts w:ascii="Cambria Math" w:hAnsi="Cambria Math" w:cs="Arial"/>
                <w:sz w:val="22"/>
                <w:szCs w:val="22"/>
              </w:rPr>
              <m:t>2</m:t>
            </m:r>
          </m:sup>
        </m:sSup>
        <m:r>
          <m:rPr>
            <m:sty m:val="p"/>
          </m:rPr>
          <w:rPr>
            <w:rFonts w:ascii="Cambria Math" w:hAnsi="Cambria Math" w:cs="Arial"/>
            <w:sz w:val="22"/>
            <w:szCs w:val="22"/>
          </w:rPr>
          <m:t>=27.07, df=2, p&lt;0.001)</m:t>
        </m:r>
      </m:oMath>
      <w:r w:rsidRPr="005A22AE">
        <w:rPr>
          <w:rFonts w:ascii="Arial" w:hAnsi="Arial" w:cs="Arial"/>
          <w:sz w:val="22"/>
          <w:szCs w:val="22"/>
        </w:rPr>
        <w:t xml:space="preserve"> confirming appropriateness of Beta distribution for the bounded proportional loss and need for multilevel model. The storage methods were the most powerful explanatory variable </w:t>
      </w:r>
      <m:oMath>
        <m:r>
          <w:rPr>
            <w:rFonts w:ascii="Cambria Math" w:hAnsi="Cambria Math" w:cs="Arial"/>
            <w:sz w:val="22"/>
            <w:szCs w:val="22"/>
          </w:rPr>
          <m:t xml:space="preserve">(Wald </m:t>
        </m:r>
        <m:sSup>
          <m:sSupPr>
            <m:ctrlPr>
              <w:rPr>
                <w:rFonts w:ascii="Cambria Math" w:hAnsi="Cambria Math" w:cs="Arial"/>
                <w:iCs/>
                <w:sz w:val="22"/>
                <w:szCs w:val="22"/>
              </w:rPr>
            </m:ctrlPr>
          </m:sSupPr>
          <m:e>
            <m:r>
              <m:rPr>
                <m:sty m:val="p"/>
              </m:rPr>
              <w:rPr>
                <w:rFonts w:ascii="Cambria Math" w:hAnsi="Cambria Math" w:cs="Arial"/>
                <w:sz w:val="22"/>
                <w:szCs w:val="22"/>
              </w:rPr>
              <m:t>χ</m:t>
            </m:r>
          </m:e>
          <m:sup>
            <m:r>
              <m:rPr>
                <m:sty m:val="p"/>
              </m:rPr>
              <w:rPr>
                <w:rFonts w:ascii="Cambria Math" w:hAnsi="Cambria Math" w:cs="Arial"/>
                <w:sz w:val="22"/>
                <w:szCs w:val="22"/>
              </w:rPr>
              <m:t>2</m:t>
            </m:r>
          </m:sup>
        </m:sSup>
        <m:r>
          <w:rPr>
            <w:rFonts w:ascii="Cambria Math" w:hAnsi="Cambria Math" w:cs="Arial"/>
            <w:sz w:val="22"/>
            <w:szCs w:val="22"/>
          </w:rPr>
          <m:t>=1182.71, p&lt;0.001)</m:t>
        </m:r>
      </m:oMath>
      <w:r w:rsidRPr="005A22AE">
        <w:rPr>
          <w:rFonts w:ascii="Arial" w:hAnsi="Arial" w:cs="Arial"/>
          <w:sz w:val="22"/>
          <w:szCs w:val="22"/>
        </w:rPr>
        <w:t xml:space="preserve">; the cold storage reduce proportionally by 13.07 percentage points loss while dark room storage by 7.44 percent relative to the traditional storage methods. Storage duration, market distance, the usage of chemicals, extension and training and transportation method also proved to be highly significant explanatory variables while the education of actor had insignificant impact on PL. Random intercepts at county level are close to zero and LR test indicated a significant model fit improvement with multilevel model. Residual diagnostics by </w:t>
      </w:r>
      <w:proofErr w:type="spellStart"/>
      <w:r w:rsidRPr="005A22AE">
        <w:rPr>
          <w:rFonts w:ascii="Arial" w:hAnsi="Arial" w:cs="Arial"/>
          <w:sz w:val="22"/>
          <w:szCs w:val="22"/>
        </w:rPr>
        <w:t>DHARMa</w:t>
      </w:r>
      <w:proofErr w:type="spellEnd"/>
      <w:r w:rsidRPr="005A22AE">
        <w:rPr>
          <w:rFonts w:ascii="Arial" w:hAnsi="Arial" w:cs="Arial"/>
          <w:sz w:val="22"/>
          <w:szCs w:val="22"/>
        </w:rPr>
        <w:t xml:space="preserve"> showed validity of Beta distribution assumption. The findings are policy-relevant in investment decisions aimed at reduction of PHL along the Kenyan potato value chain through provision of access to cheaper storage infrastructure, integration of extension-input system and transport infrastructure improvement.</w:t>
      </w:r>
    </w:p>
    <w:p w14:paraId="036C344E" w14:textId="77777777" w:rsidR="0075761C" w:rsidRPr="005A22AE" w:rsidRDefault="0075761C" w:rsidP="003B0C52">
      <w:pPr>
        <w:spacing w:after="0" w:line="240" w:lineRule="auto"/>
        <w:contextualSpacing/>
        <w:jc w:val="both"/>
        <w:rPr>
          <w:rFonts w:ascii="Arial" w:hAnsi="Arial" w:cs="Arial"/>
          <w:sz w:val="22"/>
          <w:szCs w:val="22"/>
        </w:rPr>
      </w:pPr>
    </w:p>
    <w:p w14:paraId="2FB81F67" w14:textId="7F34542A" w:rsidR="0075761C" w:rsidRDefault="0075761C" w:rsidP="003B0C52">
      <w:pPr>
        <w:spacing w:after="0" w:line="240" w:lineRule="auto"/>
        <w:contextualSpacing/>
        <w:jc w:val="both"/>
        <w:rPr>
          <w:rFonts w:ascii="Times New Roman" w:hAnsi="Times New Roman" w:cs="Times New Roman"/>
          <w:b/>
          <w:bCs/>
        </w:rPr>
      </w:pPr>
      <w:r w:rsidRPr="003B0C52">
        <w:rPr>
          <w:rFonts w:ascii="Times New Roman" w:hAnsi="Times New Roman" w:cs="Times New Roman"/>
          <w:b/>
          <w:bCs/>
        </w:rPr>
        <w:t>Keywords: Multilevel beta regression, Post-Harvest Losses, Negative Binomial</w:t>
      </w:r>
    </w:p>
    <w:p w14:paraId="7B2B93BF" w14:textId="77777777" w:rsidR="001E3807" w:rsidRDefault="001E3807" w:rsidP="003B0C52">
      <w:pPr>
        <w:spacing w:after="0" w:line="240" w:lineRule="auto"/>
        <w:contextualSpacing/>
        <w:jc w:val="both"/>
        <w:rPr>
          <w:rFonts w:ascii="Times New Roman" w:hAnsi="Times New Roman" w:cs="Times New Roman"/>
          <w:b/>
          <w:bCs/>
        </w:rPr>
      </w:pPr>
    </w:p>
    <w:p w14:paraId="32B3D689" w14:textId="76F8661E" w:rsidR="001E3807" w:rsidRPr="003B0C52" w:rsidRDefault="001E3807" w:rsidP="003B0C52">
      <w:pPr>
        <w:spacing w:after="0" w:line="240" w:lineRule="auto"/>
        <w:contextualSpacing/>
        <w:jc w:val="both"/>
        <w:rPr>
          <w:rFonts w:ascii="Times New Roman" w:hAnsi="Times New Roman" w:cs="Times New Roman"/>
          <w:b/>
          <w:bCs/>
        </w:rPr>
      </w:pPr>
      <w:r>
        <w:rPr>
          <w:rFonts w:ascii="Times New Roman" w:hAnsi="Times New Roman" w:cs="Times New Roman"/>
          <w:b/>
          <w:bCs/>
        </w:rPr>
        <w:t>Introduction</w:t>
      </w:r>
    </w:p>
    <w:p w14:paraId="48B37AAC" w14:textId="77777777" w:rsidR="006F0D79" w:rsidRPr="003B0C52" w:rsidRDefault="006F0D79" w:rsidP="003B0C52">
      <w:pPr>
        <w:pStyle w:val="Heading2"/>
        <w:spacing w:line="240" w:lineRule="auto"/>
        <w:rPr>
          <w:rFonts w:ascii="Times New Roman" w:hAnsi="Times New Roman" w:cs="Times New Roman"/>
          <w:b/>
          <w:bCs/>
          <w:color w:val="auto"/>
          <w:sz w:val="24"/>
          <w:szCs w:val="24"/>
        </w:rPr>
      </w:pPr>
      <w:bookmarkStart w:id="0" w:name="_Toc225180537"/>
      <w:r w:rsidRPr="003B0C52">
        <w:rPr>
          <w:rFonts w:ascii="Times New Roman" w:hAnsi="Times New Roman" w:cs="Times New Roman"/>
          <w:b/>
          <w:bCs/>
          <w:color w:val="auto"/>
          <w:sz w:val="24"/>
          <w:szCs w:val="24"/>
        </w:rPr>
        <w:t>1.1</w:t>
      </w:r>
      <w:r w:rsidRPr="003B0C52">
        <w:rPr>
          <w:rFonts w:ascii="Times New Roman" w:hAnsi="Times New Roman" w:cs="Times New Roman"/>
          <w:b/>
          <w:bCs/>
          <w:color w:val="auto"/>
          <w:sz w:val="24"/>
          <w:szCs w:val="24"/>
        </w:rPr>
        <w:tab/>
        <w:t>Background of The Study</w:t>
      </w:r>
      <w:bookmarkEnd w:id="0"/>
    </w:p>
    <w:p w14:paraId="2875E3B7" w14:textId="2179E771" w:rsidR="006F0D79" w:rsidRPr="003B0C52" w:rsidRDefault="006F0D79" w:rsidP="003B0C52">
      <w:pPr>
        <w:spacing w:line="240" w:lineRule="auto"/>
        <w:jc w:val="both"/>
        <w:rPr>
          <w:rFonts w:ascii="Times New Roman" w:hAnsi="Times New Roman" w:cs="Times New Roman"/>
        </w:rPr>
      </w:pPr>
      <w:r w:rsidRPr="003B0C52">
        <w:rPr>
          <w:rFonts w:ascii="Times New Roman" w:hAnsi="Times New Roman" w:cs="Times New Roman"/>
        </w:rPr>
        <w:t xml:space="preserve">Agriculture is the staple of economic growth in most developing nations especially in sub-Saharan Africa. The industry is a significant contributor to gross domestic product (GDP) and has high percentage workforce in rural regions and supports household food security and income source. The Food and Agriculture Organization of the United Nation’s reports that agriculture contributes around 23% of GDP in sub-Saharan Africa and provides more than 60% of labor force </w:t>
      </w:r>
      <w:sdt>
        <w:sdtPr>
          <w:rPr>
            <w:rFonts w:ascii="Times New Roman" w:hAnsi="Times New Roman" w:cs="Times New Roman"/>
            <w:color w:val="000000"/>
          </w:rPr>
          <w:tag w:val="MENDELEY_CITATION_v3_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"/>
          <w:id w:val="1170609979"/>
          <w:placeholder>
            <w:docPart w:val="65FB3147C4C44538BC1BA27EBA71E0E8"/>
          </w:placeholder>
        </w:sdtPr>
        <w:sdtEndPr/>
        <w:sdtContent>
          <w:r w:rsidR="00F611F9" w:rsidRPr="003B0C52">
            <w:rPr>
              <w:rFonts w:ascii="Times New Roman" w:hAnsi="Times New Roman" w:cs="Times New Roman"/>
              <w:color w:val="000000"/>
            </w:rPr>
            <w:t>(</w:t>
          </w:r>
          <w:proofErr w:type="spellStart"/>
          <w:r w:rsidR="00F611F9" w:rsidRPr="003B0C52">
            <w:rPr>
              <w:rFonts w:ascii="Times New Roman" w:hAnsi="Times New Roman" w:cs="Times New Roman"/>
              <w:color w:val="000000"/>
            </w:rPr>
            <w:t>Olakiumide</w:t>
          </w:r>
          <w:proofErr w:type="spellEnd"/>
          <w:r w:rsidR="00F611F9" w:rsidRPr="003B0C52">
            <w:rPr>
              <w:rFonts w:ascii="Times New Roman" w:hAnsi="Times New Roman" w:cs="Times New Roman"/>
              <w:color w:val="000000"/>
            </w:rPr>
            <w:t>, 2021)</w:t>
          </w:r>
        </w:sdtContent>
      </w:sdt>
      <w:r w:rsidRPr="003B0C52">
        <w:rPr>
          <w:rFonts w:ascii="Times New Roman" w:hAnsi="Times New Roman" w:cs="Times New Roman"/>
        </w:rPr>
        <w:t>. Although there have been tremendous improvements in agricultural production and policy support, there is still a high percentage of food produce that goes to waste before it reaches final consumers. These losses, which are also referred to as post-harvest-losses (PHL), are also one of the most urgent problems that food systems in developing economies face.</w:t>
      </w:r>
    </w:p>
    <w:p w14:paraId="4DADA50B" w14:textId="64367A55" w:rsidR="006F0D79" w:rsidRPr="003B0C52" w:rsidRDefault="006F0D79" w:rsidP="003B0C52">
      <w:pPr>
        <w:spacing w:line="240" w:lineRule="auto"/>
        <w:jc w:val="both"/>
        <w:rPr>
          <w:rFonts w:ascii="Times New Roman" w:hAnsi="Times New Roman" w:cs="Times New Roman"/>
          <w:color w:val="000000"/>
        </w:rPr>
      </w:pPr>
      <w:r w:rsidRPr="003B0C52">
        <w:rPr>
          <w:rFonts w:ascii="Times New Roman" w:hAnsi="Times New Roman" w:cs="Times New Roman"/>
        </w:rPr>
        <w:t xml:space="preserve">Post-harvest losses refer to quantifiable quantitative and qualitative losses in food quantity, quality, or nutritional value that takes place between point of harvest and the point of consumption. This loss is experienced at different points of the agricultural value chain such as during harvesting, </w:t>
      </w:r>
      <w:r w:rsidRPr="003B0C52">
        <w:rPr>
          <w:rFonts w:ascii="Times New Roman" w:hAnsi="Times New Roman" w:cs="Times New Roman"/>
        </w:rPr>
        <w:lastRenderedPageBreak/>
        <w:t xml:space="preserve">handling, storage, processing, transportation and marketing. It has been estimated that developing countries suffer post-harvest losses of between 20 and 40 percent of all agricultural production each year </w:t>
      </w:r>
      <w:sdt>
        <w:sdtPr>
          <w:rPr>
            <w:rFonts w:ascii="Times New Roman" w:hAnsi="Times New Roman" w:cs="Times New Roman"/>
            <w:color w:val="000000"/>
          </w:rPr>
          <w:tag w:val="MENDELEY_CITATION_v3_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"/>
          <w:id w:val="768748641"/>
          <w:placeholder>
            <w:docPart w:val="65FB3147C4C44538BC1BA27EBA71E0E8"/>
          </w:placeholder>
        </w:sdtPr>
        <w:sdtEndPr/>
        <w:sdtContent>
          <w:r w:rsidR="00F611F9" w:rsidRPr="003B0C52">
            <w:rPr>
              <w:rFonts w:ascii="Times New Roman" w:hAnsi="Times New Roman" w:cs="Times New Roman"/>
              <w:color w:val="000000"/>
            </w:rPr>
            <w:t>(</w:t>
          </w:r>
          <w:proofErr w:type="spellStart"/>
          <w:r w:rsidR="00F611F9" w:rsidRPr="003B0C52">
            <w:rPr>
              <w:rFonts w:ascii="Times New Roman" w:hAnsi="Times New Roman" w:cs="Times New Roman"/>
              <w:color w:val="000000"/>
            </w:rPr>
            <w:t>Olakiumide</w:t>
          </w:r>
          <w:proofErr w:type="spellEnd"/>
          <w:r w:rsidR="00F611F9" w:rsidRPr="003B0C52">
            <w:rPr>
              <w:rFonts w:ascii="Times New Roman" w:hAnsi="Times New Roman" w:cs="Times New Roman"/>
              <w:color w:val="000000"/>
            </w:rPr>
            <w:t>, 2021)</w:t>
          </w:r>
        </w:sdtContent>
      </w:sdt>
      <w:r w:rsidRPr="003B0C52">
        <w:rPr>
          <w:rFonts w:ascii="Times New Roman" w:hAnsi="Times New Roman" w:cs="Times New Roman"/>
          <w:color w:val="000000"/>
        </w:rPr>
        <w:t>,</w:t>
      </w:r>
      <w:r w:rsidRPr="003B0C52">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"/>
          <w:id w:val="-491408435"/>
          <w:placeholder>
            <w:docPart w:val="65FB3147C4C44538BC1BA27EBA71E0E8"/>
          </w:placeholder>
        </w:sdtPr>
        <w:sdtEndPr/>
        <w:sdtContent>
          <w:r w:rsidR="00F611F9" w:rsidRPr="003B0C52">
            <w:rPr>
              <w:rFonts w:ascii="Times New Roman" w:hAnsi="Times New Roman" w:cs="Times New Roman"/>
              <w:color w:val="000000"/>
            </w:rPr>
            <w:t>(</w:t>
          </w:r>
          <w:proofErr w:type="spellStart"/>
          <w:r w:rsidR="00F611F9" w:rsidRPr="003B0C52">
            <w:rPr>
              <w:rFonts w:ascii="Times New Roman" w:hAnsi="Times New Roman" w:cs="Times New Roman"/>
              <w:color w:val="000000"/>
            </w:rPr>
            <w:t>Zsögön</w:t>
          </w:r>
          <w:proofErr w:type="spellEnd"/>
          <w:r w:rsidR="00F611F9" w:rsidRPr="003B0C52">
            <w:rPr>
              <w:rFonts w:ascii="Times New Roman" w:hAnsi="Times New Roman" w:cs="Times New Roman"/>
              <w:color w:val="000000"/>
            </w:rPr>
            <w:t xml:space="preserve"> et al., 2022)</w:t>
          </w:r>
        </w:sdtContent>
      </w:sdt>
      <w:r w:rsidRPr="003B0C52">
        <w:rPr>
          <w:rFonts w:ascii="Times New Roman" w:hAnsi="Times New Roman" w:cs="Times New Roman"/>
        </w:rPr>
        <w:t xml:space="preserve">. In the case of perishable commodities like fruits, vegetables and root crops, these numbers may be even greater. The impacts are extensive, including loss of income in smallholder farmers, high consumer prices, food insecurity and unwarranted environmental impacts due to the wastages of land, water and energy </w:t>
      </w:r>
      <w:sdt>
        <w:sdtPr>
          <w:rPr>
            <w:rFonts w:ascii="Times New Roman" w:hAnsi="Times New Roman" w:cs="Times New Roman"/>
            <w:color w:val="000000"/>
          </w:rPr>
          <w:tag w:val="MENDELEY_CITATION_v3_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"/>
          <w:id w:val="438571712"/>
          <w:placeholder>
            <w:docPart w:val="65FB3147C4C44538BC1BA27EBA71E0E8"/>
          </w:placeholder>
        </w:sdtPr>
        <w:sdtEndPr/>
        <w:sdtContent>
          <w:r w:rsidR="00F611F9" w:rsidRPr="003B0C52">
            <w:rPr>
              <w:rFonts w:ascii="Times New Roman" w:hAnsi="Times New Roman" w:cs="Times New Roman"/>
              <w:color w:val="000000"/>
            </w:rPr>
            <w:t xml:space="preserve">(Mburu et al., 2023; </w:t>
          </w:r>
          <w:proofErr w:type="spellStart"/>
          <w:r w:rsidR="00F611F9" w:rsidRPr="003B0C52">
            <w:rPr>
              <w:rFonts w:ascii="Times New Roman" w:hAnsi="Times New Roman" w:cs="Times New Roman"/>
              <w:color w:val="000000"/>
            </w:rPr>
            <w:t>Mugo</w:t>
          </w:r>
          <w:proofErr w:type="spellEnd"/>
          <w:r w:rsidR="00F611F9" w:rsidRPr="003B0C52">
            <w:rPr>
              <w:rFonts w:ascii="Times New Roman" w:hAnsi="Times New Roman" w:cs="Times New Roman"/>
              <w:color w:val="000000"/>
            </w:rPr>
            <w:t xml:space="preserve"> et al., 2021)</w:t>
          </w:r>
        </w:sdtContent>
      </w:sdt>
      <w:r w:rsidRPr="003B0C52">
        <w:rPr>
          <w:rFonts w:ascii="Times New Roman" w:hAnsi="Times New Roman" w:cs="Times New Roman"/>
          <w:color w:val="000000"/>
        </w:rPr>
        <w:t>.</w:t>
      </w:r>
    </w:p>
    <w:p w14:paraId="4BD4CA62" w14:textId="62E13B99" w:rsidR="002D26E1" w:rsidRPr="003B0C52" w:rsidRDefault="002D26E1" w:rsidP="003B0C52">
      <w:pPr>
        <w:spacing w:line="240" w:lineRule="auto"/>
        <w:jc w:val="both"/>
        <w:rPr>
          <w:rFonts w:ascii="Times New Roman" w:hAnsi="Times New Roman" w:cs="Times New Roman"/>
        </w:rPr>
      </w:pPr>
      <w:r w:rsidRPr="003B0C52">
        <w:rPr>
          <w:rFonts w:ascii="Times New Roman" w:hAnsi="Times New Roman" w:cs="Times New Roman"/>
        </w:rPr>
        <w:t>The potato crop in Kenya forms a very essential part of the national food system as both staple food and a very important source of income to millions of smallholder farming households. The crop is mainly grown in highlands of the country such as the Rift Valley, Central and East, that offer the cool weather and fertile soils that support growth of tubers</w:t>
      </w:r>
      <w:sdt>
        <w:sdtPr>
          <w:rPr>
            <w:rFonts w:ascii="Times New Roman" w:hAnsi="Times New Roman" w:cs="Times New Roman"/>
            <w:color w:val="000000"/>
          </w:rPr>
          <w:tag w:val="MENDELEY_CITATION_v3_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"/>
          <w:id w:val="-1890561042"/>
          <w:placeholder>
            <w:docPart w:val="FEE97E92E78E469A9E42D0A329741840"/>
          </w:placeholder>
        </w:sdtPr>
        <w:sdtEndPr/>
        <w:sdtContent>
          <w:r w:rsidR="00F611F9" w:rsidRPr="003B0C52">
            <w:rPr>
              <w:rFonts w:ascii="Times New Roman" w:hAnsi="Times New Roman" w:cs="Times New Roman"/>
              <w:color w:val="000000"/>
            </w:rPr>
            <w:t>(</w:t>
          </w:r>
          <w:proofErr w:type="spellStart"/>
          <w:r w:rsidR="00F611F9" w:rsidRPr="003B0C52">
            <w:rPr>
              <w:rFonts w:ascii="Times New Roman" w:hAnsi="Times New Roman" w:cs="Times New Roman"/>
              <w:color w:val="000000"/>
            </w:rPr>
            <w:t>Mwakidoshi</w:t>
          </w:r>
          <w:proofErr w:type="spellEnd"/>
          <w:r w:rsidR="00F611F9" w:rsidRPr="003B0C52">
            <w:rPr>
              <w:rFonts w:ascii="Times New Roman" w:hAnsi="Times New Roman" w:cs="Times New Roman"/>
              <w:color w:val="000000"/>
            </w:rPr>
            <w:t>, 2021)</w:t>
          </w:r>
        </w:sdtContent>
      </w:sdt>
      <w:r w:rsidRPr="003B0C52">
        <w:rPr>
          <w:rFonts w:ascii="Times New Roman" w:hAnsi="Times New Roman" w:cs="Times New Roman"/>
        </w:rPr>
        <w:t xml:space="preserve">. Current statistics show that Kenya yields about 2.5 million metric tons of potato every year, which makes it one of the top </w:t>
      </w:r>
      <w:proofErr w:type="gramStart"/>
      <w:r w:rsidRPr="003B0C52">
        <w:rPr>
          <w:rFonts w:ascii="Times New Roman" w:hAnsi="Times New Roman" w:cs="Times New Roman"/>
        </w:rPr>
        <w:t>potato</w:t>
      </w:r>
      <w:proofErr w:type="gramEnd"/>
      <w:r w:rsidRPr="003B0C52">
        <w:rPr>
          <w:rFonts w:ascii="Times New Roman" w:hAnsi="Times New Roman" w:cs="Times New Roman"/>
        </w:rPr>
        <w:t xml:space="preserve"> producing nations in the sub-Saharan region </w:t>
      </w:r>
      <w:sdt>
        <w:sdtPr>
          <w:rPr>
            <w:rFonts w:ascii="Times New Roman" w:hAnsi="Times New Roman" w:cs="Times New Roman"/>
            <w:color w:val="000000"/>
          </w:rPr>
          <w:tag w:val="MENDELEY_CITATION_v3_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"/>
          <w:id w:val="406662126"/>
          <w:placeholder>
            <w:docPart w:val="FEE97E92E78E469A9E42D0A329741840"/>
          </w:placeholder>
        </w:sdtPr>
        <w:sdtEndPr/>
        <w:sdtContent>
          <w:r w:rsidR="00F611F9" w:rsidRPr="003B0C52">
            <w:rPr>
              <w:rFonts w:ascii="Times New Roman" w:hAnsi="Times New Roman" w:cs="Times New Roman"/>
              <w:color w:val="000000"/>
            </w:rPr>
            <w:t>(Mburu et al., 2023)</w:t>
          </w:r>
        </w:sdtContent>
      </w:sdt>
      <w:r w:rsidRPr="003B0C52">
        <w:rPr>
          <w:rFonts w:ascii="Times New Roman" w:hAnsi="Times New Roman" w:cs="Times New Roman"/>
        </w:rPr>
        <w:t>.</w:t>
      </w:r>
    </w:p>
    <w:p w14:paraId="089EB1E7" w14:textId="4396A803" w:rsidR="002D26E1" w:rsidRPr="003B0C52" w:rsidRDefault="002D26E1" w:rsidP="003B0C52">
      <w:pPr>
        <w:spacing w:line="240" w:lineRule="auto"/>
        <w:jc w:val="both"/>
        <w:rPr>
          <w:rFonts w:ascii="Times New Roman" w:hAnsi="Times New Roman" w:cs="Times New Roman"/>
        </w:rPr>
      </w:pPr>
      <w:r w:rsidRPr="003B0C52">
        <w:rPr>
          <w:rFonts w:ascii="Times New Roman" w:hAnsi="Times New Roman" w:cs="Times New Roman"/>
        </w:rPr>
        <w:t xml:space="preserve">The post-harvest loss data are difficult to statistically analyze in several aspects. Post-harvest losses are often given as proportions or rates i.e. the percentage of total produce that is lost at a particular stage and these measures lie between zero and one. These proportional results are not in line with the assumptions of the traditional linear regression models, which assume the presence of a continuous unbounded response variable with constant error variance </w:t>
      </w:r>
      <w:sdt>
        <w:sdtPr>
          <w:rPr>
            <w:rFonts w:ascii="Times New Roman" w:hAnsi="Times New Roman" w:cs="Times New Roman"/>
            <w:color w:val="000000"/>
          </w:rPr>
          <w:tag w:val="MENDELEY_CITATION_v3_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"/>
          <w:id w:val="1752232632"/>
          <w:placeholder>
            <w:docPart w:val="E4F3727B80994DD3B06B933B054E4E69"/>
          </w:placeholder>
        </w:sdtPr>
        <w:sdtEndPr/>
        <w:sdtContent>
          <w:r w:rsidR="00F611F9" w:rsidRPr="003B0C52">
            <w:rPr>
              <w:rFonts w:ascii="Times New Roman" w:eastAsia="Times New Roman" w:hAnsi="Times New Roman" w:cs="Times New Roman"/>
              <w:color w:val="000000"/>
            </w:rPr>
            <w:t>(Chen &amp; Yang, 2024)</w:t>
          </w:r>
        </w:sdtContent>
      </w:sdt>
      <w:r w:rsidRPr="003B0C52">
        <w:rPr>
          <w:rFonts w:ascii="Times New Roman" w:hAnsi="Times New Roman" w:cs="Times New Roman"/>
        </w:rPr>
        <w:t xml:space="preserve">. Beta regression was specifically written to regress continuous proportional observations on the open interval (0, 1) using a logit link function, and is capable of dealing with the skewness and heteroscedasticity inherent in proportional data </w:t>
      </w:r>
      <w:sdt>
        <w:sdtPr>
          <w:rPr>
            <w:rFonts w:ascii="Times New Roman" w:hAnsi="Times New Roman" w:cs="Times New Roman"/>
            <w:color w:val="000000"/>
          </w:rPr>
          <w:tag w:val="MENDELEY_CITATION_v3_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"/>
          <w:id w:val="-47767417"/>
          <w:placeholder>
            <w:docPart w:val="E4F3727B80994DD3B06B933B054E4E69"/>
          </w:placeholder>
        </w:sdtPr>
        <w:sdtEndPr/>
        <w:sdtContent>
          <w:r w:rsidR="00F611F9" w:rsidRPr="003B0C52">
            <w:rPr>
              <w:rFonts w:ascii="Times New Roman" w:hAnsi="Times New Roman" w:cs="Times New Roman"/>
              <w:color w:val="000000"/>
            </w:rPr>
            <w:t>(</w:t>
          </w:r>
          <w:proofErr w:type="spellStart"/>
          <w:r w:rsidR="00F611F9" w:rsidRPr="003B0C52">
            <w:rPr>
              <w:rFonts w:ascii="Times New Roman" w:hAnsi="Times New Roman" w:cs="Times New Roman"/>
              <w:color w:val="000000"/>
            </w:rPr>
            <w:t>Geissinger</w:t>
          </w:r>
          <w:proofErr w:type="spellEnd"/>
          <w:r w:rsidR="00F611F9" w:rsidRPr="003B0C52">
            <w:rPr>
              <w:rFonts w:ascii="Times New Roman" w:hAnsi="Times New Roman" w:cs="Times New Roman"/>
              <w:color w:val="000000"/>
            </w:rPr>
            <w:t xml:space="preserve"> et al., 2022a).</w:t>
          </w:r>
        </w:sdtContent>
      </w:sdt>
    </w:p>
    <w:p w14:paraId="3239EEBB" w14:textId="38929F26" w:rsidR="002D26E1" w:rsidRPr="003B0C52" w:rsidRDefault="002D26E1" w:rsidP="003B0C52">
      <w:pPr>
        <w:spacing w:line="240" w:lineRule="auto"/>
        <w:jc w:val="both"/>
        <w:rPr>
          <w:rFonts w:ascii="Times New Roman" w:hAnsi="Times New Roman" w:cs="Times New Roman"/>
        </w:rPr>
      </w:pPr>
      <w:bookmarkStart w:id="1" w:name="_Toc225180547"/>
      <w:r w:rsidRPr="003B0C52">
        <w:rPr>
          <w:rFonts w:ascii="Times New Roman" w:hAnsi="Times New Roman" w:cs="Times New Roman"/>
        </w:rPr>
        <w:t>This research paper addresses these methodological challenges by developing and applying multilevel beta regression model to analyze determinants and spatial heterogeneity of post-harvest potato losses across the potato farm-market value chain in Kenya. It is a very powerful methodology that has an excellent theoretical basis applied to approximate the determinants of proportional losses, quantify the between-county, and between-stage variation, and generate policy-relevant information regarding how to minimize post-harvest losses in the Kenyan potato industry by reconciling the flexibility of the beta distribution plus the hierarchical nature of multilevel modeling. The objective of the study was to compare the performance of multilevel Poisson, Negative Binomial and Beta regression models in the analysis of determinants of post-harvest losses along the potato farm-market value chain in Kenya.</w:t>
      </w:r>
    </w:p>
    <w:p w14:paraId="5EFC9967" w14:textId="5BD806DA" w:rsidR="002D26E1" w:rsidRPr="003B0C52" w:rsidRDefault="002D26E1" w:rsidP="003B0C52">
      <w:pPr>
        <w:pStyle w:val="Heading2"/>
        <w:spacing w:line="240" w:lineRule="auto"/>
        <w:rPr>
          <w:rFonts w:ascii="Times New Roman" w:hAnsi="Times New Roman" w:cs="Times New Roman"/>
          <w:b/>
          <w:bCs/>
          <w:color w:val="auto"/>
          <w:sz w:val="24"/>
          <w:szCs w:val="24"/>
        </w:rPr>
      </w:pPr>
      <w:r w:rsidRPr="003B0C52">
        <w:rPr>
          <w:rFonts w:ascii="Times New Roman" w:hAnsi="Times New Roman" w:cs="Times New Roman"/>
          <w:b/>
          <w:bCs/>
          <w:color w:val="auto"/>
          <w:sz w:val="24"/>
          <w:szCs w:val="24"/>
        </w:rPr>
        <w:t>2</w:t>
      </w:r>
      <w:r w:rsidR="006F0D79" w:rsidRPr="003B0C52">
        <w:rPr>
          <w:rFonts w:ascii="Times New Roman" w:hAnsi="Times New Roman" w:cs="Times New Roman"/>
          <w:b/>
          <w:bCs/>
          <w:color w:val="auto"/>
          <w:sz w:val="24"/>
          <w:szCs w:val="24"/>
        </w:rPr>
        <w:t>.0</w:t>
      </w:r>
      <w:r w:rsidR="006F0D79" w:rsidRPr="003B0C52">
        <w:rPr>
          <w:rFonts w:ascii="Times New Roman" w:hAnsi="Times New Roman" w:cs="Times New Roman"/>
          <w:b/>
          <w:bCs/>
          <w:color w:val="auto"/>
          <w:sz w:val="24"/>
          <w:szCs w:val="24"/>
        </w:rPr>
        <w:tab/>
      </w:r>
      <w:r w:rsidRPr="003B0C52">
        <w:rPr>
          <w:rFonts w:ascii="Times New Roman" w:hAnsi="Times New Roman" w:cs="Times New Roman"/>
          <w:b/>
          <w:bCs/>
          <w:color w:val="auto"/>
          <w:sz w:val="24"/>
          <w:szCs w:val="24"/>
        </w:rPr>
        <w:t>Literature Review</w:t>
      </w:r>
    </w:p>
    <w:p w14:paraId="4F99AF5B" w14:textId="04C1744D" w:rsidR="002D26E1" w:rsidRPr="003B0C52" w:rsidRDefault="002D26E1" w:rsidP="003B0C52">
      <w:pPr>
        <w:spacing w:line="240" w:lineRule="auto"/>
        <w:jc w:val="both"/>
        <w:rPr>
          <w:rFonts w:ascii="Times New Roman" w:hAnsi="Times New Roman" w:cs="Times New Roman"/>
        </w:rPr>
      </w:pPr>
      <w:r w:rsidRPr="003B0C52">
        <w:rPr>
          <w:rFonts w:ascii="Times New Roman" w:hAnsi="Times New Roman" w:cs="Times New Roman"/>
        </w:rPr>
        <w:t xml:space="preserve">Post-harvest losses (PHL) are the quantifiable both in quantity and quality losses in agricultural produce between the time of harvest and the time of final consumption. The concept includes not only physical losses the weight or volume of produce decreases but also the qualitative losses that decrease the nutritional value, marketability, or consumer safety </w:t>
      </w:r>
      <w:sdt>
        <w:sdtPr>
          <w:rPr>
            <w:rFonts w:ascii="Times New Roman" w:hAnsi="Times New Roman" w:cs="Times New Roman"/>
            <w:color w:val="000000"/>
          </w:rPr>
          <w:tag w:val="MENDELEY_CITATION_v3_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"/>
          <w:id w:val="1383899615"/>
          <w:placeholder>
            <w:docPart w:val="04FC6EF0E7C34A2FAB436D52F96F448F"/>
          </w:placeholder>
        </w:sdtPr>
        <w:sdtEndPr/>
        <w:sdtContent>
          <w:r w:rsidR="00F611F9" w:rsidRPr="003B0C52">
            <w:rPr>
              <w:rFonts w:ascii="Times New Roman" w:hAnsi="Times New Roman" w:cs="Times New Roman"/>
              <w:color w:val="000000"/>
            </w:rPr>
            <w:t>(</w:t>
          </w:r>
          <w:proofErr w:type="spellStart"/>
          <w:r w:rsidR="00F611F9" w:rsidRPr="003B0C52">
            <w:rPr>
              <w:rFonts w:ascii="Times New Roman" w:hAnsi="Times New Roman" w:cs="Times New Roman"/>
              <w:color w:val="000000"/>
            </w:rPr>
            <w:t>Levaj</w:t>
          </w:r>
          <w:proofErr w:type="spellEnd"/>
          <w:r w:rsidR="00F611F9" w:rsidRPr="003B0C52">
            <w:rPr>
              <w:rFonts w:ascii="Times New Roman" w:hAnsi="Times New Roman" w:cs="Times New Roman"/>
              <w:color w:val="000000"/>
            </w:rPr>
            <w:t xml:space="preserve"> et al., 2023)</w:t>
          </w:r>
        </w:sdtContent>
      </w:sdt>
      <w:r w:rsidRPr="003B0C52">
        <w:rPr>
          <w:rFonts w:ascii="Times New Roman" w:hAnsi="Times New Roman" w:cs="Times New Roman"/>
        </w:rPr>
        <w:t xml:space="preserve">. According to the estimates made by Food Agricultural Organization (2019), about a third of all food that is produced worldwide to be consumed by humans is lost or wasted, with post-harvest losses within this category making a significant part of this data </w:t>
      </w:r>
      <w:sdt>
        <w:sdtPr>
          <w:rPr>
            <w:rFonts w:ascii="Times New Roman" w:hAnsi="Times New Roman" w:cs="Times New Roman"/>
            <w:color w:val="000000"/>
          </w:rPr>
          <w:tag w:val="MENDELEY_CITATION_v3_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"/>
          <w:id w:val="1096599636"/>
          <w:placeholder>
            <w:docPart w:val="C2671109D8E94522837BCAF42FCC5F9C"/>
          </w:placeholder>
        </w:sdtPr>
        <w:sdtEndPr/>
        <w:sdtContent>
          <w:r w:rsidR="00F611F9" w:rsidRPr="003B0C52">
            <w:rPr>
              <w:rFonts w:ascii="Times New Roman" w:hAnsi="Times New Roman" w:cs="Times New Roman"/>
              <w:color w:val="000000"/>
            </w:rPr>
            <w:t>(</w:t>
          </w:r>
          <w:proofErr w:type="spellStart"/>
          <w:r w:rsidR="00F611F9" w:rsidRPr="003B0C52">
            <w:rPr>
              <w:rFonts w:ascii="Times New Roman" w:hAnsi="Times New Roman" w:cs="Times New Roman"/>
              <w:color w:val="000000"/>
            </w:rPr>
            <w:t>Mugo</w:t>
          </w:r>
          <w:proofErr w:type="spellEnd"/>
          <w:r w:rsidR="00F611F9" w:rsidRPr="003B0C52">
            <w:rPr>
              <w:rFonts w:ascii="Times New Roman" w:hAnsi="Times New Roman" w:cs="Times New Roman"/>
              <w:color w:val="000000"/>
            </w:rPr>
            <w:t xml:space="preserve"> et al., 2021; </w:t>
          </w:r>
          <w:proofErr w:type="spellStart"/>
          <w:r w:rsidR="00F611F9" w:rsidRPr="003B0C52">
            <w:rPr>
              <w:rFonts w:ascii="Times New Roman" w:hAnsi="Times New Roman" w:cs="Times New Roman"/>
              <w:color w:val="000000"/>
            </w:rPr>
            <w:t>Olakiumide</w:t>
          </w:r>
          <w:proofErr w:type="spellEnd"/>
          <w:r w:rsidR="00F611F9" w:rsidRPr="003B0C52">
            <w:rPr>
              <w:rFonts w:ascii="Times New Roman" w:hAnsi="Times New Roman" w:cs="Times New Roman"/>
              <w:color w:val="000000"/>
            </w:rPr>
            <w:t>, 2021)</w:t>
          </w:r>
        </w:sdtContent>
      </w:sdt>
      <w:r w:rsidRPr="003B0C52">
        <w:rPr>
          <w:rFonts w:ascii="Times New Roman" w:hAnsi="Times New Roman" w:cs="Times New Roman"/>
        </w:rPr>
        <w:t xml:space="preserve">. In sub-Saharan Africa, the total losses in form of cereals at the farm and storage levels have been estimated to cost the smallholder farmers a total of US 4 billion each year </w:t>
      </w:r>
      <w:sdt>
        <w:sdtPr>
          <w:rPr>
            <w:rFonts w:ascii="Times New Roman" w:hAnsi="Times New Roman" w:cs="Times New Roman"/>
            <w:color w:val="000000"/>
          </w:rPr>
          <w:tag w:val="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"/>
          <w:id w:val="-222065632"/>
          <w:placeholder>
            <w:docPart w:val="C2671109D8E94522837BCAF42FCC5F9C"/>
          </w:placeholder>
        </w:sdtPr>
        <w:sdtEndPr/>
        <w:sdtContent>
          <w:r w:rsidR="00F611F9" w:rsidRPr="003B0C52">
            <w:rPr>
              <w:rFonts w:ascii="Times New Roman" w:eastAsia="Times New Roman" w:hAnsi="Times New Roman" w:cs="Times New Roman"/>
              <w:color w:val="000000"/>
            </w:rPr>
            <w:t>(</w:t>
          </w:r>
          <w:proofErr w:type="spellStart"/>
          <w:r w:rsidR="00F611F9" w:rsidRPr="003B0C52">
            <w:rPr>
              <w:rFonts w:ascii="Times New Roman" w:eastAsia="Times New Roman" w:hAnsi="Times New Roman" w:cs="Times New Roman"/>
              <w:color w:val="000000"/>
            </w:rPr>
            <w:t>Ariong</w:t>
          </w:r>
          <w:proofErr w:type="spellEnd"/>
          <w:r w:rsidR="00F611F9" w:rsidRPr="003B0C52">
            <w:rPr>
              <w:rFonts w:ascii="Times New Roman" w:eastAsia="Times New Roman" w:hAnsi="Times New Roman" w:cs="Times New Roman"/>
              <w:color w:val="000000"/>
            </w:rPr>
            <w:t xml:space="preserve"> et al., 2023; Yonas et al., 2021)</w:t>
          </w:r>
        </w:sdtContent>
      </w:sdt>
      <w:r w:rsidRPr="003B0C52">
        <w:rPr>
          <w:rFonts w:ascii="Times New Roman" w:hAnsi="Times New Roman" w:cs="Times New Roman"/>
        </w:rPr>
        <w:t>.</w:t>
      </w:r>
    </w:p>
    <w:p w14:paraId="07E237F2" w14:textId="77777777" w:rsidR="002D26E1" w:rsidRPr="003B0C52" w:rsidRDefault="002D26E1" w:rsidP="003B0C52">
      <w:pPr>
        <w:pStyle w:val="Heading3"/>
        <w:spacing w:line="240" w:lineRule="auto"/>
        <w:rPr>
          <w:rFonts w:ascii="Times New Roman" w:hAnsi="Times New Roman" w:cs="Times New Roman"/>
          <w:b/>
          <w:bCs/>
          <w:color w:val="auto"/>
          <w:sz w:val="24"/>
          <w:szCs w:val="24"/>
        </w:rPr>
      </w:pPr>
      <w:bookmarkStart w:id="2" w:name="_Toc225180542"/>
      <w:r w:rsidRPr="003B0C52">
        <w:rPr>
          <w:rFonts w:ascii="Times New Roman" w:hAnsi="Times New Roman" w:cs="Times New Roman"/>
          <w:b/>
          <w:bCs/>
          <w:color w:val="auto"/>
          <w:sz w:val="24"/>
          <w:szCs w:val="24"/>
        </w:rPr>
        <w:lastRenderedPageBreak/>
        <w:t>2.1</w:t>
      </w:r>
      <w:r w:rsidRPr="003B0C52">
        <w:rPr>
          <w:rFonts w:ascii="Times New Roman" w:hAnsi="Times New Roman" w:cs="Times New Roman"/>
          <w:b/>
          <w:bCs/>
          <w:color w:val="auto"/>
          <w:sz w:val="24"/>
          <w:szCs w:val="24"/>
        </w:rPr>
        <w:tab/>
        <w:t>Poisson Regression in Agricultural and Post-Harvest Loss Modeling</w:t>
      </w:r>
      <w:bookmarkEnd w:id="2"/>
      <w:r w:rsidRPr="003B0C52">
        <w:rPr>
          <w:rFonts w:ascii="Times New Roman" w:hAnsi="Times New Roman" w:cs="Times New Roman"/>
          <w:b/>
          <w:bCs/>
          <w:color w:val="auto"/>
          <w:sz w:val="24"/>
          <w:szCs w:val="24"/>
        </w:rPr>
        <w:t xml:space="preserve"> </w:t>
      </w:r>
    </w:p>
    <w:p w14:paraId="29B99041" w14:textId="2493E0B2" w:rsidR="002D26E1" w:rsidRPr="003B0C52" w:rsidRDefault="002D26E1" w:rsidP="003B0C52">
      <w:pPr>
        <w:spacing w:line="240" w:lineRule="auto"/>
        <w:jc w:val="both"/>
        <w:rPr>
          <w:rFonts w:ascii="Times New Roman" w:hAnsi="Times New Roman" w:cs="Times New Roman"/>
        </w:rPr>
      </w:pPr>
      <w:r w:rsidRPr="003B0C52">
        <w:rPr>
          <w:rFonts w:ascii="Times New Roman" w:hAnsi="Times New Roman" w:cs="Times New Roman"/>
        </w:rPr>
        <w:t xml:space="preserve">The Poisson regression is the model of the analysis of count data and has been used extensively in the agricultural sciences to model discrete count non-negativity outcomes, including the number of pests, the occurrence of a disease and the number of units of produce lost during storage or handling </w:t>
      </w:r>
      <w:sdt>
        <w:sdtPr>
          <w:rPr>
            <w:rFonts w:ascii="Times New Roman" w:hAnsi="Times New Roman" w:cs="Times New Roman"/>
            <w:color w:val="000000"/>
          </w:rPr>
          <w:tag w:val="MENDELEY_CITATION_v3_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"/>
          <w:id w:val="1194426992"/>
          <w:placeholder>
            <w:docPart w:val="5BFD738DA0024DB4BEF01CA2847C5ECC"/>
          </w:placeholder>
        </w:sdtPr>
        <w:sdtEndPr/>
        <w:sdtContent>
          <w:r w:rsidR="00F611F9" w:rsidRPr="003B0C52">
            <w:rPr>
              <w:rFonts w:ascii="Times New Roman" w:hAnsi="Times New Roman" w:cs="Times New Roman"/>
              <w:color w:val="000000"/>
            </w:rPr>
            <w:t>(Ma et al., 2025)</w:t>
          </w:r>
        </w:sdtContent>
      </w:sdt>
      <w:r w:rsidRPr="003B0C52">
        <w:rPr>
          <w:rFonts w:ascii="Times New Roman" w:hAnsi="Times New Roman" w:cs="Times New Roman"/>
        </w:rPr>
        <w:t xml:space="preserve">. The model is built on the assumption that the response variable is a Poisson variable with mean equal to the variance and a log linking function will be used so that it is the expected count that is related to a linear predictor of covariates </w:t>
      </w:r>
      <w:sdt>
        <w:sdtPr>
          <w:rPr>
            <w:rFonts w:ascii="Times New Roman" w:hAnsi="Times New Roman" w:cs="Times New Roman"/>
            <w:color w:val="000000"/>
          </w:rPr>
          <w:tag w:val="MENDELEY_CITATION_v3_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"/>
          <w:id w:val="330024803"/>
          <w:placeholder>
            <w:docPart w:val="362633488D044C03B23899C367ABC14C"/>
          </w:placeholder>
        </w:sdtPr>
        <w:sdtEndPr/>
        <w:sdtContent>
          <w:r w:rsidR="00F611F9" w:rsidRPr="003B0C52">
            <w:rPr>
              <w:rFonts w:ascii="Times New Roman" w:hAnsi="Times New Roman" w:cs="Times New Roman"/>
              <w:color w:val="000000"/>
            </w:rPr>
            <w:t>(</w:t>
          </w:r>
          <w:proofErr w:type="spellStart"/>
          <w:r w:rsidR="00F611F9" w:rsidRPr="003B0C52">
            <w:rPr>
              <w:rFonts w:ascii="Times New Roman" w:hAnsi="Times New Roman" w:cs="Times New Roman"/>
              <w:color w:val="000000"/>
            </w:rPr>
            <w:t>Saha</w:t>
          </w:r>
          <w:proofErr w:type="spellEnd"/>
          <w:r w:rsidR="00F611F9" w:rsidRPr="003B0C52">
            <w:rPr>
              <w:rFonts w:ascii="Times New Roman" w:hAnsi="Times New Roman" w:cs="Times New Roman"/>
              <w:color w:val="000000"/>
            </w:rPr>
            <w:t xml:space="preserve"> et al., 2026)</w:t>
          </w:r>
        </w:sdtContent>
      </w:sdt>
      <w:r w:rsidRPr="003B0C52">
        <w:rPr>
          <w:rFonts w:ascii="Times New Roman" w:hAnsi="Times New Roman" w:cs="Times New Roman"/>
        </w:rPr>
        <w:t>. Poisson regression has been applied to food loss studies to estimate the quantity of damaged units at each stage of the supply chain, which serves as a statistically based baseline model.</w:t>
      </w:r>
    </w:p>
    <w:p w14:paraId="1ABE55B8" w14:textId="77777777" w:rsidR="002D26E1" w:rsidRPr="003B0C52" w:rsidRDefault="002D26E1" w:rsidP="003B0C52">
      <w:pPr>
        <w:pStyle w:val="Heading3"/>
        <w:spacing w:line="240" w:lineRule="auto"/>
        <w:rPr>
          <w:rFonts w:ascii="Times New Roman" w:hAnsi="Times New Roman" w:cs="Times New Roman"/>
          <w:b/>
          <w:bCs/>
          <w:color w:val="auto"/>
          <w:sz w:val="24"/>
          <w:szCs w:val="24"/>
        </w:rPr>
      </w:pPr>
      <w:bookmarkStart w:id="3" w:name="_Toc225180543"/>
      <w:r w:rsidRPr="003B0C52">
        <w:rPr>
          <w:rFonts w:ascii="Times New Roman" w:hAnsi="Times New Roman" w:cs="Times New Roman"/>
          <w:b/>
          <w:bCs/>
          <w:color w:val="auto"/>
          <w:sz w:val="24"/>
          <w:szCs w:val="24"/>
        </w:rPr>
        <w:t>2.2</w:t>
      </w:r>
      <w:r w:rsidRPr="003B0C52">
        <w:rPr>
          <w:rFonts w:ascii="Times New Roman" w:hAnsi="Times New Roman" w:cs="Times New Roman"/>
          <w:b/>
          <w:bCs/>
          <w:color w:val="auto"/>
          <w:sz w:val="24"/>
          <w:szCs w:val="24"/>
        </w:rPr>
        <w:tab/>
        <w:t>Negative Binomial Regression</w:t>
      </w:r>
      <w:bookmarkEnd w:id="3"/>
    </w:p>
    <w:p w14:paraId="610F7954" w14:textId="51A94696" w:rsidR="002D26E1" w:rsidRPr="003B0C52" w:rsidRDefault="002D26E1" w:rsidP="003B0C52">
      <w:pPr>
        <w:spacing w:line="240" w:lineRule="auto"/>
        <w:jc w:val="both"/>
        <w:rPr>
          <w:rFonts w:ascii="Times New Roman" w:hAnsi="Times New Roman" w:cs="Times New Roman"/>
          <w:color w:val="000000"/>
        </w:rPr>
      </w:pPr>
      <w:r w:rsidRPr="003B0C52">
        <w:rPr>
          <w:rFonts w:ascii="Times New Roman" w:hAnsi="Times New Roman" w:cs="Times New Roman"/>
        </w:rPr>
        <w:t xml:space="preserve">The most common extension of the Poisson regression to the over dispersed count data is negative binomial (NB) regression model. It is defined as a Poisson-Gamma mixture, but the Poisson rate parameter itself is a Gamma-distributed random variable, with an extra dispersion parameter, which loosens the </w:t>
      </w:r>
      <w:proofErr w:type="spellStart"/>
      <w:r w:rsidRPr="003B0C52">
        <w:rPr>
          <w:rFonts w:ascii="Times New Roman" w:hAnsi="Times New Roman" w:cs="Times New Roman"/>
        </w:rPr>
        <w:t>equidispersion</w:t>
      </w:r>
      <w:proofErr w:type="spellEnd"/>
      <w:r w:rsidRPr="003B0C52">
        <w:rPr>
          <w:rFonts w:ascii="Times New Roman" w:hAnsi="Times New Roman" w:cs="Times New Roman"/>
        </w:rPr>
        <w:t xml:space="preserve"> condition </w:t>
      </w:r>
      <w:sdt>
        <w:sdtPr>
          <w:rPr>
            <w:rFonts w:ascii="Times New Roman" w:hAnsi="Times New Roman" w:cs="Times New Roman"/>
            <w:color w:val="000000"/>
          </w:rPr>
          <w:tag w:val="MENDELEY_CITATION_v3_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"/>
          <w:id w:val="-729610963"/>
          <w:placeholder>
            <w:docPart w:val="4F199BB065CE4F8C99699CBC1E553FD8"/>
          </w:placeholder>
        </w:sdtPr>
        <w:sdtEndPr/>
        <w:sdtContent>
          <w:r w:rsidR="00F611F9" w:rsidRPr="003B0C52">
            <w:rPr>
              <w:rFonts w:ascii="Times New Roman" w:eastAsia="Times New Roman" w:hAnsi="Times New Roman" w:cs="Times New Roman"/>
              <w:color w:val="000000"/>
            </w:rPr>
            <w:t>(Morris &amp; Sellers, 2022)</w:t>
          </w:r>
        </w:sdtContent>
      </w:sdt>
      <w:r w:rsidRPr="003B0C52">
        <w:rPr>
          <w:rFonts w:ascii="Times New Roman" w:hAnsi="Times New Roman" w:cs="Times New Roman"/>
        </w:rPr>
        <w:t xml:space="preserve">. The NB model has found broad application in health sciences, ecology, and agricultural economics to model counts with more variability than is possible with the Poisson model. Negative binomial 2 parameterization also abbreviated </w:t>
      </w:r>
      <m:oMath>
        <m:r>
          <w:rPr>
            <w:rFonts w:ascii="Cambria Math" w:hAnsi="Cambria Math" w:cs="Times New Roman"/>
          </w:rPr>
          <m:t>NB</m:t>
        </m:r>
        <m:d>
          <m:dPr>
            <m:ctrlPr>
              <w:rPr>
                <w:rFonts w:ascii="Cambria Math" w:hAnsi="Cambria Math" w:cs="Times New Roman"/>
                <w:i/>
              </w:rPr>
            </m:ctrlPr>
          </m:dPr>
          <m:e>
            <m:r>
              <w:rPr>
                <w:rFonts w:ascii="Cambria Math" w:hAnsi="Cambria Math" w:cs="Times New Roman"/>
              </w:rPr>
              <m:t>μ, θ</m:t>
            </m:r>
          </m:e>
        </m:d>
        <m:r>
          <w:rPr>
            <w:rFonts w:ascii="Cambria Math" w:hAnsi="Cambria Math" w:cs="Times New Roman"/>
          </w:rPr>
          <m:t xml:space="preserve"> </m:t>
        </m:r>
      </m:oMath>
      <w:r w:rsidRPr="003B0C52">
        <w:rPr>
          <w:rFonts w:ascii="Times New Roman" w:hAnsi="Times New Roman" w:cs="Times New Roman"/>
        </w:rPr>
        <w:t xml:space="preserve">when </w:t>
      </w:r>
      <m:oMath>
        <m:r>
          <w:rPr>
            <w:rFonts w:ascii="Cambria Math" w:hAnsi="Cambria Math" w:cs="Times New Roman"/>
          </w:rPr>
          <m:t xml:space="preserve">var(Y) = μ + </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μ</m:t>
                </m:r>
              </m:e>
              <m:sup>
                <m:r>
                  <w:rPr>
                    <w:rFonts w:ascii="Cambria Math" w:hAnsi="Cambria Math" w:cs="Times New Roman"/>
                  </w:rPr>
                  <m:t>2</m:t>
                </m:r>
              </m:sup>
            </m:sSup>
          </m:num>
          <m:den>
            <m:r>
              <w:rPr>
                <w:rFonts w:ascii="Cambria Math" w:hAnsi="Cambria Math" w:cs="Times New Roman"/>
              </w:rPr>
              <m:t>θ</m:t>
            </m:r>
          </m:den>
        </m:f>
      </m:oMath>
      <w:r w:rsidRPr="003B0C52">
        <w:rPr>
          <w:rFonts w:ascii="Times New Roman" w:hAnsi="Times New Roman" w:cs="Times New Roman"/>
        </w:rPr>
        <w:t xml:space="preserve"> is by far the most used in practice since it can have dispersion that increases with the mean, which is empirically true of most agricultural and ecological count data </w:t>
      </w:r>
      <w:sdt>
        <w:sdtPr>
          <w:rPr>
            <w:rFonts w:ascii="Times New Roman" w:hAnsi="Times New Roman" w:cs="Times New Roman"/>
            <w:color w:val="000000"/>
          </w:rPr>
          <w:tag w:val="MENDELEY_CITATION_v3_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"/>
          <w:id w:val="456685035"/>
          <w:placeholder>
            <w:docPart w:val="119585E35D4644E38AF4B6BCA37672BB"/>
          </w:placeholder>
        </w:sdtPr>
        <w:sdtEndPr/>
        <w:sdtContent>
          <w:r w:rsidR="00F611F9" w:rsidRPr="003B0C52">
            <w:rPr>
              <w:rFonts w:ascii="Times New Roman" w:eastAsia="Times New Roman" w:hAnsi="Times New Roman" w:cs="Times New Roman"/>
              <w:color w:val="000000"/>
            </w:rPr>
            <w:t>(</w:t>
          </w:r>
          <w:proofErr w:type="spellStart"/>
          <w:r w:rsidR="00F611F9" w:rsidRPr="003B0C52">
            <w:rPr>
              <w:rFonts w:ascii="Times New Roman" w:eastAsia="Times New Roman" w:hAnsi="Times New Roman" w:cs="Times New Roman"/>
              <w:color w:val="000000"/>
            </w:rPr>
            <w:t>Almasi</w:t>
          </w:r>
          <w:proofErr w:type="spellEnd"/>
          <w:r w:rsidR="00F611F9" w:rsidRPr="003B0C52">
            <w:rPr>
              <w:rFonts w:ascii="Times New Roman" w:eastAsia="Times New Roman" w:hAnsi="Times New Roman" w:cs="Times New Roman"/>
              <w:color w:val="000000"/>
            </w:rPr>
            <w:t xml:space="preserve"> et al., 2016; Khan &amp; Hasan, 2022)</w:t>
          </w:r>
        </w:sdtContent>
      </w:sdt>
      <w:r w:rsidRPr="003B0C52">
        <w:rPr>
          <w:rFonts w:ascii="Times New Roman" w:hAnsi="Times New Roman" w:cs="Times New Roman"/>
          <w:color w:val="000000"/>
        </w:rPr>
        <w:t>.</w:t>
      </w:r>
    </w:p>
    <w:p w14:paraId="73A168DB" w14:textId="77777777" w:rsidR="002D26E1" w:rsidRPr="003B0C52" w:rsidRDefault="002D26E1" w:rsidP="003B0C52">
      <w:pPr>
        <w:pStyle w:val="Heading3"/>
        <w:spacing w:line="240" w:lineRule="auto"/>
        <w:rPr>
          <w:rFonts w:ascii="Times New Roman" w:hAnsi="Times New Roman" w:cs="Times New Roman"/>
          <w:b/>
          <w:bCs/>
          <w:color w:val="auto"/>
          <w:sz w:val="24"/>
          <w:szCs w:val="24"/>
        </w:rPr>
      </w:pPr>
      <w:bookmarkStart w:id="4" w:name="_Toc225180544"/>
      <w:r w:rsidRPr="003B0C52">
        <w:rPr>
          <w:rFonts w:ascii="Times New Roman" w:hAnsi="Times New Roman" w:cs="Times New Roman"/>
          <w:b/>
          <w:bCs/>
          <w:color w:val="auto"/>
          <w:sz w:val="24"/>
          <w:szCs w:val="24"/>
        </w:rPr>
        <w:t>2.3</w:t>
      </w:r>
      <w:r w:rsidRPr="003B0C52">
        <w:rPr>
          <w:rFonts w:ascii="Times New Roman" w:hAnsi="Times New Roman" w:cs="Times New Roman"/>
          <w:b/>
          <w:bCs/>
          <w:color w:val="auto"/>
          <w:sz w:val="24"/>
          <w:szCs w:val="24"/>
        </w:rPr>
        <w:tab/>
        <w:t>Beta Regression for Proportional Outcomes</w:t>
      </w:r>
      <w:bookmarkEnd w:id="4"/>
    </w:p>
    <w:p w14:paraId="76B927F5" w14:textId="25440157" w:rsidR="002D26E1" w:rsidRPr="003B0C52" w:rsidRDefault="002D26E1" w:rsidP="003B0C52">
      <w:pPr>
        <w:spacing w:line="240" w:lineRule="auto"/>
        <w:jc w:val="both"/>
        <w:rPr>
          <w:rFonts w:ascii="Times New Roman" w:hAnsi="Times New Roman" w:cs="Times New Roman"/>
        </w:rPr>
      </w:pPr>
      <w:r w:rsidRPr="003B0C52">
        <w:rPr>
          <w:rFonts w:ascii="Times New Roman" w:hAnsi="Times New Roman" w:cs="Times New Roman"/>
        </w:rPr>
        <w:t xml:space="preserve">Ferrari and </w:t>
      </w:r>
      <w:proofErr w:type="spellStart"/>
      <w:r w:rsidRPr="003B0C52">
        <w:rPr>
          <w:rFonts w:ascii="Times New Roman" w:hAnsi="Times New Roman" w:cs="Times New Roman"/>
        </w:rPr>
        <w:t>Cribari-Neto</w:t>
      </w:r>
      <w:proofErr w:type="spellEnd"/>
      <w:r w:rsidRPr="003B0C52">
        <w:rPr>
          <w:rFonts w:ascii="Times New Roman" w:hAnsi="Times New Roman" w:cs="Times New Roman"/>
        </w:rPr>
        <w:t xml:space="preserve"> (2004) introduced beta regression to the statistical literature as a regression model specifically designed to estimate continuous response variables that are in the open unit interval </w:t>
      </w:r>
      <m:oMath>
        <m:d>
          <m:dPr>
            <m:ctrlPr>
              <w:rPr>
                <w:rFonts w:ascii="Cambria Math" w:hAnsi="Cambria Math" w:cs="Times New Roman"/>
                <w:i/>
              </w:rPr>
            </m:ctrlPr>
          </m:dPr>
          <m:e>
            <m:r>
              <w:rPr>
                <w:rFonts w:ascii="Cambria Math" w:hAnsi="Cambria Math" w:cs="Times New Roman"/>
              </w:rPr>
              <m:t>0, 1</m:t>
            </m:r>
          </m:e>
        </m:d>
      </m:oMath>
      <w:r w:rsidRPr="003B0C52">
        <w:rPr>
          <w:rFonts w:ascii="Times New Roman" w:eastAsiaTheme="minorEastAsia" w:hAnsi="Times New Roman" w:cs="Times New Roman"/>
        </w:rPr>
        <w:t xml:space="preserve"> </w:t>
      </w:r>
      <w:sdt>
        <w:sdtPr>
          <w:rPr>
            <w:rFonts w:ascii="Times New Roman" w:hAnsi="Times New Roman" w:cs="Times New Roman"/>
            <w:color w:val="000000"/>
          </w:rPr>
          <w:tag w:val="MENDELEY_CITATION_v3_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"/>
          <w:id w:val="-1366130903"/>
          <w:placeholder>
            <w:docPart w:val="C991004DF140497BAB0AD1B2D561FDFF"/>
          </w:placeholder>
        </w:sdtPr>
        <w:sdtEndPr/>
        <w:sdtContent>
          <w:r w:rsidR="00F611F9" w:rsidRPr="003B0C52">
            <w:rPr>
              <w:rFonts w:ascii="Times New Roman" w:eastAsia="Times New Roman" w:hAnsi="Times New Roman" w:cs="Times New Roman"/>
              <w:color w:val="000000"/>
            </w:rPr>
            <w:t>(Chen &amp; Yang, 2024)</w:t>
          </w:r>
        </w:sdtContent>
      </w:sdt>
      <w:r w:rsidRPr="003B0C52">
        <w:rPr>
          <w:rFonts w:ascii="Times New Roman" w:hAnsi="Times New Roman" w:cs="Times New Roman"/>
          <w:color w:val="000000"/>
        </w:rPr>
        <w:t xml:space="preserve">. The </w:t>
      </w:r>
      <w:r w:rsidRPr="003B0C52">
        <w:rPr>
          <w:rFonts w:ascii="Times New Roman" w:hAnsi="Times New Roman" w:cs="Times New Roman"/>
        </w:rPr>
        <w:t xml:space="preserve">beta distribution reparametrized using a mean parameter </w:t>
      </w:r>
      <w:r w:rsidRPr="003B0C52">
        <w:rPr>
          <w:rFonts w:ascii="Times New Roman" w:hAnsi="Times New Roman" w:cs="Times New Roman"/>
          <w:i/>
        </w:rPr>
        <w:t>μ</w:t>
      </w:r>
      <w:r w:rsidRPr="003B0C52">
        <w:rPr>
          <w:rFonts w:ascii="Times New Roman" w:hAnsi="Times New Roman" w:cs="Times New Roman"/>
        </w:rPr>
        <w:t xml:space="preserve"> and a precision parameter </w:t>
      </w:r>
      <m:oMath>
        <m:r>
          <w:rPr>
            <w:rFonts w:ascii="Cambria Math" w:hAnsi="Cambria Math" w:cs="Times New Roman"/>
          </w:rPr>
          <m:t>ϕ</m:t>
        </m:r>
      </m:oMath>
      <w:r w:rsidRPr="003B0C52">
        <w:rPr>
          <w:rFonts w:ascii="Times New Roman" w:hAnsi="Times New Roman" w:cs="Times New Roman"/>
          <w:i/>
        </w:rPr>
        <w:t xml:space="preserve"> </w:t>
      </w:r>
      <w:r w:rsidRPr="003B0C52">
        <w:rPr>
          <w:rFonts w:ascii="Times New Roman" w:hAnsi="Times New Roman" w:cs="Times New Roman"/>
        </w:rPr>
        <w:t xml:space="preserve">and related the mean to a linear predictor using the logit function. Smithson and </w:t>
      </w:r>
      <w:proofErr w:type="spellStart"/>
      <w:r w:rsidRPr="003B0C52">
        <w:rPr>
          <w:rFonts w:ascii="Times New Roman" w:hAnsi="Times New Roman" w:cs="Times New Roman"/>
        </w:rPr>
        <w:t>Verkuilen</w:t>
      </w:r>
      <w:proofErr w:type="spellEnd"/>
      <w:r w:rsidRPr="003B0C52">
        <w:rPr>
          <w:rFonts w:ascii="Times New Roman" w:hAnsi="Times New Roman" w:cs="Times New Roman"/>
        </w:rPr>
        <w:t xml:space="preserve"> (2006) demonstrated that the ordinary least squares (OLS) with proportion data gives biased coefficient estimates, inappropriate standard errors and predicted values that do not lie under the </w:t>
      </w:r>
      <m:oMath>
        <m:r>
          <w:rPr>
            <w:rFonts w:ascii="Cambria Math" w:hAnsi="Cambria Math" w:cs="Times New Roman"/>
          </w:rPr>
          <m:t>(0, 1)</m:t>
        </m:r>
      </m:oMath>
      <w:r w:rsidRPr="003B0C52">
        <w:rPr>
          <w:rFonts w:ascii="Times New Roman" w:hAnsi="Times New Roman" w:cs="Times New Roman"/>
        </w:rPr>
        <w:t xml:space="preserve"> interval </w:t>
      </w:r>
      <w:sdt>
        <w:sdtPr>
          <w:rPr>
            <w:rFonts w:ascii="Times New Roman" w:hAnsi="Times New Roman" w:cs="Times New Roman"/>
            <w:color w:val="000000"/>
          </w:rPr>
          <w:tag w:val="MENDELEY_CITATION_v3_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"/>
          <w:id w:val="352230148"/>
          <w:placeholder>
            <w:docPart w:val="2F4A68035A224B338AEC1DC0C90D0B2E"/>
          </w:placeholder>
        </w:sdtPr>
        <w:sdtEndPr/>
        <w:sdtContent>
          <w:r w:rsidR="00F611F9" w:rsidRPr="003B0C52">
            <w:rPr>
              <w:rFonts w:ascii="Times New Roman" w:hAnsi="Times New Roman" w:cs="Times New Roman"/>
              <w:color w:val="000000"/>
            </w:rPr>
            <w:t>(</w:t>
          </w:r>
          <w:proofErr w:type="spellStart"/>
          <w:r w:rsidR="00F611F9" w:rsidRPr="003B0C52">
            <w:rPr>
              <w:rFonts w:ascii="Times New Roman" w:hAnsi="Times New Roman" w:cs="Times New Roman"/>
              <w:color w:val="000000"/>
            </w:rPr>
            <w:t>Abonazel</w:t>
          </w:r>
          <w:proofErr w:type="spellEnd"/>
          <w:r w:rsidR="00F611F9" w:rsidRPr="003B0C52">
            <w:rPr>
              <w:rFonts w:ascii="Times New Roman" w:hAnsi="Times New Roman" w:cs="Times New Roman"/>
              <w:color w:val="000000"/>
            </w:rPr>
            <w:t xml:space="preserve"> et al., 2022).</w:t>
          </w:r>
        </w:sdtContent>
      </w:sdt>
      <w:r w:rsidRPr="003B0C52">
        <w:rPr>
          <w:rFonts w:ascii="Times New Roman" w:hAnsi="Times New Roman" w:cs="Times New Roman"/>
          <w:color w:val="000000"/>
        </w:rPr>
        <w:t xml:space="preserve"> </w:t>
      </w:r>
      <w:r w:rsidRPr="003B0C52">
        <w:rPr>
          <w:rFonts w:ascii="Times New Roman" w:hAnsi="Times New Roman" w:cs="Times New Roman"/>
        </w:rPr>
        <w:t xml:space="preserve">Beta regression has been applied to model various proportional results in the agriculture, economics and health sciences </w:t>
      </w:r>
      <w:sdt>
        <w:sdtPr>
          <w:rPr>
            <w:rFonts w:ascii="Times New Roman" w:hAnsi="Times New Roman" w:cs="Times New Roman"/>
            <w:color w:val="000000"/>
          </w:rPr>
          <w:tag w:val="MENDELEY_CITATION_v3_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"/>
          <w:id w:val="1106321622"/>
          <w:placeholder>
            <w:docPart w:val="D034066F733B47B0ABAAD3CA524F6E36"/>
          </w:placeholder>
        </w:sdtPr>
        <w:sdtEndPr/>
        <w:sdtContent>
          <w:r w:rsidR="00F611F9" w:rsidRPr="003B0C52">
            <w:rPr>
              <w:rFonts w:ascii="Times New Roman" w:hAnsi="Times New Roman" w:cs="Times New Roman"/>
              <w:color w:val="000000"/>
            </w:rPr>
            <w:t>(Marina Pare, 2025)</w:t>
          </w:r>
        </w:sdtContent>
      </w:sdt>
      <w:r w:rsidRPr="003B0C52">
        <w:rPr>
          <w:rFonts w:ascii="Times New Roman" w:hAnsi="Times New Roman" w:cs="Times New Roman"/>
          <w:color w:val="000000"/>
        </w:rPr>
        <w:t xml:space="preserve">. They </w:t>
      </w:r>
      <w:r w:rsidRPr="003B0C52">
        <w:rPr>
          <w:rFonts w:ascii="Times New Roman" w:hAnsi="Times New Roman" w:cs="Times New Roman"/>
        </w:rPr>
        <w:t xml:space="preserve">demonstrated that the ordinary least squares (OLS) with proportion data gives biased coefficient estimates, inappropriate standard errors and predicted values that do not lie under the </w:t>
      </w:r>
      <m:oMath>
        <m:r>
          <w:rPr>
            <w:rFonts w:ascii="Cambria Math" w:hAnsi="Cambria Math" w:cs="Times New Roman"/>
          </w:rPr>
          <m:t>(0, 1)</m:t>
        </m:r>
      </m:oMath>
      <w:r w:rsidRPr="003B0C52">
        <w:rPr>
          <w:rFonts w:ascii="Times New Roman" w:hAnsi="Times New Roman" w:cs="Times New Roman"/>
        </w:rPr>
        <w:t xml:space="preserve"> interval that are removed when using beta regression.</w:t>
      </w:r>
    </w:p>
    <w:p w14:paraId="1C2B25D9" w14:textId="5188D11B" w:rsidR="006F0D79" w:rsidRPr="003B0C52" w:rsidRDefault="002D26E1" w:rsidP="003B0C52">
      <w:pPr>
        <w:pStyle w:val="Heading2"/>
        <w:spacing w:line="240" w:lineRule="auto"/>
        <w:rPr>
          <w:rFonts w:ascii="Times New Roman" w:hAnsi="Times New Roman" w:cs="Times New Roman"/>
          <w:b/>
          <w:bCs/>
          <w:color w:val="auto"/>
          <w:sz w:val="24"/>
          <w:szCs w:val="24"/>
        </w:rPr>
      </w:pPr>
      <w:r w:rsidRPr="003B0C52">
        <w:rPr>
          <w:rFonts w:ascii="Times New Roman" w:hAnsi="Times New Roman" w:cs="Times New Roman"/>
          <w:b/>
          <w:bCs/>
          <w:color w:val="auto"/>
          <w:sz w:val="24"/>
          <w:szCs w:val="24"/>
        </w:rPr>
        <w:t>3.0</w:t>
      </w:r>
      <w:r w:rsidRPr="003B0C52">
        <w:rPr>
          <w:rFonts w:ascii="Times New Roman" w:hAnsi="Times New Roman" w:cs="Times New Roman"/>
          <w:b/>
          <w:bCs/>
          <w:color w:val="auto"/>
          <w:sz w:val="24"/>
          <w:szCs w:val="24"/>
        </w:rPr>
        <w:tab/>
        <w:t xml:space="preserve">Materials and </w:t>
      </w:r>
      <w:r w:rsidR="006F0D79" w:rsidRPr="003B0C52">
        <w:rPr>
          <w:rFonts w:ascii="Times New Roman" w:hAnsi="Times New Roman" w:cs="Times New Roman"/>
          <w:b/>
          <w:bCs/>
          <w:color w:val="auto"/>
          <w:sz w:val="24"/>
          <w:szCs w:val="24"/>
        </w:rPr>
        <w:t>Method</w:t>
      </w:r>
      <w:r w:rsidRPr="003B0C52">
        <w:rPr>
          <w:rFonts w:ascii="Times New Roman" w:hAnsi="Times New Roman" w:cs="Times New Roman"/>
          <w:b/>
          <w:bCs/>
          <w:color w:val="auto"/>
          <w:sz w:val="24"/>
          <w:szCs w:val="24"/>
        </w:rPr>
        <w:t>s</w:t>
      </w:r>
      <w:bookmarkEnd w:id="1"/>
      <w:r w:rsidR="006F0D79" w:rsidRPr="003B0C52">
        <w:rPr>
          <w:rFonts w:ascii="Times New Roman" w:hAnsi="Times New Roman" w:cs="Times New Roman"/>
          <w:b/>
          <w:bCs/>
          <w:color w:val="auto"/>
          <w:sz w:val="24"/>
          <w:szCs w:val="24"/>
        </w:rPr>
        <w:t xml:space="preserve"> </w:t>
      </w:r>
    </w:p>
    <w:p w14:paraId="2CD2416E" w14:textId="793473B1" w:rsidR="006F0D79" w:rsidRPr="003B0C52" w:rsidRDefault="002D26E1" w:rsidP="003B0C52">
      <w:pPr>
        <w:pStyle w:val="Heading2"/>
        <w:spacing w:line="240" w:lineRule="auto"/>
        <w:rPr>
          <w:rFonts w:ascii="Times New Roman" w:hAnsi="Times New Roman" w:cs="Times New Roman"/>
          <w:b/>
          <w:bCs/>
          <w:color w:val="auto"/>
          <w:sz w:val="24"/>
          <w:szCs w:val="24"/>
        </w:rPr>
      </w:pPr>
      <w:bookmarkStart w:id="5" w:name="_Toc225180549"/>
      <w:r w:rsidRPr="003B0C52">
        <w:rPr>
          <w:rFonts w:ascii="Times New Roman" w:hAnsi="Times New Roman" w:cs="Times New Roman"/>
          <w:b/>
          <w:bCs/>
          <w:color w:val="auto"/>
          <w:sz w:val="24"/>
          <w:szCs w:val="24"/>
        </w:rPr>
        <w:t>3.1</w:t>
      </w:r>
      <w:r w:rsidR="006F0D79" w:rsidRPr="003B0C52">
        <w:rPr>
          <w:rFonts w:ascii="Times New Roman" w:hAnsi="Times New Roman" w:cs="Times New Roman"/>
          <w:b/>
          <w:bCs/>
          <w:color w:val="auto"/>
          <w:sz w:val="24"/>
          <w:szCs w:val="24"/>
        </w:rPr>
        <w:tab/>
        <w:t>S</w:t>
      </w:r>
      <w:r w:rsidRPr="003B0C52">
        <w:rPr>
          <w:rFonts w:ascii="Times New Roman" w:hAnsi="Times New Roman" w:cs="Times New Roman"/>
          <w:b/>
          <w:bCs/>
          <w:color w:val="auto"/>
          <w:sz w:val="24"/>
          <w:szCs w:val="24"/>
        </w:rPr>
        <w:t xml:space="preserve">ampling </w:t>
      </w:r>
      <w:r w:rsidR="006F0D79" w:rsidRPr="003B0C52">
        <w:rPr>
          <w:rFonts w:ascii="Times New Roman" w:hAnsi="Times New Roman" w:cs="Times New Roman"/>
          <w:b/>
          <w:bCs/>
          <w:color w:val="auto"/>
          <w:sz w:val="24"/>
          <w:szCs w:val="24"/>
        </w:rPr>
        <w:t>Design</w:t>
      </w:r>
      <w:bookmarkEnd w:id="5"/>
      <w:r w:rsidRPr="003B0C52">
        <w:rPr>
          <w:rFonts w:ascii="Times New Roman" w:hAnsi="Times New Roman" w:cs="Times New Roman"/>
          <w:b/>
          <w:bCs/>
          <w:color w:val="auto"/>
          <w:sz w:val="24"/>
          <w:szCs w:val="24"/>
        </w:rPr>
        <w:t xml:space="preserve"> and Data Collection</w:t>
      </w:r>
    </w:p>
    <w:p w14:paraId="48F9D5DA" w14:textId="55D0848D" w:rsidR="002D26E1" w:rsidRPr="003B0C52" w:rsidRDefault="002D26E1" w:rsidP="003B0C52">
      <w:pPr>
        <w:spacing w:line="240" w:lineRule="auto"/>
        <w:jc w:val="both"/>
        <w:rPr>
          <w:rFonts w:ascii="Times New Roman" w:hAnsi="Times New Roman" w:cs="Times New Roman"/>
        </w:rPr>
      </w:pPr>
      <w:r w:rsidRPr="003B0C52">
        <w:rPr>
          <w:rFonts w:ascii="Times New Roman" w:hAnsi="Times New Roman" w:cs="Times New Roman"/>
        </w:rPr>
        <w:t xml:space="preserve">Data was collected in Nakuru and </w:t>
      </w:r>
      <w:proofErr w:type="spellStart"/>
      <w:r w:rsidRPr="003B0C52">
        <w:rPr>
          <w:rFonts w:ascii="Times New Roman" w:hAnsi="Times New Roman" w:cs="Times New Roman"/>
        </w:rPr>
        <w:t>Nyandarua</w:t>
      </w:r>
      <w:proofErr w:type="spellEnd"/>
      <w:r w:rsidRPr="003B0C52">
        <w:rPr>
          <w:rFonts w:ascii="Times New Roman" w:hAnsi="Times New Roman" w:cs="Times New Roman"/>
        </w:rPr>
        <w:t xml:space="preserve"> counties, which are among the most significant potato growing areas in Kenya. Both of the counties are located in the central highlands with cool weather, fertile volcanic soil, and consistent rainfalls that are very suitable in growth of potatoes. Nakuru County is a place that is highly productive in agriculture and is also inhabited by high density of wholesale and retail markets along the Nakuru Nairobi path. </w:t>
      </w:r>
      <w:proofErr w:type="spellStart"/>
      <w:r w:rsidRPr="003B0C52">
        <w:rPr>
          <w:rFonts w:ascii="Times New Roman" w:hAnsi="Times New Roman" w:cs="Times New Roman"/>
        </w:rPr>
        <w:t>Nyandarua</w:t>
      </w:r>
      <w:proofErr w:type="spellEnd"/>
      <w:r w:rsidRPr="003B0C52">
        <w:rPr>
          <w:rFonts w:ascii="Times New Roman" w:hAnsi="Times New Roman" w:cs="Times New Roman"/>
        </w:rPr>
        <w:t xml:space="preserve"> County is a county in the </w:t>
      </w:r>
      <w:proofErr w:type="spellStart"/>
      <w:r w:rsidRPr="003B0C52">
        <w:rPr>
          <w:rFonts w:ascii="Times New Roman" w:hAnsi="Times New Roman" w:cs="Times New Roman"/>
        </w:rPr>
        <w:t>Aberdare</w:t>
      </w:r>
      <w:proofErr w:type="spellEnd"/>
      <w:r w:rsidRPr="003B0C52">
        <w:rPr>
          <w:rFonts w:ascii="Times New Roman" w:hAnsi="Times New Roman" w:cs="Times New Roman"/>
        </w:rPr>
        <w:t xml:space="preserve"> Ranges and is among the highest potato-producing counties in the country and contributes a significant percentage of potatoes being consumed in Nairobi and the other urban areas </w:t>
      </w:r>
      <w:sdt>
        <w:sdtPr>
          <w:rPr>
            <w:rFonts w:ascii="Times New Roman" w:hAnsi="Times New Roman" w:cs="Times New Roman"/>
            <w:color w:val="000000"/>
          </w:rPr>
          <w:tag w:val="MENDELEY_CITATION_v3_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"/>
          <w:id w:val="1202215614"/>
          <w:placeholder>
            <w:docPart w:val="57E36098D7C84ABE84886BD3C4889B06"/>
          </w:placeholder>
        </w:sdtPr>
        <w:sdtEndPr/>
        <w:sdtContent>
          <w:r w:rsidR="00F611F9" w:rsidRPr="003B0C52">
            <w:rPr>
              <w:rFonts w:ascii="Times New Roman" w:hAnsi="Times New Roman" w:cs="Times New Roman"/>
              <w:color w:val="000000"/>
            </w:rPr>
            <w:t>(</w:t>
          </w:r>
          <w:proofErr w:type="spellStart"/>
          <w:r w:rsidR="00F611F9" w:rsidRPr="003B0C52">
            <w:rPr>
              <w:rFonts w:ascii="Times New Roman" w:hAnsi="Times New Roman" w:cs="Times New Roman"/>
              <w:color w:val="000000"/>
            </w:rPr>
            <w:t>Olakiumide</w:t>
          </w:r>
          <w:proofErr w:type="spellEnd"/>
          <w:r w:rsidR="00F611F9" w:rsidRPr="003B0C52">
            <w:rPr>
              <w:rFonts w:ascii="Times New Roman" w:hAnsi="Times New Roman" w:cs="Times New Roman"/>
              <w:color w:val="000000"/>
            </w:rPr>
            <w:t>, 2021)</w:t>
          </w:r>
        </w:sdtContent>
      </w:sdt>
      <w:r w:rsidRPr="003B0C52">
        <w:rPr>
          <w:rFonts w:ascii="Times New Roman" w:hAnsi="Times New Roman" w:cs="Times New Roman"/>
        </w:rPr>
        <w:t xml:space="preserve">. A stratified sampling technique will be used since it divides a population into small groups called strata based on geographical regions where potatoes are produced. A </w:t>
      </w:r>
      <w:r w:rsidRPr="003B0C52">
        <w:rPr>
          <w:rFonts w:ascii="Times New Roman" w:hAnsi="Times New Roman" w:cs="Times New Roman"/>
        </w:rPr>
        <w:lastRenderedPageBreak/>
        <w:t xml:space="preserve">sample from each stratum will be selected, and the sample size will be determined using Cochran’s formula for population proportions: </w:t>
      </w:r>
      <m:oMath>
        <m:r>
          <w:rPr>
            <w:rFonts w:ascii="Cambria Math" w:hAnsi="Cambria Math" w:cs="Times New Roman"/>
          </w:rPr>
          <m:t>n=</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z</m:t>
                </m:r>
              </m:e>
              <m:sup>
                <m:r>
                  <w:rPr>
                    <w:rFonts w:ascii="Cambria Math" w:hAnsi="Cambria Math" w:cs="Times New Roman"/>
                  </w:rPr>
                  <m:t>2</m:t>
                </m:r>
              </m:sup>
            </m:sSup>
            <m:r>
              <w:rPr>
                <w:rFonts w:ascii="Cambria Math" w:hAnsi="Cambria Math" w:cs="Times New Roman"/>
              </w:rPr>
              <m:t>p(1-p)</m:t>
            </m:r>
          </m:num>
          <m:den>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2</m:t>
                </m:r>
              </m:sup>
            </m:sSup>
          </m:den>
        </m:f>
      </m:oMath>
      <w:r w:rsidRPr="003B0C52">
        <w:rPr>
          <w:rFonts w:ascii="Times New Roman" w:eastAsiaTheme="minorEastAsia" w:hAnsi="Times New Roman" w:cs="Times New Roman"/>
        </w:rPr>
        <w:t xml:space="preserve">, Where </w:t>
      </w:r>
      <m:oMath>
        <m:r>
          <w:rPr>
            <w:rFonts w:ascii="Cambria Math" w:hAnsi="Cambria Math" w:cs="Times New Roman"/>
          </w:rPr>
          <m:t>n</m:t>
        </m:r>
      </m:oMath>
      <w:r w:rsidRPr="003B0C52">
        <w:rPr>
          <w:rFonts w:ascii="Times New Roman" w:eastAsiaTheme="minorEastAsia" w:hAnsi="Times New Roman" w:cs="Times New Roman"/>
        </w:rPr>
        <w:t xml:space="preserve"> is the sample size </w:t>
      </w:r>
      <m:oMath>
        <m:r>
          <w:rPr>
            <w:rFonts w:ascii="Cambria Math" w:hAnsi="Cambria Math" w:cs="Times New Roman"/>
          </w:rPr>
          <m:t>z</m:t>
        </m:r>
      </m:oMath>
      <w:r w:rsidRPr="003B0C52">
        <w:rPr>
          <w:rFonts w:ascii="Times New Roman" w:hAnsi="Times New Roman" w:cs="Times New Roman"/>
          <w:i/>
        </w:rPr>
        <w:t xml:space="preserve"> </w:t>
      </w:r>
      <w:r w:rsidRPr="003B0C52">
        <w:rPr>
          <w:rFonts w:ascii="Times New Roman" w:eastAsiaTheme="minorEastAsia" w:hAnsi="Times New Roman" w:cs="Times New Roman"/>
        </w:rPr>
        <w:t xml:space="preserve">is the Z-score which is based on the confidence level </w:t>
      </w:r>
      <m:oMath>
        <m:r>
          <w:rPr>
            <w:rFonts w:ascii="Cambria Math" w:hAnsi="Cambria Math" w:cs="Times New Roman"/>
          </w:rPr>
          <m:t>p</m:t>
        </m:r>
      </m:oMath>
      <w:r w:rsidRPr="003B0C52">
        <w:rPr>
          <w:rFonts w:ascii="Times New Roman" w:eastAsiaTheme="minorEastAsia" w:hAnsi="Times New Roman" w:cs="Times New Roman"/>
        </w:rPr>
        <w:t>is the estimated population and</w:t>
      </w:r>
      <w:r w:rsidRPr="003B0C52">
        <w:rPr>
          <w:rFonts w:ascii="Times New Roman" w:hAnsi="Times New Roman" w:cs="Times New Roman"/>
          <w:i/>
        </w:rPr>
        <w:t xml:space="preserve"> e </w:t>
      </w:r>
      <w:r w:rsidRPr="003B0C52">
        <w:rPr>
          <w:rFonts w:ascii="Times New Roman" w:eastAsiaTheme="minorEastAsia" w:hAnsi="Times New Roman" w:cs="Times New Roman"/>
        </w:rPr>
        <w:t>the error margin.</w:t>
      </w:r>
      <w:r w:rsidRPr="003B0C52">
        <w:rPr>
          <w:rFonts w:ascii="Times New Roman" w:hAnsi="Times New Roman" w:cs="Times New Roman"/>
        </w:rPr>
        <w:t xml:space="preserve"> A questionnaire survey will be carried out to identify distinct factors associated with post-harvest losses, planting time, quality of seeds, harvesting time, insects' infestation, and climatic conditions. </w:t>
      </w:r>
      <w:r w:rsidRPr="003B0C52">
        <w:rPr>
          <w:rFonts w:ascii="Times New Roman" w:eastAsiaTheme="minorEastAsia" w:hAnsi="Times New Roman" w:cs="Times New Roman"/>
        </w:rPr>
        <w:t xml:space="preserve">The questionnaire reliability was tested using Cronbach's Alpha </w:t>
      </w:r>
      <m:oMath>
        <m:d>
          <m:dPr>
            <m:ctrlPr>
              <w:rPr>
                <w:rFonts w:ascii="Cambria Math" w:eastAsiaTheme="minorEastAsia" w:hAnsi="Cambria Math" w:cs="Times New Roman"/>
                <w:i/>
              </w:rPr>
            </m:ctrlPr>
          </m:dPr>
          <m:e>
            <m:r>
              <w:rPr>
                <w:rFonts w:ascii="Cambria Math" w:eastAsiaTheme="minorEastAsia" w:hAnsi="Cambria Math" w:cs="Times New Roman"/>
              </w:rPr>
              <m:t>α≥0.7</m:t>
            </m:r>
          </m:e>
        </m:d>
      </m:oMath>
      <w:r w:rsidRPr="003B0C52">
        <w:rPr>
          <w:rFonts w:ascii="Times New Roman" w:eastAsiaTheme="minorEastAsia" w:hAnsi="Times New Roman" w:cs="Times New Roman"/>
        </w:rPr>
        <w:t xml:space="preserve"> and validity through the content validity index (CVI). R statistical software will be used to analyze the data.</w:t>
      </w:r>
    </w:p>
    <w:p w14:paraId="2BFF924F" w14:textId="543CE13D" w:rsidR="002D26E1" w:rsidRPr="003B0C52" w:rsidRDefault="002D26E1" w:rsidP="003B0C52">
      <w:pPr>
        <w:pStyle w:val="Heading2"/>
        <w:spacing w:line="240" w:lineRule="auto"/>
        <w:rPr>
          <w:rFonts w:ascii="Times New Roman" w:hAnsi="Times New Roman" w:cs="Times New Roman"/>
          <w:b/>
          <w:bCs/>
          <w:color w:val="auto"/>
          <w:sz w:val="24"/>
          <w:szCs w:val="24"/>
        </w:rPr>
      </w:pPr>
      <w:r w:rsidRPr="003B0C52">
        <w:rPr>
          <w:rFonts w:ascii="Times New Roman" w:hAnsi="Times New Roman" w:cs="Times New Roman"/>
          <w:b/>
          <w:bCs/>
          <w:color w:val="auto"/>
          <w:sz w:val="24"/>
          <w:szCs w:val="24"/>
        </w:rPr>
        <w:t>3.2</w:t>
      </w:r>
      <w:r w:rsidRPr="003B0C52">
        <w:rPr>
          <w:rFonts w:ascii="Times New Roman" w:hAnsi="Times New Roman" w:cs="Times New Roman"/>
          <w:b/>
          <w:bCs/>
          <w:color w:val="auto"/>
          <w:sz w:val="24"/>
          <w:szCs w:val="24"/>
        </w:rPr>
        <w:tab/>
        <w:t xml:space="preserve">Study Design </w:t>
      </w:r>
    </w:p>
    <w:p w14:paraId="16FF8CA2" w14:textId="37F5A67F" w:rsidR="006F0D79" w:rsidRPr="003B0C52" w:rsidRDefault="002D26E1" w:rsidP="003B0C52">
      <w:pPr>
        <w:spacing w:line="240" w:lineRule="auto"/>
        <w:jc w:val="both"/>
        <w:rPr>
          <w:rFonts w:ascii="Times New Roman" w:hAnsi="Times New Roman" w:cs="Times New Roman"/>
        </w:rPr>
      </w:pPr>
      <w:r w:rsidRPr="003B0C52">
        <w:rPr>
          <w:rFonts w:ascii="Times New Roman" w:hAnsi="Times New Roman" w:cs="Times New Roman"/>
        </w:rPr>
        <w:t xml:space="preserve">This study adopts a cross-sectional analytical design involving farmers and retailers. The research was carried out in two counties in Kenya that were purposely selected, which were considered important in the production and marketing of potatoes in the country. </w:t>
      </w:r>
      <w:r w:rsidR="006F0D79" w:rsidRPr="003B0C52">
        <w:rPr>
          <w:rFonts w:ascii="Times New Roman" w:hAnsi="Times New Roman" w:cs="Times New Roman"/>
        </w:rPr>
        <w:t xml:space="preserve">Let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ijk</m:t>
            </m:r>
          </m:sub>
        </m:sSub>
      </m:oMath>
      <w:r w:rsidR="006F0D79" w:rsidRPr="003B0C52">
        <w:rPr>
          <w:rFonts w:ascii="Times New Roman" w:hAnsi="Times New Roman" w:cs="Times New Roman"/>
        </w:rPr>
        <w:t xml:space="preserve"> represent the number of lost units of potatoes by individual </w:t>
      </w:r>
      <m:oMath>
        <m:r>
          <w:rPr>
            <w:rFonts w:ascii="Cambria Math" w:hAnsi="Cambria Math" w:cs="Times New Roman"/>
          </w:rPr>
          <m:t>i</m:t>
        </m:r>
      </m:oMath>
      <w:r w:rsidR="006F0D79" w:rsidRPr="003B0C52">
        <w:rPr>
          <w:rFonts w:ascii="Times New Roman" w:eastAsiaTheme="minorEastAsia" w:hAnsi="Times New Roman" w:cs="Times New Roman"/>
        </w:rPr>
        <w:t xml:space="preserve"> </w:t>
      </w:r>
      <m:oMath>
        <m:d>
          <m:dPr>
            <m:ctrlPr>
              <w:rPr>
                <w:rFonts w:ascii="Cambria Math" w:eastAsiaTheme="minorEastAsia" w:hAnsi="Cambria Math" w:cs="Times New Roman"/>
                <w:i/>
              </w:rPr>
            </m:ctrlPr>
          </m:dPr>
          <m:e>
            <m:r>
              <w:rPr>
                <w:rFonts w:ascii="Cambria Math" w:eastAsiaTheme="minorEastAsia" w:hAnsi="Cambria Math" w:cs="Times New Roman"/>
              </w:rPr>
              <m:t>i=1,2,…,n</m:t>
            </m:r>
          </m:e>
        </m:d>
      </m:oMath>
      <w:r w:rsidR="006F0D79" w:rsidRPr="003B0C52">
        <w:rPr>
          <w:rFonts w:ascii="Times New Roman" w:eastAsiaTheme="minorEastAsia" w:hAnsi="Times New Roman" w:cs="Times New Roman"/>
        </w:rPr>
        <w:t xml:space="preserve">  </w:t>
      </w:r>
      <w:r w:rsidR="006F0D79" w:rsidRPr="003B0C52">
        <w:rPr>
          <w:rFonts w:ascii="Times New Roman" w:hAnsi="Times New Roman" w:cs="Times New Roman"/>
        </w:rPr>
        <w:t xml:space="preserve">in county </w:t>
      </w:r>
      <m:oMath>
        <m:r>
          <w:rPr>
            <w:rFonts w:ascii="Cambria Math" w:hAnsi="Cambria Math" w:cs="Times New Roman"/>
          </w:rPr>
          <m:t xml:space="preserve">j, </m:t>
        </m:r>
        <m:d>
          <m:dPr>
            <m:ctrlPr>
              <w:rPr>
                <w:rFonts w:ascii="Cambria Math" w:hAnsi="Cambria Math" w:cs="Times New Roman"/>
                <w:i/>
              </w:rPr>
            </m:ctrlPr>
          </m:dPr>
          <m:e>
            <m:r>
              <w:rPr>
                <w:rFonts w:ascii="Cambria Math" w:hAnsi="Cambria Math" w:cs="Times New Roman"/>
              </w:rPr>
              <m:t>j=1,2</m:t>
            </m:r>
          </m:e>
        </m:d>
      </m:oMath>
      <w:r w:rsidR="006F0D79" w:rsidRPr="003B0C52">
        <w:rPr>
          <w:rFonts w:ascii="Times New Roman" w:hAnsi="Times New Roman" w:cs="Times New Roman"/>
        </w:rPr>
        <w:t xml:space="preserve"> at the stage of the value chain number </w:t>
      </w:r>
      <m:oMath>
        <m:r>
          <w:rPr>
            <w:rFonts w:ascii="Cambria Math" w:hAnsi="Cambria Math" w:cs="Times New Roman"/>
          </w:rPr>
          <m:t>k</m:t>
        </m:r>
      </m:oMath>
      <w:r w:rsidR="006F0D79" w:rsidRPr="003B0C52">
        <w:rPr>
          <w:rFonts w:ascii="Times New Roman" w:eastAsiaTheme="minorEastAsia" w:hAnsi="Times New Roman" w:cs="Times New Roman"/>
        </w:rPr>
        <w:t xml:space="preserve"> </w:t>
      </w:r>
      <m:oMath>
        <m:d>
          <m:dPr>
            <m:ctrlPr>
              <w:rPr>
                <w:rFonts w:ascii="Cambria Math" w:eastAsiaTheme="minorEastAsia" w:hAnsi="Cambria Math" w:cs="Times New Roman"/>
                <w:i/>
              </w:rPr>
            </m:ctrlPr>
          </m:dPr>
          <m:e>
            <m:r>
              <w:rPr>
                <w:rFonts w:ascii="Cambria Math" w:eastAsiaTheme="minorEastAsia" w:hAnsi="Cambria Math" w:cs="Times New Roman"/>
              </w:rPr>
              <m:t>k=1,2,…,k</m:t>
            </m:r>
          </m:e>
        </m:d>
      </m:oMath>
      <w:r w:rsidR="006F0D79" w:rsidRPr="003B0C52">
        <w:rPr>
          <w:rFonts w:ascii="Times New Roman" w:hAnsi="Times New Roman" w:cs="Times New Roman"/>
        </w:rPr>
        <w:t xml:space="preserve">. The overall number of respondents is 628 and are distributed between Nakuru </w:t>
      </w:r>
      <m:oMath>
        <m:r>
          <w:rPr>
            <w:rFonts w:ascii="Cambria Math" w:hAnsi="Cambria Math" w:cs="Times New Roman"/>
          </w:rPr>
          <m:t>(j = 1; n = 388)</m:t>
        </m:r>
      </m:oMath>
      <w:r w:rsidR="006F0D79" w:rsidRPr="003B0C52">
        <w:rPr>
          <w:rFonts w:ascii="Times New Roman" w:hAnsi="Times New Roman" w:cs="Times New Roman"/>
        </w:rPr>
        <w:t xml:space="preserve"> and Nyandarua </w:t>
      </w:r>
      <m:oMath>
        <m:r>
          <w:rPr>
            <w:rFonts w:ascii="Cambria Math" w:hAnsi="Cambria Math" w:cs="Times New Roman"/>
          </w:rPr>
          <m:t>(j = 2; n=240).</m:t>
        </m:r>
      </m:oMath>
      <w:r w:rsidR="006F0D79" w:rsidRPr="003B0C52">
        <w:rPr>
          <w:rFonts w:ascii="Times New Roman" w:hAnsi="Times New Roman" w:cs="Times New Roman"/>
        </w:rPr>
        <w:t xml:space="preserve"> The observations within each county are further subdivided i</w:t>
      </w:r>
      <w:proofErr w:type="spellStart"/>
      <w:r w:rsidR="006F0D79" w:rsidRPr="003B0C52">
        <w:rPr>
          <w:rFonts w:ascii="Times New Roman" w:hAnsi="Times New Roman" w:cs="Times New Roman"/>
        </w:rPr>
        <w:t>nto</w:t>
      </w:r>
      <w:proofErr w:type="spellEnd"/>
      <w:r w:rsidR="006F0D79" w:rsidRPr="003B0C52">
        <w:rPr>
          <w:rFonts w:ascii="Times New Roman" w:hAnsi="Times New Roman" w:cs="Times New Roman"/>
        </w:rPr>
        <w:t xml:space="preserve"> each value chain stage which is where a respondent is majorly operating. </w:t>
      </w:r>
    </w:p>
    <w:p w14:paraId="28566C07" w14:textId="2D406918" w:rsidR="006F0D79" w:rsidRPr="003B0C52" w:rsidRDefault="002D26E1" w:rsidP="003B0C52">
      <w:pPr>
        <w:pStyle w:val="Heading2"/>
        <w:spacing w:line="240" w:lineRule="auto"/>
        <w:rPr>
          <w:rFonts w:ascii="Times New Roman" w:hAnsi="Times New Roman" w:cs="Times New Roman"/>
          <w:b/>
          <w:bCs/>
          <w:color w:val="auto"/>
          <w:sz w:val="24"/>
          <w:szCs w:val="24"/>
        </w:rPr>
      </w:pPr>
      <w:bookmarkStart w:id="6" w:name="_Toc225180551"/>
      <w:r w:rsidRPr="003B0C52">
        <w:rPr>
          <w:rFonts w:ascii="Times New Roman" w:hAnsi="Times New Roman" w:cs="Times New Roman"/>
          <w:b/>
          <w:bCs/>
          <w:color w:val="auto"/>
          <w:sz w:val="24"/>
          <w:szCs w:val="24"/>
        </w:rPr>
        <w:t>3.3</w:t>
      </w:r>
      <w:r w:rsidR="006F0D79" w:rsidRPr="003B0C52">
        <w:rPr>
          <w:rFonts w:ascii="Times New Roman" w:hAnsi="Times New Roman" w:cs="Times New Roman"/>
          <w:b/>
          <w:bCs/>
          <w:color w:val="auto"/>
          <w:sz w:val="24"/>
          <w:szCs w:val="24"/>
        </w:rPr>
        <w:tab/>
        <w:t>Multilevel Negative Binomial Model</w:t>
      </w:r>
      <w:bookmarkEnd w:id="6"/>
    </w:p>
    <w:p w14:paraId="0998ACAC" w14:textId="6E41EF19" w:rsidR="006F0D79" w:rsidRPr="003B0C52" w:rsidRDefault="006F0D79" w:rsidP="003B0C52">
      <w:pPr>
        <w:spacing w:line="240" w:lineRule="auto"/>
        <w:jc w:val="both"/>
        <w:rPr>
          <w:rFonts w:ascii="Times New Roman" w:eastAsiaTheme="minorEastAsia" w:hAnsi="Times New Roman" w:cs="Times New Roman"/>
        </w:rPr>
      </w:pPr>
      <w:proofErr w:type="spellStart"/>
      <w:r w:rsidRPr="003B0C52">
        <w:rPr>
          <w:rFonts w:ascii="Times New Roman" w:hAnsi="Times New Roman" w:cs="Times New Roman"/>
        </w:rPr>
        <w:t>Post harvest</w:t>
      </w:r>
      <w:proofErr w:type="spellEnd"/>
      <w:r w:rsidRPr="003B0C52">
        <w:rPr>
          <w:rFonts w:ascii="Times New Roman" w:hAnsi="Times New Roman" w:cs="Times New Roman"/>
        </w:rPr>
        <w:t xml:space="preserve"> </w:t>
      </w:r>
      <w:r w:rsidR="002D26E1" w:rsidRPr="003B0C52">
        <w:rPr>
          <w:rFonts w:ascii="Times New Roman" w:hAnsi="Times New Roman" w:cs="Times New Roman"/>
        </w:rPr>
        <w:t xml:space="preserve">count </w:t>
      </w:r>
      <w:r w:rsidRPr="003B0C52">
        <w:rPr>
          <w:rFonts w:ascii="Times New Roman" w:hAnsi="Times New Roman" w:cs="Times New Roman"/>
        </w:rPr>
        <w:t xml:space="preserve">data </w:t>
      </w:r>
      <w:r w:rsidR="002D26E1" w:rsidRPr="003B0C52">
        <w:rPr>
          <w:rFonts w:ascii="Times New Roman" w:hAnsi="Times New Roman" w:cs="Times New Roman"/>
        </w:rPr>
        <w:t xml:space="preserve">were modeled using Negative binomial model relaxes the </w:t>
      </w:r>
      <w:proofErr w:type="spellStart"/>
      <w:r w:rsidR="002D26E1" w:rsidRPr="003B0C52">
        <w:rPr>
          <w:rFonts w:ascii="Times New Roman" w:hAnsi="Times New Roman" w:cs="Times New Roman"/>
        </w:rPr>
        <w:t>equi</w:t>
      </w:r>
      <w:proofErr w:type="spellEnd"/>
      <w:r w:rsidR="002D26E1" w:rsidRPr="003B0C52">
        <w:rPr>
          <w:rFonts w:ascii="Times New Roman" w:hAnsi="Times New Roman" w:cs="Times New Roman"/>
        </w:rPr>
        <w:t xml:space="preserve">-dispersion assumption by introducing a dispersion parameter </w:t>
      </w:r>
      <m:oMath>
        <m:r>
          <w:rPr>
            <w:rFonts w:ascii="Cambria Math" w:hAnsi="Cambria Math" w:cs="Times New Roman"/>
          </w:rPr>
          <m:t>θ</m:t>
        </m:r>
      </m:oMath>
      <w:r w:rsidR="002D26E1" w:rsidRPr="003B0C52">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ijk</m:t>
            </m:r>
          </m:sub>
        </m:sSub>
        <m:r>
          <w:rPr>
            <w:rFonts w:ascii="Cambria Math" w:hAnsi="Cambria Math" w:cs="Times New Roman"/>
          </w:rPr>
          <m:t>∼NB</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ijk</m:t>
                </m:r>
              </m:sub>
            </m:sSub>
            <m:r>
              <w:rPr>
                <w:rFonts w:ascii="Cambria Math" w:hAnsi="Cambria Math" w:cs="Times New Roman"/>
              </w:rPr>
              <m:t>,θ</m:t>
            </m:r>
          </m:e>
        </m:d>
      </m:oMath>
    </w:p>
    <w:tbl>
      <w:tblPr>
        <w:tblStyle w:val="TableGrid"/>
        <w:tblpPr w:leftFromText="180" w:rightFromText="180" w:vertAnchor="text" w:horzAnchor="margin" w:tblpY="-59"/>
        <w:tblW w:w="9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8611"/>
        <w:gridCol w:w="556"/>
      </w:tblGrid>
      <w:tr w:rsidR="00F611F9" w:rsidRPr="003B0C52" w14:paraId="36D349C7" w14:textId="77777777" w:rsidTr="00F611F9">
        <w:trPr>
          <w:trHeight w:val="370"/>
        </w:trPr>
        <w:tc>
          <w:tcPr>
            <w:tcW w:w="556" w:type="dxa"/>
          </w:tcPr>
          <w:p w14:paraId="435A5A62" w14:textId="77777777" w:rsidR="00F611F9" w:rsidRPr="003B0C52" w:rsidRDefault="00F611F9" w:rsidP="003B0C52">
            <w:pPr>
              <w:spacing w:after="173"/>
              <w:jc w:val="both"/>
              <w:rPr>
                <w:rFonts w:ascii="Times New Roman" w:hAnsi="Times New Roman" w:cs="Times New Roman"/>
              </w:rPr>
            </w:pPr>
          </w:p>
        </w:tc>
        <w:tc>
          <w:tcPr>
            <w:tcW w:w="8611" w:type="dxa"/>
          </w:tcPr>
          <w:p w14:paraId="7C4A31C5" w14:textId="77777777" w:rsidR="00F611F9" w:rsidRPr="003B0C52" w:rsidRDefault="00F611F9" w:rsidP="003B0C52">
            <w:pPr>
              <w:jc w:val="both"/>
              <w:rPr>
                <w:rFonts w:ascii="Times New Roman" w:eastAsiaTheme="minorEastAsia" w:hAnsi="Times New Roman" w:cs="Times New Roman"/>
              </w:rPr>
            </w:pPr>
            <m:oMathPara>
              <m:oMath>
                <m:r>
                  <w:rPr>
                    <w:rFonts w:ascii="Cambria Math" w:hAnsi="Cambria Math" w:cs="Times New Roman"/>
                  </w:rPr>
                  <m:t>log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ijk</m:t>
                        </m:r>
                      </m:sub>
                    </m:sSub>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0</m:t>
                    </m:r>
                  </m:sub>
                </m:sSub>
                <m:r>
                  <w:rPr>
                    <w:rFonts w:ascii="Cambria Math" w:eastAsiaTheme="minorEastAsia" w:hAnsi="Cambria Math" w:cs="Times New Roman"/>
                  </w:rPr>
                  <m:t>+</m:t>
                </m:r>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rPr>
                      <m:t>i=1</m:t>
                    </m:r>
                  </m:sub>
                  <m:sup>
                    <m:r>
                      <w:rPr>
                        <w:rFonts w:ascii="Cambria Math" w:eastAsiaTheme="minorEastAsia" w:hAnsi="Cambria Math" w:cs="Times New Roman"/>
                      </w:rPr>
                      <m:t>p</m:t>
                    </m:r>
                  </m:sup>
                  <m:e>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r</m:t>
                        </m:r>
                      </m:sub>
                    </m:sSub>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ijk</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j</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k</m:t>
                        </m:r>
                      </m:sub>
                    </m:sSub>
                  </m:e>
                </m:nary>
              </m:oMath>
            </m:oMathPara>
          </w:p>
        </w:tc>
        <w:tc>
          <w:tcPr>
            <w:tcW w:w="556" w:type="dxa"/>
          </w:tcPr>
          <w:p w14:paraId="45646068" w14:textId="77777777" w:rsidR="00F611F9" w:rsidRPr="003B0C52" w:rsidRDefault="00F611F9" w:rsidP="003B0C52">
            <w:pPr>
              <w:spacing w:after="173"/>
              <w:jc w:val="both"/>
              <w:rPr>
                <w:rFonts w:ascii="Times New Roman" w:hAnsi="Times New Roman" w:cs="Times New Roman"/>
              </w:rPr>
            </w:pPr>
            <w:r w:rsidRPr="003B0C52">
              <w:rPr>
                <w:rFonts w:ascii="Times New Roman" w:hAnsi="Times New Roman" w:cs="Times New Roman"/>
              </w:rPr>
              <w:t>1</w:t>
            </w:r>
          </w:p>
        </w:tc>
      </w:tr>
    </w:tbl>
    <w:p w14:paraId="3A4CB2C9" w14:textId="77777777" w:rsidR="006F0D79" w:rsidRPr="003B0C52" w:rsidRDefault="006F0D79" w:rsidP="003B0C52">
      <w:pPr>
        <w:spacing w:line="240" w:lineRule="auto"/>
        <w:jc w:val="both"/>
        <w:rPr>
          <w:rFonts w:ascii="Times New Roman" w:eastAsiaTheme="minorEastAsia" w:hAnsi="Times New Roman" w:cs="Times New Roman"/>
        </w:rPr>
      </w:pPr>
    </w:p>
    <w:p w14:paraId="0FB432A8" w14:textId="4C9DDAFD" w:rsidR="006F0D79" w:rsidRPr="003B0C52" w:rsidRDefault="006F0D79" w:rsidP="003B0C52">
      <w:pPr>
        <w:spacing w:line="240" w:lineRule="auto"/>
        <w:jc w:val="both"/>
        <w:rPr>
          <w:rFonts w:ascii="Times New Roman" w:hAnsi="Times New Roman" w:cs="Times New Roman"/>
        </w:rPr>
      </w:pPr>
      <w:r w:rsidRPr="003B0C52">
        <w:rPr>
          <w:rFonts w:ascii="Times New Roman" w:eastAsiaTheme="minorEastAsia"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j</m:t>
            </m:r>
          </m:sub>
        </m:sSub>
        <m:r>
          <w:rPr>
            <w:rFonts w:ascii="Cambria Math" w:hAnsi="Cambria Math" w:cs="Times New Roman"/>
          </w:rPr>
          <m:t xml:space="preserve">~N(0, </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u</m:t>
            </m:r>
          </m:sub>
        </m:sSub>
        <m:r>
          <w:rPr>
            <w:rFonts w:ascii="Cambria Math" w:hAnsi="Cambria Math" w:cs="Times New Roman"/>
          </w:rPr>
          <m:t>)</m:t>
        </m:r>
      </m:oMath>
      <w:r w:rsidRPr="003B0C52">
        <w:rPr>
          <w:rFonts w:ascii="Times New Roman" w:eastAsiaTheme="minorEastAsia" w:hAnsi="Times New Roman" w:cs="Times New Roman"/>
        </w:rPr>
        <w:t xml:space="preserve"> is the random effects for county </w:t>
      </w:r>
      <m:oMath>
        <m:r>
          <w:rPr>
            <w:rFonts w:ascii="Cambria Math" w:eastAsiaTheme="minorEastAsia" w:hAnsi="Cambria Math" w:cs="Times New Roman"/>
          </w:rPr>
          <m:t>j=1,2</m:t>
        </m:r>
      </m:oMath>
      <w:r w:rsidRPr="003B0C52">
        <w:rPr>
          <w:rFonts w:ascii="Times New Roman" w:eastAsiaTheme="minorEastAsia"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k</m:t>
            </m:r>
          </m:sub>
        </m:sSub>
        <m:r>
          <w:rPr>
            <w:rFonts w:ascii="Cambria Math" w:hAnsi="Cambria Math" w:cs="Times New Roman"/>
          </w:rPr>
          <m:t xml:space="preserve">~N(0, </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v</m:t>
            </m:r>
          </m:sub>
        </m:sSub>
        <m:r>
          <w:rPr>
            <w:rFonts w:ascii="Cambria Math" w:hAnsi="Cambria Math" w:cs="Times New Roman"/>
          </w:rPr>
          <m:t>)</m:t>
        </m:r>
      </m:oMath>
      <w:r w:rsidRPr="003B0C52">
        <w:rPr>
          <w:rFonts w:ascii="Times New Roman" w:eastAsiaTheme="minorEastAsia" w:hAnsi="Times New Roman" w:cs="Times New Roman"/>
        </w:rPr>
        <w:t xml:space="preserve"> is the random effects for stage </w:t>
      </w:r>
      <m:oMath>
        <m:r>
          <w:rPr>
            <w:rFonts w:ascii="Cambria Math" w:eastAsiaTheme="minorEastAsia" w:hAnsi="Cambria Math" w:cs="Times New Roman"/>
          </w:rPr>
          <m:t>k</m:t>
        </m:r>
      </m:oMath>
      <w:r w:rsidRPr="003B0C52">
        <w:rPr>
          <w:rFonts w:ascii="Times New Roman" w:eastAsiaTheme="minorEastAsia" w:hAnsi="Times New Roman" w:cs="Times New Roman"/>
        </w:rPr>
        <w:t xml:space="preserve">. </w:t>
      </w:r>
    </w:p>
    <w:p w14:paraId="6AD3575C" w14:textId="3DF9F51C" w:rsidR="006F0D79" w:rsidRPr="003B0C52" w:rsidRDefault="002D26E1" w:rsidP="003B0C52">
      <w:pPr>
        <w:pStyle w:val="Heading2"/>
        <w:spacing w:line="240" w:lineRule="auto"/>
        <w:rPr>
          <w:rFonts w:ascii="Times New Roman" w:hAnsi="Times New Roman" w:cs="Times New Roman"/>
          <w:b/>
          <w:bCs/>
          <w:color w:val="auto"/>
          <w:sz w:val="24"/>
          <w:szCs w:val="24"/>
        </w:rPr>
      </w:pPr>
      <w:bookmarkStart w:id="7" w:name="_Toc225180552"/>
      <w:r w:rsidRPr="003B0C52">
        <w:rPr>
          <w:rFonts w:ascii="Times New Roman" w:hAnsi="Times New Roman" w:cs="Times New Roman"/>
          <w:b/>
          <w:bCs/>
          <w:color w:val="auto"/>
          <w:sz w:val="24"/>
          <w:szCs w:val="24"/>
        </w:rPr>
        <w:t>3.3.1</w:t>
      </w:r>
      <w:r w:rsidR="006F0D79" w:rsidRPr="003B0C52">
        <w:rPr>
          <w:rFonts w:ascii="Times New Roman" w:hAnsi="Times New Roman" w:cs="Times New Roman"/>
          <w:b/>
          <w:bCs/>
          <w:color w:val="auto"/>
          <w:sz w:val="24"/>
          <w:szCs w:val="24"/>
        </w:rPr>
        <w:tab/>
        <w:t>Likelihood Function</w:t>
      </w:r>
      <w:bookmarkEnd w:id="7"/>
    </w:p>
    <w:tbl>
      <w:tblPr>
        <w:tblStyle w:val="TableGrid"/>
        <w:tblpPr w:leftFromText="180" w:rightFromText="180" w:vertAnchor="text" w:horzAnchor="margin" w:tblpY="1583"/>
        <w:tblW w:w="9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
        <w:gridCol w:w="8579"/>
        <w:gridCol w:w="553"/>
      </w:tblGrid>
      <w:tr w:rsidR="002D26E1" w:rsidRPr="003B0C52" w14:paraId="191DC913" w14:textId="77777777" w:rsidTr="002D26E1">
        <w:trPr>
          <w:trHeight w:val="897"/>
        </w:trPr>
        <w:tc>
          <w:tcPr>
            <w:tcW w:w="553" w:type="dxa"/>
          </w:tcPr>
          <w:p w14:paraId="7CEA3B0B" w14:textId="77777777" w:rsidR="002D26E1" w:rsidRPr="003B0C52" w:rsidRDefault="002D26E1" w:rsidP="003B0C52">
            <w:pPr>
              <w:spacing w:after="173"/>
              <w:jc w:val="both"/>
              <w:rPr>
                <w:rFonts w:ascii="Times New Roman" w:hAnsi="Times New Roman" w:cs="Times New Roman"/>
              </w:rPr>
            </w:pPr>
          </w:p>
        </w:tc>
        <w:tc>
          <w:tcPr>
            <w:tcW w:w="8579" w:type="dxa"/>
          </w:tcPr>
          <w:p w14:paraId="40E817BF" w14:textId="77777777" w:rsidR="002D26E1" w:rsidRPr="003B0C52" w:rsidRDefault="002D26E1" w:rsidP="003B0C52">
            <w:pPr>
              <w:jc w:val="both"/>
              <w:rPr>
                <w:rFonts w:ascii="Times New Roman" w:eastAsiaTheme="minorEastAsia" w:hAnsi="Times New Roman" w:cs="Times New Roman"/>
              </w:rPr>
            </w:pPr>
            <m:oMathPara>
              <m:oMath>
                <m:r>
                  <w:rPr>
                    <w:rFonts w:ascii="Cambria Math" w:eastAsiaTheme="minorEastAsia" w:hAnsi="Cambria Math" w:cs="Times New Roman"/>
                  </w:rPr>
                  <m:t>L=</m:t>
                </m:r>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rPr>
                      <m:t>k=1</m:t>
                    </m:r>
                  </m:sub>
                  <m:sup>
                    <m:r>
                      <w:rPr>
                        <w:rFonts w:ascii="Cambria Math" w:eastAsiaTheme="minorEastAsia" w:hAnsi="Cambria Math" w:cs="Times New Roman"/>
                      </w:rPr>
                      <m:t>K</m:t>
                    </m:r>
                  </m:sup>
                  <m:e>
                    <m:nary>
                      <m:naryPr>
                        <m:limLoc m:val="undOvr"/>
                        <m:subHide m:val="1"/>
                        <m:supHide m:val="1"/>
                        <m:ctrlPr>
                          <w:rPr>
                            <w:rFonts w:ascii="Cambria Math" w:eastAsiaTheme="minorEastAsia" w:hAnsi="Cambria Math" w:cs="Times New Roman"/>
                            <w:i/>
                          </w:rPr>
                        </m:ctrlPr>
                      </m:naryPr>
                      <m:sub/>
                      <m:sup/>
                      <m:e>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rPr>
                              <m:t>j=1</m:t>
                            </m:r>
                          </m:sub>
                          <m:sup>
                            <m:r>
                              <w:rPr>
                                <w:rFonts w:ascii="Cambria Math" w:eastAsiaTheme="minorEastAsia" w:hAnsi="Cambria Math" w:cs="Times New Roman"/>
                              </w:rPr>
                              <m:t>2</m:t>
                            </m:r>
                          </m:sup>
                          <m:e>
                            <m:nary>
                              <m:naryPr>
                                <m:chr m:val="∏"/>
                                <m:ctrlPr>
                                  <w:rPr>
                                    <w:rFonts w:ascii="Cambria Math" w:eastAsiaTheme="minorEastAsia" w:hAnsi="Cambria Math" w:cs="Times New Roman"/>
                                    <w:i/>
                                  </w:rPr>
                                </m:ctrlPr>
                              </m:naryPr>
                              <m:sub>
                                <m:r>
                                  <w:rPr>
                                    <w:rFonts w:ascii="Cambria Math" w:hAnsi="Cambria Math" w:cs="Times New Roman"/>
                                  </w:rPr>
                                  <m:t>i=1</m:t>
                                </m:r>
                              </m:sub>
                              <m:sup>
                                <m:r>
                                  <w:rPr>
                                    <w:rFonts w:ascii="Cambria Math" w:hAnsi="Cambria Math" w:cs="Times New Roman"/>
                                  </w:rPr>
                                  <m:t>n</m:t>
                                </m:r>
                              </m:sup>
                              <m:e>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ijk</m:t>
                                        </m:r>
                                      </m:sub>
                                    </m:sSub>
                                    <m:r>
                                      <m:rPr>
                                        <m:sty m:val="p"/>
                                      </m:rPr>
                                      <w:rPr>
                                        <w:rFonts w:ascii="Cambria Math" w:hAnsi="Cambria Math" w:cs="Times New Roman"/>
                                      </w:rPr>
                                      <m:t>Ι</m:t>
                                    </m:r>
                                    <m:sSub>
                                      <m:sSubPr>
                                        <m:ctrlPr>
                                          <w:rPr>
                                            <w:rFonts w:ascii="Cambria Math" w:eastAsiaTheme="minorEastAsia" w:hAnsi="Cambria Math" w:cs="Times New Roman"/>
                                            <w:i/>
                                          </w:rPr>
                                        </m:ctrlPr>
                                      </m:sSubPr>
                                      <m:e>
                                        <m:r>
                                          <w:rPr>
                                            <w:rFonts w:ascii="Cambria Math" w:eastAsiaTheme="minorEastAsia" w:hAnsi="Cambria Math" w:cs="Times New Roman"/>
                                          </w:rPr>
                                          <m:t>µ</m:t>
                                        </m:r>
                                      </m:e>
                                      <m:sub>
                                        <m:r>
                                          <w:rPr>
                                            <w:rFonts w:ascii="Cambria Math" w:eastAsiaTheme="minorEastAsia" w:hAnsi="Cambria Math" w:cs="Times New Roman"/>
                                          </w:rPr>
                                          <m:t>k</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k</m:t>
                                        </m:r>
                                      </m:sub>
                                    </m:sSub>
                                  </m:e>
                                </m:d>
                                <m:r>
                                  <w:rPr>
                                    <w:rFonts w:ascii="Cambria Math" w:eastAsiaTheme="minorEastAsia" w:hAnsi="Cambria Math" w:cs="Times New Roman"/>
                                  </w:rPr>
                                  <m:t>g</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k</m:t>
                                        </m:r>
                                      </m:sub>
                                    </m:sSub>
                                  </m:e>
                                </m:d>
                                <m:r>
                                  <w:rPr>
                                    <w:rFonts w:ascii="Cambria Math" w:eastAsiaTheme="minorEastAsia" w:hAnsi="Cambria Math" w:cs="Times New Roman"/>
                                  </w:rPr>
                                  <m:t>g</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jk</m:t>
                                        </m:r>
                                      </m:sub>
                                    </m:sSub>
                                  </m:e>
                                </m:d>
                                <m:r>
                                  <w:rPr>
                                    <w:rFonts w:ascii="Cambria Math" w:eastAsiaTheme="minorEastAsia" w:hAnsi="Cambria Math" w:cs="Times New Roman"/>
                                  </w:rPr>
                                  <m:t>d</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jk</m:t>
                                    </m:r>
                                  </m:sub>
                                </m:sSub>
                                <m:r>
                                  <w:rPr>
                                    <w:rFonts w:ascii="Cambria Math" w:eastAsiaTheme="minorEastAsia" w:hAnsi="Cambria Math" w:cs="Times New Roman"/>
                                  </w:rPr>
                                  <m:t>d</m:t>
                                </m:r>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k</m:t>
                                    </m:r>
                                  </m:sub>
                                </m:sSub>
                              </m:e>
                            </m:nary>
                          </m:e>
                        </m:nary>
                      </m:e>
                    </m:nary>
                  </m:e>
                </m:nary>
              </m:oMath>
            </m:oMathPara>
          </w:p>
        </w:tc>
        <w:tc>
          <w:tcPr>
            <w:tcW w:w="553" w:type="dxa"/>
          </w:tcPr>
          <w:p w14:paraId="22E3D2E1" w14:textId="0E3FA9BA" w:rsidR="002D26E1" w:rsidRPr="003B0C52" w:rsidRDefault="00F611F9" w:rsidP="003B0C52">
            <w:pPr>
              <w:spacing w:after="173"/>
              <w:jc w:val="both"/>
              <w:rPr>
                <w:rFonts w:ascii="Times New Roman" w:hAnsi="Times New Roman" w:cs="Times New Roman"/>
              </w:rPr>
            </w:pPr>
            <w:r w:rsidRPr="003B0C52">
              <w:rPr>
                <w:rFonts w:ascii="Times New Roman" w:hAnsi="Times New Roman" w:cs="Times New Roman"/>
              </w:rPr>
              <w:t>2</w:t>
            </w:r>
          </w:p>
        </w:tc>
      </w:tr>
    </w:tbl>
    <w:p w14:paraId="65A4896F" w14:textId="26B78E62" w:rsidR="006F0D79" w:rsidRPr="003B0C52" w:rsidRDefault="002D26E1" w:rsidP="003B0C52">
      <w:pPr>
        <w:spacing w:line="240" w:lineRule="auto"/>
        <w:rPr>
          <w:rFonts w:ascii="Times New Roman" w:eastAsiaTheme="minorEastAsia" w:hAnsi="Times New Roman" w:cs="Times New Roman"/>
        </w:rPr>
      </w:pPr>
      <w:r w:rsidRPr="003B0C52">
        <w:rPr>
          <w:rFonts w:ascii="Times New Roman" w:eastAsiaTheme="minorEastAsia" w:hAnsi="Times New Roman" w:cs="Times New Roman"/>
        </w:rPr>
        <w:t xml:space="preserve"> </w:t>
      </w:r>
      <w:r w:rsidR="006F0D79" w:rsidRPr="003B0C52">
        <w:rPr>
          <w:rFonts w:ascii="Times New Roman" w:eastAsiaTheme="minorEastAsia" w:hAnsi="Times New Roman" w:cs="Times New Roman"/>
        </w:rPr>
        <w:t xml:space="preserve">Let </w:t>
      </w:r>
      <m:oMath>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ijk</m:t>
                </m:r>
              </m:sub>
            </m:sSub>
            <m:r>
              <m:rPr>
                <m:sty m:val="p"/>
              </m:rPr>
              <w:rPr>
                <w:rFonts w:ascii="Cambria Math" w:hAnsi="Cambria Math" w:cs="Times New Roman"/>
              </w:rPr>
              <m:t>Ι</m:t>
            </m:r>
            <m:sSub>
              <m:sSubPr>
                <m:ctrlPr>
                  <w:rPr>
                    <w:rFonts w:ascii="Cambria Math" w:eastAsiaTheme="minorEastAsia" w:hAnsi="Cambria Math" w:cs="Times New Roman"/>
                    <w:i/>
                  </w:rPr>
                </m:ctrlPr>
              </m:sSubPr>
              <m:e>
                <m:r>
                  <w:rPr>
                    <w:rFonts w:ascii="Cambria Math" w:eastAsiaTheme="minorEastAsia" w:hAnsi="Cambria Math" w:cs="Times New Roman"/>
                  </w:rPr>
                  <m:t>µ</m:t>
                </m:r>
              </m:e>
              <m:sub>
                <m:r>
                  <w:rPr>
                    <w:rFonts w:ascii="Cambria Math" w:eastAsiaTheme="minorEastAsia" w:hAnsi="Cambria Math" w:cs="Times New Roman"/>
                  </w:rPr>
                  <m:t>ijk</m:t>
                </m:r>
              </m:sub>
            </m:sSub>
            <m:r>
              <w:rPr>
                <w:rFonts w:ascii="Cambria Math" w:eastAsiaTheme="minorEastAsia" w:hAnsi="Cambria Math" w:cs="Times New Roman"/>
              </w:rPr>
              <m:t>, θ</m:t>
            </m:r>
          </m:e>
        </m:d>
      </m:oMath>
      <w:r w:rsidR="006F0D79" w:rsidRPr="003B0C52">
        <w:rPr>
          <w:rFonts w:ascii="Times New Roman" w:eastAsiaTheme="minorEastAsia" w:hAnsi="Times New Roman" w:cs="Times New Roman"/>
        </w:rPr>
        <w:t xml:space="preserve"> be the negative binomial probability function. The conditional likelihood is </w:t>
      </w:r>
      <m:oMath>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c</m:t>
            </m:r>
          </m:sub>
        </m:sSub>
        <m:r>
          <w:rPr>
            <w:rFonts w:ascii="Cambria Math" w:eastAsiaTheme="minorEastAsia" w:hAnsi="Cambria Math" w:cs="Times New Roman"/>
          </w:rPr>
          <m:t>=</m:t>
        </m:r>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rPr>
              <m:t>j=1</m:t>
            </m:r>
          </m:sub>
          <m:sup>
            <m:r>
              <w:rPr>
                <w:rFonts w:ascii="Cambria Math" w:eastAsiaTheme="minorEastAsia" w:hAnsi="Cambria Math" w:cs="Times New Roman"/>
              </w:rPr>
              <m:t>2</m:t>
            </m:r>
          </m:sup>
          <m:e>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rPr>
                  <m:t>k=1</m:t>
                </m:r>
              </m:sub>
              <m:sup>
                <m:r>
                  <w:rPr>
                    <w:rFonts w:ascii="Cambria Math" w:eastAsiaTheme="minorEastAsia" w:hAnsi="Cambria Math" w:cs="Times New Roman"/>
                  </w:rPr>
                  <m:t>k</m:t>
                </m:r>
              </m:sup>
              <m:e>
                <m:nary>
                  <m:naryPr>
                    <m:chr m:val="∏"/>
                    <m:ctrlPr>
                      <w:rPr>
                        <w:rFonts w:ascii="Cambria Math" w:eastAsiaTheme="minorEastAsia" w:hAnsi="Cambria Math" w:cs="Times New Roman"/>
                        <w:i/>
                      </w:rPr>
                    </m:ctrlPr>
                  </m:naryPr>
                  <m:sub>
                    <m:r>
                      <w:rPr>
                        <w:rFonts w:ascii="Cambria Math" w:hAnsi="Cambria Math" w:cs="Times New Roman"/>
                      </w:rPr>
                      <m:t>i=1</m:t>
                    </m:r>
                  </m:sub>
                  <m:sup>
                    <m:r>
                      <w:rPr>
                        <w:rFonts w:ascii="Cambria Math" w:hAnsi="Cambria Math" w:cs="Times New Roman"/>
                      </w:rPr>
                      <m:t>n</m:t>
                    </m:r>
                  </m:sup>
                  <m:e>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ijk</m:t>
                            </m:r>
                          </m:sub>
                        </m:sSub>
                        <m:r>
                          <m:rPr>
                            <m:sty m:val="p"/>
                          </m:rPr>
                          <w:rPr>
                            <w:rFonts w:ascii="Cambria Math" w:hAnsi="Cambria Math" w:cs="Times New Roman"/>
                          </w:rPr>
                          <m:t>Ι</m:t>
                        </m:r>
                        <m:sSub>
                          <m:sSubPr>
                            <m:ctrlPr>
                              <w:rPr>
                                <w:rFonts w:ascii="Cambria Math" w:eastAsiaTheme="minorEastAsia" w:hAnsi="Cambria Math" w:cs="Times New Roman"/>
                                <w:i/>
                              </w:rPr>
                            </m:ctrlPr>
                          </m:sSubPr>
                          <m:e>
                            <m:r>
                              <w:rPr>
                                <w:rFonts w:ascii="Cambria Math" w:eastAsiaTheme="minorEastAsia" w:hAnsi="Cambria Math" w:cs="Times New Roman"/>
                              </w:rPr>
                              <m:t>µ</m:t>
                            </m:r>
                          </m:e>
                          <m:sub>
                            <m:r>
                              <w:rPr>
                                <w:rFonts w:ascii="Cambria Math" w:eastAsiaTheme="minorEastAsia" w:hAnsi="Cambria Math" w:cs="Times New Roman"/>
                              </w:rPr>
                              <m:t>ijk</m:t>
                            </m:r>
                          </m:sub>
                        </m:sSub>
                        <m:r>
                          <w:rPr>
                            <w:rFonts w:ascii="Cambria Math" w:eastAsiaTheme="minorEastAsia" w:hAnsi="Cambria Math" w:cs="Times New Roman"/>
                          </w:rPr>
                          <m:t>, θ</m:t>
                        </m:r>
                      </m:e>
                    </m:d>
                  </m:e>
                </m:nary>
              </m:e>
            </m:nary>
          </m:e>
        </m:nary>
      </m:oMath>
      <w:r w:rsidR="006F0D79" w:rsidRPr="003B0C52">
        <w:rPr>
          <w:rFonts w:ascii="Times New Roman" w:eastAsiaTheme="minorEastAsia" w:hAnsi="Times New Roman" w:cs="Times New Roman"/>
        </w:rPr>
        <w:t xml:space="preserve">. The marginal likelihood integrates over random effects so that: </w:t>
      </w:r>
    </w:p>
    <w:p w14:paraId="2BFE06E5" w14:textId="45313F25" w:rsidR="006F0D79" w:rsidRPr="003B0C52" w:rsidRDefault="006F0D79" w:rsidP="003B0C52">
      <w:pPr>
        <w:spacing w:line="240" w:lineRule="auto"/>
        <w:rPr>
          <w:rFonts w:ascii="Times New Roman" w:eastAsiaTheme="minorEastAsia" w:hAnsi="Times New Roman" w:cs="Times New Roman"/>
        </w:rPr>
      </w:pPr>
      <w:r w:rsidRPr="003B0C52">
        <w:rPr>
          <w:rFonts w:ascii="Times New Roman" w:eastAsiaTheme="minorEastAsia" w:hAnsi="Times New Roman" w:cs="Times New Roman"/>
        </w:rPr>
        <w:t xml:space="preserve">where </w:t>
      </w:r>
      <m:oMath>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ijk</m:t>
                </m:r>
              </m:sub>
            </m:sSub>
            <m:r>
              <m:rPr>
                <m:sty m:val="p"/>
              </m:rPr>
              <w:rPr>
                <w:rFonts w:ascii="Cambria Math" w:hAnsi="Cambria Math" w:cs="Times New Roman"/>
              </w:rPr>
              <m:t>Ι</m:t>
            </m:r>
            <m:sSub>
              <m:sSubPr>
                <m:ctrlPr>
                  <w:rPr>
                    <w:rFonts w:ascii="Cambria Math" w:eastAsiaTheme="minorEastAsia" w:hAnsi="Cambria Math" w:cs="Times New Roman"/>
                    <w:i/>
                  </w:rPr>
                </m:ctrlPr>
              </m:sSubPr>
              <m:e>
                <m:r>
                  <w:rPr>
                    <w:rFonts w:ascii="Cambria Math" w:eastAsiaTheme="minorEastAsia" w:hAnsi="Cambria Math" w:cs="Times New Roman"/>
                  </w:rPr>
                  <m:t>µ</m:t>
                </m:r>
              </m:e>
              <m:sub>
                <m:r>
                  <w:rPr>
                    <w:rFonts w:ascii="Cambria Math" w:eastAsiaTheme="minorEastAsia" w:hAnsi="Cambria Math" w:cs="Times New Roman"/>
                  </w:rPr>
                  <m:t>k</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k</m:t>
                </m:r>
              </m:sub>
            </m:sSub>
          </m:e>
        </m:d>
      </m:oMath>
      <w:r w:rsidRPr="003B0C52">
        <w:rPr>
          <w:rFonts w:ascii="Times New Roman" w:eastAsiaTheme="minorEastAsia" w:hAnsi="Times New Roman" w:cs="Times New Roman"/>
        </w:rPr>
        <w:t xml:space="preserve"> is conditional negative binomial density and </w:t>
      </w:r>
      <m:oMath>
        <m:r>
          <w:rPr>
            <w:rFonts w:ascii="Cambria Math" w:eastAsiaTheme="minorEastAsia" w:hAnsi="Cambria Math" w:cs="Times New Roman"/>
          </w:rPr>
          <m:t>g</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k</m:t>
                </m:r>
              </m:sub>
            </m:sSub>
          </m:e>
        </m:d>
        <m:r>
          <w:rPr>
            <w:rFonts w:ascii="Cambria Math" w:eastAsiaTheme="minorEastAsia" w:hAnsi="Cambria Math" w:cs="Times New Roman"/>
          </w:rPr>
          <m:t>, g</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jk</m:t>
                </m:r>
              </m:sub>
            </m:sSub>
          </m:e>
        </m:d>
      </m:oMath>
      <w:r w:rsidRPr="003B0C52">
        <w:rPr>
          <w:rFonts w:ascii="Times New Roman" w:eastAsiaTheme="minorEastAsia" w:hAnsi="Times New Roman" w:cs="Times New Roman"/>
        </w:rPr>
        <w:t xml:space="preserve"> represent normal densities of a random effects where </w:t>
      </w:r>
      <m:oMath>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k</m:t>
            </m:r>
          </m:sub>
        </m:sSub>
        <m:r>
          <w:rPr>
            <w:rFonts w:ascii="Cambria Math" w:eastAsiaTheme="minorEastAsia" w:hAnsi="Cambria Math" w:cs="Times New Roman"/>
          </w:rPr>
          <m:t>~N</m:t>
        </m:r>
        <m:d>
          <m:dPr>
            <m:ctrlPr>
              <w:rPr>
                <w:rFonts w:ascii="Cambria Math" w:eastAsiaTheme="minorEastAsia" w:hAnsi="Cambria Math" w:cs="Times New Roman"/>
                <w:i/>
              </w:rPr>
            </m:ctrlPr>
          </m:dPr>
          <m:e>
            <m:r>
              <w:rPr>
                <w:rFonts w:ascii="Cambria Math" w:eastAsiaTheme="minorEastAsia" w:hAnsi="Cambria Math" w:cs="Times New Roman"/>
              </w:rPr>
              <m:t xml:space="preserve">0, </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δ</m:t>
                    </m:r>
                  </m:e>
                  <m:sub>
                    <m:r>
                      <w:rPr>
                        <w:rFonts w:ascii="Cambria Math" w:eastAsiaTheme="minorEastAsia" w:hAnsi="Cambria Math" w:cs="Times New Roman"/>
                      </w:rPr>
                      <m:t>μ</m:t>
                    </m:r>
                  </m:sub>
                </m:sSub>
              </m:e>
              <m:sup>
                <m:r>
                  <w:rPr>
                    <w:rFonts w:ascii="Cambria Math" w:eastAsiaTheme="minorEastAsia" w:hAnsi="Cambria Math" w:cs="Times New Roman"/>
                  </w:rPr>
                  <m:t>2</m:t>
                </m:r>
              </m:sup>
            </m:sSup>
          </m:e>
        </m:d>
      </m:oMath>
      <w:r w:rsidRPr="003B0C52">
        <w:rPr>
          <w:rFonts w:ascii="Times New Roman" w:eastAsiaTheme="minorEastAsia" w:hAnsi="Times New Roman" w:cs="Times New Roman"/>
        </w:rPr>
        <w:t xml:space="preserve"> and </w:t>
      </w:r>
      <m:oMath>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jk</m:t>
            </m:r>
          </m:sub>
        </m:sSub>
        <m:r>
          <w:rPr>
            <w:rFonts w:ascii="Cambria Math" w:eastAsiaTheme="minorEastAsia" w:hAnsi="Cambria Math" w:cs="Times New Roman"/>
          </w:rPr>
          <m:t>~N</m:t>
        </m:r>
        <m:d>
          <m:dPr>
            <m:ctrlPr>
              <w:rPr>
                <w:rFonts w:ascii="Cambria Math" w:eastAsiaTheme="minorEastAsia" w:hAnsi="Cambria Math" w:cs="Times New Roman"/>
                <w:i/>
              </w:rPr>
            </m:ctrlPr>
          </m:dPr>
          <m:e>
            <m:r>
              <w:rPr>
                <w:rFonts w:ascii="Cambria Math" w:eastAsiaTheme="minorEastAsia" w:hAnsi="Cambria Math" w:cs="Times New Roman"/>
              </w:rPr>
              <m:t xml:space="preserve">0, </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δ</m:t>
                    </m:r>
                  </m:e>
                  <m:sub>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jk</m:t>
                        </m:r>
                      </m:sub>
                    </m:sSub>
                  </m:sub>
                </m:sSub>
              </m:e>
              <m:sup>
                <m:r>
                  <w:rPr>
                    <w:rFonts w:ascii="Cambria Math" w:eastAsiaTheme="minorEastAsia" w:hAnsi="Cambria Math" w:cs="Times New Roman"/>
                  </w:rPr>
                  <m:t>2</m:t>
                </m:r>
              </m:sup>
            </m:sSup>
          </m:e>
        </m:d>
      </m:oMath>
      <w:r w:rsidRPr="003B0C52">
        <w:rPr>
          <w:rFonts w:ascii="Times New Roman" w:eastAsiaTheme="minorEastAsia" w:hAnsi="Times New Roman" w:cs="Times New Roman"/>
        </w:rPr>
        <w:t xml:space="preserve">. The </w:t>
      </w:r>
      <w:r w:rsidR="002D26E1" w:rsidRPr="003B0C52">
        <w:rPr>
          <w:rFonts w:ascii="Times New Roman" w:eastAsiaTheme="minorEastAsia" w:hAnsi="Times New Roman" w:cs="Times New Roman"/>
        </w:rPr>
        <w:t>marginal likelihood integrates over random effects and is approximated using La</w:t>
      </w:r>
      <w:r w:rsidRPr="003B0C52">
        <w:rPr>
          <w:rFonts w:ascii="Times New Roman" w:eastAsiaTheme="minorEastAsia" w:hAnsi="Times New Roman" w:cs="Times New Roman"/>
        </w:rPr>
        <w:t>place transformation</w:t>
      </w:r>
      <w:r w:rsidR="002D26E1" w:rsidRPr="003B0C52">
        <w:rPr>
          <w:rFonts w:ascii="Times New Roman" w:eastAsiaTheme="minorEastAsia" w:hAnsi="Times New Roman" w:cs="Times New Roman"/>
        </w:rPr>
        <w:t xml:space="preserve"> which expands the log-likelihood around the maximum using a second-order Taylor-expansion</w:t>
      </w:r>
      <w:r w:rsidRPr="003B0C52">
        <w:rPr>
          <w:rFonts w:ascii="Times New Roman" w:eastAsiaTheme="minorEastAsia" w:hAnsi="Times New Roman" w:cs="Times New Roman"/>
        </w:rPr>
        <w:t>.</w:t>
      </w:r>
      <w:r w:rsidR="002D26E1" w:rsidRPr="003B0C52">
        <w:rPr>
          <w:rFonts w:ascii="Times New Roman" w:eastAsiaTheme="minorEastAsia" w:hAnsi="Times New Roman" w:cs="Times New Roman"/>
        </w:rPr>
        <w:t xml:space="preserve"> The significance of fixed effects is assessed using the Wald test statistic </w:t>
      </w:r>
      <m:oMath>
        <m:r>
          <w:rPr>
            <w:rFonts w:ascii="Cambria Math" w:eastAsiaTheme="minorEastAsia" w:hAnsi="Cambria Math" w:cs="Times New Roman"/>
          </w:rPr>
          <m:t>Z=</m:t>
        </m:r>
        <m:f>
          <m:fPr>
            <m:ctrlPr>
              <w:rPr>
                <w:rFonts w:ascii="Cambria Math" w:eastAsiaTheme="minorEastAsia" w:hAnsi="Cambria Math" w:cs="Times New Roman"/>
                <w:i/>
              </w:rPr>
            </m:ctrlPr>
          </m:fPr>
          <m:num>
            <m:acc>
              <m:accPr>
                <m:ctrlPr>
                  <w:rPr>
                    <w:rFonts w:ascii="Cambria Math" w:eastAsiaTheme="minorEastAsia" w:hAnsi="Cambria Math" w:cs="Times New Roman"/>
                    <w:i/>
                  </w:rPr>
                </m:ctrlPr>
              </m:accPr>
              <m:e>
                <m:r>
                  <w:rPr>
                    <w:rFonts w:ascii="Cambria Math" w:eastAsiaTheme="minorEastAsia" w:hAnsi="Cambria Math" w:cs="Times New Roman"/>
                  </w:rPr>
                  <m:t>β</m:t>
                </m:r>
              </m:e>
            </m:acc>
          </m:num>
          <m:den>
            <m:r>
              <w:rPr>
                <w:rFonts w:ascii="Cambria Math" w:eastAsiaTheme="minorEastAsia" w:hAnsi="Cambria Math" w:cs="Times New Roman"/>
              </w:rPr>
              <m:t>SE</m:t>
            </m:r>
            <m:d>
              <m:dPr>
                <m:ctrlPr>
                  <w:rPr>
                    <w:rFonts w:ascii="Cambria Math" w:eastAsiaTheme="minorEastAsia" w:hAnsi="Cambria Math" w:cs="Times New Roman"/>
                    <w:i/>
                  </w:rPr>
                </m:ctrlPr>
              </m:dPr>
              <m:e>
                <m:acc>
                  <m:accPr>
                    <m:ctrlPr>
                      <w:rPr>
                        <w:rFonts w:ascii="Cambria Math" w:eastAsiaTheme="minorEastAsia" w:hAnsi="Cambria Math" w:cs="Times New Roman"/>
                        <w:i/>
                      </w:rPr>
                    </m:ctrlPr>
                  </m:accPr>
                  <m:e>
                    <m:r>
                      <w:rPr>
                        <w:rFonts w:ascii="Cambria Math" w:eastAsiaTheme="minorEastAsia" w:hAnsi="Cambria Math" w:cs="Times New Roman"/>
                      </w:rPr>
                      <m:t>β</m:t>
                    </m:r>
                  </m:e>
                </m:acc>
              </m:e>
            </m:d>
          </m:den>
        </m:f>
      </m:oMath>
      <w:r w:rsidR="002D26E1" w:rsidRPr="003B0C52">
        <w:rPr>
          <w:rFonts w:ascii="Times New Roman" w:eastAsiaTheme="minorEastAsia" w:hAnsi="Times New Roman" w:cs="Times New Roman"/>
        </w:rPr>
        <w:t xml:space="preserve">,  </w:t>
      </w:r>
      <m:oMath>
        <m:r>
          <w:rPr>
            <w:rFonts w:ascii="Cambria Math" w:eastAsiaTheme="minorEastAsia" w:hAnsi="Cambria Math" w:cs="Times New Roman"/>
          </w:rPr>
          <m:t>SE</m:t>
        </m:r>
        <m:d>
          <m:dPr>
            <m:ctrlPr>
              <w:rPr>
                <w:rFonts w:ascii="Cambria Math" w:eastAsiaTheme="minorEastAsia" w:hAnsi="Cambria Math" w:cs="Times New Roman"/>
                <w:i/>
              </w:rPr>
            </m:ctrlPr>
          </m:dPr>
          <m:e>
            <m:acc>
              <m:accPr>
                <m:ctrlPr>
                  <w:rPr>
                    <w:rFonts w:ascii="Cambria Math" w:eastAsiaTheme="minorEastAsia" w:hAnsi="Cambria Math" w:cs="Times New Roman"/>
                    <w:i/>
                  </w:rPr>
                </m:ctrlPr>
              </m:accPr>
              <m:e>
                <m:r>
                  <w:rPr>
                    <w:rFonts w:ascii="Cambria Math" w:eastAsiaTheme="minorEastAsia" w:hAnsi="Cambria Math" w:cs="Times New Roman"/>
                  </w:rPr>
                  <m:t>β</m:t>
                </m:r>
              </m:e>
            </m:acc>
          </m:e>
        </m:d>
      </m:oMath>
      <w:r w:rsidR="002D26E1" w:rsidRPr="003B0C52">
        <w:rPr>
          <w:rFonts w:ascii="Times New Roman" w:eastAsiaTheme="minorEastAsia" w:hAnsi="Times New Roman" w:cs="Times New Roman"/>
        </w:rPr>
        <w:t xml:space="preserve"> and random effects using the likelihood ratio test.</w:t>
      </w:r>
    </w:p>
    <w:p w14:paraId="58ACA041" w14:textId="7BD751E6" w:rsidR="006F0D79" w:rsidRPr="003B0C52" w:rsidRDefault="0075761C" w:rsidP="003B0C52">
      <w:pPr>
        <w:pStyle w:val="Heading2"/>
        <w:spacing w:line="240" w:lineRule="auto"/>
        <w:rPr>
          <w:rFonts w:ascii="Times New Roman" w:hAnsi="Times New Roman" w:cs="Times New Roman"/>
          <w:b/>
          <w:bCs/>
          <w:color w:val="auto"/>
          <w:sz w:val="24"/>
          <w:szCs w:val="24"/>
        </w:rPr>
      </w:pPr>
      <w:bookmarkStart w:id="8" w:name="_Toc225180555"/>
      <w:r w:rsidRPr="003B0C52">
        <w:rPr>
          <w:rFonts w:ascii="Times New Roman" w:hAnsi="Times New Roman" w:cs="Times New Roman"/>
          <w:b/>
          <w:bCs/>
          <w:color w:val="auto"/>
          <w:sz w:val="24"/>
          <w:szCs w:val="24"/>
        </w:rPr>
        <w:lastRenderedPageBreak/>
        <w:t>3.3.2</w:t>
      </w:r>
      <w:r w:rsidR="006F0D79" w:rsidRPr="003B0C52">
        <w:rPr>
          <w:rFonts w:ascii="Times New Roman" w:hAnsi="Times New Roman" w:cs="Times New Roman"/>
          <w:b/>
          <w:bCs/>
          <w:color w:val="auto"/>
          <w:sz w:val="24"/>
          <w:szCs w:val="24"/>
        </w:rPr>
        <w:tab/>
        <w:t>Interclass Correlation Coefficients (ICC)</w:t>
      </w:r>
      <w:bookmarkEnd w:id="8"/>
    </w:p>
    <w:p w14:paraId="325BE1C0" w14:textId="720481F9" w:rsidR="006F0D79" w:rsidRPr="003B0C52" w:rsidRDefault="006F0D79" w:rsidP="003B0C52">
      <w:pPr>
        <w:spacing w:line="240" w:lineRule="auto"/>
        <w:jc w:val="both"/>
        <w:rPr>
          <w:rFonts w:ascii="Times New Roman" w:eastAsiaTheme="minorEastAsia" w:hAnsi="Times New Roman" w:cs="Times New Roman"/>
        </w:rPr>
      </w:pPr>
      <w:r w:rsidRPr="003B0C52">
        <w:rPr>
          <w:rFonts w:ascii="Times New Roman" w:eastAsiaTheme="minorEastAsia" w:hAnsi="Times New Roman" w:cs="Times New Roman"/>
        </w:rPr>
        <w:t>This measures the proportion of the total variation in the response that is attributable to clustering effects.</w:t>
      </w:r>
      <w:r w:rsidR="002D26E1" w:rsidRPr="003B0C52">
        <w:rPr>
          <w:rFonts w:ascii="Times New Roman" w:eastAsiaTheme="minorEastAsia" w:hAnsi="Times New Roman" w:cs="Times New Roman"/>
        </w:rPr>
        <w:t xml:space="preserve"> The county </w:t>
      </w:r>
      <w:r w:rsidRPr="003B0C52">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ICC</m:t>
            </m:r>
          </m:e>
          <m:sub>
            <m:r>
              <w:rPr>
                <w:rFonts w:ascii="Cambria Math" w:eastAsiaTheme="minorEastAsia" w:hAnsi="Cambria Math" w:cs="Times New Roman"/>
              </w:rPr>
              <m:t>County</m:t>
            </m:r>
          </m:sub>
        </m:sSub>
        <m:r>
          <w:rPr>
            <w:rFonts w:ascii="Cambria Math" w:eastAsiaTheme="minorEastAsia" w:hAnsi="Cambria Math" w:cs="Times New Roman"/>
          </w:rPr>
          <m:t>=</m:t>
        </m:r>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δ</m:t>
                    </m:r>
                  </m:e>
                  <m:sub>
                    <m:r>
                      <w:rPr>
                        <w:rFonts w:ascii="Cambria Math" w:eastAsiaTheme="minorEastAsia" w:hAnsi="Cambria Math" w:cs="Times New Roman"/>
                      </w:rPr>
                      <m:t>μ</m:t>
                    </m:r>
                  </m:sub>
                </m:sSub>
              </m:e>
              <m:sup>
                <m:r>
                  <w:rPr>
                    <w:rFonts w:ascii="Cambria Math" w:eastAsiaTheme="minorEastAsia" w:hAnsi="Cambria Math" w:cs="Times New Roman"/>
                  </w:rPr>
                  <m:t>2</m:t>
                </m:r>
              </m:sup>
            </m:sSup>
          </m:num>
          <m:den>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δ</m:t>
                    </m:r>
                  </m:e>
                  <m:sub>
                    <m:r>
                      <w:rPr>
                        <w:rFonts w:ascii="Cambria Math" w:eastAsiaTheme="minorEastAsia" w:hAnsi="Cambria Math" w:cs="Times New Roman"/>
                      </w:rPr>
                      <m:t>μ</m:t>
                    </m:r>
                  </m:sub>
                </m:sSub>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δ</m:t>
                    </m:r>
                  </m:e>
                  <m:sub>
                    <m:r>
                      <w:rPr>
                        <w:rFonts w:ascii="Cambria Math" w:eastAsiaTheme="minorEastAsia" w:hAnsi="Cambria Math" w:cs="Times New Roman"/>
                      </w:rPr>
                      <m:t>v</m:t>
                    </m:r>
                  </m:sub>
                </m:sSub>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δ</m:t>
                    </m:r>
                  </m:e>
                  <m:sub>
                    <m:r>
                      <w:rPr>
                        <w:rFonts w:ascii="Cambria Math" w:eastAsiaTheme="minorEastAsia" w:hAnsi="Cambria Math" w:cs="Times New Roman"/>
                      </w:rPr>
                      <m:t>e</m:t>
                    </m:r>
                  </m:sub>
                </m:sSub>
              </m:e>
              <m:sup>
                <m:r>
                  <w:rPr>
                    <w:rFonts w:ascii="Cambria Math" w:eastAsiaTheme="minorEastAsia" w:hAnsi="Cambria Math" w:cs="Times New Roman"/>
                  </w:rPr>
                  <m:t>2</m:t>
                </m:r>
              </m:sup>
            </m:sSup>
          </m:den>
        </m:f>
      </m:oMath>
      <w:r w:rsidR="002D26E1" w:rsidRPr="003B0C52">
        <w:rPr>
          <w:rFonts w:ascii="Times New Roman" w:eastAsiaTheme="minorEastAsia" w:hAnsi="Times New Roman" w:cs="Times New Roman"/>
        </w:rPr>
        <w:t xml:space="preserve">  where </w:t>
      </w:r>
      <m:oMath>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δ</m:t>
                </m:r>
              </m:e>
              <m:sub>
                <m:r>
                  <w:rPr>
                    <w:rFonts w:ascii="Cambria Math" w:eastAsiaTheme="minorEastAsia" w:hAnsi="Cambria Math" w:cs="Times New Roman"/>
                  </w:rPr>
                  <m:t>μ</m:t>
                </m:r>
              </m:sub>
            </m:sSub>
          </m:e>
          <m:sup>
            <m:r>
              <w:rPr>
                <w:rFonts w:ascii="Cambria Math" w:eastAsiaTheme="minorEastAsia" w:hAnsi="Cambria Math" w:cs="Times New Roman"/>
              </w:rPr>
              <m:t>2</m:t>
            </m:r>
          </m:sup>
        </m:sSup>
      </m:oMath>
      <w:r w:rsidR="002D26E1" w:rsidRPr="003B0C52">
        <w:rPr>
          <w:rFonts w:ascii="Times New Roman" w:eastAsiaTheme="minorEastAsia" w:hAnsi="Times New Roman" w:cs="Times New Roman"/>
        </w:rPr>
        <w:t xml:space="preserve">is the county-level variance, </w:t>
      </w:r>
      <m:oMath>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δ</m:t>
                </m:r>
              </m:e>
              <m:sub>
                <m:r>
                  <w:rPr>
                    <w:rFonts w:ascii="Cambria Math" w:eastAsiaTheme="minorEastAsia" w:hAnsi="Cambria Math" w:cs="Times New Roman"/>
                  </w:rPr>
                  <m:t>v</m:t>
                </m:r>
              </m:sub>
            </m:sSub>
          </m:e>
          <m:sup>
            <m:r>
              <w:rPr>
                <w:rFonts w:ascii="Cambria Math" w:eastAsiaTheme="minorEastAsia" w:hAnsi="Cambria Math" w:cs="Times New Roman"/>
              </w:rPr>
              <m:t>2</m:t>
            </m:r>
          </m:sup>
        </m:sSup>
      </m:oMath>
      <w:r w:rsidR="002D26E1" w:rsidRPr="003B0C52">
        <w:rPr>
          <w:rFonts w:ascii="Times New Roman" w:eastAsiaTheme="minorEastAsia" w:hAnsi="Times New Roman" w:cs="Times New Roman"/>
        </w:rPr>
        <w:t xml:space="preserve"> is stage-level variance and </w:t>
      </w:r>
      <m:oMath>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δ</m:t>
                </m:r>
              </m:e>
              <m:sub>
                <m:r>
                  <w:rPr>
                    <w:rFonts w:ascii="Cambria Math" w:eastAsiaTheme="minorEastAsia" w:hAnsi="Cambria Math" w:cs="Times New Roman"/>
                  </w:rPr>
                  <m:t>e</m:t>
                </m:r>
              </m:sub>
            </m:sSub>
          </m:e>
          <m:sup>
            <m:r>
              <w:rPr>
                <w:rFonts w:ascii="Cambria Math" w:eastAsiaTheme="minorEastAsia" w:hAnsi="Cambria Math" w:cs="Times New Roman"/>
              </w:rPr>
              <m:t>2</m:t>
            </m:r>
          </m:sup>
        </m:sSup>
      </m:oMath>
      <w:r w:rsidR="002D26E1" w:rsidRPr="003B0C52">
        <w:rPr>
          <w:rFonts w:ascii="Times New Roman" w:eastAsiaTheme="minorEastAsia" w:hAnsi="Times New Roman" w:cs="Times New Roman"/>
        </w:rPr>
        <w:t xml:space="preserve"> is the r</w:t>
      </w:r>
      <w:proofErr w:type="spellStart"/>
      <w:r w:rsidR="002D26E1" w:rsidRPr="003B0C52">
        <w:rPr>
          <w:rFonts w:ascii="Times New Roman" w:eastAsiaTheme="minorEastAsia" w:hAnsi="Times New Roman" w:cs="Times New Roman"/>
        </w:rPr>
        <w:t>esidual</w:t>
      </w:r>
      <w:proofErr w:type="spellEnd"/>
      <w:r w:rsidR="002D26E1" w:rsidRPr="003B0C52">
        <w:rPr>
          <w:rFonts w:ascii="Times New Roman" w:eastAsiaTheme="minorEastAsia" w:hAnsi="Times New Roman" w:cs="Times New Roman"/>
        </w:rPr>
        <w:t xml:space="preserve"> variance. </w:t>
      </w:r>
      <w:r w:rsidRPr="003B0C52">
        <w:rPr>
          <w:rFonts w:ascii="Times New Roman" w:eastAsiaTheme="minorEastAsia" w:hAnsi="Times New Roman" w:cs="Times New Roman"/>
        </w:rPr>
        <w:t>The stage-level ICC</w:t>
      </w:r>
      <w:r w:rsidR="002D26E1" w:rsidRPr="003B0C52">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ICC</m:t>
            </m:r>
          </m:e>
          <m:sub>
            <m:r>
              <w:rPr>
                <w:rFonts w:ascii="Cambria Math" w:eastAsiaTheme="minorEastAsia" w:hAnsi="Cambria Math" w:cs="Times New Roman"/>
              </w:rPr>
              <m:t>stage</m:t>
            </m:r>
          </m:sub>
        </m:sSub>
        <m:r>
          <w:rPr>
            <w:rFonts w:ascii="Cambria Math" w:eastAsiaTheme="minorEastAsia" w:hAnsi="Cambria Math" w:cs="Times New Roman"/>
          </w:rPr>
          <m:t>=</m:t>
        </m:r>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δ</m:t>
                    </m:r>
                  </m:e>
                  <m:sub>
                    <m:r>
                      <w:rPr>
                        <w:rFonts w:ascii="Cambria Math" w:eastAsiaTheme="minorEastAsia" w:hAnsi="Cambria Math" w:cs="Times New Roman"/>
                      </w:rPr>
                      <m:t>v</m:t>
                    </m:r>
                  </m:sub>
                </m:sSub>
              </m:e>
              <m:sup>
                <m:r>
                  <w:rPr>
                    <w:rFonts w:ascii="Cambria Math" w:eastAsiaTheme="minorEastAsia" w:hAnsi="Cambria Math" w:cs="Times New Roman"/>
                  </w:rPr>
                  <m:t>2</m:t>
                </m:r>
              </m:sup>
            </m:sSup>
          </m:num>
          <m:den>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δ</m:t>
                    </m:r>
                  </m:e>
                  <m:sub>
                    <m:r>
                      <w:rPr>
                        <w:rFonts w:ascii="Cambria Math" w:eastAsiaTheme="minorEastAsia" w:hAnsi="Cambria Math" w:cs="Times New Roman"/>
                      </w:rPr>
                      <m:t>μ</m:t>
                    </m:r>
                  </m:sub>
                </m:sSub>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δ</m:t>
                    </m:r>
                  </m:e>
                  <m:sub>
                    <m:r>
                      <w:rPr>
                        <w:rFonts w:ascii="Cambria Math" w:eastAsiaTheme="minorEastAsia" w:hAnsi="Cambria Math" w:cs="Times New Roman"/>
                      </w:rPr>
                      <m:t>v</m:t>
                    </m:r>
                  </m:sub>
                </m:sSub>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δ</m:t>
                    </m:r>
                  </m:e>
                  <m:sub>
                    <m:r>
                      <w:rPr>
                        <w:rFonts w:ascii="Cambria Math" w:eastAsiaTheme="minorEastAsia" w:hAnsi="Cambria Math" w:cs="Times New Roman"/>
                      </w:rPr>
                      <m:t>e</m:t>
                    </m:r>
                  </m:sub>
                </m:sSub>
              </m:e>
              <m:sup>
                <m:r>
                  <w:rPr>
                    <w:rFonts w:ascii="Cambria Math" w:eastAsiaTheme="minorEastAsia" w:hAnsi="Cambria Math" w:cs="Times New Roman"/>
                  </w:rPr>
                  <m:t>2</m:t>
                </m:r>
              </m:sup>
            </m:sSup>
          </m:den>
        </m:f>
      </m:oMath>
      <w:r w:rsidRPr="003B0C52">
        <w:rPr>
          <w:rFonts w:ascii="Times New Roman" w:eastAsiaTheme="minorEastAsia" w:hAnsi="Times New Roman" w:cs="Times New Roman"/>
        </w:rPr>
        <w:t xml:space="preserve"> . </w:t>
      </w:r>
      <w:r w:rsidR="002D26E1" w:rsidRPr="003B0C52">
        <w:rPr>
          <w:rFonts w:ascii="Times New Roman" w:eastAsiaTheme="minorEastAsia" w:hAnsi="Times New Roman" w:cs="Times New Roman"/>
        </w:rPr>
        <w:t>an ICC greater than 0.05 is considered sufficient to warrant a multilevel approach.</w:t>
      </w:r>
    </w:p>
    <w:p w14:paraId="28A80091" w14:textId="4CF54709" w:rsidR="002D26E1" w:rsidRPr="003B0C52" w:rsidRDefault="0075761C" w:rsidP="003B0C52">
      <w:pPr>
        <w:pStyle w:val="Heading2"/>
        <w:spacing w:line="240" w:lineRule="auto"/>
        <w:rPr>
          <w:rFonts w:ascii="Times New Roman" w:hAnsi="Times New Roman" w:cs="Times New Roman"/>
          <w:b/>
          <w:bCs/>
          <w:color w:val="auto"/>
          <w:sz w:val="24"/>
          <w:szCs w:val="24"/>
        </w:rPr>
      </w:pPr>
      <w:r w:rsidRPr="003B0C52">
        <w:rPr>
          <w:rFonts w:ascii="Times New Roman" w:hAnsi="Times New Roman" w:cs="Times New Roman"/>
          <w:b/>
          <w:bCs/>
          <w:color w:val="auto"/>
          <w:sz w:val="24"/>
          <w:szCs w:val="24"/>
        </w:rPr>
        <w:t>3.4</w:t>
      </w:r>
      <w:r w:rsidR="002D26E1" w:rsidRPr="003B0C52">
        <w:rPr>
          <w:rFonts w:ascii="Times New Roman" w:hAnsi="Times New Roman" w:cs="Times New Roman"/>
          <w:b/>
          <w:bCs/>
          <w:color w:val="auto"/>
          <w:sz w:val="24"/>
          <w:szCs w:val="24"/>
        </w:rPr>
        <w:tab/>
        <w:t>Multilevel Beta Regression Model</w:t>
      </w:r>
    </w:p>
    <w:p w14:paraId="252F2369" w14:textId="5733916B" w:rsidR="002D26E1" w:rsidRPr="003B0C52" w:rsidRDefault="002D26E1" w:rsidP="003B0C52">
      <w:pPr>
        <w:spacing w:line="240" w:lineRule="auto"/>
        <w:jc w:val="both"/>
        <w:rPr>
          <w:rFonts w:ascii="Times New Roman" w:eastAsiaTheme="minorEastAsia" w:hAnsi="Times New Roman" w:cs="Times New Roman"/>
        </w:rPr>
      </w:pPr>
      <w:r w:rsidRPr="003B0C52">
        <w:rPr>
          <w:rFonts w:ascii="Times New Roman" w:eastAsiaTheme="minorEastAsia" w:hAnsi="Times New Roman" w:cs="Times New Roman"/>
        </w:rPr>
        <w:t xml:space="preserve">Let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ijk</m:t>
            </m:r>
          </m:sub>
        </m:sSub>
      </m:oMath>
      <w:r w:rsidRPr="003B0C52">
        <w:rPr>
          <w:rFonts w:ascii="Times New Roman" w:eastAsiaTheme="minorEastAsia" w:hAnsi="Times New Roman" w:cs="Times New Roman"/>
        </w:rPr>
        <w:t xml:space="preserve"> denote the proportional loss incurred by individual </w:t>
      </w:r>
      <m:oMath>
        <m:r>
          <w:rPr>
            <w:rFonts w:ascii="Cambria Math" w:eastAsiaTheme="minorEastAsia" w:hAnsi="Cambria Math" w:cs="Times New Roman"/>
          </w:rPr>
          <m:t>i</m:t>
        </m:r>
      </m:oMath>
      <w:r w:rsidRPr="003B0C52">
        <w:rPr>
          <w:rFonts w:ascii="Times New Roman" w:eastAsiaTheme="minorEastAsia" w:hAnsi="Times New Roman" w:cs="Times New Roman"/>
        </w:rPr>
        <w:t xml:space="preserve"> in county </w:t>
      </w:r>
      <m:oMath>
        <m:r>
          <w:rPr>
            <w:rFonts w:ascii="Cambria Math" w:hAnsi="Cambria Math" w:cs="Times New Roman"/>
          </w:rPr>
          <m:t xml:space="preserve">j </m:t>
        </m:r>
      </m:oMath>
      <w:r w:rsidRPr="003B0C52">
        <w:rPr>
          <w:rFonts w:ascii="Times New Roman" w:eastAsiaTheme="minorEastAsia" w:hAnsi="Times New Roman" w:cs="Times New Roman"/>
        </w:rPr>
        <w:t xml:space="preserve">at the value chain stage </w:t>
      </w:r>
      <m:oMath>
        <m:r>
          <w:rPr>
            <w:rFonts w:ascii="Cambria Math" w:hAnsi="Cambria Math" w:cs="Times New Roman"/>
          </w:rPr>
          <m:t xml:space="preserve">k </m:t>
        </m:r>
      </m:oMath>
      <w:r w:rsidRPr="003B0C52">
        <w:rPr>
          <w:rFonts w:ascii="Times New Roman" w:eastAsiaTheme="minorEastAsia"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ijk</m:t>
            </m:r>
          </m:sub>
        </m:sSub>
        <m:r>
          <w:rPr>
            <w:rFonts w:ascii="Cambria Math" w:hAnsi="Cambria Math" w:cs="Times New Roman"/>
          </w:rPr>
          <m:t>∈</m:t>
        </m:r>
        <m:d>
          <m:dPr>
            <m:ctrlPr>
              <w:rPr>
                <w:rFonts w:ascii="Cambria Math" w:hAnsi="Cambria Math" w:cs="Times New Roman"/>
                <w:i/>
              </w:rPr>
            </m:ctrlPr>
          </m:dPr>
          <m:e>
            <m:r>
              <w:rPr>
                <w:rFonts w:ascii="Cambria Math" w:hAnsi="Cambria Math" w:cs="Times New Roman"/>
              </w:rPr>
              <m:t>0,1</m:t>
            </m:r>
          </m:e>
        </m:d>
      </m:oMath>
      <w:r w:rsidRPr="003B0C52">
        <w:rPr>
          <w:rFonts w:ascii="Times New Roman" w:eastAsiaTheme="minorEastAsia" w:hAnsi="Times New Roman" w:cs="Times New Roman"/>
        </w:rPr>
        <w:t xml:space="preserve">. Under the beta regression parameterization suggested by </w:t>
      </w:r>
      <w:sdt>
        <w:sdtPr>
          <w:rPr>
            <w:rFonts w:ascii="Times New Roman" w:eastAsiaTheme="minorEastAsia" w:hAnsi="Times New Roman" w:cs="Times New Roman"/>
            <w:color w:val="000000"/>
          </w:rPr>
          <w:tag w:val="MENDELEY_CITATION_v3_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"/>
          <w:id w:val="-818804003"/>
          <w:placeholder>
            <w:docPart w:val="9DC98AA6C6AA473387ADD180482915EC"/>
          </w:placeholder>
        </w:sdtPr>
        <w:sdtEndPr/>
        <w:sdtContent>
          <w:r w:rsidR="00F611F9" w:rsidRPr="003B0C52">
            <w:rPr>
              <w:rFonts w:ascii="Times New Roman" w:eastAsia="Times New Roman" w:hAnsi="Times New Roman" w:cs="Times New Roman"/>
              <w:color w:val="000000"/>
            </w:rPr>
            <w:t xml:space="preserve">(Ferrari &amp; </w:t>
          </w:r>
          <w:proofErr w:type="spellStart"/>
          <w:r w:rsidR="00F611F9" w:rsidRPr="003B0C52">
            <w:rPr>
              <w:rFonts w:ascii="Times New Roman" w:eastAsia="Times New Roman" w:hAnsi="Times New Roman" w:cs="Times New Roman"/>
              <w:color w:val="000000"/>
            </w:rPr>
            <w:t>Cribari-Neto</w:t>
          </w:r>
          <w:proofErr w:type="spellEnd"/>
          <w:r w:rsidR="00F611F9" w:rsidRPr="003B0C52">
            <w:rPr>
              <w:rFonts w:ascii="Times New Roman" w:eastAsia="Times New Roman" w:hAnsi="Times New Roman" w:cs="Times New Roman"/>
              <w:color w:val="000000"/>
            </w:rPr>
            <w:t>, 2004)</w:t>
          </w:r>
        </w:sdtContent>
      </w:sdt>
      <w:r w:rsidRPr="003B0C52">
        <w:rPr>
          <w:rFonts w:ascii="Times New Roman" w:eastAsiaTheme="minorEastAsia" w:hAnsi="Times New Roman" w:cs="Times New Roman"/>
        </w:rPr>
        <w:t xml:space="preserve"> such that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ijk</m:t>
            </m:r>
          </m:sub>
        </m:sSub>
        <m:r>
          <w:rPr>
            <w:rFonts w:ascii="Cambria Math" w:hAnsi="Cambria Math" w:cs="Times New Roman"/>
          </w:rPr>
          <m:t>~Beta(</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ijk</m:t>
            </m:r>
          </m:sub>
        </m:sSub>
        <m:r>
          <w:rPr>
            <w:rFonts w:ascii="Cambria Math" w:hAnsi="Cambria Math" w:cs="Times New Roman"/>
          </w:rPr>
          <m:t>, ∅)</m:t>
        </m:r>
      </m:oMath>
      <w:r w:rsidRPr="003B0C52">
        <w:rPr>
          <w:rFonts w:ascii="Times New Roman" w:eastAsiaTheme="minorEastAsia" w:hAnsi="Times New Roman" w:cs="Times New Roman"/>
        </w:rPr>
        <w:t xml:space="preserve"> where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ijk</m:t>
            </m:r>
          </m:sub>
        </m:sSub>
      </m:oMath>
      <w:r w:rsidRPr="003B0C52">
        <w:rPr>
          <w:rFonts w:ascii="Times New Roman" w:eastAsiaTheme="minorEastAsia" w:hAnsi="Times New Roman" w:cs="Times New Roman"/>
        </w:rPr>
        <w:t xml:space="preserve"> is the conditional mean also called the proportional loss and </w:t>
      </w:r>
      <m:oMath>
        <m:r>
          <w:rPr>
            <w:rFonts w:ascii="Cambria Math" w:hAnsi="Cambria Math" w:cs="Times New Roman"/>
          </w:rPr>
          <m:t xml:space="preserve"> ∅&gt;0</m:t>
        </m:r>
      </m:oMath>
      <w:r w:rsidRPr="003B0C52">
        <w:rPr>
          <w:rFonts w:ascii="Times New Roman" w:eastAsiaTheme="minorEastAsia" w:hAnsi="Times New Roman" w:cs="Times New Roman"/>
        </w:rPr>
        <w:t xml:space="preserve"> is the precision parameter. The conditional mean is linked to </w:t>
      </w:r>
    </w:p>
    <w:tbl>
      <w:tblPr>
        <w:tblStyle w:val="TableGrid"/>
        <w:tblpPr w:leftFromText="180" w:rightFromText="180" w:vertAnchor="text" w:horzAnchor="margin" w:tblpY="495"/>
        <w:tblW w:w="9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
        <w:gridCol w:w="8579"/>
        <w:gridCol w:w="553"/>
      </w:tblGrid>
      <w:tr w:rsidR="002D26E1" w:rsidRPr="003B0C52" w14:paraId="39561BA8" w14:textId="77777777" w:rsidTr="002D26E1">
        <w:trPr>
          <w:trHeight w:val="897"/>
        </w:trPr>
        <w:tc>
          <w:tcPr>
            <w:tcW w:w="553" w:type="dxa"/>
          </w:tcPr>
          <w:p w14:paraId="1C6E3AEE" w14:textId="77777777" w:rsidR="002D26E1" w:rsidRPr="003B0C52" w:rsidRDefault="002D26E1" w:rsidP="003B0C52">
            <w:pPr>
              <w:spacing w:after="173"/>
              <w:jc w:val="both"/>
              <w:rPr>
                <w:rFonts w:ascii="Times New Roman" w:hAnsi="Times New Roman" w:cs="Times New Roman"/>
              </w:rPr>
            </w:pPr>
          </w:p>
        </w:tc>
        <w:tc>
          <w:tcPr>
            <w:tcW w:w="8579" w:type="dxa"/>
          </w:tcPr>
          <w:p w14:paraId="4BD77063" w14:textId="77777777" w:rsidR="002D26E1" w:rsidRPr="003B0C52" w:rsidRDefault="002D26E1" w:rsidP="003B0C52">
            <w:pPr>
              <w:jc w:val="both"/>
              <w:rPr>
                <w:rFonts w:ascii="Times New Roman" w:eastAsiaTheme="minorEastAsia" w:hAnsi="Times New Roman" w:cs="Times New Roman"/>
              </w:rPr>
            </w:pPr>
            <m:oMathPara>
              <m:oMath>
                <m:r>
                  <w:rPr>
                    <w:rFonts w:ascii="Cambria Math" w:eastAsiaTheme="minorEastAsia" w:hAnsi="Cambria Math" w:cs="Times New Roman"/>
                  </w:rPr>
                  <m:t>logit</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ijk</m:t>
                        </m:r>
                      </m:sub>
                    </m:sSub>
                  </m:e>
                </m:d>
                <m:r>
                  <w:rPr>
                    <w:rFonts w:ascii="Cambria Math" w:eastAsiaTheme="minorEastAsia" w:hAnsi="Cambria Math" w:cs="Times New Roman"/>
                  </w:rPr>
                  <m:t>=log</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ijk</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1-μ</m:t>
                            </m:r>
                          </m:e>
                          <m:sub>
                            <m:r>
                              <w:rPr>
                                <w:rFonts w:ascii="Cambria Math" w:eastAsiaTheme="minorEastAsia" w:hAnsi="Cambria Math" w:cs="Times New Roman"/>
                              </w:rPr>
                              <m:t>ijk</m:t>
                            </m:r>
                          </m:sub>
                        </m:sSub>
                      </m:den>
                    </m:f>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η</m:t>
                    </m:r>
                  </m:e>
                  <m:sub>
                    <m:r>
                      <w:rPr>
                        <w:rFonts w:ascii="Cambria Math" w:eastAsiaTheme="minorEastAsia" w:hAnsi="Cambria Math" w:cs="Times New Roman"/>
                      </w:rPr>
                      <m:t>ijk</m:t>
                    </m:r>
                  </m:sub>
                </m:sSub>
              </m:oMath>
            </m:oMathPara>
          </w:p>
        </w:tc>
        <w:tc>
          <w:tcPr>
            <w:tcW w:w="553" w:type="dxa"/>
          </w:tcPr>
          <w:p w14:paraId="22FF5B16" w14:textId="486F72BA" w:rsidR="002D26E1" w:rsidRPr="003B0C52" w:rsidRDefault="002D26E1" w:rsidP="003B0C52">
            <w:pPr>
              <w:spacing w:after="173"/>
              <w:jc w:val="both"/>
              <w:rPr>
                <w:rFonts w:ascii="Times New Roman" w:hAnsi="Times New Roman" w:cs="Times New Roman"/>
              </w:rPr>
            </w:pPr>
            <w:r w:rsidRPr="003B0C52">
              <w:rPr>
                <w:rFonts w:ascii="Times New Roman" w:hAnsi="Times New Roman" w:cs="Times New Roman"/>
              </w:rPr>
              <w:t>3</w:t>
            </w:r>
          </w:p>
        </w:tc>
      </w:tr>
    </w:tbl>
    <w:p w14:paraId="222196CD" w14:textId="2A053781" w:rsidR="002D26E1" w:rsidRPr="003B0C52" w:rsidRDefault="002D26E1" w:rsidP="003B0C52">
      <w:pPr>
        <w:spacing w:line="240" w:lineRule="auto"/>
        <w:jc w:val="both"/>
        <w:rPr>
          <w:rFonts w:ascii="Times New Roman" w:eastAsiaTheme="minorEastAsia" w:hAnsi="Times New Roman" w:cs="Times New Roman"/>
        </w:rPr>
      </w:pPr>
      <w:r w:rsidRPr="003B0C52">
        <w:rPr>
          <w:rFonts w:ascii="Times New Roman" w:eastAsiaTheme="minorEastAsia" w:hAnsi="Times New Roman" w:cs="Times New Roman"/>
        </w:rPr>
        <w:t>predictors via logit function is given by:</w:t>
      </w:r>
    </w:p>
    <w:p w14:paraId="3E833D84" w14:textId="23AF5963" w:rsidR="002D26E1" w:rsidRPr="003B0C52" w:rsidRDefault="002D26E1" w:rsidP="003B0C52">
      <w:pPr>
        <w:spacing w:line="240" w:lineRule="auto"/>
        <w:jc w:val="both"/>
        <w:rPr>
          <w:rFonts w:ascii="Times New Roman" w:eastAsiaTheme="minorEastAsia" w:hAnsi="Times New Roman" w:cs="Times New Roman"/>
        </w:rPr>
      </w:pPr>
      <w:r w:rsidRPr="003B0C52">
        <w:rPr>
          <w:rFonts w:ascii="Times New Roman" w:eastAsiaTheme="minorEastAsia" w:hAnsi="Times New Roman" w:cs="Times New Roman"/>
        </w:rPr>
        <w:t xml:space="preserve">where </w:t>
      </w:r>
      <m:oMath>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j</m:t>
            </m:r>
          </m:sub>
        </m:sSub>
        <m:r>
          <w:rPr>
            <w:rFonts w:ascii="Cambria Math" w:eastAsiaTheme="minorEastAsia" w:hAnsi="Cambria Math" w:cs="Times New Roman"/>
          </w:rPr>
          <m:t>~N</m:t>
        </m:r>
        <m:d>
          <m:dPr>
            <m:ctrlPr>
              <w:rPr>
                <w:rFonts w:ascii="Cambria Math" w:eastAsiaTheme="minorEastAsia" w:hAnsi="Cambria Math" w:cs="Times New Roman"/>
                <w:i/>
              </w:rPr>
            </m:ctrlPr>
          </m:dPr>
          <m:e>
            <m:r>
              <w:rPr>
                <w:rFonts w:ascii="Cambria Math" w:eastAsiaTheme="minorEastAsia" w:hAnsi="Cambria Math" w:cs="Times New Roman"/>
              </w:rPr>
              <m:t xml:space="preserve">0, </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u</m:t>
                    </m:r>
                  </m:sub>
                </m:sSub>
              </m:e>
              <m:sup>
                <m:r>
                  <w:rPr>
                    <w:rFonts w:ascii="Cambria Math" w:eastAsiaTheme="minorEastAsia" w:hAnsi="Cambria Math" w:cs="Times New Roman"/>
                  </w:rPr>
                  <m:t>2</m:t>
                </m:r>
              </m:sup>
            </m:sSup>
          </m:e>
        </m:d>
      </m:oMath>
      <w:r w:rsidRPr="003B0C52">
        <w:rPr>
          <w:rFonts w:ascii="Times New Roman" w:eastAsiaTheme="minorEastAsia" w:hAnsi="Times New Roman" w:cs="Times New Roman"/>
        </w:rPr>
        <w:t>,</w:t>
      </w:r>
      <w:r w:rsidRPr="003B0C52">
        <w:rPr>
          <w:rFonts w:ascii="Times New Roman" w:eastAsiaTheme="minorEastAsia" w:hAnsi="Times New Roman" w:cs="Times New Roman"/>
          <w:i/>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k</m:t>
            </m:r>
          </m:sub>
        </m:sSub>
        <m:r>
          <w:rPr>
            <w:rFonts w:ascii="Cambria Math" w:eastAsiaTheme="minorEastAsia" w:hAnsi="Cambria Math" w:cs="Times New Roman"/>
          </w:rPr>
          <m:t>~N</m:t>
        </m:r>
        <m:d>
          <m:dPr>
            <m:ctrlPr>
              <w:rPr>
                <w:rFonts w:ascii="Cambria Math" w:eastAsiaTheme="minorEastAsia" w:hAnsi="Cambria Math" w:cs="Times New Roman"/>
                <w:i/>
              </w:rPr>
            </m:ctrlPr>
          </m:dPr>
          <m:e>
            <m:r>
              <w:rPr>
                <w:rFonts w:ascii="Cambria Math" w:eastAsiaTheme="minorEastAsia" w:hAnsi="Cambria Math" w:cs="Times New Roman"/>
              </w:rPr>
              <m:t xml:space="preserve">0, </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w</m:t>
                    </m:r>
                  </m:sub>
                </m:sSub>
              </m:e>
              <m:sup>
                <m:r>
                  <w:rPr>
                    <w:rFonts w:ascii="Cambria Math" w:eastAsiaTheme="minorEastAsia" w:hAnsi="Cambria Math" w:cs="Times New Roman"/>
                  </w:rPr>
                  <m:t>2</m:t>
                </m:r>
              </m:sup>
            </m:sSup>
          </m:e>
        </m:d>
      </m:oMath>
      <w:r w:rsidRPr="003B0C52">
        <w:rPr>
          <w:rFonts w:ascii="Times New Roman" w:eastAsiaTheme="minorEastAsia" w:hAnsi="Times New Roman" w:cs="Times New Roman"/>
        </w:rPr>
        <w:t xml:space="preserve">  are county and stage level random effects.</w:t>
      </w:r>
    </w:p>
    <w:p w14:paraId="369CF81A" w14:textId="3ADD5645" w:rsidR="002D26E1" w:rsidRPr="003B0C52" w:rsidRDefault="001A4066" w:rsidP="003B0C52">
      <w:pPr>
        <w:pStyle w:val="Heading2"/>
        <w:spacing w:line="240" w:lineRule="auto"/>
        <w:rPr>
          <w:rFonts w:ascii="Times New Roman" w:hAnsi="Times New Roman" w:cs="Times New Roman"/>
          <w:b/>
          <w:bCs/>
          <w:color w:val="auto"/>
          <w:sz w:val="24"/>
          <w:szCs w:val="24"/>
        </w:rPr>
      </w:pPr>
      <w:bookmarkStart w:id="9" w:name="_Toc225180562"/>
      <w:r w:rsidRPr="003B0C52">
        <w:rPr>
          <w:rFonts w:ascii="Times New Roman" w:hAnsi="Times New Roman" w:cs="Times New Roman"/>
          <w:b/>
          <w:bCs/>
          <w:color w:val="auto"/>
          <w:sz w:val="24"/>
          <w:szCs w:val="24"/>
        </w:rPr>
        <w:t>4</w:t>
      </w:r>
      <w:r w:rsidR="002D26E1" w:rsidRPr="003B0C52">
        <w:rPr>
          <w:rFonts w:ascii="Times New Roman" w:hAnsi="Times New Roman" w:cs="Times New Roman"/>
          <w:b/>
          <w:bCs/>
          <w:color w:val="auto"/>
          <w:sz w:val="24"/>
          <w:szCs w:val="24"/>
        </w:rPr>
        <w:t>.0</w:t>
      </w:r>
      <w:r w:rsidR="002D26E1" w:rsidRPr="003B0C52">
        <w:rPr>
          <w:rFonts w:ascii="Times New Roman" w:hAnsi="Times New Roman" w:cs="Times New Roman"/>
          <w:b/>
          <w:bCs/>
          <w:color w:val="auto"/>
          <w:sz w:val="24"/>
          <w:szCs w:val="24"/>
        </w:rPr>
        <w:tab/>
        <w:t>Results and Discussions</w:t>
      </w:r>
      <w:bookmarkEnd w:id="9"/>
    </w:p>
    <w:p w14:paraId="38B2BF22" w14:textId="2D2535EA" w:rsidR="002D26E1" w:rsidRPr="003B0C52" w:rsidRDefault="001A4066" w:rsidP="003B0C52">
      <w:pPr>
        <w:pStyle w:val="Heading3"/>
        <w:spacing w:line="240" w:lineRule="auto"/>
        <w:rPr>
          <w:rFonts w:ascii="Times New Roman" w:hAnsi="Times New Roman" w:cs="Times New Roman"/>
          <w:b/>
          <w:bCs/>
          <w:color w:val="auto"/>
          <w:sz w:val="24"/>
          <w:szCs w:val="24"/>
        </w:rPr>
      </w:pPr>
      <w:bookmarkStart w:id="10" w:name="_Toc225180563"/>
      <w:r w:rsidRPr="003B0C52">
        <w:rPr>
          <w:rFonts w:ascii="Times New Roman" w:hAnsi="Times New Roman" w:cs="Times New Roman"/>
          <w:b/>
          <w:bCs/>
          <w:color w:val="auto"/>
          <w:sz w:val="24"/>
          <w:szCs w:val="24"/>
        </w:rPr>
        <w:t>4</w:t>
      </w:r>
      <w:r w:rsidR="002D26E1" w:rsidRPr="003B0C52">
        <w:rPr>
          <w:rFonts w:ascii="Times New Roman" w:hAnsi="Times New Roman" w:cs="Times New Roman"/>
          <w:b/>
          <w:bCs/>
          <w:color w:val="auto"/>
          <w:sz w:val="24"/>
          <w:szCs w:val="24"/>
        </w:rPr>
        <w:t>.1</w:t>
      </w:r>
      <w:r w:rsidR="002D26E1" w:rsidRPr="003B0C52">
        <w:rPr>
          <w:rFonts w:ascii="Times New Roman" w:hAnsi="Times New Roman" w:cs="Times New Roman"/>
          <w:b/>
          <w:bCs/>
          <w:color w:val="auto"/>
          <w:sz w:val="24"/>
          <w:szCs w:val="24"/>
        </w:rPr>
        <w:tab/>
        <w:t>Model Selection and Fit statistics</w:t>
      </w:r>
      <w:bookmarkEnd w:id="10"/>
    </w:p>
    <w:p w14:paraId="3C5B45D5" w14:textId="3A7D3F23" w:rsidR="002D26E1" w:rsidRPr="003B0C52" w:rsidRDefault="001A4066" w:rsidP="003B0C52">
      <w:pPr>
        <w:spacing w:line="240" w:lineRule="auto"/>
        <w:jc w:val="both"/>
        <w:rPr>
          <w:rFonts w:ascii="Times New Roman" w:hAnsi="Times New Roman" w:cs="Times New Roman"/>
        </w:rPr>
      </w:pPr>
      <w:r w:rsidRPr="003B0C52">
        <w:rPr>
          <w:rFonts w:ascii="Times New Roman" w:hAnsi="Times New Roman" w:cs="Times New Roman"/>
        </w:rPr>
        <w:t>Five models were estimated sequentially.</w:t>
      </w:r>
      <w:r w:rsidR="002D26E1" w:rsidRPr="003B0C52">
        <w:rPr>
          <w:rFonts w:ascii="Times New Roman" w:hAnsi="Times New Roman" w:cs="Times New Roman"/>
        </w:rPr>
        <w:t xml:space="preserve"> Poisson baseline model generated a deviance dispersion ratio of </w:t>
      </w:r>
      <m:oMath>
        <m:r>
          <w:rPr>
            <w:rFonts w:ascii="Cambria Math" w:hAnsi="Cambria Math" w:cs="Times New Roman"/>
          </w:rPr>
          <m:t>0.244</m:t>
        </m:r>
      </m:oMath>
      <w:r w:rsidR="002D26E1" w:rsidRPr="003B0C52">
        <w:rPr>
          <w:rFonts w:ascii="Times New Roman" w:hAnsi="Times New Roman" w:cs="Times New Roman"/>
        </w:rPr>
        <w:t xml:space="preserve"> and a </w:t>
      </w:r>
      <m:oMath>
        <m:r>
          <w:rPr>
            <w:rFonts w:ascii="Cambria Math" w:hAnsi="Cambria Math" w:cs="Times New Roman"/>
          </w:rPr>
          <m:t xml:space="preserve">Pearson’s </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∕degree of freedom ratio</m:t>
        </m:r>
      </m:oMath>
      <w:r w:rsidR="002D26E1" w:rsidRPr="003B0C52">
        <w:rPr>
          <w:rFonts w:ascii="Times New Roman" w:hAnsi="Times New Roman" w:cs="Times New Roman"/>
        </w:rPr>
        <w:t xml:space="preserve"> </w:t>
      </w:r>
      <m:oMath>
        <m:d>
          <m:dPr>
            <m:ctrlPr>
              <w:rPr>
                <w:rFonts w:ascii="Cambria Math" w:hAnsi="Cambria Math" w:cs="Times New Roman"/>
                <w:i/>
              </w:rPr>
            </m:ctrlPr>
          </m:dPr>
          <m:e>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num>
              <m:den>
                <m:r>
                  <w:rPr>
                    <w:rFonts w:ascii="Cambria Math" w:hAnsi="Cambria Math" w:cs="Times New Roman"/>
                  </w:rPr>
                  <m:t>df</m:t>
                </m:r>
              </m:den>
            </m:f>
            <m:r>
              <m:rPr>
                <m:sty m:val="p"/>
              </m:rPr>
              <w:rPr>
                <w:rFonts w:ascii="Cambria Math" w:hAnsi="Cambria Math" w:cs="Times New Roman"/>
              </w:rPr>
              <m:t xml:space="preserve"> </m:t>
            </m:r>
          </m:e>
        </m:d>
        <m:r>
          <w:rPr>
            <w:rFonts w:ascii="Cambria Math" w:hAnsi="Cambria Math" w:cs="Times New Roman"/>
          </w:rPr>
          <m:t xml:space="preserve"> </m:t>
        </m:r>
      </m:oMath>
      <w:r w:rsidR="002D26E1" w:rsidRPr="003B0C52">
        <w:rPr>
          <w:rFonts w:ascii="Times New Roman" w:hAnsi="Times New Roman" w:cs="Times New Roman"/>
        </w:rPr>
        <w:t xml:space="preserve">of </w:t>
      </w:r>
      <m:oMath>
        <m:r>
          <w:rPr>
            <w:rFonts w:ascii="Cambria Math" w:hAnsi="Cambria Math" w:cs="Times New Roman"/>
          </w:rPr>
          <m:t>0.243 (p=1.00)</m:t>
        </m:r>
      </m:oMath>
      <w:r w:rsidR="002D26E1" w:rsidRPr="003B0C52">
        <w:rPr>
          <w:rFonts w:ascii="Times New Roman" w:hAnsi="Times New Roman" w:cs="Times New Roman"/>
        </w:rPr>
        <w:t xml:space="preserve"> indicating that no overdispersion was found. The NB dispersion parameter deviated to infinity </w:t>
      </w:r>
      <m:oMath>
        <m:r>
          <w:rPr>
            <w:rFonts w:ascii="Cambria Math" w:eastAsiaTheme="minorEastAsia" w:hAnsi="Cambria Math" w:cs="Times New Roman"/>
          </w:rPr>
          <m:t>( θ= 2,393,074)</m:t>
        </m:r>
      </m:oMath>
      <w:r w:rsidR="002D26E1" w:rsidRPr="003B0C52">
        <w:rPr>
          <w:rFonts w:ascii="Times New Roman" w:eastAsiaTheme="minorEastAsia" w:hAnsi="Times New Roman" w:cs="Times New Roman"/>
        </w:rPr>
        <w:t xml:space="preserve"> </w:t>
      </w:r>
      <w:r w:rsidR="002D26E1" w:rsidRPr="003B0C52">
        <w:rPr>
          <w:rFonts w:ascii="Times New Roman" w:hAnsi="Times New Roman" w:cs="Times New Roman"/>
        </w:rPr>
        <w:t xml:space="preserve">showing the NB family is not better at the count outcome than Poisson, and the likelihood ratio test was non-significant </w:t>
      </w:r>
      <m:oMath>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=-0.006, p = 1.000)</m:t>
        </m:r>
      </m:oMath>
      <w:r w:rsidR="002D26E1" w:rsidRPr="003B0C52">
        <w:rPr>
          <w:rFonts w:ascii="Times New Roman" w:hAnsi="Times New Roman" w:cs="Times New Roman"/>
        </w:rPr>
        <w:t xml:space="preserve">. In the case where the loss is proportional, the single-level Beta regression was at pseudo- Pearson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m:t>
        </m:r>
        <m:r>
          <m:rPr>
            <m:sty m:val="p"/>
          </m:rPr>
          <w:rPr>
            <w:rFonts w:ascii="Cambria Math" w:hAnsi="Cambria Math" w:cs="Times New Roman"/>
          </w:rPr>
          <m:t>0.7612.</m:t>
        </m:r>
      </m:oMath>
      <w:r w:rsidR="002D26E1" w:rsidRPr="003B0C52">
        <w:rPr>
          <w:rFonts w:ascii="Times New Roman" w:hAnsi="Times New Roman" w:cs="Times New Roman"/>
        </w:rPr>
        <w:t xml:space="preserve"> The multilevel Beta model was even a better fit </w:t>
      </w:r>
      <m:oMath>
        <m:r>
          <w:rPr>
            <w:rFonts w:ascii="Cambria Math" w:hAnsi="Cambria Math" w:cs="Times New Roman"/>
          </w:rPr>
          <m:t>(log-likelihood 1375.65 vs 1362.12),</m:t>
        </m:r>
      </m:oMath>
      <w:r w:rsidR="002D26E1" w:rsidRPr="003B0C52">
        <w:rPr>
          <w:rFonts w:ascii="Times New Roman" w:hAnsi="Times New Roman" w:cs="Times New Roman"/>
        </w:rPr>
        <w:t xml:space="preserve"> and the LRT was very significant </w:t>
      </w:r>
      <m:oMath>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=27.07, df=2, p &lt;0.001)</m:t>
        </m:r>
      </m:oMath>
      <w:r w:rsidR="002D26E1" w:rsidRPr="003B0C52">
        <w:rPr>
          <w:rFonts w:ascii="Times New Roman" w:hAnsi="Times New Roman" w:cs="Times New Roman"/>
        </w:rPr>
        <w:t xml:space="preserve"> as shown in </w:t>
      </w:r>
      <w:r w:rsidR="008A59B2" w:rsidRPr="003B0C52">
        <w:rPr>
          <w:rFonts w:ascii="Times New Roman" w:hAnsi="Times New Roman" w:cs="Times New Roman"/>
        </w:rPr>
        <w:fldChar w:fldCharType="begin"/>
      </w:r>
      <w:r w:rsidR="008A59B2" w:rsidRPr="003B0C52">
        <w:rPr>
          <w:rFonts w:ascii="Times New Roman" w:hAnsi="Times New Roman" w:cs="Times New Roman"/>
        </w:rPr>
        <w:instrText xml:space="preserve"> REF _Ref225963965 \h </w:instrText>
      </w:r>
      <w:r w:rsidR="003B0C52">
        <w:rPr>
          <w:rFonts w:ascii="Times New Roman" w:hAnsi="Times New Roman" w:cs="Times New Roman"/>
        </w:rPr>
        <w:instrText xml:space="preserve"> \* MERGEFORMAT </w:instrText>
      </w:r>
      <w:r w:rsidR="008A59B2" w:rsidRPr="003B0C52">
        <w:rPr>
          <w:rFonts w:ascii="Times New Roman" w:hAnsi="Times New Roman" w:cs="Times New Roman"/>
        </w:rPr>
      </w:r>
      <w:r w:rsidR="008A59B2" w:rsidRPr="003B0C52">
        <w:rPr>
          <w:rFonts w:ascii="Times New Roman" w:hAnsi="Times New Roman" w:cs="Times New Roman"/>
        </w:rPr>
        <w:fldChar w:fldCharType="separate"/>
      </w:r>
      <w:r w:rsidR="008A59B2" w:rsidRPr="003B0C52">
        <w:rPr>
          <w:rFonts w:ascii="Times New Roman" w:hAnsi="Times New Roman" w:cs="Times New Roman"/>
          <w:b/>
          <w:bCs/>
        </w:rPr>
        <w:t xml:space="preserve">Table </w:t>
      </w:r>
      <w:r w:rsidR="008A59B2" w:rsidRPr="003B0C52">
        <w:rPr>
          <w:rFonts w:ascii="Times New Roman" w:hAnsi="Times New Roman" w:cs="Times New Roman"/>
          <w:b/>
          <w:bCs/>
          <w:noProof/>
        </w:rPr>
        <w:t>1</w:t>
      </w:r>
      <w:r w:rsidR="008A59B2" w:rsidRPr="003B0C52">
        <w:rPr>
          <w:rFonts w:ascii="Times New Roman" w:hAnsi="Times New Roman" w:cs="Times New Roman"/>
        </w:rPr>
        <w:fldChar w:fldCharType="end"/>
      </w:r>
      <w:r w:rsidR="002D26E1" w:rsidRPr="003B0C52">
        <w:rPr>
          <w:rFonts w:ascii="Times New Roman" w:hAnsi="Times New Roman" w:cs="Times New Roman"/>
        </w:rPr>
        <w:fldChar w:fldCharType="begin"/>
      </w:r>
      <w:r w:rsidR="002D26E1" w:rsidRPr="003B0C52">
        <w:rPr>
          <w:rFonts w:ascii="Times New Roman" w:hAnsi="Times New Roman" w:cs="Times New Roman"/>
        </w:rPr>
        <w:instrText xml:space="preserve"> REF _Ref225191080 \h  \* MERGEFORMAT </w:instrText>
      </w:r>
      <w:r w:rsidR="002D26E1" w:rsidRPr="003B0C52">
        <w:rPr>
          <w:rFonts w:ascii="Times New Roman" w:hAnsi="Times New Roman" w:cs="Times New Roman"/>
        </w:rPr>
      </w:r>
      <w:r w:rsidR="002D26E1" w:rsidRPr="003B0C52">
        <w:rPr>
          <w:rFonts w:ascii="Times New Roman" w:hAnsi="Times New Roman" w:cs="Times New Roman"/>
        </w:rPr>
        <w:fldChar w:fldCharType="end"/>
      </w:r>
      <w:r w:rsidR="002D26E1" w:rsidRPr="003B0C52">
        <w:rPr>
          <w:rFonts w:ascii="Times New Roman" w:hAnsi="Times New Roman" w:cs="Times New Roman"/>
        </w:rPr>
        <w:t xml:space="preserve"> below.</w:t>
      </w:r>
    </w:p>
    <w:p w14:paraId="5D9BD1C2" w14:textId="5E1BB10C" w:rsidR="002D26E1" w:rsidRPr="003B0C52" w:rsidRDefault="008A59B2" w:rsidP="003B0C52">
      <w:pPr>
        <w:pStyle w:val="Caption"/>
        <w:rPr>
          <w:rFonts w:ascii="Times New Roman" w:hAnsi="Times New Roman" w:cs="Times New Roman"/>
          <w:b/>
          <w:bCs/>
          <w:color w:val="auto"/>
          <w:sz w:val="24"/>
          <w:szCs w:val="24"/>
        </w:rPr>
      </w:pPr>
      <w:bookmarkStart w:id="11" w:name="_Ref225963965"/>
      <w:r w:rsidRPr="003B0C52">
        <w:rPr>
          <w:rFonts w:ascii="Times New Roman" w:hAnsi="Times New Roman" w:cs="Times New Roman"/>
          <w:b/>
          <w:bCs/>
          <w:sz w:val="24"/>
          <w:szCs w:val="24"/>
        </w:rPr>
        <w:t xml:space="preserve">Table </w:t>
      </w:r>
      <w:r w:rsidRPr="003B0C52">
        <w:rPr>
          <w:rFonts w:ascii="Times New Roman" w:hAnsi="Times New Roman" w:cs="Times New Roman"/>
          <w:b/>
          <w:bCs/>
          <w:sz w:val="24"/>
          <w:szCs w:val="24"/>
        </w:rPr>
        <w:fldChar w:fldCharType="begin"/>
      </w:r>
      <w:r w:rsidRPr="003B0C52">
        <w:rPr>
          <w:rFonts w:ascii="Times New Roman" w:hAnsi="Times New Roman" w:cs="Times New Roman"/>
          <w:b/>
          <w:bCs/>
          <w:sz w:val="24"/>
          <w:szCs w:val="24"/>
        </w:rPr>
        <w:instrText xml:space="preserve"> SEQ Table \* ARABIC </w:instrText>
      </w:r>
      <w:r w:rsidRPr="003B0C52">
        <w:rPr>
          <w:rFonts w:ascii="Times New Roman" w:hAnsi="Times New Roman" w:cs="Times New Roman"/>
          <w:b/>
          <w:bCs/>
          <w:sz w:val="24"/>
          <w:szCs w:val="24"/>
        </w:rPr>
        <w:fldChar w:fldCharType="separate"/>
      </w:r>
      <w:r w:rsidRPr="003B0C52">
        <w:rPr>
          <w:rFonts w:ascii="Times New Roman" w:hAnsi="Times New Roman" w:cs="Times New Roman"/>
          <w:b/>
          <w:bCs/>
          <w:noProof/>
          <w:sz w:val="24"/>
          <w:szCs w:val="24"/>
        </w:rPr>
        <w:t>1</w:t>
      </w:r>
      <w:r w:rsidRPr="003B0C52">
        <w:rPr>
          <w:rFonts w:ascii="Times New Roman" w:hAnsi="Times New Roman" w:cs="Times New Roman"/>
          <w:b/>
          <w:bCs/>
          <w:sz w:val="24"/>
          <w:szCs w:val="24"/>
        </w:rPr>
        <w:fldChar w:fldCharType="end"/>
      </w:r>
      <w:bookmarkEnd w:id="11"/>
      <w:r w:rsidRPr="003B0C52">
        <w:rPr>
          <w:rFonts w:ascii="Times New Roman" w:hAnsi="Times New Roman" w:cs="Times New Roman"/>
          <w:b/>
          <w:bCs/>
          <w:color w:val="auto"/>
          <w:sz w:val="24"/>
          <w:szCs w:val="24"/>
        </w:rPr>
        <w:t>:Model Comparison Statistics</w:t>
      </w:r>
    </w:p>
    <w:tbl>
      <w:tblPr>
        <w:tblStyle w:val="TableGrid"/>
        <w:tblW w:w="9483" w:type="dxa"/>
        <w:jc w:val="center"/>
        <w:tblLook w:val="04A0" w:firstRow="1" w:lastRow="0" w:firstColumn="1" w:lastColumn="0" w:noHBand="0" w:noVBand="1"/>
      </w:tblPr>
      <w:tblGrid>
        <w:gridCol w:w="3415"/>
        <w:gridCol w:w="1980"/>
        <w:gridCol w:w="1350"/>
        <w:gridCol w:w="1168"/>
        <w:gridCol w:w="1570"/>
      </w:tblGrid>
      <w:tr w:rsidR="002D26E1" w:rsidRPr="003B0C52" w14:paraId="7E01ABAF" w14:textId="77777777" w:rsidTr="00DA2D9D">
        <w:trPr>
          <w:trHeight w:val="629"/>
          <w:jc w:val="center"/>
        </w:trPr>
        <w:tc>
          <w:tcPr>
            <w:tcW w:w="3415" w:type="dxa"/>
            <w:tcBorders>
              <w:top w:val="single" w:sz="4" w:space="0" w:color="AAAAAA"/>
              <w:left w:val="single" w:sz="4" w:space="0" w:color="AAAAAA"/>
              <w:bottom w:val="single" w:sz="4" w:space="0" w:color="AAAAAA"/>
              <w:right w:val="single" w:sz="4" w:space="0" w:color="AAAAAA"/>
            </w:tcBorders>
            <w:vAlign w:val="center"/>
            <w:hideMark/>
          </w:tcPr>
          <w:p w14:paraId="3DCAF3FE"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b/>
              </w:rPr>
              <w:t>Model</w:t>
            </w:r>
          </w:p>
        </w:tc>
        <w:tc>
          <w:tcPr>
            <w:tcW w:w="1980" w:type="dxa"/>
            <w:tcBorders>
              <w:top w:val="single" w:sz="4" w:space="0" w:color="AAAAAA"/>
              <w:left w:val="nil"/>
              <w:bottom w:val="single" w:sz="4" w:space="0" w:color="AAAAAA"/>
              <w:right w:val="single" w:sz="4" w:space="0" w:color="AAAAAA"/>
            </w:tcBorders>
            <w:vAlign w:val="center"/>
            <w:hideMark/>
          </w:tcPr>
          <w:p w14:paraId="2DFF1C0F"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b/>
              </w:rPr>
              <w:t>Log-Likelihood</w:t>
            </w:r>
          </w:p>
        </w:tc>
        <w:tc>
          <w:tcPr>
            <w:tcW w:w="1350" w:type="dxa"/>
            <w:tcBorders>
              <w:top w:val="single" w:sz="4" w:space="0" w:color="AAAAAA"/>
              <w:left w:val="nil"/>
              <w:bottom w:val="single" w:sz="4" w:space="0" w:color="AAAAAA"/>
              <w:right w:val="single" w:sz="4" w:space="0" w:color="AAAAAA"/>
            </w:tcBorders>
            <w:vAlign w:val="center"/>
            <w:hideMark/>
          </w:tcPr>
          <w:p w14:paraId="2EE43B8D"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b/>
              </w:rPr>
              <w:t>AIC</w:t>
            </w:r>
          </w:p>
        </w:tc>
        <w:tc>
          <w:tcPr>
            <w:tcW w:w="1168" w:type="dxa"/>
            <w:tcBorders>
              <w:top w:val="single" w:sz="4" w:space="0" w:color="AAAAAA"/>
              <w:left w:val="nil"/>
              <w:bottom w:val="single" w:sz="4" w:space="0" w:color="AAAAAA"/>
              <w:right w:val="single" w:sz="4" w:space="0" w:color="AAAAAA"/>
            </w:tcBorders>
            <w:vAlign w:val="center"/>
            <w:hideMark/>
          </w:tcPr>
          <w:p w14:paraId="04CD4A5F"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b/>
              </w:rPr>
              <w:t>BIC</w:t>
            </w:r>
          </w:p>
        </w:tc>
        <w:tc>
          <w:tcPr>
            <w:tcW w:w="1570" w:type="dxa"/>
            <w:tcBorders>
              <w:top w:val="single" w:sz="4" w:space="0" w:color="AAAAAA"/>
              <w:left w:val="nil"/>
              <w:bottom w:val="single" w:sz="4" w:space="0" w:color="AAAAAA"/>
              <w:right w:val="single" w:sz="4" w:space="0" w:color="AAAAAA"/>
            </w:tcBorders>
            <w:vAlign w:val="center"/>
            <w:hideMark/>
          </w:tcPr>
          <w:p w14:paraId="52AAD030"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b/>
              </w:rPr>
              <w:t>Parameters</w:t>
            </w:r>
          </w:p>
        </w:tc>
      </w:tr>
      <w:tr w:rsidR="002D26E1" w:rsidRPr="003B0C52" w14:paraId="59691B86" w14:textId="77777777" w:rsidTr="00DA2D9D">
        <w:trPr>
          <w:trHeight w:val="733"/>
          <w:jc w:val="center"/>
        </w:trPr>
        <w:tc>
          <w:tcPr>
            <w:tcW w:w="3415" w:type="dxa"/>
            <w:tcBorders>
              <w:top w:val="single" w:sz="4" w:space="0" w:color="AAAAAA"/>
              <w:left w:val="single" w:sz="4" w:space="0" w:color="AAAAAA"/>
              <w:bottom w:val="single" w:sz="4" w:space="0" w:color="AAAAAA"/>
              <w:right w:val="single" w:sz="4" w:space="0" w:color="AAAAAA"/>
            </w:tcBorders>
            <w:vAlign w:val="center"/>
            <w:hideMark/>
          </w:tcPr>
          <w:p w14:paraId="21244825"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rPr>
              <w:t>Poisson (SL)</w:t>
            </w:r>
          </w:p>
        </w:tc>
        <w:tc>
          <w:tcPr>
            <w:tcW w:w="1980" w:type="dxa"/>
            <w:tcBorders>
              <w:top w:val="single" w:sz="4" w:space="0" w:color="AAAAAA"/>
              <w:left w:val="nil"/>
              <w:bottom w:val="single" w:sz="4" w:space="0" w:color="AAAAAA"/>
              <w:right w:val="single" w:sz="4" w:space="0" w:color="AAAAAA"/>
            </w:tcBorders>
            <w:vAlign w:val="center"/>
            <w:hideMark/>
          </w:tcPr>
          <w:p w14:paraId="07F078C1"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rPr>
              <w:t>-1718.41</w:t>
            </w:r>
          </w:p>
        </w:tc>
        <w:tc>
          <w:tcPr>
            <w:tcW w:w="1350" w:type="dxa"/>
            <w:tcBorders>
              <w:top w:val="single" w:sz="4" w:space="0" w:color="AAAAAA"/>
              <w:left w:val="nil"/>
              <w:bottom w:val="single" w:sz="4" w:space="0" w:color="AAAAAA"/>
              <w:right w:val="single" w:sz="4" w:space="0" w:color="AAAAAA"/>
            </w:tcBorders>
            <w:vAlign w:val="center"/>
            <w:hideMark/>
          </w:tcPr>
          <w:p w14:paraId="2F553844"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rPr>
              <w:t>3470.82</w:t>
            </w:r>
          </w:p>
        </w:tc>
        <w:tc>
          <w:tcPr>
            <w:tcW w:w="1168" w:type="dxa"/>
            <w:tcBorders>
              <w:top w:val="single" w:sz="4" w:space="0" w:color="AAAAAA"/>
              <w:left w:val="nil"/>
              <w:bottom w:val="single" w:sz="4" w:space="0" w:color="AAAAAA"/>
              <w:right w:val="single" w:sz="4" w:space="0" w:color="AAAAAA"/>
            </w:tcBorders>
            <w:vAlign w:val="center"/>
            <w:hideMark/>
          </w:tcPr>
          <w:p w14:paraId="735C4C5C"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rPr>
              <w:t>3546.18</w:t>
            </w:r>
          </w:p>
        </w:tc>
        <w:tc>
          <w:tcPr>
            <w:tcW w:w="1570" w:type="dxa"/>
            <w:tcBorders>
              <w:top w:val="single" w:sz="4" w:space="0" w:color="AAAAAA"/>
              <w:left w:val="nil"/>
              <w:bottom w:val="single" w:sz="4" w:space="0" w:color="AAAAAA"/>
              <w:right w:val="single" w:sz="4" w:space="0" w:color="AAAAAA"/>
            </w:tcBorders>
            <w:vAlign w:val="center"/>
            <w:hideMark/>
          </w:tcPr>
          <w:p w14:paraId="36EA6673"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rPr>
              <w:t>17</w:t>
            </w:r>
          </w:p>
        </w:tc>
      </w:tr>
      <w:tr w:rsidR="002D26E1" w:rsidRPr="003B0C52" w14:paraId="505CD1FE" w14:textId="77777777" w:rsidTr="00DA2D9D">
        <w:trPr>
          <w:trHeight w:val="733"/>
          <w:jc w:val="center"/>
        </w:trPr>
        <w:tc>
          <w:tcPr>
            <w:tcW w:w="3415" w:type="dxa"/>
            <w:tcBorders>
              <w:top w:val="single" w:sz="4" w:space="0" w:color="AAAAAA"/>
              <w:left w:val="single" w:sz="4" w:space="0" w:color="AAAAAA"/>
              <w:bottom w:val="single" w:sz="4" w:space="0" w:color="AAAAAA"/>
              <w:right w:val="single" w:sz="4" w:space="0" w:color="AAAAAA"/>
            </w:tcBorders>
            <w:vAlign w:val="center"/>
            <w:hideMark/>
          </w:tcPr>
          <w:p w14:paraId="3051C40A"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rPr>
              <w:t>NB (SL)</w:t>
            </w:r>
          </w:p>
        </w:tc>
        <w:tc>
          <w:tcPr>
            <w:tcW w:w="1980" w:type="dxa"/>
            <w:tcBorders>
              <w:top w:val="single" w:sz="4" w:space="0" w:color="AAAAAA"/>
              <w:left w:val="nil"/>
              <w:bottom w:val="single" w:sz="4" w:space="0" w:color="AAAAAA"/>
              <w:right w:val="single" w:sz="4" w:space="0" w:color="AAAAAA"/>
            </w:tcBorders>
            <w:vAlign w:val="center"/>
            <w:hideMark/>
          </w:tcPr>
          <w:p w14:paraId="4BDA7DBD"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rPr>
              <w:t>-1718.41</w:t>
            </w:r>
          </w:p>
        </w:tc>
        <w:tc>
          <w:tcPr>
            <w:tcW w:w="1350" w:type="dxa"/>
            <w:tcBorders>
              <w:top w:val="single" w:sz="4" w:space="0" w:color="AAAAAA"/>
              <w:left w:val="nil"/>
              <w:bottom w:val="single" w:sz="4" w:space="0" w:color="AAAAAA"/>
              <w:right w:val="single" w:sz="4" w:space="0" w:color="AAAAAA"/>
            </w:tcBorders>
            <w:vAlign w:val="center"/>
            <w:hideMark/>
          </w:tcPr>
          <w:p w14:paraId="181687CA"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rPr>
              <w:t>3472.83</w:t>
            </w:r>
          </w:p>
        </w:tc>
        <w:tc>
          <w:tcPr>
            <w:tcW w:w="1168" w:type="dxa"/>
            <w:tcBorders>
              <w:top w:val="single" w:sz="4" w:space="0" w:color="AAAAAA"/>
              <w:left w:val="nil"/>
              <w:bottom w:val="single" w:sz="4" w:space="0" w:color="AAAAAA"/>
              <w:right w:val="single" w:sz="4" w:space="0" w:color="AAAAAA"/>
            </w:tcBorders>
            <w:vAlign w:val="center"/>
            <w:hideMark/>
          </w:tcPr>
          <w:p w14:paraId="336418D7"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rPr>
              <w:t>3552.62</w:t>
            </w:r>
          </w:p>
        </w:tc>
        <w:tc>
          <w:tcPr>
            <w:tcW w:w="1570" w:type="dxa"/>
            <w:tcBorders>
              <w:top w:val="single" w:sz="4" w:space="0" w:color="AAAAAA"/>
              <w:left w:val="nil"/>
              <w:bottom w:val="single" w:sz="4" w:space="0" w:color="AAAAAA"/>
              <w:right w:val="single" w:sz="4" w:space="0" w:color="AAAAAA"/>
            </w:tcBorders>
            <w:vAlign w:val="center"/>
            <w:hideMark/>
          </w:tcPr>
          <w:p w14:paraId="2219BC62"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rPr>
              <w:t>17</w:t>
            </w:r>
          </w:p>
        </w:tc>
      </w:tr>
      <w:tr w:rsidR="002D26E1" w:rsidRPr="003B0C52" w14:paraId="444A292D" w14:textId="77777777" w:rsidTr="00DA2D9D">
        <w:trPr>
          <w:trHeight w:val="733"/>
          <w:jc w:val="center"/>
        </w:trPr>
        <w:tc>
          <w:tcPr>
            <w:tcW w:w="3415" w:type="dxa"/>
            <w:tcBorders>
              <w:top w:val="single" w:sz="4" w:space="0" w:color="AAAAAA"/>
              <w:left w:val="single" w:sz="4" w:space="0" w:color="AAAAAA"/>
              <w:bottom w:val="single" w:sz="4" w:space="0" w:color="AAAAAA"/>
              <w:right w:val="single" w:sz="4" w:space="0" w:color="AAAAAA"/>
            </w:tcBorders>
            <w:vAlign w:val="center"/>
            <w:hideMark/>
          </w:tcPr>
          <w:p w14:paraId="13F0E7AD"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rPr>
              <w:t>NB (ML) *</w:t>
            </w:r>
          </w:p>
        </w:tc>
        <w:tc>
          <w:tcPr>
            <w:tcW w:w="1980" w:type="dxa"/>
            <w:tcBorders>
              <w:top w:val="single" w:sz="4" w:space="0" w:color="AAAAAA"/>
              <w:left w:val="nil"/>
              <w:bottom w:val="single" w:sz="4" w:space="0" w:color="AAAAAA"/>
              <w:right w:val="single" w:sz="4" w:space="0" w:color="AAAAAA"/>
            </w:tcBorders>
            <w:vAlign w:val="center"/>
            <w:hideMark/>
          </w:tcPr>
          <w:p w14:paraId="1BF488A1"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rPr>
              <w:t>NA</w:t>
            </w:r>
          </w:p>
        </w:tc>
        <w:tc>
          <w:tcPr>
            <w:tcW w:w="1350" w:type="dxa"/>
            <w:tcBorders>
              <w:top w:val="single" w:sz="4" w:space="0" w:color="AAAAAA"/>
              <w:left w:val="nil"/>
              <w:bottom w:val="single" w:sz="4" w:space="0" w:color="AAAAAA"/>
              <w:right w:val="single" w:sz="4" w:space="0" w:color="AAAAAA"/>
            </w:tcBorders>
            <w:vAlign w:val="center"/>
            <w:hideMark/>
          </w:tcPr>
          <w:p w14:paraId="0F2A457C"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rPr>
              <w:t>NA</w:t>
            </w:r>
          </w:p>
        </w:tc>
        <w:tc>
          <w:tcPr>
            <w:tcW w:w="1168" w:type="dxa"/>
            <w:tcBorders>
              <w:top w:val="single" w:sz="4" w:space="0" w:color="AAAAAA"/>
              <w:left w:val="nil"/>
              <w:bottom w:val="single" w:sz="4" w:space="0" w:color="AAAAAA"/>
              <w:right w:val="single" w:sz="4" w:space="0" w:color="AAAAAA"/>
            </w:tcBorders>
            <w:vAlign w:val="center"/>
            <w:hideMark/>
          </w:tcPr>
          <w:p w14:paraId="63B853FA"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rPr>
              <w:t>NA</w:t>
            </w:r>
          </w:p>
        </w:tc>
        <w:tc>
          <w:tcPr>
            <w:tcW w:w="1570" w:type="dxa"/>
            <w:tcBorders>
              <w:top w:val="single" w:sz="4" w:space="0" w:color="AAAAAA"/>
              <w:left w:val="nil"/>
              <w:bottom w:val="single" w:sz="4" w:space="0" w:color="AAAAAA"/>
              <w:right w:val="single" w:sz="4" w:space="0" w:color="AAAAAA"/>
            </w:tcBorders>
            <w:vAlign w:val="center"/>
            <w:hideMark/>
          </w:tcPr>
          <w:p w14:paraId="317A84EC"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rPr>
              <w:t>20</w:t>
            </w:r>
          </w:p>
        </w:tc>
      </w:tr>
      <w:tr w:rsidR="002D26E1" w:rsidRPr="003B0C52" w14:paraId="028C1BDE" w14:textId="77777777" w:rsidTr="00DA2D9D">
        <w:trPr>
          <w:trHeight w:val="733"/>
          <w:jc w:val="center"/>
        </w:trPr>
        <w:tc>
          <w:tcPr>
            <w:tcW w:w="3415" w:type="dxa"/>
            <w:tcBorders>
              <w:top w:val="single" w:sz="4" w:space="0" w:color="AAAAAA"/>
              <w:left w:val="single" w:sz="4" w:space="0" w:color="AAAAAA"/>
              <w:bottom w:val="single" w:sz="4" w:space="0" w:color="AAAAAA"/>
              <w:right w:val="single" w:sz="4" w:space="0" w:color="AAAAAA"/>
            </w:tcBorders>
            <w:vAlign w:val="center"/>
            <w:hideMark/>
          </w:tcPr>
          <w:p w14:paraId="6C1A7C36"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rPr>
              <w:lastRenderedPageBreak/>
              <w:t>Beta Regression (SL)</w:t>
            </w:r>
          </w:p>
        </w:tc>
        <w:tc>
          <w:tcPr>
            <w:tcW w:w="1980" w:type="dxa"/>
            <w:tcBorders>
              <w:top w:val="single" w:sz="4" w:space="0" w:color="AAAAAA"/>
              <w:left w:val="nil"/>
              <w:bottom w:val="single" w:sz="4" w:space="0" w:color="AAAAAA"/>
              <w:right w:val="single" w:sz="4" w:space="0" w:color="AAAAAA"/>
            </w:tcBorders>
            <w:vAlign w:val="center"/>
            <w:hideMark/>
          </w:tcPr>
          <w:p w14:paraId="4F1C0DCA"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rPr>
              <w:t>1362.12</w:t>
            </w:r>
          </w:p>
        </w:tc>
        <w:tc>
          <w:tcPr>
            <w:tcW w:w="1350" w:type="dxa"/>
            <w:tcBorders>
              <w:top w:val="single" w:sz="4" w:space="0" w:color="AAAAAA"/>
              <w:left w:val="nil"/>
              <w:bottom w:val="single" w:sz="4" w:space="0" w:color="AAAAAA"/>
              <w:right w:val="single" w:sz="4" w:space="0" w:color="AAAAAA"/>
            </w:tcBorders>
            <w:vAlign w:val="center"/>
            <w:hideMark/>
          </w:tcPr>
          <w:p w14:paraId="0249E710"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rPr>
              <w:t>-2688.23</w:t>
            </w:r>
          </w:p>
        </w:tc>
        <w:tc>
          <w:tcPr>
            <w:tcW w:w="1168" w:type="dxa"/>
            <w:tcBorders>
              <w:top w:val="single" w:sz="4" w:space="0" w:color="AAAAAA"/>
              <w:left w:val="nil"/>
              <w:bottom w:val="single" w:sz="4" w:space="0" w:color="AAAAAA"/>
              <w:right w:val="single" w:sz="4" w:space="0" w:color="AAAAAA"/>
            </w:tcBorders>
            <w:vAlign w:val="center"/>
            <w:hideMark/>
          </w:tcPr>
          <w:p w14:paraId="6831FAC5"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rPr>
              <w:t>-2608.44</w:t>
            </w:r>
          </w:p>
        </w:tc>
        <w:tc>
          <w:tcPr>
            <w:tcW w:w="1570" w:type="dxa"/>
            <w:tcBorders>
              <w:top w:val="single" w:sz="4" w:space="0" w:color="AAAAAA"/>
              <w:left w:val="nil"/>
              <w:bottom w:val="single" w:sz="4" w:space="0" w:color="AAAAAA"/>
              <w:right w:val="single" w:sz="4" w:space="0" w:color="AAAAAA"/>
            </w:tcBorders>
            <w:vAlign w:val="center"/>
            <w:hideMark/>
          </w:tcPr>
          <w:p w14:paraId="606E4CFB"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rPr>
              <w:t>21</w:t>
            </w:r>
          </w:p>
        </w:tc>
      </w:tr>
      <w:tr w:rsidR="002D26E1" w:rsidRPr="003B0C52" w14:paraId="1528844F" w14:textId="77777777" w:rsidTr="00DA2D9D">
        <w:trPr>
          <w:trHeight w:val="1359"/>
          <w:jc w:val="center"/>
        </w:trPr>
        <w:tc>
          <w:tcPr>
            <w:tcW w:w="3415" w:type="dxa"/>
            <w:tcBorders>
              <w:top w:val="single" w:sz="4" w:space="0" w:color="AAAAAA"/>
              <w:left w:val="single" w:sz="4" w:space="0" w:color="AAAAAA"/>
              <w:bottom w:val="single" w:sz="4" w:space="0" w:color="AAAAAA"/>
              <w:right w:val="single" w:sz="4" w:space="0" w:color="AAAAAA"/>
            </w:tcBorders>
            <w:vAlign w:val="center"/>
            <w:hideMark/>
          </w:tcPr>
          <w:p w14:paraId="5415CF97"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b/>
              </w:rPr>
              <w:t xml:space="preserve">Multilevel Beta Regression </w:t>
            </w:r>
            <w:r w:rsidRPr="003B0C52">
              <w:rPr>
                <w:rFonts w:ascii="Segoe UI Symbol" w:hAnsi="Segoe UI Symbol" w:cs="Segoe UI Symbol"/>
                <w:b/>
              </w:rPr>
              <w:t>✔</w:t>
            </w:r>
          </w:p>
        </w:tc>
        <w:tc>
          <w:tcPr>
            <w:tcW w:w="1980" w:type="dxa"/>
            <w:tcBorders>
              <w:top w:val="single" w:sz="4" w:space="0" w:color="AAAAAA"/>
              <w:left w:val="nil"/>
              <w:bottom w:val="single" w:sz="4" w:space="0" w:color="AAAAAA"/>
              <w:right w:val="single" w:sz="4" w:space="0" w:color="AAAAAA"/>
            </w:tcBorders>
            <w:vAlign w:val="center"/>
            <w:hideMark/>
          </w:tcPr>
          <w:p w14:paraId="63C9B9AF"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b/>
              </w:rPr>
              <w:t>1375.65</w:t>
            </w:r>
          </w:p>
        </w:tc>
        <w:tc>
          <w:tcPr>
            <w:tcW w:w="1350" w:type="dxa"/>
            <w:tcBorders>
              <w:top w:val="single" w:sz="4" w:space="0" w:color="AAAAAA"/>
              <w:left w:val="nil"/>
              <w:bottom w:val="single" w:sz="4" w:space="0" w:color="AAAAAA"/>
              <w:right w:val="single" w:sz="4" w:space="0" w:color="AAAAAA"/>
            </w:tcBorders>
            <w:vAlign w:val="center"/>
            <w:hideMark/>
          </w:tcPr>
          <w:p w14:paraId="4CE559A5"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b/>
              </w:rPr>
              <w:t>-2711.30</w:t>
            </w:r>
          </w:p>
        </w:tc>
        <w:tc>
          <w:tcPr>
            <w:tcW w:w="1168" w:type="dxa"/>
            <w:tcBorders>
              <w:top w:val="single" w:sz="4" w:space="0" w:color="AAAAAA"/>
              <w:left w:val="nil"/>
              <w:bottom w:val="single" w:sz="4" w:space="0" w:color="AAAAAA"/>
              <w:right w:val="single" w:sz="4" w:space="0" w:color="AAAAAA"/>
            </w:tcBorders>
            <w:vAlign w:val="center"/>
            <w:hideMark/>
          </w:tcPr>
          <w:p w14:paraId="15ACFE70"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b/>
              </w:rPr>
              <w:t>-2622.64</w:t>
            </w:r>
          </w:p>
        </w:tc>
        <w:tc>
          <w:tcPr>
            <w:tcW w:w="1570" w:type="dxa"/>
            <w:tcBorders>
              <w:top w:val="single" w:sz="4" w:space="0" w:color="AAAAAA"/>
              <w:left w:val="nil"/>
              <w:bottom w:val="single" w:sz="4" w:space="0" w:color="AAAAAA"/>
              <w:right w:val="single" w:sz="4" w:space="0" w:color="AAAAAA"/>
            </w:tcBorders>
            <w:vAlign w:val="center"/>
            <w:hideMark/>
          </w:tcPr>
          <w:p w14:paraId="28A9CCF4"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b/>
              </w:rPr>
              <w:t>20</w:t>
            </w:r>
          </w:p>
        </w:tc>
      </w:tr>
    </w:tbl>
    <w:p w14:paraId="1CB9F39F" w14:textId="6AE578D2" w:rsidR="002D26E1" w:rsidRPr="003B0C52" w:rsidRDefault="001A4066" w:rsidP="003B0C52">
      <w:pPr>
        <w:spacing w:line="240" w:lineRule="auto"/>
        <w:jc w:val="both"/>
        <w:rPr>
          <w:rFonts w:ascii="Times New Roman" w:hAnsi="Times New Roman" w:cs="Times New Roman"/>
          <w:b/>
          <w:bCs/>
          <w:i/>
        </w:rPr>
      </w:pPr>
      <w:r w:rsidRPr="003B0C52">
        <w:rPr>
          <w:rFonts w:ascii="Times New Roman" w:hAnsi="Times New Roman" w:cs="Times New Roman"/>
          <w:b/>
          <w:bCs/>
          <w:i/>
        </w:rPr>
        <w:t>Note: N</w:t>
      </w:r>
      <w:r w:rsidR="002D26E1" w:rsidRPr="003B0C52">
        <w:rPr>
          <w:rFonts w:ascii="Times New Roman" w:hAnsi="Times New Roman" w:cs="Times New Roman"/>
          <w:b/>
          <w:bCs/>
          <w:i/>
        </w:rPr>
        <w:t xml:space="preserve">egative binomial </w:t>
      </w:r>
      <w:r w:rsidRPr="003B0C52">
        <w:rPr>
          <w:rFonts w:ascii="Times New Roman" w:hAnsi="Times New Roman" w:cs="Times New Roman"/>
          <w:b/>
          <w:bCs/>
          <w:i/>
        </w:rPr>
        <w:t xml:space="preserve">Hessian not </w:t>
      </w:r>
      <w:r w:rsidR="002D26E1" w:rsidRPr="003B0C52">
        <w:rPr>
          <w:rFonts w:ascii="Times New Roman" w:hAnsi="Times New Roman" w:cs="Times New Roman"/>
          <w:b/>
          <w:bCs/>
          <w:i/>
        </w:rPr>
        <w:t>positive definite</w:t>
      </w:r>
      <w:r w:rsidRPr="003B0C52">
        <w:rPr>
          <w:rFonts w:ascii="Times New Roman" w:hAnsi="Times New Roman" w:cs="Times New Roman"/>
          <w:b/>
          <w:bCs/>
          <w:i/>
        </w:rPr>
        <w:t xml:space="preserve">; SL and ML denote single level and multilevel; </w:t>
      </w:r>
      <w:r w:rsidR="002D26E1" w:rsidRPr="003B0C52">
        <w:rPr>
          <w:rFonts w:ascii="Times New Roman" w:hAnsi="Times New Roman" w:cs="Times New Roman"/>
          <w:b/>
          <w:bCs/>
          <w:i/>
        </w:rPr>
        <w:t>highlighted row i</w:t>
      </w:r>
      <w:r w:rsidRPr="003B0C52">
        <w:rPr>
          <w:rFonts w:ascii="Times New Roman" w:hAnsi="Times New Roman" w:cs="Times New Roman"/>
          <w:b/>
          <w:bCs/>
          <w:i/>
        </w:rPr>
        <w:t>ndicates selected</w:t>
      </w:r>
      <w:r w:rsidR="002D26E1" w:rsidRPr="003B0C52">
        <w:rPr>
          <w:rFonts w:ascii="Times New Roman" w:hAnsi="Times New Roman" w:cs="Times New Roman"/>
          <w:b/>
          <w:bCs/>
          <w:i/>
        </w:rPr>
        <w:t xml:space="preserve"> model</w:t>
      </w:r>
    </w:p>
    <w:p w14:paraId="634E54C6" w14:textId="28C2CF3D" w:rsidR="002D26E1" w:rsidRPr="003B0C52" w:rsidRDefault="0075761C" w:rsidP="003B0C52">
      <w:pPr>
        <w:pStyle w:val="Heading3"/>
        <w:spacing w:line="240" w:lineRule="auto"/>
        <w:rPr>
          <w:rFonts w:ascii="Times New Roman" w:hAnsi="Times New Roman" w:cs="Times New Roman"/>
          <w:b/>
          <w:bCs/>
          <w:color w:val="auto"/>
          <w:sz w:val="24"/>
          <w:szCs w:val="24"/>
        </w:rPr>
      </w:pPr>
      <w:bookmarkStart w:id="12" w:name="_Toc225180564"/>
      <w:r w:rsidRPr="003B0C52">
        <w:rPr>
          <w:rFonts w:ascii="Times New Roman" w:hAnsi="Times New Roman" w:cs="Times New Roman"/>
          <w:b/>
          <w:bCs/>
          <w:color w:val="auto"/>
          <w:sz w:val="24"/>
          <w:szCs w:val="24"/>
        </w:rPr>
        <w:t>4</w:t>
      </w:r>
      <w:r w:rsidR="002D26E1" w:rsidRPr="003B0C52">
        <w:rPr>
          <w:rFonts w:ascii="Times New Roman" w:hAnsi="Times New Roman" w:cs="Times New Roman"/>
          <w:b/>
          <w:bCs/>
          <w:color w:val="auto"/>
          <w:sz w:val="24"/>
          <w:szCs w:val="24"/>
        </w:rPr>
        <w:t>.</w:t>
      </w:r>
      <w:r w:rsidRPr="003B0C52">
        <w:rPr>
          <w:rFonts w:ascii="Times New Roman" w:hAnsi="Times New Roman" w:cs="Times New Roman"/>
          <w:b/>
          <w:bCs/>
          <w:color w:val="auto"/>
          <w:sz w:val="24"/>
          <w:szCs w:val="24"/>
        </w:rPr>
        <w:t>2</w:t>
      </w:r>
      <w:r w:rsidR="002D26E1" w:rsidRPr="003B0C52">
        <w:rPr>
          <w:rFonts w:ascii="Times New Roman" w:hAnsi="Times New Roman" w:cs="Times New Roman"/>
          <w:b/>
          <w:bCs/>
          <w:color w:val="auto"/>
          <w:sz w:val="24"/>
          <w:szCs w:val="24"/>
        </w:rPr>
        <w:tab/>
        <w:t>Intraclass Correlation Coefficients (ICC)</w:t>
      </w:r>
      <w:bookmarkEnd w:id="12"/>
      <w:r w:rsidR="002D26E1" w:rsidRPr="003B0C52">
        <w:rPr>
          <w:rFonts w:ascii="Times New Roman" w:hAnsi="Times New Roman" w:cs="Times New Roman"/>
          <w:b/>
          <w:bCs/>
          <w:color w:val="auto"/>
          <w:sz w:val="24"/>
          <w:szCs w:val="24"/>
        </w:rPr>
        <w:t xml:space="preserve"> </w:t>
      </w:r>
    </w:p>
    <w:p w14:paraId="4F170B31" w14:textId="71EC0478" w:rsidR="002D26E1" w:rsidRPr="003B0C52" w:rsidRDefault="002D26E1" w:rsidP="003B0C52">
      <w:pPr>
        <w:spacing w:line="240" w:lineRule="auto"/>
        <w:jc w:val="both"/>
        <w:rPr>
          <w:rFonts w:ascii="Times New Roman" w:hAnsi="Times New Roman" w:cs="Times New Roman"/>
        </w:rPr>
      </w:pPr>
      <w:r w:rsidRPr="003B0C52">
        <w:rPr>
          <w:rFonts w:ascii="Times New Roman" w:hAnsi="Times New Roman" w:cs="Times New Roman"/>
        </w:rPr>
        <w:t xml:space="preserve">The null multilevel Beta model on the logit scale was computed to generate intraclass correlation coefficients (ICC) using the recommended latent Level-1 residual variance of </w:t>
      </w:r>
      <m:oMath>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δ</m:t>
                </m:r>
              </m:e>
              <m:sub>
                <m:r>
                  <w:rPr>
                    <w:rFonts w:ascii="Cambria Math" w:eastAsiaTheme="minorEastAsia" w:hAnsi="Cambria Math" w:cs="Times New Roman"/>
                  </w:rPr>
                  <m:t>ε</m:t>
                </m:r>
              </m:sub>
            </m:sSub>
          </m:e>
          <m:sup>
            <m:r>
              <w:rPr>
                <w:rFonts w:ascii="Cambria Math" w:eastAsiaTheme="minorEastAsia" w:hAnsi="Cambria Math" w:cs="Times New Roman"/>
              </w:rPr>
              <m:t>2</m:t>
            </m:r>
          </m:sup>
        </m:sSup>
        <m:r>
          <w:rPr>
            <w:rFonts w:ascii="Cambria Math" w:eastAsiaTheme="minorEastAsia" w:hAnsi="Cambria Math" w:cs="Times New Roman"/>
          </w:rPr>
          <m:t>=</m:t>
        </m:r>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r>
                  <w:rPr>
                    <w:rFonts w:ascii="Cambria Math" w:hAnsi="Cambria Math" w:cs="Times New Roman"/>
                  </w:rPr>
                  <m:t>π</m:t>
                </m:r>
              </m:e>
              <m:sup>
                <m:r>
                  <w:rPr>
                    <w:rFonts w:ascii="Cambria Math" w:hAnsi="Cambria Math" w:cs="Times New Roman"/>
                  </w:rPr>
                  <m:t>2</m:t>
                </m:r>
              </m:sup>
            </m:sSup>
          </m:num>
          <m:den>
            <m:r>
              <w:rPr>
                <w:rFonts w:ascii="Cambria Math" w:eastAsiaTheme="minorEastAsia" w:hAnsi="Cambria Math" w:cs="Times New Roman"/>
              </w:rPr>
              <m:t>3</m:t>
            </m:r>
          </m:den>
        </m:f>
        <m:r>
          <w:rPr>
            <w:rFonts w:ascii="Cambria Math" w:eastAsiaTheme="minorEastAsia" w:hAnsi="Cambria Math" w:cs="Times New Roman"/>
          </w:rPr>
          <m:t>=3.290</m:t>
        </m:r>
      </m:oMath>
      <w:r w:rsidRPr="003B0C52">
        <w:rPr>
          <w:rFonts w:ascii="Times New Roman" w:hAnsi="Times New Roman" w:cs="Times New Roman"/>
        </w:rPr>
        <w:t xml:space="preserve"> as recommended by </w:t>
      </w:r>
      <w:sdt>
        <w:sdtPr>
          <w:rPr>
            <w:rFonts w:ascii="Times New Roman" w:hAnsi="Times New Roman" w:cs="Times New Roman"/>
            <w:color w:val="000000"/>
          </w:rPr>
          <w:tag w:val="MENDELEY_CITATION_v3_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"/>
          <w:id w:val="1912816723"/>
          <w:placeholder>
            <w:docPart w:val="0951B184AB3745D6BCFAB56990B8B883"/>
          </w:placeholder>
        </w:sdtPr>
        <w:sdtEndPr/>
        <w:sdtContent>
          <w:r w:rsidR="00F611F9" w:rsidRPr="003B0C52">
            <w:rPr>
              <w:rFonts w:ascii="Times New Roman" w:hAnsi="Times New Roman" w:cs="Times New Roman"/>
              <w:color w:val="000000"/>
            </w:rPr>
            <w:t>(Devine et al., 2024)</w:t>
          </w:r>
        </w:sdtContent>
      </w:sdt>
      <w:r w:rsidRPr="003B0C52">
        <w:rPr>
          <w:rFonts w:ascii="Times New Roman" w:hAnsi="Times New Roman" w:cs="Times New Roman"/>
        </w:rPr>
        <w:t xml:space="preserve">. The variance at the county level was </w:t>
      </w:r>
      <m:oMath>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u</m:t>
                </m:r>
              </m:sub>
            </m:sSub>
          </m:e>
          <m:sup>
            <m:r>
              <w:rPr>
                <w:rFonts w:ascii="Cambria Math" w:eastAsiaTheme="minorEastAsia" w:hAnsi="Cambria Math" w:cs="Times New Roman"/>
              </w:rPr>
              <m:t>2</m:t>
            </m:r>
          </m:sup>
        </m:sSup>
        <m:r>
          <w:rPr>
            <w:rFonts w:ascii="Cambria Math" w:hAnsi="Cambria Math" w:cs="Times New Roman"/>
          </w:rPr>
          <m:t xml:space="preserve"> = 0.000817 (ICC=0.02%)</m:t>
        </m:r>
      </m:oMath>
      <w:r w:rsidRPr="003B0C52">
        <w:rPr>
          <w:rFonts w:ascii="Times New Roman" w:hAnsi="Times New Roman" w:cs="Times New Roman"/>
        </w:rPr>
        <w:t xml:space="preserve"> and the variance at the stage level was </w:t>
      </w:r>
      <m:oMath>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v</m:t>
                </m:r>
              </m:sub>
            </m:sSub>
          </m:e>
          <m:sup>
            <m:r>
              <w:rPr>
                <w:rFonts w:ascii="Cambria Math" w:eastAsiaTheme="minorEastAsia" w:hAnsi="Cambria Math" w:cs="Times New Roman"/>
              </w:rPr>
              <m:t>2</m:t>
            </m:r>
          </m:sup>
        </m:sSup>
        <m:r>
          <w:rPr>
            <w:rFonts w:ascii="Cambria Math" w:hAnsi="Cambria Math" w:cs="Times New Roman"/>
          </w:rPr>
          <m:t>=0.001342 (ICC = 0.04%).</m:t>
        </m:r>
      </m:oMath>
      <w:r w:rsidRPr="003B0C52">
        <w:rPr>
          <w:rFonts w:ascii="Times New Roman" w:hAnsi="Times New Roman" w:cs="Times New Roman"/>
        </w:rPr>
        <w:t xml:space="preserve"> Though the estimated values are lower than </w:t>
      </w:r>
      <w:r w:rsidR="001A4066" w:rsidRPr="003B0C52">
        <w:rPr>
          <w:rFonts w:ascii="Times New Roman" w:hAnsi="Times New Roman" w:cs="Times New Roman"/>
        </w:rPr>
        <w:t>conventional</w:t>
      </w:r>
      <w:r w:rsidRPr="003B0C52">
        <w:rPr>
          <w:rFonts w:ascii="Times New Roman" w:hAnsi="Times New Roman" w:cs="Times New Roman"/>
        </w:rPr>
        <w:t xml:space="preserve"> 0.05, </w:t>
      </w:r>
      <w:r w:rsidR="001A4066" w:rsidRPr="003B0C52">
        <w:rPr>
          <w:rFonts w:ascii="Times New Roman" w:hAnsi="Times New Roman" w:cs="Times New Roman"/>
        </w:rPr>
        <w:t>this represent a very small number of high-level grouping units</w:t>
      </w:r>
      <w:r w:rsidRPr="003B0C52">
        <w:rPr>
          <w:rFonts w:ascii="Times New Roman" w:hAnsi="Times New Roman" w:cs="Times New Roman"/>
        </w:rPr>
        <w:t>.</w:t>
      </w:r>
      <w:r w:rsidR="001A4066" w:rsidRPr="003B0C52">
        <w:rPr>
          <w:rFonts w:ascii="Times New Roman" w:hAnsi="Times New Roman" w:cs="Times New Roman"/>
        </w:rPr>
        <w:t xml:space="preserve"> The</w:t>
      </w:r>
      <w:r w:rsidRPr="003B0C52">
        <w:rPr>
          <w:rFonts w:ascii="Times New Roman" w:hAnsi="Times New Roman" w:cs="Times New Roman"/>
        </w:rPr>
        <w:t xml:space="preserve"> likelihood ratio test (LRT), which was very significant </w:t>
      </w:r>
      <m:oMath>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=27.07, df=2, p=0.001),</m:t>
        </m:r>
      </m:oMath>
      <w:r w:rsidRPr="003B0C52">
        <w:rPr>
          <w:rFonts w:ascii="Times New Roman" w:hAnsi="Times New Roman" w:cs="Times New Roman"/>
        </w:rPr>
        <w:t xml:space="preserve"> and proves the multilevel structure to be a significant factor that enhances the model fit. ICC estimates are in </w:t>
      </w:r>
      <w:r w:rsidR="008A59B2" w:rsidRPr="003B0C52">
        <w:rPr>
          <w:rFonts w:ascii="Times New Roman" w:hAnsi="Times New Roman" w:cs="Times New Roman"/>
        </w:rPr>
        <w:fldChar w:fldCharType="begin"/>
      </w:r>
      <w:r w:rsidR="008A59B2" w:rsidRPr="003B0C52">
        <w:rPr>
          <w:rFonts w:ascii="Times New Roman" w:hAnsi="Times New Roman" w:cs="Times New Roman"/>
        </w:rPr>
        <w:instrText xml:space="preserve"> REF _Ref225191330 \h </w:instrText>
      </w:r>
      <w:r w:rsidR="003B0C52">
        <w:rPr>
          <w:rFonts w:ascii="Times New Roman" w:hAnsi="Times New Roman" w:cs="Times New Roman"/>
        </w:rPr>
        <w:instrText xml:space="preserve"> \* MERGEFORMAT </w:instrText>
      </w:r>
      <w:r w:rsidR="008A59B2" w:rsidRPr="003B0C52">
        <w:rPr>
          <w:rFonts w:ascii="Times New Roman" w:hAnsi="Times New Roman" w:cs="Times New Roman"/>
        </w:rPr>
      </w:r>
      <w:r w:rsidR="008A59B2" w:rsidRPr="003B0C52">
        <w:rPr>
          <w:rFonts w:ascii="Times New Roman" w:hAnsi="Times New Roman" w:cs="Times New Roman"/>
        </w:rPr>
        <w:fldChar w:fldCharType="separate"/>
      </w:r>
      <w:r w:rsidR="008A59B2" w:rsidRPr="003B0C52">
        <w:rPr>
          <w:rFonts w:ascii="Times New Roman" w:hAnsi="Times New Roman" w:cs="Times New Roman"/>
          <w:b/>
          <w:bCs/>
        </w:rPr>
        <w:t xml:space="preserve">Table </w:t>
      </w:r>
      <w:r w:rsidR="008A59B2" w:rsidRPr="003B0C52">
        <w:rPr>
          <w:rFonts w:ascii="Times New Roman" w:hAnsi="Times New Roman" w:cs="Times New Roman"/>
          <w:b/>
          <w:bCs/>
          <w:i/>
          <w:iCs/>
          <w:noProof/>
        </w:rPr>
        <w:t>2</w:t>
      </w:r>
      <w:r w:rsidR="008A59B2" w:rsidRPr="003B0C52">
        <w:rPr>
          <w:rFonts w:ascii="Times New Roman" w:hAnsi="Times New Roman" w:cs="Times New Roman"/>
        </w:rPr>
        <w:fldChar w:fldCharType="end"/>
      </w:r>
      <w:r w:rsidRPr="003B0C52">
        <w:rPr>
          <w:rFonts w:ascii="Times New Roman" w:hAnsi="Times New Roman" w:cs="Times New Roman"/>
        </w:rPr>
        <w:fldChar w:fldCharType="begin"/>
      </w:r>
      <w:r w:rsidRPr="003B0C52">
        <w:rPr>
          <w:rFonts w:ascii="Times New Roman" w:hAnsi="Times New Roman" w:cs="Times New Roman"/>
        </w:rPr>
        <w:instrText xml:space="preserve"> REF _Ref225191330 \h  \* MERGEFORMAT </w:instrText>
      </w:r>
      <w:r w:rsidRPr="003B0C52">
        <w:rPr>
          <w:rFonts w:ascii="Times New Roman" w:hAnsi="Times New Roman" w:cs="Times New Roman"/>
        </w:rPr>
      </w:r>
      <w:r w:rsidRPr="003B0C52">
        <w:rPr>
          <w:rFonts w:ascii="Times New Roman" w:hAnsi="Times New Roman" w:cs="Times New Roman"/>
        </w:rPr>
        <w:fldChar w:fldCharType="end"/>
      </w:r>
      <w:r w:rsidRPr="003B0C52">
        <w:rPr>
          <w:rFonts w:ascii="Times New Roman" w:hAnsi="Times New Roman" w:cs="Times New Roman"/>
        </w:rPr>
        <w:t xml:space="preserve"> below.</w:t>
      </w:r>
    </w:p>
    <w:p w14:paraId="421539C8" w14:textId="66226C00" w:rsidR="002D26E1" w:rsidRPr="003B0C52" w:rsidRDefault="002D26E1" w:rsidP="003B0C52">
      <w:pPr>
        <w:pStyle w:val="Caption"/>
        <w:rPr>
          <w:rFonts w:ascii="Times New Roman" w:hAnsi="Times New Roman" w:cs="Times New Roman"/>
          <w:b/>
          <w:bCs/>
          <w:i w:val="0"/>
          <w:iCs w:val="0"/>
          <w:color w:val="auto"/>
          <w:sz w:val="24"/>
          <w:szCs w:val="24"/>
        </w:rPr>
      </w:pPr>
      <w:bookmarkStart w:id="13" w:name="_Ref225191330"/>
      <w:bookmarkStart w:id="14" w:name="_Toc225196608"/>
      <w:r w:rsidRPr="003B0C52">
        <w:rPr>
          <w:rFonts w:ascii="Times New Roman" w:hAnsi="Times New Roman" w:cs="Times New Roman"/>
          <w:b/>
          <w:bCs/>
          <w:i w:val="0"/>
          <w:iCs w:val="0"/>
          <w:color w:val="auto"/>
          <w:sz w:val="24"/>
          <w:szCs w:val="24"/>
        </w:rPr>
        <w:t xml:space="preserve">Table </w:t>
      </w:r>
      <w:r w:rsidRPr="003B0C52">
        <w:rPr>
          <w:rFonts w:ascii="Times New Roman" w:hAnsi="Times New Roman" w:cs="Times New Roman"/>
          <w:b/>
          <w:bCs/>
          <w:i w:val="0"/>
          <w:iCs w:val="0"/>
          <w:color w:val="auto"/>
          <w:sz w:val="24"/>
          <w:szCs w:val="24"/>
        </w:rPr>
        <w:fldChar w:fldCharType="begin"/>
      </w:r>
      <w:r w:rsidRPr="003B0C52">
        <w:rPr>
          <w:rFonts w:ascii="Times New Roman" w:hAnsi="Times New Roman" w:cs="Times New Roman"/>
          <w:b/>
          <w:bCs/>
          <w:i w:val="0"/>
          <w:iCs w:val="0"/>
          <w:color w:val="auto"/>
          <w:sz w:val="24"/>
          <w:szCs w:val="24"/>
        </w:rPr>
        <w:instrText xml:space="preserve"> SEQ Table \* ARABIC </w:instrText>
      </w:r>
      <w:r w:rsidRPr="003B0C52">
        <w:rPr>
          <w:rFonts w:ascii="Times New Roman" w:hAnsi="Times New Roman" w:cs="Times New Roman"/>
          <w:b/>
          <w:bCs/>
          <w:i w:val="0"/>
          <w:iCs w:val="0"/>
          <w:color w:val="auto"/>
          <w:sz w:val="24"/>
          <w:szCs w:val="24"/>
        </w:rPr>
        <w:fldChar w:fldCharType="separate"/>
      </w:r>
      <w:r w:rsidR="008A59B2" w:rsidRPr="003B0C52">
        <w:rPr>
          <w:rFonts w:ascii="Times New Roman" w:hAnsi="Times New Roman" w:cs="Times New Roman"/>
          <w:b/>
          <w:bCs/>
          <w:i w:val="0"/>
          <w:iCs w:val="0"/>
          <w:noProof/>
          <w:color w:val="auto"/>
          <w:sz w:val="24"/>
          <w:szCs w:val="24"/>
        </w:rPr>
        <w:t>2</w:t>
      </w:r>
      <w:r w:rsidRPr="003B0C52">
        <w:rPr>
          <w:rFonts w:ascii="Times New Roman" w:hAnsi="Times New Roman" w:cs="Times New Roman"/>
          <w:b/>
          <w:bCs/>
          <w:i w:val="0"/>
          <w:iCs w:val="0"/>
          <w:color w:val="auto"/>
          <w:sz w:val="24"/>
          <w:szCs w:val="24"/>
        </w:rPr>
        <w:fldChar w:fldCharType="end"/>
      </w:r>
      <w:bookmarkEnd w:id="13"/>
      <w:r w:rsidRPr="003B0C52">
        <w:rPr>
          <w:rFonts w:ascii="Times New Roman" w:hAnsi="Times New Roman" w:cs="Times New Roman"/>
          <w:b/>
          <w:bCs/>
          <w:i w:val="0"/>
          <w:iCs w:val="0"/>
          <w:color w:val="auto"/>
          <w:sz w:val="24"/>
          <w:szCs w:val="24"/>
        </w:rPr>
        <w:t>: Intraclass Correlation Coefficient</w:t>
      </w:r>
      <w:bookmarkEnd w:id="14"/>
    </w:p>
    <w:tbl>
      <w:tblPr>
        <w:tblStyle w:val="TableGrid"/>
        <w:tblW w:w="9852" w:type="dxa"/>
        <w:jc w:val="center"/>
        <w:tblLook w:val="04A0" w:firstRow="1" w:lastRow="0" w:firstColumn="1" w:lastColumn="0" w:noHBand="0" w:noVBand="1"/>
      </w:tblPr>
      <w:tblGrid>
        <w:gridCol w:w="4050"/>
        <w:gridCol w:w="1800"/>
        <w:gridCol w:w="1260"/>
        <w:gridCol w:w="1350"/>
        <w:gridCol w:w="1392"/>
      </w:tblGrid>
      <w:tr w:rsidR="002D26E1" w:rsidRPr="003B0C52" w14:paraId="74819B1A" w14:textId="77777777" w:rsidTr="00DA2D9D">
        <w:trPr>
          <w:trHeight w:val="880"/>
          <w:jc w:val="center"/>
        </w:trPr>
        <w:tc>
          <w:tcPr>
            <w:tcW w:w="4050" w:type="dxa"/>
            <w:tcBorders>
              <w:top w:val="single" w:sz="4" w:space="0" w:color="AAAAAA"/>
              <w:left w:val="single" w:sz="4" w:space="0" w:color="AAAAAA"/>
              <w:bottom w:val="single" w:sz="4" w:space="0" w:color="AAAAAA"/>
              <w:right w:val="single" w:sz="4" w:space="0" w:color="AAAAAA"/>
            </w:tcBorders>
            <w:vAlign w:val="center"/>
            <w:hideMark/>
          </w:tcPr>
          <w:p w14:paraId="43568579"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b/>
              </w:rPr>
              <w:t>Grouping Level</w:t>
            </w:r>
          </w:p>
        </w:tc>
        <w:tc>
          <w:tcPr>
            <w:tcW w:w="1800" w:type="dxa"/>
            <w:tcBorders>
              <w:top w:val="single" w:sz="4" w:space="0" w:color="AAAAAA"/>
              <w:left w:val="nil"/>
              <w:bottom w:val="single" w:sz="4" w:space="0" w:color="AAAAAA"/>
              <w:right w:val="single" w:sz="4" w:space="0" w:color="AAAAAA"/>
            </w:tcBorders>
            <w:vAlign w:val="center"/>
            <w:hideMark/>
          </w:tcPr>
          <w:p w14:paraId="694B484C"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b/>
              </w:rPr>
              <w:t xml:space="preserve">Variance </w:t>
            </w:r>
            <m:oMath>
              <m:d>
                <m:dPr>
                  <m:ctrlPr>
                    <w:rPr>
                      <w:rFonts w:ascii="Cambria Math" w:hAnsi="Cambria Math" w:cs="Times New Roman"/>
                      <w:b/>
                      <w:i/>
                    </w:rPr>
                  </m:ctrlPr>
                </m:dPr>
                <m:e>
                  <m:sSup>
                    <m:sSupPr>
                      <m:ctrlPr>
                        <w:rPr>
                          <w:rFonts w:ascii="Cambria Math" w:hAnsi="Cambria Math" w:cs="Times New Roman"/>
                          <w:b/>
                          <w:i/>
                        </w:rPr>
                      </m:ctrlPr>
                    </m:sSupPr>
                    <m:e>
                      <m:r>
                        <m:rPr>
                          <m:sty m:val="bi"/>
                        </m:rPr>
                        <w:rPr>
                          <w:rFonts w:ascii="Cambria Math" w:hAnsi="Cambria Math" w:cs="Times New Roman"/>
                        </w:rPr>
                        <m:t>σ</m:t>
                      </m:r>
                    </m:e>
                    <m:sup>
                      <m:r>
                        <m:rPr>
                          <m:sty m:val="bi"/>
                        </m:rPr>
                        <w:rPr>
                          <w:rFonts w:ascii="Cambria Math" w:hAnsi="Cambria Math" w:cs="Times New Roman"/>
                        </w:rPr>
                        <m:t>2</m:t>
                      </m:r>
                    </m:sup>
                  </m:sSup>
                </m:e>
              </m:d>
            </m:oMath>
          </w:p>
        </w:tc>
        <w:tc>
          <w:tcPr>
            <w:tcW w:w="1260" w:type="dxa"/>
            <w:tcBorders>
              <w:top w:val="single" w:sz="4" w:space="0" w:color="AAAAAA"/>
              <w:left w:val="nil"/>
              <w:bottom w:val="single" w:sz="4" w:space="0" w:color="AAAAAA"/>
              <w:right w:val="single" w:sz="4" w:space="0" w:color="AAAAAA"/>
            </w:tcBorders>
            <w:vAlign w:val="center"/>
            <w:hideMark/>
          </w:tcPr>
          <w:p w14:paraId="0821878B"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b/>
              </w:rPr>
              <w:t>ICC</w:t>
            </w:r>
          </w:p>
        </w:tc>
        <w:tc>
          <w:tcPr>
            <w:tcW w:w="1350" w:type="dxa"/>
            <w:tcBorders>
              <w:top w:val="single" w:sz="4" w:space="0" w:color="AAAAAA"/>
              <w:left w:val="nil"/>
              <w:bottom w:val="single" w:sz="4" w:space="0" w:color="AAAAAA"/>
              <w:right w:val="single" w:sz="4" w:space="0" w:color="AAAAAA"/>
            </w:tcBorders>
            <w:vAlign w:val="center"/>
            <w:hideMark/>
          </w:tcPr>
          <w:p w14:paraId="0959A39C"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b/>
              </w:rPr>
              <w:t>ICC (%)</w:t>
            </w:r>
          </w:p>
        </w:tc>
        <w:tc>
          <w:tcPr>
            <w:tcW w:w="1392" w:type="dxa"/>
            <w:tcBorders>
              <w:top w:val="single" w:sz="4" w:space="0" w:color="AAAAAA"/>
              <w:left w:val="nil"/>
              <w:bottom w:val="single" w:sz="4" w:space="0" w:color="AAAAAA"/>
              <w:right w:val="single" w:sz="4" w:space="0" w:color="AAAAAA"/>
            </w:tcBorders>
            <w:vAlign w:val="center"/>
            <w:hideMark/>
          </w:tcPr>
          <w:p w14:paraId="4EE64F6B"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b/>
              </w:rPr>
              <w:t>Justified?</w:t>
            </w:r>
          </w:p>
        </w:tc>
      </w:tr>
      <w:tr w:rsidR="002D26E1" w:rsidRPr="003B0C52" w14:paraId="50C440E1" w14:textId="77777777" w:rsidTr="00DA2D9D">
        <w:trPr>
          <w:trHeight w:val="494"/>
          <w:jc w:val="center"/>
        </w:trPr>
        <w:tc>
          <w:tcPr>
            <w:tcW w:w="4050" w:type="dxa"/>
            <w:tcBorders>
              <w:top w:val="single" w:sz="4" w:space="0" w:color="AAAAAA"/>
              <w:left w:val="single" w:sz="4" w:space="0" w:color="AAAAAA"/>
              <w:bottom w:val="single" w:sz="4" w:space="0" w:color="AAAAAA"/>
              <w:right w:val="single" w:sz="4" w:space="0" w:color="AAAAAA"/>
            </w:tcBorders>
            <w:vAlign w:val="center"/>
            <w:hideMark/>
          </w:tcPr>
          <w:p w14:paraId="2B282F7B"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rPr>
              <w:t>County (j = 1, 2)</w:t>
            </w:r>
          </w:p>
        </w:tc>
        <w:tc>
          <w:tcPr>
            <w:tcW w:w="1800" w:type="dxa"/>
            <w:tcBorders>
              <w:top w:val="single" w:sz="4" w:space="0" w:color="AAAAAA"/>
              <w:left w:val="nil"/>
              <w:bottom w:val="single" w:sz="4" w:space="0" w:color="AAAAAA"/>
              <w:right w:val="single" w:sz="4" w:space="0" w:color="AAAAAA"/>
            </w:tcBorders>
            <w:vAlign w:val="center"/>
            <w:hideMark/>
          </w:tcPr>
          <w:p w14:paraId="3FB23F0D"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rPr>
              <w:t>0.000817</w:t>
            </w:r>
          </w:p>
        </w:tc>
        <w:tc>
          <w:tcPr>
            <w:tcW w:w="1260" w:type="dxa"/>
            <w:tcBorders>
              <w:top w:val="single" w:sz="4" w:space="0" w:color="AAAAAA"/>
              <w:left w:val="nil"/>
              <w:bottom w:val="single" w:sz="4" w:space="0" w:color="AAAAAA"/>
              <w:right w:val="single" w:sz="4" w:space="0" w:color="AAAAAA"/>
            </w:tcBorders>
            <w:vAlign w:val="center"/>
            <w:hideMark/>
          </w:tcPr>
          <w:p w14:paraId="3429A67F"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rPr>
              <w:t>0.0002</w:t>
            </w:r>
          </w:p>
        </w:tc>
        <w:tc>
          <w:tcPr>
            <w:tcW w:w="1350" w:type="dxa"/>
            <w:tcBorders>
              <w:top w:val="single" w:sz="4" w:space="0" w:color="AAAAAA"/>
              <w:left w:val="nil"/>
              <w:bottom w:val="single" w:sz="4" w:space="0" w:color="AAAAAA"/>
              <w:right w:val="single" w:sz="4" w:space="0" w:color="AAAAAA"/>
            </w:tcBorders>
            <w:vAlign w:val="center"/>
            <w:hideMark/>
          </w:tcPr>
          <w:p w14:paraId="3CE528A2"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rPr>
              <w:t>0.02%</w:t>
            </w:r>
          </w:p>
        </w:tc>
        <w:tc>
          <w:tcPr>
            <w:tcW w:w="1392" w:type="dxa"/>
            <w:tcBorders>
              <w:top w:val="single" w:sz="4" w:space="0" w:color="AAAAAA"/>
              <w:left w:val="nil"/>
              <w:bottom w:val="single" w:sz="4" w:space="0" w:color="AAAAAA"/>
              <w:right w:val="single" w:sz="4" w:space="0" w:color="AAAAAA"/>
            </w:tcBorders>
            <w:vAlign w:val="center"/>
            <w:hideMark/>
          </w:tcPr>
          <w:p w14:paraId="3E54A82B"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rPr>
              <w:t>NO</w:t>
            </w:r>
          </w:p>
        </w:tc>
      </w:tr>
      <w:tr w:rsidR="002D26E1" w:rsidRPr="003B0C52" w14:paraId="3B05C856" w14:textId="77777777" w:rsidTr="00DA2D9D">
        <w:trPr>
          <w:trHeight w:val="280"/>
          <w:jc w:val="center"/>
        </w:trPr>
        <w:tc>
          <w:tcPr>
            <w:tcW w:w="4050" w:type="dxa"/>
            <w:tcBorders>
              <w:top w:val="single" w:sz="4" w:space="0" w:color="AAAAAA"/>
              <w:left w:val="single" w:sz="4" w:space="0" w:color="AAAAAA"/>
              <w:bottom w:val="single" w:sz="4" w:space="0" w:color="AAAAAA"/>
              <w:right w:val="single" w:sz="4" w:space="0" w:color="AAAAAA"/>
            </w:tcBorders>
            <w:vAlign w:val="center"/>
            <w:hideMark/>
          </w:tcPr>
          <w:p w14:paraId="13F9C79D"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rPr>
              <w:t>Value Chain Stage (k = 1, 2)</w:t>
            </w:r>
          </w:p>
        </w:tc>
        <w:tc>
          <w:tcPr>
            <w:tcW w:w="1800" w:type="dxa"/>
            <w:tcBorders>
              <w:top w:val="single" w:sz="4" w:space="0" w:color="AAAAAA"/>
              <w:left w:val="nil"/>
              <w:bottom w:val="single" w:sz="4" w:space="0" w:color="AAAAAA"/>
              <w:right w:val="single" w:sz="4" w:space="0" w:color="AAAAAA"/>
            </w:tcBorders>
            <w:vAlign w:val="center"/>
            <w:hideMark/>
          </w:tcPr>
          <w:p w14:paraId="706B9DA3"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rPr>
              <w:t>0.001342</w:t>
            </w:r>
          </w:p>
        </w:tc>
        <w:tc>
          <w:tcPr>
            <w:tcW w:w="1260" w:type="dxa"/>
            <w:tcBorders>
              <w:top w:val="single" w:sz="4" w:space="0" w:color="AAAAAA"/>
              <w:left w:val="nil"/>
              <w:bottom w:val="single" w:sz="4" w:space="0" w:color="AAAAAA"/>
              <w:right w:val="single" w:sz="4" w:space="0" w:color="AAAAAA"/>
            </w:tcBorders>
            <w:vAlign w:val="center"/>
            <w:hideMark/>
          </w:tcPr>
          <w:p w14:paraId="6B8B5A9E"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rPr>
              <w:t>0.0004</w:t>
            </w:r>
          </w:p>
        </w:tc>
        <w:tc>
          <w:tcPr>
            <w:tcW w:w="1350" w:type="dxa"/>
            <w:tcBorders>
              <w:top w:val="single" w:sz="4" w:space="0" w:color="AAAAAA"/>
              <w:left w:val="nil"/>
              <w:bottom w:val="single" w:sz="4" w:space="0" w:color="AAAAAA"/>
              <w:right w:val="single" w:sz="4" w:space="0" w:color="AAAAAA"/>
            </w:tcBorders>
            <w:vAlign w:val="center"/>
            <w:hideMark/>
          </w:tcPr>
          <w:p w14:paraId="5C204885"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rPr>
              <w:t>0.04%</w:t>
            </w:r>
          </w:p>
        </w:tc>
        <w:tc>
          <w:tcPr>
            <w:tcW w:w="1392" w:type="dxa"/>
            <w:tcBorders>
              <w:top w:val="single" w:sz="4" w:space="0" w:color="AAAAAA"/>
              <w:left w:val="nil"/>
              <w:bottom w:val="single" w:sz="4" w:space="0" w:color="AAAAAA"/>
              <w:right w:val="single" w:sz="4" w:space="0" w:color="AAAAAA"/>
            </w:tcBorders>
            <w:vAlign w:val="center"/>
            <w:hideMark/>
          </w:tcPr>
          <w:p w14:paraId="5D8B1086"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rPr>
              <w:t>NO</w:t>
            </w:r>
          </w:p>
        </w:tc>
      </w:tr>
      <w:tr w:rsidR="002D26E1" w:rsidRPr="003B0C52" w14:paraId="0CEBC736" w14:textId="77777777" w:rsidTr="00DA2D9D">
        <w:trPr>
          <w:trHeight w:val="880"/>
          <w:jc w:val="center"/>
        </w:trPr>
        <w:tc>
          <w:tcPr>
            <w:tcW w:w="4050" w:type="dxa"/>
            <w:tcBorders>
              <w:top w:val="single" w:sz="4" w:space="0" w:color="AAAAAA"/>
              <w:left w:val="single" w:sz="4" w:space="0" w:color="AAAAAA"/>
              <w:bottom w:val="single" w:sz="4" w:space="0" w:color="AAAAAA"/>
              <w:right w:val="single" w:sz="4" w:space="0" w:color="AAAAAA"/>
            </w:tcBorders>
            <w:vAlign w:val="center"/>
            <w:hideMark/>
          </w:tcPr>
          <w:p w14:paraId="67E3550B"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rPr>
              <w:t>Level-1 residual variance (σ²ε = π²/3)</w:t>
            </w:r>
          </w:p>
        </w:tc>
        <w:tc>
          <w:tcPr>
            <w:tcW w:w="1800" w:type="dxa"/>
            <w:tcBorders>
              <w:top w:val="single" w:sz="4" w:space="0" w:color="AAAAAA"/>
              <w:left w:val="nil"/>
              <w:bottom w:val="single" w:sz="4" w:space="0" w:color="AAAAAA"/>
              <w:right w:val="single" w:sz="4" w:space="0" w:color="AAAAAA"/>
            </w:tcBorders>
            <w:vAlign w:val="center"/>
            <w:hideMark/>
          </w:tcPr>
          <w:p w14:paraId="174283FB"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rPr>
              <w:t>3.2899</w:t>
            </w:r>
          </w:p>
        </w:tc>
        <w:tc>
          <w:tcPr>
            <w:tcW w:w="1260" w:type="dxa"/>
            <w:tcBorders>
              <w:top w:val="single" w:sz="4" w:space="0" w:color="AAAAAA"/>
              <w:left w:val="nil"/>
              <w:bottom w:val="single" w:sz="4" w:space="0" w:color="AAAAAA"/>
              <w:right w:val="single" w:sz="4" w:space="0" w:color="AAAAAA"/>
            </w:tcBorders>
            <w:vAlign w:val="center"/>
            <w:hideMark/>
          </w:tcPr>
          <w:p w14:paraId="6DCDE6C2"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rPr>
              <w:t>—</w:t>
            </w:r>
          </w:p>
        </w:tc>
        <w:tc>
          <w:tcPr>
            <w:tcW w:w="1350" w:type="dxa"/>
            <w:tcBorders>
              <w:top w:val="single" w:sz="4" w:space="0" w:color="AAAAAA"/>
              <w:left w:val="nil"/>
              <w:bottom w:val="single" w:sz="4" w:space="0" w:color="AAAAAA"/>
              <w:right w:val="single" w:sz="4" w:space="0" w:color="AAAAAA"/>
            </w:tcBorders>
            <w:vAlign w:val="center"/>
            <w:hideMark/>
          </w:tcPr>
          <w:p w14:paraId="0F1A919F"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rPr>
              <w:t>—</w:t>
            </w:r>
          </w:p>
        </w:tc>
        <w:tc>
          <w:tcPr>
            <w:tcW w:w="1392" w:type="dxa"/>
            <w:tcBorders>
              <w:top w:val="single" w:sz="4" w:space="0" w:color="AAAAAA"/>
              <w:left w:val="nil"/>
              <w:bottom w:val="single" w:sz="4" w:space="0" w:color="AAAAAA"/>
              <w:right w:val="single" w:sz="4" w:space="0" w:color="AAAAAA"/>
            </w:tcBorders>
            <w:vAlign w:val="center"/>
            <w:hideMark/>
          </w:tcPr>
          <w:p w14:paraId="09513F08" w14:textId="77777777" w:rsidR="002D26E1" w:rsidRPr="003B0C52" w:rsidRDefault="002D26E1" w:rsidP="003B0C52">
            <w:pPr>
              <w:spacing w:after="160"/>
              <w:jc w:val="both"/>
              <w:rPr>
                <w:rFonts w:ascii="Times New Roman" w:hAnsi="Times New Roman" w:cs="Times New Roman"/>
              </w:rPr>
            </w:pPr>
            <w:r w:rsidRPr="003B0C52">
              <w:rPr>
                <w:rFonts w:ascii="Times New Roman" w:hAnsi="Times New Roman" w:cs="Times New Roman"/>
              </w:rPr>
              <w:t>—</w:t>
            </w:r>
          </w:p>
        </w:tc>
      </w:tr>
      <w:tr w:rsidR="002D26E1" w:rsidRPr="003B0C52" w14:paraId="49099CB9" w14:textId="77777777" w:rsidTr="00DA2D9D">
        <w:trPr>
          <w:trHeight w:val="880"/>
          <w:jc w:val="center"/>
        </w:trPr>
        <w:tc>
          <w:tcPr>
            <w:tcW w:w="4050" w:type="dxa"/>
            <w:tcBorders>
              <w:top w:val="single" w:sz="4" w:space="0" w:color="AAAAAA"/>
              <w:left w:val="single" w:sz="4" w:space="0" w:color="AAAAAA"/>
              <w:bottom w:val="single" w:sz="4" w:space="0" w:color="AAAAAA"/>
              <w:right w:val="single" w:sz="4" w:space="0" w:color="AAAAAA"/>
            </w:tcBorders>
            <w:vAlign w:val="center"/>
            <w:hideMark/>
          </w:tcPr>
          <w:p w14:paraId="4C462A06" w14:textId="77777777" w:rsidR="002D26E1" w:rsidRPr="003B0C52" w:rsidRDefault="002D26E1" w:rsidP="003B0C52">
            <w:pPr>
              <w:spacing w:after="160"/>
              <w:jc w:val="both"/>
              <w:rPr>
                <w:rFonts w:ascii="Times New Roman" w:hAnsi="Times New Roman" w:cs="Times New Roman"/>
                <w:b/>
              </w:rPr>
            </w:pPr>
            <w:r w:rsidRPr="003B0C52">
              <w:rPr>
                <w:rFonts w:ascii="Times New Roman" w:hAnsi="Times New Roman" w:cs="Times New Roman"/>
                <w:b/>
              </w:rPr>
              <w:t>LRT: Multilevel vs Single-level Beta</w:t>
            </w:r>
          </w:p>
        </w:tc>
        <w:tc>
          <w:tcPr>
            <w:tcW w:w="1800" w:type="dxa"/>
            <w:tcBorders>
              <w:top w:val="single" w:sz="4" w:space="0" w:color="AAAAAA"/>
              <w:left w:val="nil"/>
              <w:bottom w:val="single" w:sz="4" w:space="0" w:color="AAAAAA"/>
              <w:right w:val="single" w:sz="4" w:space="0" w:color="AAAAAA"/>
            </w:tcBorders>
            <w:vAlign w:val="center"/>
            <w:hideMark/>
          </w:tcPr>
          <w:p w14:paraId="3AC705FE" w14:textId="77777777" w:rsidR="002D26E1" w:rsidRPr="003B0C52" w:rsidRDefault="008C3309" w:rsidP="003B0C52">
            <w:pPr>
              <w:spacing w:after="160"/>
              <w:jc w:val="both"/>
              <w:rPr>
                <w:rFonts w:ascii="Times New Roman" w:hAnsi="Times New Roman" w:cs="Times New Roman"/>
                <w:b/>
              </w:rPr>
            </w:pPr>
            <m:oMathPara>
              <m:oMath>
                <m:sSup>
                  <m:sSupPr>
                    <m:ctrlPr>
                      <w:rPr>
                        <w:rFonts w:ascii="Cambria Math" w:hAnsi="Cambria Math" w:cs="Times New Roman"/>
                        <w:b/>
                        <w:i/>
                      </w:rPr>
                    </m:ctrlPr>
                  </m:sSupPr>
                  <m:e>
                    <m:r>
                      <m:rPr>
                        <m:sty m:val="bi"/>
                      </m:rPr>
                      <w:rPr>
                        <w:rFonts w:ascii="Cambria Math" w:hAnsi="Cambria Math" w:cs="Times New Roman"/>
                      </w:rPr>
                      <m:t>χ</m:t>
                    </m:r>
                  </m:e>
                  <m:sup>
                    <m:r>
                      <m:rPr>
                        <m:sty m:val="bi"/>
                      </m:rPr>
                      <w:rPr>
                        <w:rFonts w:ascii="Cambria Math" w:hAnsi="Cambria Math" w:cs="Times New Roman"/>
                      </w:rPr>
                      <m:t>2</m:t>
                    </m:r>
                  </m:sup>
                </m:sSup>
                <m:r>
                  <m:rPr>
                    <m:sty m:val="bi"/>
                  </m:rPr>
                  <w:rPr>
                    <w:rFonts w:ascii="Cambria Math" w:hAnsi="Cambria Math" w:cs="Times New Roman"/>
                  </w:rPr>
                  <m:t>=</m:t>
                </m:r>
                <m:r>
                  <m:rPr>
                    <m:sty m:val="bi"/>
                  </m:rPr>
                  <w:rPr>
                    <w:rFonts w:ascii="Cambria Math" w:hAnsi="Cambria Math" w:cs="Times New Roman"/>
                  </w:rPr>
                  <m:t>27</m:t>
                </m:r>
                <m:r>
                  <m:rPr>
                    <m:sty m:val="bi"/>
                  </m:rPr>
                  <w:rPr>
                    <w:rFonts w:ascii="Cambria Math" w:hAnsi="Cambria Math" w:cs="Times New Roman"/>
                  </w:rPr>
                  <m:t>.</m:t>
                </m:r>
                <m:r>
                  <m:rPr>
                    <m:sty m:val="bi"/>
                  </m:rPr>
                  <w:rPr>
                    <w:rFonts w:ascii="Cambria Math" w:hAnsi="Cambria Math" w:cs="Times New Roman"/>
                  </w:rPr>
                  <m:t>07</m:t>
                </m:r>
              </m:oMath>
            </m:oMathPara>
          </w:p>
        </w:tc>
        <w:tc>
          <w:tcPr>
            <w:tcW w:w="1260" w:type="dxa"/>
            <w:tcBorders>
              <w:top w:val="single" w:sz="4" w:space="0" w:color="AAAAAA"/>
              <w:left w:val="nil"/>
              <w:bottom w:val="single" w:sz="4" w:space="0" w:color="AAAAAA"/>
              <w:right w:val="single" w:sz="4" w:space="0" w:color="AAAAAA"/>
            </w:tcBorders>
            <w:vAlign w:val="center"/>
            <w:hideMark/>
          </w:tcPr>
          <w:p w14:paraId="003DA4A3" w14:textId="77777777" w:rsidR="002D26E1" w:rsidRPr="003B0C52" w:rsidRDefault="002D26E1" w:rsidP="003B0C52">
            <w:pPr>
              <w:spacing w:after="160"/>
              <w:jc w:val="both"/>
              <w:rPr>
                <w:rFonts w:ascii="Times New Roman" w:hAnsi="Times New Roman" w:cs="Times New Roman"/>
                <w:b/>
                <w:iCs/>
              </w:rPr>
            </w:pPr>
            <m:oMathPara>
              <m:oMath>
                <m:r>
                  <m:rPr>
                    <m:sty m:val="bi"/>
                  </m:rPr>
                  <w:rPr>
                    <w:rFonts w:ascii="Cambria Math" w:hAnsi="Cambria Math" w:cs="Times New Roman"/>
                  </w:rPr>
                  <m:t>df = 2</m:t>
                </m:r>
              </m:oMath>
            </m:oMathPara>
          </w:p>
        </w:tc>
        <w:tc>
          <w:tcPr>
            <w:tcW w:w="1350" w:type="dxa"/>
            <w:tcBorders>
              <w:top w:val="single" w:sz="4" w:space="0" w:color="AAAAAA"/>
              <w:left w:val="nil"/>
              <w:bottom w:val="single" w:sz="4" w:space="0" w:color="AAAAAA"/>
              <w:right w:val="single" w:sz="4" w:space="0" w:color="AAAAAA"/>
            </w:tcBorders>
            <w:vAlign w:val="center"/>
            <w:hideMark/>
          </w:tcPr>
          <w:p w14:paraId="57E1C001" w14:textId="77777777" w:rsidR="002D26E1" w:rsidRPr="003B0C52" w:rsidRDefault="002D26E1" w:rsidP="003B0C52">
            <w:pPr>
              <w:spacing w:after="160"/>
              <w:jc w:val="both"/>
              <w:rPr>
                <w:rFonts w:ascii="Times New Roman" w:hAnsi="Times New Roman" w:cs="Times New Roman"/>
                <w:b/>
                <w:i/>
                <w:iCs/>
              </w:rPr>
            </w:pPr>
            <w:r w:rsidRPr="003B0C52">
              <w:rPr>
                <w:rFonts w:ascii="Times New Roman" w:hAnsi="Times New Roman" w:cs="Times New Roman"/>
                <w:b/>
                <w:i/>
                <w:iCs/>
              </w:rPr>
              <w:t>p &lt; 0.001</w:t>
            </w:r>
          </w:p>
        </w:tc>
        <w:tc>
          <w:tcPr>
            <w:tcW w:w="1392" w:type="dxa"/>
            <w:tcBorders>
              <w:top w:val="single" w:sz="4" w:space="0" w:color="AAAAAA"/>
              <w:left w:val="nil"/>
              <w:bottom w:val="single" w:sz="4" w:space="0" w:color="AAAAAA"/>
              <w:right w:val="single" w:sz="4" w:space="0" w:color="AAAAAA"/>
            </w:tcBorders>
            <w:vAlign w:val="center"/>
            <w:hideMark/>
          </w:tcPr>
          <w:p w14:paraId="0A8FC873" w14:textId="77777777" w:rsidR="002D26E1" w:rsidRPr="003B0C52" w:rsidRDefault="002D26E1" w:rsidP="003B0C52">
            <w:pPr>
              <w:spacing w:after="160"/>
              <w:jc w:val="both"/>
              <w:rPr>
                <w:rFonts w:ascii="Times New Roman" w:hAnsi="Times New Roman" w:cs="Times New Roman"/>
                <w:b/>
              </w:rPr>
            </w:pPr>
            <w:r w:rsidRPr="003B0C52">
              <w:rPr>
                <w:rFonts w:ascii="Times New Roman" w:hAnsi="Times New Roman" w:cs="Times New Roman"/>
                <w:b/>
              </w:rPr>
              <w:t xml:space="preserve">YES </w:t>
            </w:r>
            <w:r w:rsidRPr="003B0C52">
              <w:rPr>
                <w:rFonts w:ascii="Segoe UI Symbol" w:hAnsi="Segoe UI Symbol" w:cs="Segoe UI Symbol"/>
                <w:b/>
              </w:rPr>
              <w:t>✔</w:t>
            </w:r>
          </w:p>
        </w:tc>
      </w:tr>
    </w:tbl>
    <w:p w14:paraId="10CE40D9" w14:textId="75165D43" w:rsidR="002D26E1" w:rsidRPr="003B0C52" w:rsidRDefault="002D26E1" w:rsidP="003B0C52">
      <w:pPr>
        <w:pStyle w:val="Heading2"/>
        <w:spacing w:line="240" w:lineRule="auto"/>
        <w:rPr>
          <w:rFonts w:ascii="Times New Roman" w:hAnsi="Times New Roman" w:cs="Times New Roman"/>
          <w:b/>
          <w:bCs/>
          <w:color w:val="auto"/>
          <w:sz w:val="24"/>
          <w:szCs w:val="24"/>
        </w:rPr>
      </w:pPr>
      <w:bookmarkStart w:id="15" w:name="_Toc225180565"/>
      <w:r w:rsidRPr="003B0C52">
        <w:rPr>
          <w:rFonts w:ascii="Times New Roman" w:hAnsi="Times New Roman" w:cs="Times New Roman"/>
          <w:b/>
          <w:bCs/>
          <w:color w:val="auto"/>
          <w:sz w:val="24"/>
          <w:szCs w:val="24"/>
        </w:rPr>
        <w:t>4.</w:t>
      </w:r>
      <w:r w:rsidR="0075761C" w:rsidRPr="003B0C52">
        <w:rPr>
          <w:rFonts w:ascii="Times New Roman" w:hAnsi="Times New Roman" w:cs="Times New Roman"/>
          <w:b/>
          <w:bCs/>
          <w:color w:val="auto"/>
          <w:sz w:val="24"/>
          <w:szCs w:val="24"/>
        </w:rPr>
        <w:t>3</w:t>
      </w:r>
      <w:r w:rsidRPr="003B0C52">
        <w:rPr>
          <w:rFonts w:ascii="Times New Roman" w:hAnsi="Times New Roman" w:cs="Times New Roman"/>
          <w:b/>
          <w:bCs/>
          <w:color w:val="auto"/>
          <w:sz w:val="24"/>
          <w:szCs w:val="24"/>
        </w:rPr>
        <w:tab/>
        <w:t>Poisson Regression Results</w:t>
      </w:r>
      <w:bookmarkEnd w:id="15"/>
    </w:p>
    <w:p w14:paraId="539A7DED" w14:textId="067458DF"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 xml:space="preserve">The count-based loss outcome was estimated using the Poisson regression as a baseline. The model explained significant variation </w:t>
      </w:r>
      <m:oMath>
        <m:r>
          <w:rPr>
            <w:rFonts w:ascii="Cambria Math" w:hAnsi="Cambria Math" w:cs="Times New Roman"/>
          </w:rPr>
          <m:t>(null deviance=591.91, residual deviance=147.80, df=605)</m:t>
        </m:r>
      </m:oMath>
      <w:r w:rsidRPr="003B0C52">
        <w:rPr>
          <w:rFonts w:ascii="Times New Roman" w:hAnsi="Times New Roman" w:cs="Times New Roman"/>
        </w:rPr>
        <w:t>. All predictor effects showed consistent direction and significance values with those of the multilevel Beta regression, which cross-model validated the fixed effect str</w:t>
      </w:r>
      <w:proofErr w:type="spellStart"/>
      <w:r w:rsidRPr="003B0C52">
        <w:rPr>
          <w:rFonts w:ascii="Times New Roman" w:hAnsi="Times New Roman" w:cs="Times New Roman"/>
        </w:rPr>
        <w:t>ucture</w:t>
      </w:r>
      <w:proofErr w:type="spellEnd"/>
      <w:r w:rsidRPr="003B0C52">
        <w:rPr>
          <w:rFonts w:ascii="Times New Roman" w:hAnsi="Times New Roman" w:cs="Times New Roman"/>
        </w:rPr>
        <w:t xml:space="preserve">. </w:t>
      </w:r>
      <w:r w:rsidRPr="003B0C52">
        <w:rPr>
          <w:rFonts w:ascii="Times New Roman" w:hAnsi="Times New Roman" w:cs="Times New Roman"/>
        </w:rPr>
        <w:fldChar w:fldCharType="begin"/>
      </w:r>
      <w:r w:rsidRPr="003B0C52">
        <w:rPr>
          <w:rFonts w:ascii="Times New Roman" w:hAnsi="Times New Roman" w:cs="Times New Roman"/>
        </w:rPr>
        <w:instrText xml:space="preserve"> REF _Ref225191832 \h  \* MERGEFORMAT </w:instrText>
      </w:r>
      <w:r w:rsidRPr="003B0C52">
        <w:rPr>
          <w:rFonts w:ascii="Times New Roman" w:hAnsi="Times New Roman" w:cs="Times New Roman"/>
        </w:rPr>
      </w:r>
      <w:r w:rsidRPr="003B0C52">
        <w:rPr>
          <w:rFonts w:ascii="Times New Roman" w:hAnsi="Times New Roman" w:cs="Times New Roman"/>
        </w:rPr>
        <w:fldChar w:fldCharType="separate"/>
      </w:r>
      <w:r w:rsidRPr="003B0C52">
        <w:rPr>
          <w:rFonts w:ascii="Times New Roman" w:hAnsi="Times New Roman" w:cs="Times New Roman"/>
        </w:rPr>
        <w:t xml:space="preserve">Figure </w:t>
      </w:r>
      <w:r w:rsidRPr="003B0C52">
        <w:rPr>
          <w:rFonts w:ascii="Times New Roman" w:hAnsi="Times New Roman" w:cs="Times New Roman"/>
          <w:noProof/>
        </w:rPr>
        <w:t>1</w:t>
      </w:r>
      <w:r w:rsidRPr="003B0C52">
        <w:rPr>
          <w:rFonts w:ascii="Times New Roman" w:hAnsi="Times New Roman" w:cs="Times New Roman"/>
        </w:rPr>
        <w:fldChar w:fldCharType="end"/>
      </w:r>
      <w:r w:rsidRPr="003B0C52">
        <w:rPr>
          <w:rFonts w:ascii="Times New Roman" w:hAnsi="Times New Roman" w:cs="Times New Roman"/>
        </w:rPr>
        <w:t xml:space="preserve"> shows the IRR forest plot of the multilevel NB model, which graphically summarizes the predictors that significantly increase or decrease the incidence rate of count-based losses. The most significant protective and risk-increasing effects are in cold storage </w:t>
      </w:r>
      <m:oMath>
        <m:r>
          <w:rPr>
            <w:rFonts w:ascii="Cambria Math" w:hAnsi="Cambria Math" w:cs="Times New Roman"/>
          </w:rPr>
          <m:t xml:space="preserve">(IRR = 0.649) </m:t>
        </m:r>
      </m:oMath>
      <w:r w:rsidRPr="003B0C52">
        <w:rPr>
          <w:rFonts w:ascii="Times New Roman" w:hAnsi="Times New Roman" w:cs="Times New Roman"/>
        </w:rPr>
        <w:t xml:space="preserve">and in dark room storage </w:t>
      </w:r>
      <m:oMath>
        <m:r>
          <w:rPr>
            <w:rFonts w:ascii="Cambria Math" w:hAnsi="Cambria Math" w:cs="Times New Roman"/>
          </w:rPr>
          <m:t>(IRR = 0.798),</m:t>
        </m:r>
      </m:oMath>
      <w:r w:rsidRPr="003B0C52">
        <w:rPr>
          <w:rFonts w:ascii="Times New Roman" w:hAnsi="Times New Roman" w:cs="Times New Roman"/>
        </w:rPr>
        <w:t xml:space="preserve"> and in storage over one month </w:t>
      </w:r>
      <m:oMath>
        <m:r>
          <w:rPr>
            <w:rFonts w:ascii="Cambria Math" w:hAnsi="Cambria Math" w:cs="Times New Roman"/>
          </w:rPr>
          <m:t>(IRR = 1.116)</m:t>
        </m:r>
      </m:oMath>
      <w:r w:rsidRPr="003B0C52">
        <w:rPr>
          <w:rFonts w:ascii="Times New Roman" w:hAnsi="Times New Roman" w:cs="Times New Roman"/>
        </w:rPr>
        <w:t xml:space="preserve"> and market distances g</w:t>
      </w:r>
      <w:proofErr w:type="spellStart"/>
      <w:r w:rsidRPr="003B0C52">
        <w:rPr>
          <w:rFonts w:ascii="Times New Roman" w:hAnsi="Times New Roman" w:cs="Times New Roman"/>
        </w:rPr>
        <w:t>reater</w:t>
      </w:r>
      <w:proofErr w:type="spellEnd"/>
      <w:r w:rsidRPr="003B0C52">
        <w:rPr>
          <w:rFonts w:ascii="Times New Roman" w:hAnsi="Times New Roman" w:cs="Times New Roman"/>
        </w:rPr>
        <w:t xml:space="preserve"> than 10 km </w:t>
      </w:r>
      <m:oMath>
        <m:r>
          <w:rPr>
            <w:rFonts w:ascii="Cambria Math" w:hAnsi="Cambria Math" w:cs="Times New Roman"/>
          </w:rPr>
          <m:t xml:space="preserve">(IRR = 1.111) </m:t>
        </m:r>
      </m:oMath>
      <w:r w:rsidRPr="003B0C52">
        <w:rPr>
          <w:rFonts w:ascii="Times New Roman" w:hAnsi="Times New Roman" w:cs="Times New Roman"/>
        </w:rPr>
        <w:t xml:space="preserve">respectively. Full estimates are in </w:t>
      </w:r>
      <w:r w:rsidR="008A59B2" w:rsidRPr="003B0C52">
        <w:rPr>
          <w:rFonts w:ascii="Times New Roman" w:hAnsi="Times New Roman" w:cs="Times New Roman"/>
        </w:rPr>
        <w:fldChar w:fldCharType="begin"/>
      </w:r>
      <w:r w:rsidR="008A59B2" w:rsidRPr="003B0C52">
        <w:rPr>
          <w:rFonts w:ascii="Times New Roman" w:hAnsi="Times New Roman" w:cs="Times New Roman"/>
        </w:rPr>
        <w:instrText xml:space="preserve"> REF _Ref225192028 \h </w:instrText>
      </w:r>
      <w:r w:rsidR="003B0C52">
        <w:rPr>
          <w:rFonts w:ascii="Times New Roman" w:hAnsi="Times New Roman" w:cs="Times New Roman"/>
        </w:rPr>
        <w:instrText xml:space="preserve"> \* MERGEFORMAT </w:instrText>
      </w:r>
      <w:r w:rsidR="008A59B2" w:rsidRPr="003B0C52">
        <w:rPr>
          <w:rFonts w:ascii="Times New Roman" w:hAnsi="Times New Roman" w:cs="Times New Roman"/>
        </w:rPr>
      </w:r>
      <w:r w:rsidR="008A59B2" w:rsidRPr="003B0C52">
        <w:rPr>
          <w:rFonts w:ascii="Times New Roman" w:hAnsi="Times New Roman" w:cs="Times New Roman"/>
        </w:rPr>
        <w:fldChar w:fldCharType="separate"/>
      </w:r>
      <w:r w:rsidR="008A59B2" w:rsidRPr="003B0C52">
        <w:rPr>
          <w:rFonts w:ascii="Times New Roman" w:hAnsi="Times New Roman" w:cs="Times New Roman"/>
          <w:b/>
          <w:bCs/>
        </w:rPr>
        <w:t xml:space="preserve">Table </w:t>
      </w:r>
      <w:r w:rsidR="008A59B2" w:rsidRPr="003B0C52">
        <w:rPr>
          <w:rFonts w:ascii="Times New Roman" w:hAnsi="Times New Roman" w:cs="Times New Roman"/>
          <w:b/>
          <w:bCs/>
          <w:noProof/>
        </w:rPr>
        <w:t>3</w:t>
      </w:r>
      <w:r w:rsidR="008A59B2" w:rsidRPr="003B0C52">
        <w:rPr>
          <w:rFonts w:ascii="Times New Roman" w:hAnsi="Times New Roman" w:cs="Times New Roman"/>
        </w:rPr>
        <w:fldChar w:fldCharType="end"/>
      </w:r>
      <w:r w:rsidR="008A59B2" w:rsidRPr="003B0C52">
        <w:rPr>
          <w:rFonts w:ascii="Times New Roman" w:hAnsi="Times New Roman" w:cs="Times New Roman"/>
        </w:rPr>
        <w:t xml:space="preserve"> </w:t>
      </w:r>
      <w:r w:rsidRPr="003B0C52">
        <w:rPr>
          <w:rFonts w:ascii="Times New Roman" w:hAnsi="Times New Roman" w:cs="Times New Roman"/>
        </w:rPr>
        <w:t>below.</w:t>
      </w:r>
    </w:p>
    <w:p w14:paraId="68DDD6AB"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noProof/>
        </w:rPr>
        <w:lastRenderedPageBreak/>
        <w:drawing>
          <wp:inline distT="0" distB="0" distL="0" distR="0" wp14:anchorId="270D4603" wp14:editId="4343A87F">
            <wp:extent cx="5920740" cy="4144518"/>
            <wp:effectExtent l="0" t="0" r="3810" b="889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stretch>
                      <a:fillRect/>
                    </a:stretch>
                  </pic:blipFill>
                  <pic:spPr>
                    <a:xfrm>
                      <a:off x="0" y="0"/>
                      <a:ext cx="5926235" cy="4148364"/>
                    </a:xfrm>
                    <a:prstGeom prst="rect">
                      <a:avLst/>
                    </a:prstGeom>
                  </pic:spPr>
                </pic:pic>
              </a:graphicData>
            </a:graphic>
          </wp:inline>
        </w:drawing>
      </w:r>
    </w:p>
    <w:p w14:paraId="26A64FAA" w14:textId="50BEE681" w:rsidR="00AE4901" w:rsidRPr="003B0C52" w:rsidRDefault="00AE4901" w:rsidP="003B0C52">
      <w:pPr>
        <w:pStyle w:val="Caption"/>
        <w:rPr>
          <w:rFonts w:ascii="Times New Roman" w:hAnsi="Times New Roman" w:cs="Times New Roman"/>
          <w:b/>
          <w:bCs/>
          <w:color w:val="auto"/>
          <w:sz w:val="40"/>
          <w:szCs w:val="40"/>
        </w:rPr>
      </w:pPr>
      <w:r w:rsidRPr="003B0C52">
        <w:rPr>
          <w:rFonts w:ascii="Times New Roman" w:hAnsi="Times New Roman" w:cs="Times New Roman"/>
          <w:b/>
          <w:bCs/>
          <w:color w:val="auto"/>
          <w:sz w:val="22"/>
          <w:szCs w:val="22"/>
        </w:rPr>
        <w:t xml:space="preserve">Figure </w:t>
      </w:r>
      <w:r w:rsidRPr="003B0C52">
        <w:rPr>
          <w:rFonts w:ascii="Times New Roman" w:hAnsi="Times New Roman" w:cs="Times New Roman"/>
          <w:b/>
          <w:bCs/>
          <w:color w:val="auto"/>
          <w:sz w:val="22"/>
          <w:szCs w:val="22"/>
        </w:rPr>
        <w:fldChar w:fldCharType="begin"/>
      </w:r>
      <w:r w:rsidRPr="003B0C52">
        <w:rPr>
          <w:rFonts w:ascii="Times New Roman" w:hAnsi="Times New Roman" w:cs="Times New Roman"/>
          <w:b/>
          <w:bCs/>
          <w:color w:val="auto"/>
          <w:sz w:val="22"/>
          <w:szCs w:val="22"/>
        </w:rPr>
        <w:instrText xml:space="preserve"> SEQ Figure \* ARABIC </w:instrText>
      </w:r>
      <w:r w:rsidRPr="003B0C52">
        <w:rPr>
          <w:rFonts w:ascii="Times New Roman" w:hAnsi="Times New Roman" w:cs="Times New Roman"/>
          <w:b/>
          <w:bCs/>
          <w:color w:val="auto"/>
          <w:sz w:val="22"/>
          <w:szCs w:val="22"/>
        </w:rPr>
        <w:fldChar w:fldCharType="separate"/>
      </w:r>
      <w:r w:rsidRPr="003B0C52">
        <w:rPr>
          <w:rFonts w:ascii="Times New Roman" w:hAnsi="Times New Roman" w:cs="Times New Roman"/>
          <w:b/>
          <w:bCs/>
          <w:noProof/>
          <w:color w:val="auto"/>
          <w:sz w:val="22"/>
          <w:szCs w:val="22"/>
        </w:rPr>
        <w:t>1</w:t>
      </w:r>
      <w:r w:rsidRPr="003B0C52">
        <w:rPr>
          <w:rFonts w:ascii="Times New Roman" w:hAnsi="Times New Roman" w:cs="Times New Roman"/>
          <w:b/>
          <w:bCs/>
          <w:color w:val="auto"/>
          <w:sz w:val="22"/>
          <w:szCs w:val="22"/>
        </w:rPr>
        <w:fldChar w:fldCharType="end"/>
      </w:r>
      <w:r w:rsidRPr="003B0C52">
        <w:rPr>
          <w:rFonts w:ascii="Times New Roman" w:hAnsi="Times New Roman" w:cs="Times New Roman"/>
          <w:b/>
          <w:bCs/>
          <w:color w:val="auto"/>
          <w:sz w:val="22"/>
          <w:szCs w:val="22"/>
        </w:rPr>
        <w:t>:Multilevel Negative Binomial model</w:t>
      </w:r>
      <w:r w:rsidR="00914A31" w:rsidRPr="003B0C52">
        <w:rPr>
          <w:rFonts w:ascii="Times New Roman" w:hAnsi="Times New Roman" w:cs="Times New Roman"/>
          <w:b/>
          <w:bCs/>
          <w:color w:val="auto"/>
          <w:sz w:val="40"/>
          <w:szCs w:val="40"/>
        </w:rPr>
        <w:t xml:space="preserve"> </w:t>
      </w:r>
      <w:bookmarkStart w:id="16" w:name="_Ref225965035"/>
    </w:p>
    <w:bookmarkEnd w:id="16"/>
    <w:p w14:paraId="7AA7CC59" w14:textId="62E7C0C7" w:rsidR="002D26E1" w:rsidRPr="003B0C52" w:rsidRDefault="00B26F26" w:rsidP="003B0C52">
      <w:pPr>
        <w:pStyle w:val="Caption"/>
        <w:rPr>
          <w:rFonts w:ascii="Times New Roman" w:hAnsi="Times New Roman" w:cs="Times New Roman"/>
          <w:color w:val="auto"/>
          <w:sz w:val="24"/>
          <w:szCs w:val="24"/>
        </w:rPr>
      </w:pPr>
      <w:r w:rsidRPr="003B0C52">
        <w:rPr>
          <w:rFonts w:ascii="Times New Roman" w:hAnsi="Times New Roman" w:cs="Times New Roman"/>
          <w:color w:val="auto"/>
          <w:sz w:val="24"/>
          <w:szCs w:val="24"/>
        </w:rPr>
        <w:fldChar w:fldCharType="begin"/>
      </w:r>
      <w:r w:rsidRPr="003B0C52">
        <w:rPr>
          <w:rFonts w:ascii="Times New Roman" w:hAnsi="Times New Roman" w:cs="Times New Roman"/>
          <w:color w:val="auto"/>
          <w:sz w:val="24"/>
          <w:szCs w:val="24"/>
        </w:rPr>
        <w:instrText xml:space="preserve"> REF _Ref225965035 \h  \* MERGEFORMAT </w:instrText>
      </w:r>
      <w:r w:rsidRPr="003B0C52">
        <w:rPr>
          <w:rFonts w:ascii="Times New Roman" w:hAnsi="Times New Roman" w:cs="Times New Roman"/>
          <w:color w:val="auto"/>
          <w:sz w:val="24"/>
          <w:szCs w:val="24"/>
        </w:rPr>
      </w:r>
      <w:r w:rsidRPr="003B0C52">
        <w:rPr>
          <w:rFonts w:ascii="Times New Roman" w:hAnsi="Times New Roman" w:cs="Times New Roman"/>
          <w:color w:val="auto"/>
          <w:sz w:val="24"/>
          <w:szCs w:val="24"/>
        </w:rPr>
        <w:fldChar w:fldCharType="separate"/>
      </w:r>
      <w:r w:rsidRPr="003B0C52">
        <w:rPr>
          <w:rFonts w:ascii="Times New Roman" w:hAnsi="Times New Roman" w:cs="Times New Roman"/>
          <w:b/>
          <w:bCs/>
          <w:color w:val="auto"/>
          <w:sz w:val="22"/>
          <w:szCs w:val="22"/>
        </w:rPr>
        <w:t xml:space="preserve">Figure </w:t>
      </w:r>
      <w:r w:rsidRPr="003B0C52">
        <w:rPr>
          <w:rFonts w:ascii="Times New Roman" w:hAnsi="Times New Roman" w:cs="Times New Roman"/>
          <w:b/>
          <w:bCs/>
          <w:noProof/>
          <w:color w:val="auto"/>
          <w:sz w:val="22"/>
          <w:szCs w:val="22"/>
        </w:rPr>
        <w:t>1</w:t>
      </w:r>
      <w:r w:rsidRPr="003B0C52">
        <w:rPr>
          <w:rFonts w:ascii="Times New Roman" w:hAnsi="Times New Roman" w:cs="Times New Roman"/>
          <w:color w:val="auto"/>
          <w:sz w:val="24"/>
          <w:szCs w:val="24"/>
        </w:rPr>
        <w:fldChar w:fldCharType="end"/>
      </w:r>
      <w:r w:rsidRPr="003B0C52">
        <w:rPr>
          <w:rFonts w:ascii="Times New Roman" w:hAnsi="Times New Roman" w:cs="Times New Roman"/>
          <w:color w:val="auto"/>
          <w:sz w:val="24"/>
          <w:szCs w:val="24"/>
        </w:rPr>
        <w:t xml:space="preserve"> </w:t>
      </w:r>
      <w:r w:rsidR="002D26E1" w:rsidRPr="003B0C52">
        <w:rPr>
          <w:rFonts w:ascii="Times New Roman" w:hAnsi="Times New Roman" w:cs="Times New Roman"/>
          <w:color w:val="auto"/>
          <w:sz w:val="24"/>
          <w:szCs w:val="24"/>
        </w:rPr>
        <w:t>gives Multilevel Negative Binomial model that is; Incidence Rate Ratios (IRR) with 95 percent confidence interval. Markers with red color denote significant predictors (p value less than 0.05). Reference categories: Traditional storage, less than 2 weeks storage, less than 5 km market distance, no education, Motorcycle transport.</w:t>
      </w:r>
    </w:p>
    <w:p w14:paraId="125768DF" w14:textId="48626010" w:rsidR="002D26E1" w:rsidRPr="003B0C52" w:rsidRDefault="002D26E1" w:rsidP="003B0C52">
      <w:pPr>
        <w:pStyle w:val="Caption"/>
        <w:rPr>
          <w:rFonts w:ascii="Times New Roman" w:hAnsi="Times New Roman" w:cs="Times New Roman"/>
          <w:b/>
          <w:bCs/>
          <w:color w:val="auto"/>
          <w:sz w:val="24"/>
          <w:szCs w:val="24"/>
        </w:rPr>
      </w:pPr>
      <w:bookmarkStart w:id="17" w:name="_Ref225192028"/>
      <w:bookmarkStart w:id="18" w:name="_Toc225196609"/>
      <w:r w:rsidRPr="003B0C52">
        <w:rPr>
          <w:rFonts w:ascii="Times New Roman" w:hAnsi="Times New Roman" w:cs="Times New Roman"/>
          <w:b/>
          <w:bCs/>
          <w:color w:val="auto"/>
          <w:sz w:val="24"/>
          <w:szCs w:val="24"/>
        </w:rPr>
        <w:t xml:space="preserve">Table </w:t>
      </w:r>
      <w:r w:rsidRPr="003B0C52">
        <w:rPr>
          <w:rFonts w:ascii="Times New Roman" w:hAnsi="Times New Roman" w:cs="Times New Roman"/>
          <w:b/>
          <w:bCs/>
          <w:color w:val="auto"/>
          <w:sz w:val="24"/>
          <w:szCs w:val="24"/>
        </w:rPr>
        <w:fldChar w:fldCharType="begin"/>
      </w:r>
      <w:r w:rsidRPr="003B0C52">
        <w:rPr>
          <w:rFonts w:ascii="Times New Roman" w:hAnsi="Times New Roman" w:cs="Times New Roman"/>
          <w:b/>
          <w:bCs/>
          <w:color w:val="auto"/>
          <w:sz w:val="24"/>
          <w:szCs w:val="24"/>
        </w:rPr>
        <w:instrText xml:space="preserve"> SEQ Table \* ARABIC </w:instrText>
      </w:r>
      <w:r w:rsidRPr="003B0C52">
        <w:rPr>
          <w:rFonts w:ascii="Times New Roman" w:hAnsi="Times New Roman" w:cs="Times New Roman"/>
          <w:b/>
          <w:bCs/>
          <w:color w:val="auto"/>
          <w:sz w:val="24"/>
          <w:szCs w:val="24"/>
        </w:rPr>
        <w:fldChar w:fldCharType="separate"/>
      </w:r>
      <w:r w:rsidR="008A59B2" w:rsidRPr="003B0C52">
        <w:rPr>
          <w:rFonts w:ascii="Times New Roman" w:hAnsi="Times New Roman" w:cs="Times New Roman"/>
          <w:b/>
          <w:bCs/>
          <w:noProof/>
          <w:color w:val="auto"/>
          <w:sz w:val="24"/>
          <w:szCs w:val="24"/>
        </w:rPr>
        <w:t>3</w:t>
      </w:r>
      <w:r w:rsidRPr="003B0C52">
        <w:rPr>
          <w:rFonts w:ascii="Times New Roman" w:hAnsi="Times New Roman" w:cs="Times New Roman"/>
          <w:b/>
          <w:bCs/>
          <w:color w:val="auto"/>
          <w:sz w:val="24"/>
          <w:szCs w:val="24"/>
        </w:rPr>
        <w:fldChar w:fldCharType="end"/>
      </w:r>
      <w:bookmarkEnd w:id="17"/>
      <w:r w:rsidRPr="003B0C52">
        <w:rPr>
          <w:rFonts w:ascii="Times New Roman" w:hAnsi="Times New Roman" w:cs="Times New Roman"/>
          <w:b/>
          <w:bCs/>
          <w:color w:val="auto"/>
          <w:sz w:val="24"/>
          <w:szCs w:val="24"/>
        </w:rPr>
        <w:t>:Poisson Fixed Random Effects</w:t>
      </w:r>
      <w:bookmarkEnd w:id="18"/>
    </w:p>
    <w:tbl>
      <w:tblPr>
        <w:tblStyle w:val="TableGrid"/>
        <w:tblW w:w="0" w:type="auto"/>
        <w:jc w:val="center"/>
        <w:tblLook w:val="04A0" w:firstRow="1" w:lastRow="0" w:firstColumn="1" w:lastColumn="0" w:noHBand="0" w:noVBand="1"/>
      </w:tblPr>
      <w:tblGrid>
        <w:gridCol w:w="3066"/>
        <w:gridCol w:w="997"/>
        <w:gridCol w:w="997"/>
        <w:gridCol w:w="997"/>
        <w:gridCol w:w="1121"/>
        <w:gridCol w:w="787"/>
        <w:gridCol w:w="1196"/>
      </w:tblGrid>
      <w:tr w:rsidR="002D26E1" w:rsidRPr="003B0C52" w14:paraId="779DF282" w14:textId="77777777" w:rsidTr="00DA2D9D">
        <w:trPr>
          <w:trHeight w:val="806"/>
          <w:jc w:val="center"/>
        </w:trPr>
        <w:tc>
          <w:tcPr>
            <w:tcW w:w="3066" w:type="dxa"/>
            <w:tcBorders>
              <w:top w:val="single" w:sz="4" w:space="0" w:color="AAAAAA"/>
              <w:left w:val="single" w:sz="4" w:space="0" w:color="AAAAAA"/>
              <w:bottom w:val="single" w:sz="4" w:space="0" w:color="AAAAAA"/>
              <w:right w:val="single" w:sz="4" w:space="0" w:color="AAAAAA"/>
            </w:tcBorders>
            <w:vAlign w:val="center"/>
            <w:hideMark/>
          </w:tcPr>
          <w:p w14:paraId="3E5EF446" w14:textId="77777777" w:rsidR="002D26E1" w:rsidRPr="003B0C52" w:rsidRDefault="002D26E1" w:rsidP="003B0C52">
            <w:pPr>
              <w:pStyle w:val="NoSpacing"/>
              <w:jc w:val="both"/>
              <w:rPr>
                <w:rFonts w:ascii="Times New Roman" w:hAnsi="Times New Roman" w:cs="Times New Roman"/>
                <w:b/>
                <w:bCs/>
              </w:rPr>
            </w:pPr>
            <w:r w:rsidRPr="003B0C52">
              <w:rPr>
                <w:rFonts w:ascii="Times New Roman" w:hAnsi="Times New Roman" w:cs="Times New Roman"/>
                <w:b/>
                <w:bCs/>
              </w:rPr>
              <w:t>Variable</w:t>
            </w:r>
          </w:p>
        </w:tc>
        <w:tc>
          <w:tcPr>
            <w:tcW w:w="997" w:type="dxa"/>
            <w:tcBorders>
              <w:top w:val="single" w:sz="4" w:space="0" w:color="AAAAAA"/>
              <w:left w:val="nil"/>
              <w:bottom w:val="single" w:sz="4" w:space="0" w:color="AAAAAA"/>
              <w:right w:val="single" w:sz="4" w:space="0" w:color="AAAAAA"/>
            </w:tcBorders>
            <w:vAlign w:val="center"/>
            <w:hideMark/>
          </w:tcPr>
          <w:p w14:paraId="5BCE0349" w14:textId="77777777" w:rsidR="002D26E1" w:rsidRPr="003B0C52" w:rsidRDefault="002D26E1" w:rsidP="003B0C52">
            <w:pPr>
              <w:pStyle w:val="NoSpacing"/>
              <w:jc w:val="both"/>
              <w:rPr>
                <w:rFonts w:ascii="Times New Roman" w:hAnsi="Times New Roman" w:cs="Times New Roman"/>
                <w:b/>
                <w:bCs/>
              </w:rPr>
            </w:pPr>
            <w:r w:rsidRPr="003B0C52">
              <w:rPr>
                <w:rFonts w:ascii="Times New Roman" w:hAnsi="Times New Roman" w:cs="Times New Roman"/>
                <w:b/>
                <w:bCs/>
              </w:rPr>
              <w:t>β</w:t>
            </w:r>
          </w:p>
        </w:tc>
        <w:tc>
          <w:tcPr>
            <w:tcW w:w="997" w:type="dxa"/>
            <w:tcBorders>
              <w:top w:val="single" w:sz="4" w:space="0" w:color="AAAAAA"/>
              <w:left w:val="nil"/>
              <w:bottom w:val="single" w:sz="4" w:space="0" w:color="AAAAAA"/>
              <w:right w:val="single" w:sz="4" w:space="0" w:color="AAAAAA"/>
            </w:tcBorders>
            <w:vAlign w:val="center"/>
            <w:hideMark/>
          </w:tcPr>
          <w:p w14:paraId="0960E9E7" w14:textId="77777777" w:rsidR="002D26E1" w:rsidRPr="003B0C52" w:rsidRDefault="002D26E1" w:rsidP="003B0C52">
            <w:pPr>
              <w:pStyle w:val="NoSpacing"/>
              <w:jc w:val="both"/>
              <w:rPr>
                <w:rFonts w:ascii="Times New Roman" w:hAnsi="Times New Roman" w:cs="Times New Roman"/>
                <w:b/>
                <w:bCs/>
              </w:rPr>
            </w:pPr>
            <w:r w:rsidRPr="003B0C52">
              <w:rPr>
                <w:rFonts w:ascii="Times New Roman" w:hAnsi="Times New Roman" w:cs="Times New Roman"/>
                <w:b/>
                <w:bCs/>
              </w:rPr>
              <w:t>SE</w:t>
            </w:r>
          </w:p>
        </w:tc>
        <w:tc>
          <w:tcPr>
            <w:tcW w:w="997" w:type="dxa"/>
            <w:tcBorders>
              <w:top w:val="single" w:sz="4" w:space="0" w:color="AAAAAA"/>
              <w:left w:val="nil"/>
              <w:bottom w:val="single" w:sz="4" w:space="0" w:color="AAAAAA"/>
              <w:right w:val="single" w:sz="4" w:space="0" w:color="AAAAAA"/>
            </w:tcBorders>
            <w:vAlign w:val="center"/>
            <w:hideMark/>
          </w:tcPr>
          <w:p w14:paraId="65FA0959" w14:textId="77777777" w:rsidR="002D26E1" w:rsidRPr="003B0C52" w:rsidRDefault="002D26E1" w:rsidP="003B0C52">
            <w:pPr>
              <w:pStyle w:val="NoSpacing"/>
              <w:jc w:val="both"/>
              <w:rPr>
                <w:rFonts w:ascii="Times New Roman" w:hAnsi="Times New Roman" w:cs="Times New Roman"/>
                <w:b/>
                <w:bCs/>
              </w:rPr>
            </w:pPr>
            <w:r w:rsidRPr="003B0C52">
              <w:rPr>
                <w:rFonts w:ascii="Times New Roman" w:hAnsi="Times New Roman" w:cs="Times New Roman"/>
                <w:b/>
                <w:bCs/>
              </w:rPr>
              <w:t>z</w:t>
            </w:r>
          </w:p>
        </w:tc>
        <w:tc>
          <w:tcPr>
            <w:tcW w:w="1121" w:type="dxa"/>
            <w:tcBorders>
              <w:top w:val="single" w:sz="4" w:space="0" w:color="AAAAAA"/>
              <w:left w:val="nil"/>
              <w:bottom w:val="single" w:sz="4" w:space="0" w:color="AAAAAA"/>
              <w:right w:val="single" w:sz="4" w:space="0" w:color="AAAAAA"/>
            </w:tcBorders>
            <w:vAlign w:val="center"/>
            <w:hideMark/>
          </w:tcPr>
          <w:p w14:paraId="444591A5" w14:textId="77777777" w:rsidR="002D26E1" w:rsidRPr="003B0C52" w:rsidRDefault="002D26E1" w:rsidP="003B0C52">
            <w:pPr>
              <w:pStyle w:val="NoSpacing"/>
              <w:jc w:val="both"/>
              <w:rPr>
                <w:rFonts w:ascii="Times New Roman" w:hAnsi="Times New Roman" w:cs="Times New Roman"/>
                <w:b/>
                <w:bCs/>
              </w:rPr>
            </w:pPr>
            <w:r w:rsidRPr="003B0C52">
              <w:rPr>
                <w:rFonts w:ascii="Times New Roman" w:hAnsi="Times New Roman" w:cs="Times New Roman"/>
                <w:b/>
                <w:bCs/>
              </w:rPr>
              <w:t>p-value</w:t>
            </w:r>
          </w:p>
        </w:tc>
        <w:tc>
          <w:tcPr>
            <w:tcW w:w="787" w:type="dxa"/>
            <w:tcBorders>
              <w:top w:val="single" w:sz="4" w:space="0" w:color="AAAAAA"/>
              <w:left w:val="nil"/>
              <w:bottom w:val="single" w:sz="4" w:space="0" w:color="AAAAAA"/>
              <w:right w:val="single" w:sz="4" w:space="0" w:color="AAAAAA"/>
            </w:tcBorders>
            <w:vAlign w:val="center"/>
            <w:hideMark/>
          </w:tcPr>
          <w:p w14:paraId="3BF13983" w14:textId="77777777" w:rsidR="002D26E1" w:rsidRPr="003B0C52" w:rsidRDefault="002D26E1" w:rsidP="003B0C52">
            <w:pPr>
              <w:pStyle w:val="NoSpacing"/>
              <w:jc w:val="both"/>
              <w:rPr>
                <w:rFonts w:ascii="Times New Roman" w:hAnsi="Times New Roman" w:cs="Times New Roman"/>
                <w:b/>
                <w:bCs/>
              </w:rPr>
            </w:pPr>
            <w:r w:rsidRPr="003B0C52">
              <w:rPr>
                <w:rFonts w:ascii="Times New Roman" w:hAnsi="Times New Roman" w:cs="Times New Roman"/>
                <w:b/>
                <w:bCs/>
              </w:rPr>
              <w:t>Sig.</w:t>
            </w:r>
          </w:p>
        </w:tc>
        <w:tc>
          <w:tcPr>
            <w:tcW w:w="1196" w:type="dxa"/>
            <w:tcBorders>
              <w:top w:val="single" w:sz="4" w:space="0" w:color="AAAAAA"/>
              <w:left w:val="nil"/>
              <w:bottom w:val="single" w:sz="4" w:space="0" w:color="AAAAAA"/>
              <w:right w:val="single" w:sz="4" w:space="0" w:color="AAAAAA"/>
            </w:tcBorders>
            <w:vAlign w:val="center"/>
            <w:hideMark/>
          </w:tcPr>
          <w:p w14:paraId="303836E0" w14:textId="77777777" w:rsidR="002D26E1" w:rsidRPr="003B0C52" w:rsidRDefault="002D26E1" w:rsidP="003B0C52">
            <w:pPr>
              <w:pStyle w:val="NoSpacing"/>
              <w:jc w:val="both"/>
              <w:rPr>
                <w:rFonts w:ascii="Times New Roman" w:hAnsi="Times New Roman" w:cs="Times New Roman"/>
                <w:b/>
                <w:bCs/>
              </w:rPr>
            </w:pPr>
            <w:r w:rsidRPr="003B0C52">
              <w:rPr>
                <w:rFonts w:ascii="Times New Roman" w:hAnsi="Times New Roman" w:cs="Times New Roman"/>
                <w:b/>
                <w:bCs/>
              </w:rPr>
              <w:t>IRR</w:t>
            </w:r>
          </w:p>
        </w:tc>
      </w:tr>
      <w:tr w:rsidR="002D26E1" w:rsidRPr="003B0C52" w14:paraId="789572E1" w14:textId="77777777" w:rsidTr="00DA2D9D">
        <w:trPr>
          <w:trHeight w:val="806"/>
          <w:jc w:val="center"/>
        </w:trPr>
        <w:tc>
          <w:tcPr>
            <w:tcW w:w="3066" w:type="dxa"/>
            <w:tcBorders>
              <w:top w:val="single" w:sz="4" w:space="0" w:color="AAAAAA"/>
              <w:left w:val="single" w:sz="4" w:space="0" w:color="AAAAAA"/>
              <w:bottom w:val="single" w:sz="4" w:space="0" w:color="AAAAAA"/>
              <w:right w:val="single" w:sz="4" w:space="0" w:color="AAAAAA"/>
            </w:tcBorders>
            <w:vAlign w:val="center"/>
            <w:hideMark/>
          </w:tcPr>
          <w:p w14:paraId="016D5BD8"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(Intercept)</w:t>
            </w:r>
          </w:p>
        </w:tc>
        <w:tc>
          <w:tcPr>
            <w:tcW w:w="997" w:type="dxa"/>
            <w:tcBorders>
              <w:top w:val="single" w:sz="4" w:space="0" w:color="AAAAAA"/>
              <w:left w:val="nil"/>
              <w:bottom w:val="single" w:sz="4" w:space="0" w:color="AAAAAA"/>
              <w:right w:val="single" w:sz="4" w:space="0" w:color="AAAAAA"/>
            </w:tcBorders>
            <w:vAlign w:val="center"/>
            <w:hideMark/>
          </w:tcPr>
          <w:p w14:paraId="5B690F43"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3.344</w:t>
            </w:r>
          </w:p>
        </w:tc>
        <w:tc>
          <w:tcPr>
            <w:tcW w:w="997" w:type="dxa"/>
            <w:tcBorders>
              <w:top w:val="single" w:sz="4" w:space="0" w:color="AAAAAA"/>
              <w:left w:val="nil"/>
              <w:bottom w:val="single" w:sz="4" w:space="0" w:color="AAAAAA"/>
              <w:right w:val="single" w:sz="4" w:space="0" w:color="AAAAAA"/>
            </w:tcBorders>
            <w:vAlign w:val="center"/>
            <w:hideMark/>
          </w:tcPr>
          <w:p w14:paraId="687B541B"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0.058</w:t>
            </w:r>
          </w:p>
        </w:tc>
        <w:tc>
          <w:tcPr>
            <w:tcW w:w="997" w:type="dxa"/>
            <w:tcBorders>
              <w:top w:val="single" w:sz="4" w:space="0" w:color="AAAAAA"/>
              <w:left w:val="nil"/>
              <w:bottom w:val="single" w:sz="4" w:space="0" w:color="AAAAAA"/>
              <w:right w:val="single" w:sz="4" w:space="0" w:color="AAAAAA"/>
            </w:tcBorders>
            <w:vAlign w:val="center"/>
            <w:hideMark/>
          </w:tcPr>
          <w:p w14:paraId="5E568226"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57.38</w:t>
            </w:r>
          </w:p>
        </w:tc>
        <w:tc>
          <w:tcPr>
            <w:tcW w:w="1121" w:type="dxa"/>
            <w:tcBorders>
              <w:top w:val="single" w:sz="4" w:space="0" w:color="AAAAAA"/>
              <w:left w:val="nil"/>
              <w:bottom w:val="single" w:sz="4" w:space="0" w:color="AAAAAA"/>
              <w:right w:val="single" w:sz="4" w:space="0" w:color="AAAAAA"/>
            </w:tcBorders>
            <w:vAlign w:val="center"/>
            <w:hideMark/>
          </w:tcPr>
          <w:p w14:paraId="37CBCCB0"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&lt; 0.001</w:t>
            </w:r>
          </w:p>
        </w:tc>
        <w:tc>
          <w:tcPr>
            <w:tcW w:w="787" w:type="dxa"/>
            <w:tcBorders>
              <w:top w:val="single" w:sz="4" w:space="0" w:color="AAAAAA"/>
              <w:left w:val="nil"/>
              <w:bottom w:val="single" w:sz="4" w:space="0" w:color="AAAAAA"/>
              <w:right w:val="single" w:sz="4" w:space="0" w:color="AAAAAA"/>
            </w:tcBorders>
            <w:vAlign w:val="center"/>
            <w:hideMark/>
          </w:tcPr>
          <w:p w14:paraId="20785075"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w:t>
            </w:r>
          </w:p>
        </w:tc>
        <w:tc>
          <w:tcPr>
            <w:tcW w:w="1196" w:type="dxa"/>
            <w:tcBorders>
              <w:top w:val="single" w:sz="4" w:space="0" w:color="AAAAAA"/>
              <w:left w:val="nil"/>
              <w:bottom w:val="single" w:sz="4" w:space="0" w:color="AAAAAA"/>
              <w:right w:val="single" w:sz="4" w:space="0" w:color="AAAAAA"/>
            </w:tcBorders>
            <w:vAlign w:val="center"/>
            <w:hideMark/>
          </w:tcPr>
          <w:p w14:paraId="42B36E26"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28.31</w:t>
            </w:r>
          </w:p>
        </w:tc>
      </w:tr>
      <w:tr w:rsidR="002D26E1" w:rsidRPr="003B0C52" w14:paraId="32696F2D" w14:textId="77777777" w:rsidTr="00DA2D9D">
        <w:trPr>
          <w:trHeight w:val="794"/>
          <w:jc w:val="center"/>
        </w:trPr>
        <w:tc>
          <w:tcPr>
            <w:tcW w:w="3066" w:type="dxa"/>
            <w:tcBorders>
              <w:top w:val="single" w:sz="4" w:space="0" w:color="AAAAAA"/>
              <w:left w:val="single" w:sz="4" w:space="0" w:color="AAAAAA"/>
              <w:bottom w:val="single" w:sz="4" w:space="0" w:color="AAAAAA"/>
              <w:right w:val="single" w:sz="4" w:space="0" w:color="AAAAAA"/>
            </w:tcBorders>
            <w:vAlign w:val="center"/>
            <w:hideMark/>
          </w:tcPr>
          <w:p w14:paraId="18652218"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Storage: Dark room</w:t>
            </w:r>
          </w:p>
        </w:tc>
        <w:tc>
          <w:tcPr>
            <w:tcW w:w="997" w:type="dxa"/>
            <w:tcBorders>
              <w:top w:val="single" w:sz="4" w:space="0" w:color="AAAAAA"/>
              <w:left w:val="nil"/>
              <w:bottom w:val="single" w:sz="4" w:space="0" w:color="AAAAAA"/>
              <w:right w:val="single" w:sz="4" w:space="0" w:color="AAAAAA"/>
            </w:tcBorders>
            <w:vAlign w:val="center"/>
            <w:hideMark/>
          </w:tcPr>
          <w:p w14:paraId="7AD9AC09"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-0.218</w:t>
            </w:r>
          </w:p>
        </w:tc>
        <w:tc>
          <w:tcPr>
            <w:tcW w:w="997" w:type="dxa"/>
            <w:tcBorders>
              <w:top w:val="single" w:sz="4" w:space="0" w:color="AAAAAA"/>
              <w:left w:val="nil"/>
              <w:bottom w:val="single" w:sz="4" w:space="0" w:color="AAAAAA"/>
              <w:right w:val="single" w:sz="4" w:space="0" w:color="AAAAAA"/>
            </w:tcBorders>
            <w:vAlign w:val="center"/>
            <w:hideMark/>
          </w:tcPr>
          <w:p w14:paraId="0BA9D3C1"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0.020</w:t>
            </w:r>
          </w:p>
        </w:tc>
        <w:tc>
          <w:tcPr>
            <w:tcW w:w="997" w:type="dxa"/>
            <w:tcBorders>
              <w:top w:val="single" w:sz="4" w:space="0" w:color="AAAAAA"/>
              <w:left w:val="nil"/>
              <w:bottom w:val="single" w:sz="4" w:space="0" w:color="AAAAAA"/>
              <w:right w:val="single" w:sz="4" w:space="0" w:color="AAAAAA"/>
            </w:tcBorders>
            <w:vAlign w:val="center"/>
            <w:hideMark/>
          </w:tcPr>
          <w:p w14:paraId="0D2D379B"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-10.72</w:t>
            </w:r>
          </w:p>
        </w:tc>
        <w:tc>
          <w:tcPr>
            <w:tcW w:w="1121" w:type="dxa"/>
            <w:tcBorders>
              <w:top w:val="single" w:sz="4" w:space="0" w:color="AAAAAA"/>
              <w:left w:val="nil"/>
              <w:bottom w:val="single" w:sz="4" w:space="0" w:color="AAAAAA"/>
              <w:right w:val="single" w:sz="4" w:space="0" w:color="AAAAAA"/>
            </w:tcBorders>
            <w:vAlign w:val="center"/>
            <w:hideMark/>
          </w:tcPr>
          <w:p w14:paraId="1ABAFA65"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&lt; 0.001</w:t>
            </w:r>
          </w:p>
        </w:tc>
        <w:tc>
          <w:tcPr>
            <w:tcW w:w="787" w:type="dxa"/>
            <w:tcBorders>
              <w:top w:val="single" w:sz="4" w:space="0" w:color="AAAAAA"/>
              <w:left w:val="nil"/>
              <w:bottom w:val="single" w:sz="4" w:space="0" w:color="AAAAAA"/>
              <w:right w:val="single" w:sz="4" w:space="0" w:color="AAAAAA"/>
            </w:tcBorders>
            <w:vAlign w:val="center"/>
            <w:hideMark/>
          </w:tcPr>
          <w:p w14:paraId="1224BA4E"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w:t>
            </w:r>
          </w:p>
        </w:tc>
        <w:tc>
          <w:tcPr>
            <w:tcW w:w="1196" w:type="dxa"/>
            <w:tcBorders>
              <w:top w:val="single" w:sz="4" w:space="0" w:color="AAAAAA"/>
              <w:left w:val="nil"/>
              <w:bottom w:val="single" w:sz="4" w:space="0" w:color="AAAAAA"/>
              <w:right w:val="single" w:sz="4" w:space="0" w:color="AAAAAA"/>
            </w:tcBorders>
            <w:vAlign w:val="center"/>
            <w:hideMark/>
          </w:tcPr>
          <w:p w14:paraId="260BEBFF"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0.804</w:t>
            </w:r>
          </w:p>
        </w:tc>
      </w:tr>
      <w:tr w:rsidR="002D26E1" w:rsidRPr="003B0C52" w14:paraId="3E5F38F6" w14:textId="77777777" w:rsidTr="00DA2D9D">
        <w:trPr>
          <w:trHeight w:val="806"/>
          <w:jc w:val="center"/>
        </w:trPr>
        <w:tc>
          <w:tcPr>
            <w:tcW w:w="3066" w:type="dxa"/>
            <w:tcBorders>
              <w:top w:val="single" w:sz="4" w:space="0" w:color="AAAAAA"/>
              <w:left w:val="single" w:sz="4" w:space="0" w:color="AAAAAA"/>
              <w:bottom w:val="single" w:sz="4" w:space="0" w:color="AAAAAA"/>
              <w:right w:val="single" w:sz="4" w:space="0" w:color="AAAAAA"/>
            </w:tcBorders>
            <w:vAlign w:val="center"/>
            <w:hideMark/>
          </w:tcPr>
          <w:p w14:paraId="11DAED83"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Storage: Cold storage</w:t>
            </w:r>
          </w:p>
        </w:tc>
        <w:tc>
          <w:tcPr>
            <w:tcW w:w="997" w:type="dxa"/>
            <w:tcBorders>
              <w:top w:val="single" w:sz="4" w:space="0" w:color="AAAAAA"/>
              <w:left w:val="nil"/>
              <w:bottom w:val="single" w:sz="4" w:space="0" w:color="AAAAAA"/>
              <w:right w:val="single" w:sz="4" w:space="0" w:color="AAAAAA"/>
            </w:tcBorders>
            <w:vAlign w:val="center"/>
            <w:hideMark/>
          </w:tcPr>
          <w:p w14:paraId="16D67E1A"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-0.429</w:t>
            </w:r>
          </w:p>
        </w:tc>
        <w:tc>
          <w:tcPr>
            <w:tcW w:w="997" w:type="dxa"/>
            <w:tcBorders>
              <w:top w:val="single" w:sz="4" w:space="0" w:color="AAAAAA"/>
              <w:left w:val="nil"/>
              <w:bottom w:val="single" w:sz="4" w:space="0" w:color="AAAAAA"/>
              <w:right w:val="single" w:sz="4" w:space="0" w:color="AAAAAA"/>
            </w:tcBorders>
            <w:vAlign w:val="center"/>
            <w:hideMark/>
          </w:tcPr>
          <w:p w14:paraId="3DB0782C"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0.030</w:t>
            </w:r>
          </w:p>
        </w:tc>
        <w:tc>
          <w:tcPr>
            <w:tcW w:w="997" w:type="dxa"/>
            <w:tcBorders>
              <w:top w:val="single" w:sz="4" w:space="0" w:color="AAAAAA"/>
              <w:left w:val="nil"/>
              <w:bottom w:val="single" w:sz="4" w:space="0" w:color="AAAAAA"/>
              <w:right w:val="single" w:sz="4" w:space="0" w:color="AAAAAA"/>
            </w:tcBorders>
            <w:vAlign w:val="center"/>
            <w:hideMark/>
          </w:tcPr>
          <w:p w14:paraId="35FF09D3"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-14.12</w:t>
            </w:r>
          </w:p>
        </w:tc>
        <w:tc>
          <w:tcPr>
            <w:tcW w:w="1121" w:type="dxa"/>
            <w:tcBorders>
              <w:top w:val="single" w:sz="4" w:space="0" w:color="AAAAAA"/>
              <w:left w:val="nil"/>
              <w:bottom w:val="single" w:sz="4" w:space="0" w:color="AAAAAA"/>
              <w:right w:val="single" w:sz="4" w:space="0" w:color="AAAAAA"/>
            </w:tcBorders>
            <w:vAlign w:val="center"/>
            <w:hideMark/>
          </w:tcPr>
          <w:p w14:paraId="1428B554"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&lt; 0.001</w:t>
            </w:r>
          </w:p>
        </w:tc>
        <w:tc>
          <w:tcPr>
            <w:tcW w:w="787" w:type="dxa"/>
            <w:tcBorders>
              <w:top w:val="single" w:sz="4" w:space="0" w:color="AAAAAA"/>
              <w:left w:val="nil"/>
              <w:bottom w:val="single" w:sz="4" w:space="0" w:color="AAAAAA"/>
              <w:right w:val="single" w:sz="4" w:space="0" w:color="AAAAAA"/>
            </w:tcBorders>
            <w:vAlign w:val="center"/>
            <w:hideMark/>
          </w:tcPr>
          <w:p w14:paraId="78C10A8A"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w:t>
            </w:r>
          </w:p>
        </w:tc>
        <w:tc>
          <w:tcPr>
            <w:tcW w:w="1196" w:type="dxa"/>
            <w:tcBorders>
              <w:top w:val="single" w:sz="4" w:space="0" w:color="AAAAAA"/>
              <w:left w:val="nil"/>
              <w:bottom w:val="single" w:sz="4" w:space="0" w:color="AAAAAA"/>
              <w:right w:val="single" w:sz="4" w:space="0" w:color="AAAAAA"/>
            </w:tcBorders>
            <w:vAlign w:val="center"/>
            <w:hideMark/>
          </w:tcPr>
          <w:p w14:paraId="20BE44B9"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0.651</w:t>
            </w:r>
          </w:p>
        </w:tc>
      </w:tr>
      <w:tr w:rsidR="002D26E1" w:rsidRPr="003B0C52" w14:paraId="4EDBD0FB" w14:textId="77777777" w:rsidTr="00DA2D9D">
        <w:trPr>
          <w:trHeight w:val="408"/>
          <w:jc w:val="center"/>
        </w:trPr>
        <w:tc>
          <w:tcPr>
            <w:tcW w:w="3066" w:type="dxa"/>
            <w:tcBorders>
              <w:top w:val="single" w:sz="4" w:space="0" w:color="AAAAAA"/>
              <w:left w:val="single" w:sz="4" w:space="0" w:color="AAAAAA"/>
              <w:bottom w:val="single" w:sz="4" w:space="0" w:color="AAAAAA"/>
              <w:right w:val="single" w:sz="4" w:space="0" w:color="AAAAAA"/>
            </w:tcBorders>
            <w:vAlign w:val="center"/>
            <w:hideMark/>
          </w:tcPr>
          <w:p w14:paraId="66190158"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Duration: 2–3 weeks</w:t>
            </w:r>
          </w:p>
        </w:tc>
        <w:tc>
          <w:tcPr>
            <w:tcW w:w="997" w:type="dxa"/>
            <w:tcBorders>
              <w:top w:val="single" w:sz="4" w:space="0" w:color="AAAAAA"/>
              <w:left w:val="nil"/>
              <w:bottom w:val="single" w:sz="4" w:space="0" w:color="AAAAAA"/>
              <w:right w:val="single" w:sz="4" w:space="0" w:color="AAAAAA"/>
            </w:tcBorders>
            <w:vAlign w:val="center"/>
            <w:hideMark/>
          </w:tcPr>
          <w:p w14:paraId="68556DD9"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0.052</w:t>
            </w:r>
          </w:p>
        </w:tc>
        <w:tc>
          <w:tcPr>
            <w:tcW w:w="997" w:type="dxa"/>
            <w:tcBorders>
              <w:top w:val="single" w:sz="4" w:space="0" w:color="AAAAAA"/>
              <w:left w:val="nil"/>
              <w:bottom w:val="single" w:sz="4" w:space="0" w:color="AAAAAA"/>
              <w:right w:val="single" w:sz="4" w:space="0" w:color="AAAAAA"/>
            </w:tcBorders>
            <w:vAlign w:val="center"/>
            <w:hideMark/>
          </w:tcPr>
          <w:p w14:paraId="306418B7"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0.018</w:t>
            </w:r>
          </w:p>
        </w:tc>
        <w:tc>
          <w:tcPr>
            <w:tcW w:w="997" w:type="dxa"/>
            <w:tcBorders>
              <w:top w:val="single" w:sz="4" w:space="0" w:color="AAAAAA"/>
              <w:left w:val="nil"/>
              <w:bottom w:val="single" w:sz="4" w:space="0" w:color="AAAAAA"/>
              <w:right w:val="single" w:sz="4" w:space="0" w:color="AAAAAA"/>
            </w:tcBorders>
            <w:vAlign w:val="center"/>
            <w:hideMark/>
          </w:tcPr>
          <w:p w14:paraId="0B14FA21"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2.90</w:t>
            </w:r>
          </w:p>
        </w:tc>
        <w:tc>
          <w:tcPr>
            <w:tcW w:w="1121" w:type="dxa"/>
            <w:tcBorders>
              <w:top w:val="single" w:sz="4" w:space="0" w:color="AAAAAA"/>
              <w:left w:val="nil"/>
              <w:bottom w:val="single" w:sz="4" w:space="0" w:color="AAAAAA"/>
              <w:right w:val="single" w:sz="4" w:space="0" w:color="AAAAAA"/>
            </w:tcBorders>
            <w:vAlign w:val="center"/>
            <w:hideMark/>
          </w:tcPr>
          <w:p w14:paraId="3ECC68B4"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0.004</w:t>
            </w:r>
          </w:p>
        </w:tc>
        <w:tc>
          <w:tcPr>
            <w:tcW w:w="787" w:type="dxa"/>
            <w:tcBorders>
              <w:top w:val="single" w:sz="4" w:space="0" w:color="AAAAAA"/>
              <w:left w:val="nil"/>
              <w:bottom w:val="single" w:sz="4" w:space="0" w:color="AAAAAA"/>
              <w:right w:val="single" w:sz="4" w:space="0" w:color="AAAAAA"/>
            </w:tcBorders>
            <w:vAlign w:val="center"/>
            <w:hideMark/>
          </w:tcPr>
          <w:p w14:paraId="42D99B61"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w:t>
            </w:r>
          </w:p>
        </w:tc>
        <w:tc>
          <w:tcPr>
            <w:tcW w:w="1196" w:type="dxa"/>
            <w:tcBorders>
              <w:top w:val="single" w:sz="4" w:space="0" w:color="AAAAAA"/>
              <w:left w:val="nil"/>
              <w:bottom w:val="single" w:sz="4" w:space="0" w:color="AAAAAA"/>
              <w:right w:val="single" w:sz="4" w:space="0" w:color="AAAAAA"/>
            </w:tcBorders>
            <w:vAlign w:val="center"/>
            <w:hideMark/>
          </w:tcPr>
          <w:p w14:paraId="312AB7D9"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1.053</w:t>
            </w:r>
          </w:p>
        </w:tc>
      </w:tr>
      <w:tr w:rsidR="002D26E1" w:rsidRPr="003B0C52" w14:paraId="7CABA90B" w14:textId="77777777" w:rsidTr="00DA2D9D">
        <w:trPr>
          <w:trHeight w:val="794"/>
          <w:jc w:val="center"/>
        </w:trPr>
        <w:tc>
          <w:tcPr>
            <w:tcW w:w="3066" w:type="dxa"/>
            <w:tcBorders>
              <w:top w:val="single" w:sz="4" w:space="0" w:color="AAAAAA"/>
              <w:left w:val="single" w:sz="4" w:space="0" w:color="AAAAAA"/>
              <w:bottom w:val="single" w:sz="4" w:space="0" w:color="AAAAAA"/>
              <w:right w:val="single" w:sz="4" w:space="0" w:color="AAAAAA"/>
            </w:tcBorders>
            <w:vAlign w:val="center"/>
            <w:hideMark/>
          </w:tcPr>
          <w:p w14:paraId="61ECFC28"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lastRenderedPageBreak/>
              <w:t>Duration: 3–4 weeks</w:t>
            </w:r>
          </w:p>
        </w:tc>
        <w:tc>
          <w:tcPr>
            <w:tcW w:w="997" w:type="dxa"/>
            <w:tcBorders>
              <w:top w:val="single" w:sz="4" w:space="0" w:color="AAAAAA"/>
              <w:left w:val="nil"/>
              <w:bottom w:val="single" w:sz="4" w:space="0" w:color="AAAAAA"/>
              <w:right w:val="single" w:sz="4" w:space="0" w:color="AAAAAA"/>
            </w:tcBorders>
            <w:vAlign w:val="center"/>
            <w:hideMark/>
          </w:tcPr>
          <w:p w14:paraId="5B92759A"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0.130</w:t>
            </w:r>
          </w:p>
        </w:tc>
        <w:tc>
          <w:tcPr>
            <w:tcW w:w="997" w:type="dxa"/>
            <w:tcBorders>
              <w:top w:val="single" w:sz="4" w:space="0" w:color="AAAAAA"/>
              <w:left w:val="nil"/>
              <w:bottom w:val="single" w:sz="4" w:space="0" w:color="AAAAAA"/>
              <w:right w:val="single" w:sz="4" w:space="0" w:color="AAAAAA"/>
            </w:tcBorders>
            <w:vAlign w:val="center"/>
            <w:hideMark/>
          </w:tcPr>
          <w:p w14:paraId="1CB68471"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0.024</w:t>
            </w:r>
          </w:p>
        </w:tc>
        <w:tc>
          <w:tcPr>
            <w:tcW w:w="997" w:type="dxa"/>
            <w:tcBorders>
              <w:top w:val="single" w:sz="4" w:space="0" w:color="AAAAAA"/>
              <w:left w:val="nil"/>
              <w:bottom w:val="single" w:sz="4" w:space="0" w:color="AAAAAA"/>
              <w:right w:val="single" w:sz="4" w:space="0" w:color="AAAAAA"/>
            </w:tcBorders>
            <w:vAlign w:val="center"/>
            <w:hideMark/>
          </w:tcPr>
          <w:p w14:paraId="2103A152"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5.36</w:t>
            </w:r>
          </w:p>
        </w:tc>
        <w:tc>
          <w:tcPr>
            <w:tcW w:w="1121" w:type="dxa"/>
            <w:tcBorders>
              <w:top w:val="single" w:sz="4" w:space="0" w:color="AAAAAA"/>
              <w:left w:val="nil"/>
              <w:bottom w:val="single" w:sz="4" w:space="0" w:color="AAAAAA"/>
              <w:right w:val="single" w:sz="4" w:space="0" w:color="AAAAAA"/>
            </w:tcBorders>
            <w:vAlign w:val="center"/>
            <w:hideMark/>
          </w:tcPr>
          <w:p w14:paraId="23507818"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&lt; 0.001</w:t>
            </w:r>
          </w:p>
        </w:tc>
        <w:tc>
          <w:tcPr>
            <w:tcW w:w="787" w:type="dxa"/>
            <w:tcBorders>
              <w:top w:val="single" w:sz="4" w:space="0" w:color="AAAAAA"/>
              <w:left w:val="nil"/>
              <w:bottom w:val="single" w:sz="4" w:space="0" w:color="AAAAAA"/>
              <w:right w:val="single" w:sz="4" w:space="0" w:color="AAAAAA"/>
            </w:tcBorders>
            <w:vAlign w:val="center"/>
            <w:hideMark/>
          </w:tcPr>
          <w:p w14:paraId="611BF820"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w:t>
            </w:r>
          </w:p>
        </w:tc>
        <w:tc>
          <w:tcPr>
            <w:tcW w:w="1196" w:type="dxa"/>
            <w:tcBorders>
              <w:top w:val="single" w:sz="4" w:space="0" w:color="AAAAAA"/>
              <w:left w:val="nil"/>
              <w:bottom w:val="single" w:sz="4" w:space="0" w:color="AAAAAA"/>
              <w:right w:val="single" w:sz="4" w:space="0" w:color="AAAAAA"/>
            </w:tcBorders>
            <w:vAlign w:val="center"/>
            <w:hideMark/>
          </w:tcPr>
          <w:p w14:paraId="090AC170"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1.139</w:t>
            </w:r>
          </w:p>
        </w:tc>
      </w:tr>
      <w:tr w:rsidR="002D26E1" w:rsidRPr="003B0C52" w14:paraId="17E3554A" w14:textId="77777777" w:rsidTr="00DA2D9D">
        <w:trPr>
          <w:trHeight w:val="806"/>
          <w:jc w:val="center"/>
        </w:trPr>
        <w:tc>
          <w:tcPr>
            <w:tcW w:w="3066" w:type="dxa"/>
            <w:tcBorders>
              <w:top w:val="single" w:sz="4" w:space="0" w:color="AAAAAA"/>
              <w:left w:val="single" w:sz="4" w:space="0" w:color="AAAAAA"/>
              <w:bottom w:val="single" w:sz="4" w:space="0" w:color="AAAAAA"/>
              <w:right w:val="single" w:sz="4" w:space="0" w:color="AAAAAA"/>
            </w:tcBorders>
            <w:vAlign w:val="center"/>
            <w:hideMark/>
          </w:tcPr>
          <w:p w14:paraId="60811683"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Duration: &gt; 1 month</w:t>
            </w:r>
          </w:p>
        </w:tc>
        <w:tc>
          <w:tcPr>
            <w:tcW w:w="997" w:type="dxa"/>
            <w:tcBorders>
              <w:top w:val="single" w:sz="4" w:space="0" w:color="AAAAAA"/>
              <w:left w:val="nil"/>
              <w:bottom w:val="single" w:sz="4" w:space="0" w:color="AAAAAA"/>
              <w:right w:val="single" w:sz="4" w:space="0" w:color="AAAAAA"/>
            </w:tcBorders>
            <w:vAlign w:val="center"/>
            <w:hideMark/>
          </w:tcPr>
          <w:p w14:paraId="534981D2"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0.161</w:t>
            </w:r>
          </w:p>
        </w:tc>
        <w:tc>
          <w:tcPr>
            <w:tcW w:w="997" w:type="dxa"/>
            <w:tcBorders>
              <w:top w:val="single" w:sz="4" w:space="0" w:color="AAAAAA"/>
              <w:left w:val="nil"/>
              <w:bottom w:val="single" w:sz="4" w:space="0" w:color="AAAAAA"/>
              <w:right w:val="single" w:sz="4" w:space="0" w:color="AAAAAA"/>
            </w:tcBorders>
            <w:vAlign w:val="center"/>
            <w:hideMark/>
          </w:tcPr>
          <w:p w14:paraId="46063426"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0.029</w:t>
            </w:r>
          </w:p>
        </w:tc>
        <w:tc>
          <w:tcPr>
            <w:tcW w:w="997" w:type="dxa"/>
            <w:tcBorders>
              <w:top w:val="single" w:sz="4" w:space="0" w:color="AAAAAA"/>
              <w:left w:val="nil"/>
              <w:bottom w:val="single" w:sz="4" w:space="0" w:color="AAAAAA"/>
              <w:right w:val="single" w:sz="4" w:space="0" w:color="AAAAAA"/>
            </w:tcBorders>
            <w:vAlign w:val="center"/>
            <w:hideMark/>
          </w:tcPr>
          <w:p w14:paraId="770B6DFE"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5.51</w:t>
            </w:r>
          </w:p>
        </w:tc>
        <w:tc>
          <w:tcPr>
            <w:tcW w:w="1121" w:type="dxa"/>
            <w:tcBorders>
              <w:top w:val="single" w:sz="4" w:space="0" w:color="AAAAAA"/>
              <w:left w:val="nil"/>
              <w:bottom w:val="single" w:sz="4" w:space="0" w:color="AAAAAA"/>
              <w:right w:val="single" w:sz="4" w:space="0" w:color="AAAAAA"/>
            </w:tcBorders>
            <w:vAlign w:val="center"/>
            <w:hideMark/>
          </w:tcPr>
          <w:p w14:paraId="0C87A176"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&lt; 0.001</w:t>
            </w:r>
          </w:p>
        </w:tc>
        <w:tc>
          <w:tcPr>
            <w:tcW w:w="787" w:type="dxa"/>
            <w:tcBorders>
              <w:top w:val="single" w:sz="4" w:space="0" w:color="AAAAAA"/>
              <w:left w:val="nil"/>
              <w:bottom w:val="single" w:sz="4" w:space="0" w:color="AAAAAA"/>
              <w:right w:val="single" w:sz="4" w:space="0" w:color="AAAAAA"/>
            </w:tcBorders>
            <w:vAlign w:val="center"/>
            <w:hideMark/>
          </w:tcPr>
          <w:p w14:paraId="4A49ECD4"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w:t>
            </w:r>
          </w:p>
        </w:tc>
        <w:tc>
          <w:tcPr>
            <w:tcW w:w="1196" w:type="dxa"/>
            <w:tcBorders>
              <w:top w:val="single" w:sz="4" w:space="0" w:color="AAAAAA"/>
              <w:left w:val="nil"/>
              <w:bottom w:val="single" w:sz="4" w:space="0" w:color="AAAAAA"/>
              <w:right w:val="single" w:sz="4" w:space="0" w:color="AAAAAA"/>
            </w:tcBorders>
            <w:vAlign w:val="center"/>
            <w:hideMark/>
          </w:tcPr>
          <w:p w14:paraId="110F6D5D"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1.174</w:t>
            </w:r>
          </w:p>
        </w:tc>
      </w:tr>
      <w:tr w:rsidR="002D26E1" w:rsidRPr="003B0C52" w14:paraId="18D901FB" w14:textId="77777777" w:rsidTr="00DA2D9D">
        <w:trPr>
          <w:trHeight w:val="806"/>
          <w:jc w:val="center"/>
        </w:trPr>
        <w:tc>
          <w:tcPr>
            <w:tcW w:w="3066" w:type="dxa"/>
            <w:tcBorders>
              <w:top w:val="single" w:sz="4" w:space="0" w:color="AAAAAA"/>
              <w:left w:val="single" w:sz="4" w:space="0" w:color="AAAAAA"/>
              <w:bottom w:val="single" w:sz="4" w:space="0" w:color="AAAAAA"/>
              <w:right w:val="single" w:sz="4" w:space="0" w:color="AAAAAA"/>
            </w:tcBorders>
            <w:vAlign w:val="center"/>
            <w:hideMark/>
          </w:tcPr>
          <w:p w14:paraId="074BBCD2"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Chemical use (Yes)</w:t>
            </w:r>
          </w:p>
        </w:tc>
        <w:tc>
          <w:tcPr>
            <w:tcW w:w="997" w:type="dxa"/>
            <w:tcBorders>
              <w:top w:val="single" w:sz="4" w:space="0" w:color="AAAAAA"/>
              <w:left w:val="nil"/>
              <w:bottom w:val="single" w:sz="4" w:space="0" w:color="AAAAAA"/>
              <w:right w:val="single" w:sz="4" w:space="0" w:color="AAAAAA"/>
            </w:tcBorders>
            <w:vAlign w:val="center"/>
            <w:hideMark/>
          </w:tcPr>
          <w:p w14:paraId="7F977BF5"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-0.060</w:t>
            </w:r>
          </w:p>
        </w:tc>
        <w:tc>
          <w:tcPr>
            <w:tcW w:w="997" w:type="dxa"/>
            <w:tcBorders>
              <w:top w:val="single" w:sz="4" w:space="0" w:color="AAAAAA"/>
              <w:left w:val="nil"/>
              <w:bottom w:val="single" w:sz="4" w:space="0" w:color="AAAAAA"/>
              <w:right w:val="single" w:sz="4" w:space="0" w:color="AAAAAA"/>
            </w:tcBorders>
            <w:vAlign w:val="center"/>
            <w:hideMark/>
          </w:tcPr>
          <w:p w14:paraId="717B64A1"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0.019</w:t>
            </w:r>
          </w:p>
        </w:tc>
        <w:tc>
          <w:tcPr>
            <w:tcW w:w="997" w:type="dxa"/>
            <w:tcBorders>
              <w:top w:val="single" w:sz="4" w:space="0" w:color="AAAAAA"/>
              <w:left w:val="nil"/>
              <w:bottom w:val="single" w:sz="4" w:space="0" w:color="AAAAAA"/>
              <w:right w:val="single" w:sz="4" w:space="0" w:color="AAAAAA"/>
            </w:tcBorders>
            <w:vAlign w:val="center"/>
            <w:hideMark/>
          </w:tcPr>
          <w:p w14:paraId="25D073CB"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-3.11</w:t>
            </w:r>
          </w:p>
        </w:tc>
        <w:tc>
          <w:tcPr>
            <w:tcW w:w="1121" w:type="dxa"/>
            <w:tcBorders>
              <w:top w:val="single" w:sz="4" w:space="0" w:color="AAAAAA"/>
              <w:left w:val="nil"/>
              <w:bottom w:val="single" w:sz="4" w:space="0" w:color="AAAAAA"/>
              <w:right w:val="single" w:sz="4" w:space="0" w:color="AAAAAA"/>
            </w:tcBorders>
            <w:vAlign w:val="center"/>
            <w:hideMark/>
          </w:tcPr>
          <w:p w14:paraId="48F6FD99"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0.002</w:t>
            </w:r>
          </w:p>
        </w:tc>
        <w:tc>
          <w:tcPr>
            <w:tcW w:w="787" w:type="dxa"/>
            <w:tcBorders>
              <w:top w:val="single" w:sz="4" w:space="0" w:color="AAAAAA"/>
              <w:left w:val="nil"/>
              <w:bottom w:val="single" w:sz="4" w:space="0" w:color="AAAAAA"/>
              <w:right w:val="single" w:sz="4" w:space="0" w:color="AAAAAA"/>
            </w:tcBorders>
            <w:vAlign w:val="center"/>
            <w:hideMark/>
          </w:tcPr>
          <w:p w14:paraId="466BC207"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w:t>
            </w:r>
          </w:p>
        </w:tc>
        <w:tc>
          <w:tcPr>
            <w:tcW w:w="1196" w:type="dxa"/>
            <w:tcBorders>
              <w:top w:val="single" w:sz="4" w:space="0" w:color="AAAAAA"/>
              <w:left w:val="nil"/>
              <w:bottom w:val="single" w:sz="4" w:space="0" w:color="AAAAAA"/>
              <w:right w:val="single" w:sz="4" w:space="0" w:color="AAAAAA"/>
            </w:tcBorders>
            <w:vAlign w:val="center"/>
            <w:hideMark/>
          </w:tcPr>
          <w:p w14:paraId="2EFF7284"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0.942</w:t>
            </w:r>
          </w:p>
        </w:tc>
      </w:tr>
      <w:tr w:rsidR="002D26E1" w:rsidRPr="003B0C52" w14:paraId="71750725" w14:textId="77777777" w:rsidTr="00DA2D9D">
        <w:trPr>
          <w:trHeight w:val="806"/>
          <w:jc w:val="center"/>
        </w:trPr>
        <w:tc>
          <w:tcPr>
            <w:tcW w:w="3066" w:type="dxa"/>
            <w:tcBorders>
              <w:top w:val="single" w:sz="4" w:space="0" w:color="AAAAAA"/>
              <w:left w:val="single" w:sz="4" w:space="0" w:color="AAAAAA"/>
              <w:bottom w:val="single" w:sz="4" w:space="0" w:color="AAAAAA"/>
              <w:right w:val="single" w:sz="4" w:space="0" w:color="AAAAAA"/>
            </w:tcBorders>
            <w:vAlign w:val="center"/>
            <w:hideMark/>
          </w:tcPr>
          <w:p w14:paraId="582DAD5C"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Extension training (Yes)</w:t>
            </w:r>
          </w:p>
        </w:tc>
        <w:tc>
          <w:tcPr>
            <w:tcW w:w="997" w:type="dxa"/>
            <w:tcBorders>
              <w:top w:val="single" w:sz="4" w:space="0" w:color="AAAAAA"/>
              <w:left w:val="nil"/>
              <w:bottom w:val="single" w:sz="4" w:space="0" w:color="AAAAAA"/>
              <w:right w:val="single" w:sz="4" w:space="0" w:color="AAAAAA"/>
            </w:tcBorders>
            <w:vAlign w:val="center"/>
            <w:hideMark/>
          </w:tcPr>
          <w:p w14:paraId="6B607E95"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-0.033</w:t>
            </w:r>
          </w:p>
        </w:tc>
        <w:tc>
          <w:tcPr>
            <w:tcW w:w="997" w:type="dxa"/>
            <w:tcBorders>
              <w:top w:val="single" w:sz="4" w:space="0" w:color="AAAAAA"/>
              <w:left w:val="nil"/>
              <w:bottom w:val="single" w:sz="4" w:space="0" w:color="AAAAAA"/>
              <w:right w:val="single" w:sz="4" w:space="0" w:color="AAAAAA"/>
            </w:tcBorders>
            <w:vAlign w:val="center"/>
            <w:hideMark/>
          </w:tcPr>
          <w:p w14:paraId="6FE50400"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0.015</w:t>
            </w:r>
          </w:p>
        </w:tc>
        <w:tc>
          <w:tcPr>
            <w:tcW w:w="997" w:type="dxa"/>
            <w:tcBorders>
              <w:top w:val="single" w:sz="4" w:space="0" w:color="AAAAAA"/>
              <w:left w:val="nil"/>
              <w:bottom w:val="single" w:sz="4" w:space="0" w:color="AAAAAA"/>
              <w:right w:val="single" w:sz="4" w:space="0" w:color="AAAAAA"/>
            </w:tcBorders>
            <w:vAlign w:val="center"/>
            <w:hideMark/>
          </w:tcPr>
          <w:p w14:paraId="3FD7672A"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-2.16</w:t>
            </w:r>
          </w:p>
        </w:tc>
        <w:tc>
          <w:tcPr>
            <w:tcW w:w="1121" w:type="dxa"/>
            <w:tcBorders>
              <w:top w:val="single" w:sz="4" w:space="0" w:color="AAAAAA"/>
              <w:left w:val="nil"/>
              <w:bottom w:val="single" w:sz="4" w:space="0" w:color="AAAAAA"/>
              <w:right w:val="single" w:sz="4" w:space="0" w:color="AAAAAA"/>
            </w:tcBorders>
            <w:vAlign w:val="center"/>
            <w:hideMark/>
          </w:tcPr>
          <w:p w14:paraId="459D9724"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0.031</w:t>
            </w:r>
          </w:p>
        </w:tc>
        <w:tc>
          <w:tcPr>
            <w:tcW w:w="787" w:type="dxa"/>
            <w:tcBorders>
              <w:top w:val="single" w:sz="4" w:space="0" w:color="AAAAAA"/>
              <w:left w:val="nil"/>
              <w:bottom w:val="single" w:sz="4" w:space="0" w:color="AAAAAA"/>
              <w:right w:val="single" w:sz="4" w:space="0" w:color="AAAAAA"/>
            </w:tcBorders>
            <w:vAlign w:val="center"/>
            <w:hideMark/>
          </w:tcPr>
          <w:p w14:paraId="49BC1499"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w:t>
            </w:r>
          </w:p>
        </w:tc>
        <w:tc>
          <w:tcPr>
            <w:tcW w:w="1196" w:type="dxa"/>
            <w:tcBorders>
              <w:top w:val="single" w:sz="4" w:space="0" w:color="AAAAAA"/>
              <w:left w:val="nil"/>
              <w:bottom w:val="single" w:sz="4" w:space="0" w:color="AAAAAA"/>
              <w:right w:val="single" w:sz="4" w:space="0" w:color="AAAAAA"/>
            </w:tcBorders>
            <w:vAlign w:val="center"/>
            <w:hideMark/>
          </w:tcPr>
          <w:p w14:paraId="4F6F0739"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0.967</w:t>
            </w:r>
          </w:p>
        </w:tc>
      </w:tr>
      <w:tr w:rsidR="002D26E1" w:rsidRPr="003B0C52" w14:paraId="270F5E25" w14:textId="77777777" w:rsidTr="00DA2D9D">
        <w:trPr>
          <w:trHeight w:val="806"/>
          <w:jc w:val="center"/>
        </w:trPr>
        <w:tc>
          <w:tcPr>
            <w:tcW w:w="3066" w:type="dxa"/>
            <w:tcBorders>
              <w:top w:val="single" w:sz="4" w:space="0" w:color="AAAAAA"/>
              <w:left w:val="single" w:sz="4" w:space="0" w:color="AAAAAA"/>
              <w:bottom w:val="single" w:sz="4" w:space="0" w:color="AAAAAA"/>
              <w:right w:val="single" w:sz="4" w:space="0" w:color="AAAAAA"/>
            </w:tcBorders>
            <w:vAlign w:val="center"/>
            <w:hideMark/>
          </w:tcPr>
          <w:p w14:paraId="31A016CB"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Market distance: 6–10 km</w:t>
            </w:r>
          </w:p>
        </w:tc>
        <w:tc>
          <w:tcPr>
            <w:tcW w:w="997" w:type="dxa"/>
            <w:tcBorders>
              <w:top w:val="single" w:sz="4" w:space="0" w:color="AAAAAA"/>
              <w:left w:val="nil"/>
              <w:bottom w:val="single" w:sz="4" w:space="0" w:color="AAAAAA"/>
              <w:right w:val="single" w:sz="4" w:space="0" w:color="AAAAAA"/>
            </w:tcBorders>
            <w:vAlign w:val="center"/>
            <w:hideMark/>
          </w:tcPr>
          <w:p w14:paraId="6597496D"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0.065</w:t>
            </w:r>
          </w:p>
        </w:tc>
        <w:tc>
          <w:tcPr>
            <w:tcW w:w="997" w:type="dxa"/>
            <w:tcBorders>
              <w:top w:val="single" w:sz="4" w:space="0" w:color="AAAAAA"/>
              <w:left w:val="nil"/>
              <w:bottom w:val="single" w:sz="4" w:space="0" w:color="AAAAAA"/>
              <w:right w:val="single" w:sz="4" w:space="0" w:color="AAAAAA"/>
            </w:tcBorders>
            <w:vAlign w:val="center"/>
            <w:hideMark/>
          </w:tcPr>
          <w:p w14:paraId="77E8D913"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0.020</w:t>
            </w:r>
          </w:p>
        </w:tc>
        <w:tc>
          <w:tcPr>
            <w:tcW w:w="997" w:type="dxa"/>
            <w:tcBorders>
              <w:top w:val="single" w:sz="4" w:space="0" w:color="AAAAAA"/>
              <w:left w:val="nil"/>
              <w:bottom w:val="single" w:sz="4" w:space="0" w:color="AAAAAA"/>
              <w:right w:val="single" w:sz="4" w:space="0" w:color="AAAAAA"/>
            </w:tcBorders>
            <w:vAlign w:val="center"/>
            <w:hideMark/>
          </w:tcPr>
          <w:p w14:paraId="3ADC9F1F"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3.30</w:t>
            </w:r>
          </w:p>
        </w:tc>
        <w:tc>
          <w:tcPr>
            <w:tcW w:w="1121" w:type="dxa"/>
            <w:tcBorders>
              <w:top w:val="single" w:sz="4" w:space="0" w:color="AAAAAA"/>
              <w:left w:val="nil"/>
              <w:bottom w:val="single" w:sz="4" w:space="0" w:color="AAAAAA"/>
              <w:right w:val="single" w:sz="4" w:space="0" w:color="AAAAAA"/>
            </w:tcBorders>
            <w:vAlign w:val="center"/>
            <w:hideMark/>
          </w:tcPr>
          <w:p w14:paraId="3CD12D6C"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0.001</w:t>
            </w:r>
          </w:p>
        </w:tc>
        <w:tc>
          <w:tcPr>
            <w:tcW w:w="787" w:type="dxa"/>
            <w:tcBorders>
              <w:top w:val="single" w:sz="4" w:space="0" w:color="AAAAAA"/>
              <w:left w:val="nil"/>
              <w:bottom w:val="single" w:sz="4" w:space="0" w:color="AAAAAA"/>
              <w:right w:val="single" w:sz="4" w:space="0" w:color="AAAAAA"/>
            </w:tcBorders>
            <w:vAlign w:val="center"/>
            <w:hideMark/>
          </w:tcPr>
          <w:p w14:paraId="3FC854D0"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w:t>
            </w:r>
          </w:p>
        </w:tc>
        <w:tc>
          <w:tcPr>
            <w:tcW w:w="1196" w:type="dxa"/>
            <w:tcBorders>
              <w:top w:val="single" w:sz="4" w:space="0" w:color="AAAAAA"/>
              <w:left w:val="nil"/>
              <w:bottom w:val="single" w:sz="4" w:space="0" w:color="AAAAAA"/>
              <w:right w:val="single" w:sz="4" w:space="0" w:color="AAAAAA"/>
            </w:tcBorders>
            <w:vAlign w:val="center"/>
            <w:hideMark/>
          </w:tcPr>
          <w:p w14:paraId="036A7B78"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1.067</w:t>
            </w:r>
          </w:p>
        </w:tc>
      </w:tr>
      <w:tr w:rsidR="002D26E1" w:rsidRPr="003B0C52" w14:paraId="70B3038A" w14:textId="77777777" w:rsidTr="00DA2D9D">
        <w:trPr>
          <w:trHeight w:val="806"/>
          <w:jc w:val="center"/>
        </w:trPr>
        <w:tc>
          <w:tcPr>
            <w:tcW w:w="3066" w:type="dxa"/>
            <w:tcBorders>
              <w:top w:val="single" w:sz="4" w:space="0" w:color="AAAAAA"/>
              <w:left w:val="single" w:sz="4" w:space="0" w:color="AAAAAA"/>
              <w:bottom w:val="single" w:sz="4" w:space="0" w:color="AAAAAA"/>
              <w:right w:val="single" w:sz="4" w:space="0" w:color="AAAAAA"/>
            </w:tcBorders>
            <w:vAlign w:val="center"/>
            <w:hideMark/>
          </w:tcPr>
          <w:p w14:paraId="139B8A16"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Market distance: &gt; 10 km</w:t>
            </w:r>
          </w:p>
        </w:tc>
        <w:tc>
          <w:tcPr>
            <w:tcW w:w="997" w:type="dxa"/>
            <w:tcBorders>
              <w:top w:val="single" w:sz="4" w:space="0" w:color="AAAAAA"/>
              <w:left w:val="nil"/>
              <w:bottom w:val="single" w:sz="4" w:space="0" w:color="AAAAAA"/>
              <w:right w:val="single" w:sz="4" w:space="0" w:color="AAAAAA"/>
            </w:tcBorders>
            <w:vAlign w:val="center"/>
            <w:hideMark/>
          </w:tcPr>
          <w:p w14:paraId="510D1CE6"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0.106</w:t>
            </w:r>
          </w:p>
        </w:tc>
        <w:tc>
          <w:tcPr>
            <w:tcW w:w="997" w:type="dxa"/>
            <w:tcBorders>
              <w:top w:val="single" w:sz="4" w:space="0" w:color="AAAAAA"/>
              <w:left w:val="nil"/>
              <w:bottom w:val="single" w:sz="4" w:space="0" w:color="AAAAAA"/>
              <w:right w:val="single" w:sz="4" w:space="0" w:color="AAAAAA"/>
            </w:tcBorders>
            <w:vAlign w:val="center"/>
            <w:hideMark/>
          </w:tcPr>
          <w:p w14:paraId="7F1A7227"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0.022</w:t>
            </w:r>
          </w:p>
        </w:tc>
        <w:tc>
          <w:tcPr>
            <w:tcW w:w="997" w:type="dxa"/>
            <w:tcBorders>
              <w:top w:val="single" w:sz="4" w:space="0" w:color="AAAAAA"/>
              <w:left w:val="nil"/>
              <w:bottom w:val="single" w:sz="4" w:space="0" w:color="AAAAAA"/>
              <w:right w:val="single" w:sz="4" w:space="0" w:color="AAAAAA"/>
            </w:tcBorders>
            <w:vAlign w:val="center"/>
            <w:hideMark/>
          </w:tcPr>
          <w:p w14:paraId="349A30C3"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4.86</w:t>
            </w:r>
          </w:p>
        </w:tc>
        <w:tc>
          <w:tcPr>
            <w:tcW w:w="1121" w:type="dxa"/>
            <w:tcBorders>
              <w:top w:val="single" w:sz="4" w:space="0" w:color="AAAAAA"/>
              <w:left w:val="nil"/>
              <w:bottom w:val="single" w:sz="4" w:space="0" w:color="AAAAAA"/>
              <w:right w:val="single" w:sz="4" w:space="0" w:color="AAAAAA"/>
            </w:tcBorders>
            <w:vAlign w:val="center"/>
            <w:hideMark/>
          </w:tcPr>
          <w:p w14:paraId="1A4D8694"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&lt; 0.001</w:t>
            </w:r>
          </w:p>
        </w:tc>
        <w:tc>
          <w:tcPr>
            <w:tcW w:w="787" w:type="dxa"/>
            <w:tcBorders>
              <w:top w:val="single" w:sz="4" w:space="0" w:color="AAAAAA"/>
              <w:left w:val="nil"/>
              <w:bottom w:val="single" w:sz="4" w:space="0" w:color="AAAAAA"/>
              <w:right w:val="single" w:sz="4" w:space="0" w:color="AAAAAA"/>
            </w:tcBorders>
            <w:vAlign w:val="center"/>
            <w:hideMark/>
          </w:tcPr>
          <w:p w14:paraId="2B309829"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w:t>
            </w:r>
          </w:p>
        </w:tc>
        <w:tc>
          <w:tcPr>
            <w:tcW w:w="1196" w:type="dxa"/>
            <w:tcBorders>
              <w:top w:val="single" w:sz="4" w:space="0" w:color="AAAAAA"/>
              <w:left w:val="nil"/>
              <w:bottom w:val="single" w:sz="4" w:space="0" w:color="AAAAAA"/>
              <w:right w:val="single" w:sz="4" w:space="0" w:color="AAAAAA"/>
            </w:tcBorders>
            <w:vAlign w:val="center"/>
            <w:hideMark/>
          </w:tcPr>
          <w:p w14:paraId="024A1FCF"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1.112</w:t>
            </w:r>
          </w:p>
        </w:tc>
      </w:tr>
      <w:tr w:rsidR="002D26E1" w:rsidRPr="003B0C52" w14:paraId="5D16B46A" w14:textId="77777777" w:rsidTr="00DA2D9D">
        <w:trPr>
          <w:trHeight w:val="794"/>
          <w:jc w:val="center"/>
        </w:trPr>
        <w:tc>
          <w:tcPr>
            <w:tcW w:w="3066" w:type="dxa"/>
            <w:tcBorders>
              <w:top w:val="single" w:sz="4" w:space="0" w:color="AAAAAA"/>
              <w:left w:val="single" w:sz="4" w:space="0" w:color="AAAAAA"/>
              <w:bottom w:val="single" w:sz="4" w:space="0" w:color="AAAAAA"/>
              <w:right w:val="single" w:sz="4" w:space="0" w:color="AAAAAA"/>
            </w:tcBorders>
            <w:vAlign w:val="center"/>
            <w:hideMark/>
          </w:tcPr>
          <w:p w14:paraId="1E9BBFF2"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Transport impact (severity)</w:t>
            </w:r>
          </w:p>
        </w:tc>
        <w:tc>
          <w:tcPr>
            <w:tcW w:w="997" w:type="dxa"/>
            <w:tcBorders>
              <w:top w:val="single" w:sz="4" w:space="0" w:color="AAAAAA"/>
              <w:left w:val="nil"/>
              <w:bottom w:val="single" w:sz="4" w:space="0" w:color="AAAAAA"/>
              <w:right w:val="single" w:sz="4" w:space="0" w:color="AAAAAA"/>
            </w:tcBorders>
            <w:vAlign w:val="center"/>
            <w:hideMark/>
          </w:tcPr>
          <w:p w14:paraId="581F663A"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0.048</w:t>
            </w:r>
          </w:p>
        </w:tc>
        <w:tc>
          <w:tcPr>
            <w:tcW w:w="997" w:type="dxa"/>
            <w:tcBorders>
              <w:top w:val="single" w:sz="4" w:space="0" w:color="AAAAAA"/>
              <w:left w:val="nil"/>
              <w:bottom w:val="single" w:sz="4" w:space="0" w:color="AAAAAA"/>
              <w:right w:val="single" w:sz="4" w:space="0" w:color="AAAAAA"/>
            </w:tcBorders>
            <w:vAlign w:val="center"/>
            <w:hideMark/>
          </w:tcPr>
          <w:p w14:paraId="47A1AB91"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0.018</w:t>
            </w:r>
          </w:p>
        </w:tc>
        <w:tc>
          <w:tcPr>
            <w:tcW w:w="997" w:type="dxa"/>
            <w:tcBorders>
              <w:top w:val="single" w:sz="4" w:space="0" w:color="AAAAAA"/>
              <w:left w:val="nil"/>
              <w:bottom w:val="single" w:sz="4" w:space="0" w:color="AAAAAA"/>
              <w:right w:val="single" w:sz="4" w:space="0" w:color="AAAAAA"/>
            </w:tcBorders>
            <w:vAlign w:val="center"/>
            <w:hideMark/>
          </w:tcPr>
          <w:p w14:paraId="203FB41E"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2.69</w:t>
            </w:r>
          </w:p>
        </w:tc>
        <w:tc>
          <w:tcPr>
            <w:tcW w:w="1121" w:type="dxa"/>
            <w:tcBorders>
              <w:top w:val="single" w:sz="4" w:space="0" w:color="AAAAAA"/>
              <w:left w:val="nil"/>
              <w:bottom w:val="single" w:sz="4" w:space="0" w:color="AAAAAA"/>
              <w:right w:val="single" w:sz="4" w:space="0" w:color="AAAAAA"/>
            </w:tcBorders>
            <w:vAlign w:val="center"/>
            <w:hideMark/>
          </w:tcPr>
          <w:p w14:paraId="46ED9F97"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0.007</w:t>
            </w:r>
          </w:p>
        </w:tc>
        <w:tc>
          <w:tcPr>
            <w:tcW w:w="787" w:type="dxa"/>
            <w:tcBorders>
              <w:top w:val="single" w:sz="4" w:space="0" w:color="AAAAAA"/>
              <w:left w:val="nil"/>
              <w:bottom w:val="single" w:sz="4" w:space="0" w:color="AAAAAA"/>
              <w:right w:val="single" w:sz="4" w:space="0" w:color="AAAAAA"/>
            </w:tcBorders>
            <w:vAlign w:val="center"/>
            <w:hideMark/>
          </w:tcPr>
          <w:p w14:paraId="251042A4"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w:t>
            </w:r>
          </w:p>
        </w:tc>
        <w:tc>
          <w:tcPr>
            <w:tcW w:w="1196" w:type="dxa"/>
            <w:tcBorders>
              <w:top w:val="single" w:sz="4" w:space="0" w:color="AAAAAA"/>
              <w:left w:val="nil"/>
              <w:bottom w:val="single" w:sz="4" w:space="0" w:color="AAAAAA"/>
              <w:right w:val="single" w:sz="4" w:space="0" w:color="AAAAAA"/>
            </w:tcBorders>
            <w:vAlign w:val="center"/>
            <w:hideMark/>
          </w:tcPr>
          <w:p w14:paraId="7BD95ECC"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1.049</w:t>
            </w:r>
          </w:p>
        </w:tc>
      </w:tr>
      <w:tr w:rsidR="002D26E1" w:rsidRPr="003B0C52" w14:paraId="40D92E2D" w14:textId="77777777" w:rsidTr="00DA2D9D">
        <w:trPr>
          <w:trHeight w:val="408"/>
          <w:jc w:val="center"/>
        </w:trPr>
        <w:tc>
          <w:tcPr>
            <w:tcW w:w="3066" w:type="dxa"/>
            <w:tcBorders>
              <w:top w:val="single" w:sz="4" w:space="0" w:color="AAAAAA"/>
              <w:left w:val="single" w:sz="4" w:space="0" w:color="AAAAAA"/>
              <w:bottom w:val="single" w:sz="4" w:space="0" w:color="AAAAAA"/>
              <w:right w:val="single" w:sz="4" w:space="0" w:color="AAAAAA"/>
            </w:tcBorders>
            <w:vAlign w:val="center"/>
            <w:hideMark/>
          </w:tcPr>
          <w:p w14:paraId="4B142D89"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Education: Primary</w:t>
            </w:r>
          </w:p>
        </w:tc>
        <w:tc>
          <w:tcPr>
            <w:tcW w:w="997" w:type="dxa"/>
            <w:tcBorders>
              <w:top w:val="single" w:sz="4" w:space="0" w:color="AAAAAA"/>
              <w:left w:val="nil"/>
              <w:bottom w:val="single" w:sz="4" w:space="0" w:color="AAAAAA"/>
              <w:right w:val="single" w:sz="4" w:space="0" w:color="AAAAAA"/>
            </w:tcBorders>
            <w:vAlign w:val="center"/>
            <w:hideMark/>
          </w:tcPr>
          <w:p w14:paraId="6023B13E"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0.015</w:t>
            </w:r>
          </w:p>
        </w:tc>
        <w:tc>
          <w:tcPr>
            <w:tcW w:w="997" w:type="dxa"/>
            <w:tcBorders>
              <w:top w:val="single" w:sz="4" w:space="0" w:color="AAAAAA"/>
              <w:left w:val="nil"/>
              <w:bottom w:val="single" w:sz="4" w:space="0" w:color="AAAAAA"/>
              <w:right w:val="single" w:sz="4" w:space="0" w:color="AAAAAA"/>
            </w:tcBorders>
            <w:vAlign w:val="center"/>
            <w:hideMark/>
          </w:tcPr>
          <w:p w14:paraId="54537482"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0.023</w:t>
            </w:r>
          </w:p>
        </w:tc>
        <w:tc>
          <w:tcPr>
            <w:tcW w:w="997" w:type="dxa"/>
            <w:tcBorders>
              <w:top w:val="single" w:sz="4" w:space="0" w:color="AAAAAA"/>
              <w:left w:val="nil"/>
              <w:bottom w:val="single" w:sz="4" w:space="0" w:color="AAAAAA"/>
              <w:right w:val="single" w:sz="4" w:space="0" w:color="AAAAAA"/>
            </w:tcBorders>
            <w:vAlign w:val="center"/>
            <w:hideMark/>
          </w:tcPr>
          <w:p w14:paraId="20A98907"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0.67</w:t>
            </w:r>
          </w:p>
        </w:tc>
        <w:tc>
          <w:tcPr>
            <w:tcW w:w="1121" w:type="dxa"/>
            <w:tcBorders>
              <w:top w:val="single" w:sz="4" w:space="0" w:color="AAAAAA"/>
              <w:left w:val="nil"/>
              <w:bottom w:val="single" w:sz="4" w:space="0" w:color="AAAAAA"/>
              <w:right w:val="single" w:sz="4" w:space="0" w:color="AAAAAA"/>
            </w:tcBorders>
            <w:vAlign w:val="center"/>
            <w:hideMark/>
          </w:tcPr>
          <w:p w14:paraId="22FA974E"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0.506</w:t>
            </w:r>
          </w:p>
        </w:tc>
        <w:tc>
          <w:tcPr>
            <w:tcW w:w="787" w:type="dxa"/>
            <w:tcBorders>
              <w:top w:val="single" w:sz="4" w:space="0" w:color="AAAAAA"/>
              <w:left w:val="nil"/>
              <w:bottom w:val="single" w:sz="4" w:space="0" w:color="AAAAAA"/>
              <w:right w:val="single" w:sz="4" w:space="0" w:color="AAAAAA"/>
            </w:tcBorders>
            <w:vAlign w:val="center"/>
            <w:hideMark/>
          </w:tcPr>
          <w:p w14:paraId="028B42F0"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w:t>
            </w:r>
          </w:p>
        </w:tc>
        <w:tc>
          <w:tcPr>
            <w:tcW w:w="1196" w:type="dxa"/>
            <w:tcBorders>
              <w:top w:val="single" w:sz="4" w:space="0" w:color="AAAAAA"/>
              <w:left w:val="nil"/>
              <w:bottom w:val="single" w:sz="4" w:space="0" w:color="AAAAAA"/>
              <w:right w:val="single" w:sz="4" w:space="0" w:color="AAAAAA"/>
            </w:tcBorders>
            <w:vAlign w:val="center"/>
            <w:hideMark/>
          </w:tcPr>
          <w:p w14:paraId="33939C1F"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1.016</w:t>
            </w:r>
          </w:p>
        </w:tc>
      </w:tr>
      <w:tr w:rsidR="002D26E1" w:rsidRPr="003B0C52" w14:paraId="7FB3FCE0" w14:textId="77777777" w:rsidTr="00DA2D9D">
        <w:trPr>
          <w:trHeight w:val="806"/>
          <w:jc w:val="center"/>
        </w:trPr>
        <w:tc>
          <w:tcPr>
            <w:tcW w:w="3066" w:type="dxa"/>
            <w:tcBorders>
              <w:top w:val="single" w:sz="4" w:space="0" w:color="AAAAAA"/>
              <w:left w:val="single" w:sz="4" w:space="0" w:color="AAAAAA"/>
              <w:bottom w:val="single" w:sz="4" w:space="0" w:color="AAAAAA"/>
              <w:right w:val="single" w:sz="4" w:space="0" w:color="AAAAAA"/>
            </w:tcBorders>
            <w:vAlign w:val="center"/>
            <w:hideMark/>
          </w:tcPr>
          <w:p w14:paraId="66CD47D1"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Education: Secondary</w:t>
            </w:r>
          </w:p>
        </w:tc>
        <w:tc>
          <w:tcPr>
            <w:tcW w:w="997" w:type="dxa"/>
            <w:tcBorders>
              <w:top w:val="single" w:sz="4" w:space="0" w:color="AAAAAA"/>
              <w:left w:val="nil"/>
              <w:bottom w:val="single" w:sz="4" w:space="0" w:color="AAAAAA"/>
              <w:right w:val="single" w:sz="4" w:space="0" w:color="AAAAAA"/>
            </w:tcBorders>
            <w:vAlign w:val="center"/>
            <w:hideMark/>
          </w:tcPr>
          <w:p w14:paraId="6C49041A"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0.012</w:t>
            </w:r>
          </w:p>
        </w:tc>
        <w:tc>
          <w:tcPr>
            <w:tcW w:w="997" w:type="dxa"/>
            <w:tcBorders>
              <w:top w:val="single" w:sz="4" w:space="0" w:color="AAAAAA"/>
              <w:left w:val="nil"/>
              <w:bottom w:val="single" w:sz="4" w:space="0" w:color="AAAAAA"/>
              <w:right w:val="single" w:sz="4" w:space="0" w:color="AAAAAA"/>
            </w:tcBorders>
            <w:vAlign w:val="center"/>
            <w:hideMark/>
          </w:tcPr>
          <w:p w14:paraId="482F37DB"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0.022</w:t>
            </w:r>
          </w:p>
        </w:tc>
        <w:tc>
          <w:tcPr>
            <w:tcW w:w="997" w:type="dxa"/>
            <w:tcBorders>
              <w:top w:val="single" w:sz="4" w:space="0" w:color="AAAAAA"/>
              <w:left w:val="nil"/>
              <w:bottom w:val="single" w:sz="4" w:space="0" w:color="AAAAAA"/>
              <w:right w:val="single" w:sz="4" w:space="0" w:color="AAAAAA"/>
            </w:tcBorders>
            <w:vAlign w:val="center"/>
            <w:hideMark/>
          </w:tcPr>
          <w:p w14:paraId="567EA14D"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0.55</w:t>
            </w:r>
          </w:p>
        </w:tc>
        <w:tc>
          <w:tcPr>
            <w:tcW w:w="1121" w:type="dxa"/>
            <w:tcBorders>
              <w:top w:val="single" w:sz="4" w:space="0" w:color="AAAAAA"/>
              <w:left w:val="nil"/>
              <w:bottom w:val="single" w:sz="4" w:space="0" w:color="AAAAAA"/>
              <w:right w:val="single" w:sz="4" w:space="0" w:color="AAAAAA"/>
            </w:tcBorders>
            <w:vAlign w:val="center"/>
            <w:hideMark/>
          </w:tcPr>
          <w:p w14:paraId="52FEF185"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0.586</w:t>
            </w:r>
          </w:p>
        </w:tc>
        <w:tc>
          <w:tcPr>
            <w:tcW w:w="787" w:type="dxa"/>
            <w:tcBorders>
              <w:top w:val="single" w:sz="4" w:space="0" w:color="AAAAAA"/>
              <w:left w:val="nil"/>
              <w:bottom w:val="single" w:sz="4" w:space="0" w:color="AAAAAA"/>
              <w:right w:val="single" w:sz="4" w:space="0" w:color="AAAAAA"/>
            </w:tcBorders>
            <w:vAlign w:val="center"/>
            <w:hideMark/>
          </w:tcPr>
          <w:p w14:paraId="19846066"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w:t>
            </w:r>
          </w:p>
        </w:tc>
        <w:tc>
          <w:tcPr>
            <w:tcW w:w="1196" w:type="dxa"/>
            <w:tcBorders>
              <w:top w:val="single" w:sz="4" w:space="0" w:color="AAAAAA"/>
              <w:left w:val="nil"/>
              <w:bottom w:val="single" w:sz="4" w:space="0" w:color="AAAAAA"/>
              <w:right w:val="single" w:sz="4" w:space="0" w:color="AAAAAA"/>
            </w:tcBorders>
            <w:vAlign w:val="center"/>
            <w:hideMark/>
          </w:tcPr>
          <w:p w14:paraId="0672DDCF"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1.012</w:t>
            </w:r>
          </w:p>
        </w:tc>
      </w:tr>
      <w:tr w:rsidR="002D26E1" w:rsidRPr="003B0C52" w14:paraId="06BED77A" w14:textId="77777777" w:rsidTr="00DA2D9D">
        <w:trPr>
          <w:trHeight w:val="397"/>
          <w:jc w:val="center"/>
        </w:trPr>
        <w:tc>
          <w:tcPr>
            <w:tcW w:w="3066" w:type="dxa"/>
            <w:tcBorders>
              <w:top w:val="single" w:sz="4" w:space="0" w:color="AAAAAA"/>
              <w:left w:val="single" w:sz="4" w:space="0" w:color="AAAAAA"/>
              <w:bottom w:val="single" w:sz="4" w:space="0" w:color="AAAAAA"/>
              <w:right w:val="single" w:sz="4" w:space="0" w:color="AAAAAA"/>
            </w:tcBorders>
            <w:vAlign w:val="center"/>
            <w:hideMark/>
          </w:tcPr>
          <w:p w14:paraId="36F923CC"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Education: Tertiary</w:t>
            </w:r>
          </w:p>
        </w:tc>
        <w:tc>
          <w:tcPr>
            <w:tcW w:w="997" w:type="dxa"/>
            <w:tcBorders>
              <w:top w:val="single" w:sz="4" w:space="0" w:color="AAAAAA"/>
              <w:left w:val="nil"/>
              <w:bottom w:val="single" w:sz="4" w:space="0" w:color="AAAAAA"/>
              <w:right w:val="single" w:sz="4" w:space="0" w:color="AAAAAA"/>
            </w:tcBorders>
            <w:vAlign w:val="center"/>
            <w:hideMark/>
          </w:tcPr>
          <w:p w14:paraId="0EDF1DDB"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0.026</w:t>
            </w:r>
          </w:p>
        </w:tc>
        <w:tc>
          <w:tcPr>
            <w:tcW w:w="997" w:type="dxa"/>
            <w:tcBorders>
              <w:top w:val="single" w:sz="4" w:space="0" w:color="AAAAAA"/>
              <w:left w:val="nil"/>
              <w:bottom w:val="single" w:sz="4" w:space="0" w:color="AAAAAA"/>
              <w:right w:val="single" w:sz="4" w:space="0" w:color="AAAAAA"/>
            </w:tcBorders>
            <w:vAlign w:val="center"/>
            <w:hideMark/>
          </w:tcPr>
          <w:p w14:paraId="20891EBF"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0.030</w:t>
            </w:r>
          </w:p>
        </w:tc>
        <w:tc>
          <w:tcPr>
            <w:tcW w:w="997" w:type="dxa"/>
            <w:tcBorders>
              <w:top w:val="single" w:sz="4" w:space="0" w:color="AAAAAA"/>
              <w:left w:val="nil"/>
              <w:bottom w:val="single" w:sz="4" w:space="0" w:color="AAAAAA"/>
              <w:right w:val="single" w:sz="4" w:space="0" w:color="AAAAAA"/>
            </w:tcBorders>
            <w:vAlign w:val="center"/>
            <w:hideMark/>
          </w:tcPr>
          <w:p w14:paraId="476D441A"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0.89</w:t>
            </w:r>
          </w:p>
        </w:tc>
        <w:tc>
          <w:tcPr>
            <w:tcW w:w="1121" w:type="dxa"/>
            <w:tcBorders>
              <w:top w:val="single" w:sz="4" w:space="0" w:color="AAAAAA"/>
              <w:left w:val="nil"/>
              <w:bottom w:val="single" w:sz="4" w:space="0" w:color="AAAAAA"/>
              <w:right w:val="single" w:sz="4" w:space="0" w:color="AAAAAA"/>
            </w:tcBorders>
            <w:vAlign w:val="center"/>
            <w:hideMark/>
          </w:tcPr>
          <w:p w14:paraId="45DA748F"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0.376</w:t>
            </w:r>
          </w:p>
        </w:tc>
        <w:tc>
          <w:tcPr>
            <w:tcW w:w="787" w:type="dxa"/>
            <w:tcBorders>
              <w:top w:val="single" w:sz="4" w:space="0" w:color="AAAAAA"/>
              <w:left w:val="nil"/>
              <w:bottom w:val="single" w:sz="4" w:space="0" w:color="AAAAAA"/>
              <w:right w:val="single" w:sz="4" w:space="0" w:color="AAAAAA"/>
            </w:tcBorders>
            <w:vAlign w:val="center"/>
            <w:hideMark/>
          </w:tcPr>
          <w:p w14:paraId="68B666FE"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w:t>
            </w:r>
          </w:p>
        </w:tc>
        <w:tc>
          <w:tcPr>
            <w:tcW w:w="1196" w:type="dxa"/>
            <w:tcBorders>
              <w:top w:val="single" w:sz="4" w:space="0" w:color="AAAAAA"/>
              <w:left w:val="nil"/>
              <w:bottom w:val="single" w:sz="4" w:space="0" w:color="AAAAAA"/>
              <w:right w:val="single" w:sz="4" w:space="0" w:color="AAAAAA"/>
            </w:tcBorders>
            <w:vAlign w:val="center"/>
            <w:hideMark/>
          </w:tcPr>
          <w:p w14:paraId="3899FE55"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1.027</w:t>
            </w:r>
          </w:p>
        </w:tc>
      </w:tr>
      <w:tr w:rsidR="002D26E1" w:rsidRPr="003B0C52" w14:paraId="10DFFE4C" w14:textId="77777777" w:rsidTr="00DA2D9D">
        <w:trPr>
          <w:trHeight w:val="806"/>
          <w:jc w:val="center"/>
        </w:trPr>
        <w:tc>
          <w:tcPr>
            <w:tcW w:w="3066" w:type="dxa"/>
            <w:tcBorders>
              <w:top w:val="single" w:sz="4" w:space="0" w:color="AAAAAA"/>
              <w:left w:val="single" w:sz="4" w:space="0" w:color="AAAAAA"/>
              <w:bottom w:val="single" w:sz="4" w:space="0" w:color="AAAAAA"/>
              <w:right w:val="single" w:sz="4" w:space="0" w:color="AAAAAA"/>
            </w:tcBorders>
            <w:vAlign w:val="center"/>
            <w:hideMark/>
          </w:tcPr>
          <w:p w14:paraId="625D1991"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Transport mode: Truck</w:t>
            </w:r>
          </w:p>
        </w:tc>
        <w:tc>
          <w:tcPr>
            <w:tcW w:w="997" w:type="dxa"/>
            <w:tcBorders>
              <w:top w:val="single" w:sz="4" w:space="0" w:color="AAAAAA"/>
              <w:left w:val="nil"/>
              <w:bottom w:val="single" w:sz="4" w:space="0" w:color="AAAAAA"/>
              <w:right w:val="single" w:sz="4" w:space="0" w:color="AAAAAA"/>
            </w:tcBorders>
            <w:vAlign w:val="center"/>
            <w:hideMark/>
          </w:tcPr>
          <w:p w14:paraId="28AABCFF"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-0.041</w:t>
            </w:r>
          </w:p>
        </w:tc>
        <w:tc>
          <w:tcPr>
            <w:tcW w:w="997" w:type="dxa"/>
            <w:tcBorders>
              <w:top w:val="single" w:sz="4" w:space="0" w:color="AAAAAA"/>
              <w:left w:val="nil"/>
              <w:bottom w:val="single" w:sz="4" w:space="0" w:color="AAAAAA"/>
              <w:right w:val="single" w:sz="4" w:space="0" w:color="AAAAAA"/>
            </w:tcBorders>
            <w:vAlign w:val="center"/>
            <w:hideMark/>
          </w:tcPr>
          <w:p w14:paraId="39215D00"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0.015</w:t>
            </w:r>
          </w:p>
        </w:tc>
        <w:tc>
          <w:tcPr>
            <w:tcW w:w="997" w:type="dxa"/>
            <w:tcBorders>
              <w:top w:val="single" w:sz="4" w:space="0" w:color="AAAAAA"/>
              <w:left w:val="nil"/>
              <w:bottom w:val="single" w:sz="4" w:space="0" w:color="AAAAAA"/>
              <w:right w:val="single" w:sz="4" w:space="0" w:color="AAAAAA"/>
            </w:tcBorders>
            <w:vAlign w:val="center"/>
            <w:hideMark/>
          </w:tcPr>
          <w:p w14:paraId="4FF9A516"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-2.64</w:t>
            </w:r>
          </w:p>
        </w:tc>
        <w:tc>
          <w:tcPr>
            <w:tcW w:w="1121" w:type="dxa"/>
            <w:tcBorders>
              <w:top w:val="single" w:sz="4" w:space="0" w:color="AAAAAA"/>
              <w:left w:val="nil"/>
              <w:bottom w:val="single" w:sz="4" w:space="0" w:color="AAAAAA"/>
              <w:right w:val="single" w:sz="4" w:space="0" w:color="AAAAAA"/>
            </w:tcBorders>
            <w:vAlign w:val="center"/>
            <w:hideMark/>
          </w:tcPr>
          <w:p w14:paraId="373F1FE6"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0.008</w:t>
            </w:r>
          </w:p>
        </w:tc>
        <w:tc>
          <w:tcPr>
            <w:tcW w:w="787" w:type="dxa"/>
            <w:tcBorders>
              <w:top w:val="single" w:sz="4" w:space="0" w:color="AAAAAA"/>
              <w:left w:val="nil"/>
              <w:bottom w:val="single" w:sz="4" w:space="0" w:color="AAAAAA"/>
              <w:right w:val="single" w:sz="4" w:space="0" w:color="AAAAAA"/>
            </w:tcBorders>
            <w:vAlign w:val="center"/>
            <w:hideMark/>
          </w:tcPr>
          <w:p w14:paraId="0BB78B68"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w:t>
            </w:r>
          </w:p>
        </w:tc>
        <w:tc>
          <w:tcPr>
            <w:tcW w:w="1196" w:type="dxa"/>
            <w:tcBorders>
              <w:top w:val="single" w:sz="4" w:space="0" w:color="AAAAAA"/>
              <w:left w:val="nil"/>
              <w:bottom w:val="single" w:sz="4" w:space="0" w:color="AAAAAA"/>
              <w:right w:val="single" w:sz="4" w:space="0" w:color="AAAAAA"/>
            </w:tcBorders>
            <w:vAlign w:val="center"/>
            <w:hideMark/>
          </w:tcPr>
          <w:p w14:paraId="1B6BC7E3"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0.960</w:t>
            </w:r>
          </w:p>
        </w:tc>
      </w:tr>
      <w:tr w:rsidR="002D26E1" w:rsidRPr="003B0C52" w14:paraId="2417916F" w14:textId="77777777" w:rsidTr="00DA2D9D">
        <w:trPr>
          <w:trHeight w:val="806"/>
          <w:jc w:val="center"/>
        </w:trPr>
        <w:tc>
          <w:tcPr>
            <w:tcW w:w="3066" w:type="dxa"/>
            <w:tcBorders>
              <w:top w:val="single" w:sz="4" w:space="0" w:color="AAAAAA"/>
              <w:left w:val="single" w:sz="4" w:space="0" w:color="AAAAAA"/>
              <w:bottom w:val="single" w:sz="4" w:space="0" w:color="AAAAAA"/>
              <w:right w:val="single" w:sz="4" w:space="0" w:color="AAAAAA"/>
            </w:tcBorders>
            <w:vAlign w:val="center"/>
            <w:hideMark/>
          </w:tcPr>
          <w:p w14:paraId="7C2B713D"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Transport mode: Animal</w:t>
            </w:r>
          </w:p>
        </w:tc>
        <w:tc>
          <w:tcPr>
            <w:tcW w:w="997" w:type="dxa"/>
            <w:tcBorders>
              <w:top w:val="single" w:sz="4" w:space="0" w:color="AAAAAA"/>
              <w:left w:val="nil"/>
              <w:bottom w:val="single" w:sz="4" w:space="0" w:color="AAAAAA"/>
              <w:right w:val="single" w:sz="4" w:space="0" w:color="AAAAAA"/>
            </w:tcBorders>
            <w:vAlign w:val="center"/>
            <w:hideMark/>
          </w:tcPr>
          <w:p w14:paraId="29A423E1"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-0.030</w:t>
            </w:r>
          </w:p>
        </w:tc>
        <w:tc>
          <w:tcPr>
            <w:tcW w:w="997" w:type="dxa"/>
            <w:tcBorders>
              <w:top w:val="single" w:sz="4" w:space="0" w:color="AAAAAA"/>
              <w:left w:val="nil"/>
              <w:bottom w:val="single" w:sz="4" w:space="0" w:color="AAAAAA"/>
              <w:right w:val="single" w:sz="4" w:space="0" w:color="AAAAAA"/>
            </w:tcBorders>
            <w:vAlign w:val="center"/>
            <w:hideMark/>
          </w:tcPr>
          <w:p w14:paraId="190125D0"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0.108</w:t>
            </w:r>
          </w:p>
        </w:tc>
        <w:tc>
          <w:tcPr>
            <w:tcW w:w="997" w:type="dxa"/>
            <w:tcBorders>
              <w:top w:val="single" w:sz="4" w:space="0" w:color="AAAAAA"/>
              <w:left w:val="nil"/>
              <w:bottom w:val="single" w:sz="4" w:space="0" w:color="AAAAAA"/>
              <w:right w:val="single" w:sz="4" w:space="0" w:color="AAAAAA"/>
            </w:tcBorders>
            <w:vAlign w:val="center"/>
            <w:hideMark/>
          </w:tcPr>
          <w:p w14:paraId="5C146371"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-0.28</w:t>
            </w:r>
          </w:p>
        </w:tc>
        <w:tc>
          <w:tcPr>
            <w:tcW w:w="1121" w:type="dxa"/>
            <w:tcBorders>
              <w:top w:val="single" w:sz="4" w:space="0" w:color="AAAAAA"/>
              <w:left w:val="nil"/>
              <w:bottom w:val="single" w:sz="4" w:space="0" w:color="AAAAAA"/>
              <w:right w:val="single" w:sz="4" w:space="0" w:color="AAAAAA"/>
            </w:tcBorders>
            <w:vAlign w:val="center"/>
            <w:hideMark/>
          </w:tcPr>
          <w:p w14:paraId="1537DFD0"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0.781</w:t>
            </w:r>
          </w:p>
        </w:tc>
        <w:tc>
          <w:tcPr>
            <w:tcW w:w="787" w:type="dxa"/>
            <w:tcBorders>
              <w:top w:val="single" w:sz="4" w:space="0" w:color="AAAAAA"/>
              <w:left w:val="nil"/>
              <w:bottom w:val="single" w:sz="4" w:space="0" w:color="AAAAAA"/>
              <w:right w:val="single" w:sz="4" w:space="0" w:color="AAAAAA"/>
            </w:tcBorders>
            <w:vAlign w:val="center"/>
            <w:hideMark/>
          </w:tcPr>
          <w:p w14:paraId="1B91E869"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w:t>
            </w:r>
          </w:p>
        </w:tc>
        <w:tc>
          <w:tcPr>
            <w:tcW w:w="1196" w:type="dxa"/>
            <w:tcBorders>
              <w:top w:val="single" w:sz="4" w:space="0" w:color="AAAAAA"/>
              <w:left w:val="nil"/>
              <w:bottom w:val="single" w:sz="4" w:space="0" w:color="AAAAAA"/>
              <w:right w:val="single" w:sz="4" w:space="0" w:color="AAAAAA"/>
            </w:tcBorders>
            <w:vAlign w:val="center"/>
            <w:hideMark/>
          </w:tcPr>
          <w:p w14:paraId="478DC050"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0.971</w:t>
            </w:r>
          </w:p>
        </w:tc>
      </w:tr>
      <w:tr w:rsidR="002D26E1" w:rsidRPr="003B0C52" w14:paraId="05050C77" w14:textId="77777777" w:rsidTr="00DA2D9D">
        <w:trPr>
          <w:trHeight w:val="794"/>
          <w:jc w:val="center"/>
        </w:trPr>
        <w:tc>
          <w:tcPr>
            <w:tcW w:w="3066" w:type="dxa"/>
            <w:tcBorders>
              <w:top w:val="single" w:sz="4" w:space="0" w:color="AAAAAA"/>
              <w:left w:val="single" w:sz="4" w:space="0" w:color="AAAAAA"/>
              <w:bottom w:val="single" w:sz="4" w:space="0" w:color="AAAAAA"/>
              <w:right w:val="single" w:sz="4" w:space="0" w:color="AAAAAA"/>
            </w:tcBorders>
            <w:vAlign w:val="center"/>
            <w:hideMark/>
          </w:tcPr>
          <w:p w14:paraId="37331708"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Transport mode: Other</w:t>
            </w:r>
          </w:p>
        </w:tc>
        <w:tc>
          <w:tcPr>
            <w:tcW w:w="997" w:type="dxa"/>
            <w:tcBorders>
              <w:top w:val="single" w:sz="4" w:space="0" w:color="AAAAAA"/>
              <w:left w:val="nil"/>
              <w:bottom w:val="single" w:sz="4" w:space="0" w:color="AAAAAA"/>
              <w:right w:val="single" w:sz="4" w:space="0" w:color="AAAAAA"/>
            </w:tcBorders>
            <w:vAlign w:val="center"/>
            <w:hideMark/>
          </w:tcPr>
          <w:p w14:paraId="3E07613A"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-0.037</w:t>
            </w:r>
          </w:p>
        </w:tc>
        <w:tc>
          <w:tcPr>
            <w:tcW w:w="997" w:type="dxa"/>
            <w:tcBorders>
              <w:top w:val="single" w:sz="4" w:space="0" w:color="AAAAAA"/>
              <w:left w:val="nil"/>
              <w:bottom w:val="single" w:sz="4" w:space="0" w:color="AAAAAA"/>
              <w:right w:val="single" w:sz="4" w:space="0" w:color="AAAAAA"/>
            </w:tcBorders>
            <w:vAlign w:val="center"/>
            <w:hideMark/>
          </w:tcPr>
          <w:p w14:paraId="3C29C74F"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0.052</w:t>
            </w:r>
          </w:p>
        </w:tc>
        <w:tc>
          <w:tcPr>
            <w:tcW w:w="997" w:type="dxa"/>
            <w:tcBorders>
              <w:top w:val="single" w:sz="4" w:space="0" w:color="AAAAAA"/>
              <w:left w:val="nil"/>
              <w:bottom w:val="single" w:sz="4" w:space="0" w:color="AAAAAA"/>
              <w:right w:val="single" w:sz="4" w:space="0" w:color="AAAAAA"/>
            </w:tcBorders>
            <w:vAlign w:val="center"/>
            <w:hideMark/>
          </w:tcPr>
          <w:p w14:paraId="29D0085A"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-0.71</w:t>
            </w:r>
          </w:p>
        </w:tc>
        <w:tc>
          <w:tcPr>
            <w:tcW w:w="1121" w:type="dxa"/>
            <w:tcBorders>
              <w:top w:val="single" w:sz="4" w:space="0" w:color="AAAAAA"/>
              <w:left w:val="nil"/>
              <w:bottom w:val="single" w:sz="4" w:space="0" w:color="AAAAAA"/>
              <w:right w:val="single" w:sz="4" w:space="0" w:color="AAAAAA"/>
            </w:tcBorders>
            <w:vAlign w:val="center"/>
            <w:hideMark/>
          </w:tcPr>
          <w:p w14:paraId="2CDD38B1"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0.476</w:t>
            </w:r>
          </w:p>
        </w:tc>
        <w:tc>
          <w:tcPr>
            <w:tcW w:w="787" w:type="dxa"/>
            <w:tcBorders>
              <w:top w:val="single" w:sz="4" w:space="0" w:color="AAAAAA"/>
              <w:left w:val="nil"/>
              <w:bottom w:val="single" w:sz="4" w:space="0" w:color="AAAAAA"/>
              <w:right w:val="single" w:sz="4" w:space="0" w:color="AAAAAA"/>
            </w:tcBorders>
            <w:vAlign w:val="center"/>
            <w:hideMark/>
          </w:tcPr>
          <w:p w14:paraId="3DD4A987"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w:t>
            </w:r>
          </w:p>
        </w:tc>
        <w:tc>
          <w:tcPr>
            <w:tcW w:w="1196" w:type="dxa"/>
            <w:tcBorders>
              <w:top w:val="single" w:sz="4" w:space="0" w:color="AAAAAA"/>
              <w:left w:val="nil"/>
              <w:bottom w:val="single" w:sz="4" w:space="0" w:color="AAAAAA"/>
              <w:right w:val="single" w:sz="4" w:space="0" w:color="AAAAAA"/>
            </w:tcBorders>
            <w:vAlign w:val="center"/>
            <w:hideMark/>
          </w:tcPr>
          <w:p w14:paraId="227887F8"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0.964</w:t>
            </w:r>
          </w:p>
        </w:tc>
      </w:tr>
    </w:tbl>
    <w:p w14:paraId="1B111323" w14:textId="29D4FECD" w:rsidR="002D26E1" w:rsidRPr="003B0C52" w:rsidRDefault="002D26E1" w:rsidP="003B0C52">
      <w:pPr>
        <w:pStyle w:val="NoSpacing"/>
        <w:jc w:val="both"/>
        <w:rPr>
          <w:rFonts w:ascii="Times New Roman" w:hAnsi="Times New Roman" w:cs="Times New Roman"/>
          <w:i/>
        </w:rPr>
      </w:pPr>
      <w:r w:rsidRPr="003B0C52">
        <w:rPr>
          <w:rFonts w:ascii="Times New Roman" w:hAnsi="Times New Roman" w:cs="Times New Roman"/>
          <w:i/>
        </w:rPr>
        <w:t xml:space="preserve">The Incidence ratio rate </w:t>
      </w:r>
      <m:oMath>
        <m:r>
          <w:rPr>
            <w:rFonts w:ascii="Cambria Math" w:hAnsi="Cambria Math" w:cs="Times New Roman"/>
          </w:rPr>
          <m:t>IRR=exp</m:t>
        </m:r>
        <m:d>
          <m:dPr>
            <m:ctrlPr>
              <w:rPr>
                <w:rFonts w:ascii="Cambria Math" w:hAnsi="Cambria Math" w:cs="Times New Roman"/>
                <w:i/>
              </w:rPr>
            </m:ctrlPr>
          </m:dPr>
          <m:e>
            <m:r>
              <w:rPr>
                <w:rFonts w:ascii="Cambria Math" w:hAnsi="Cambria Math" w:cs="Times New Roman"/>
              </w:rPr>
              <m:t>β</m:t>
            </m:r>
          </m:e>
        </m:d>
      </m:oMath>
      <w:r w:rsidRPr="003B0C52">
        <w:rPr>
          <w:rFonts w:ascii="Times New Roman" w:eastAsiaTheme="minorEastAsia" w:hAnsi="Times New Roman" w:cs="Times New Roman"/>
          <w:i/>
        </w:rPr>
        <w:t>, The reference categories are; the traditional storage method, storage duration less than 2 weeks, market distance less than 5km, no education, mode of transport is motorcycle.</w:t>
      </w:r>
    </w:p>
    <w:p w14:paraId="7917E793" w14:textId="32178E8A" w:rsidR="002D26E1" w:rsidRPr="003B0C52" w:rsidRDefault="002D26E1" w:rsidP="003B0C52">
      <w:pPr>
        <w:pStyle w:val="Heading2"/>
        <w:spacing w:line="240" w:lineRule="auto"/>
        <w:rPr>
          <w:rFonts w:ascii="Times New Roman" w:hAnsi="Times New Roman" w:cs="Times New Roman"/>
          <w:b/>
          <w:bCs/>
          <w:color w:val="auto"/>
          <w:sz w:val="24"/>
          <w:szCs w:val="24"/>
        </w:rPr>
      </w:pPr>
      <w:bookmarkStart w:id="19" w:name="_Toc225180566"/>
      <w:r w:rsidRPr="003B0C52">
        <w:rPr>
          <w:rFonts w:ascii="Times New Roman" w:hAnsi="Times New Roman" w:cs="Times New Roman"/>
          <w:b/>
          <w:bCs/>
          <w:color w:val="auto"/>
          <w:sz w:val="24"/>
          <w:szCs w:val="24"/>
        </w:rPr>
        <w:t>4.</w:t>
      </w:r>
      <w:r w:rsidR="0075761C" w:rsidRPr="003B0C52">
        <w:rPr>
          <w:rFonts w:ascii="Times New Roman" w:hAnsi="Times New Roman" w:cs="Times New Roman"/>
          <w:b/>
          <w:bCs/>
          <w:color w:val="auto"/>
          <w:sz w:val="24"/>
          <w:szCs w:val="24"/>
        </w:rPr>
        <w:t>4</w:t>
      </w:r>
      <w:r w:rsidRPr="003B0C52">
        <w:rPr>
          <w:rFonts w:ascii="Times New Roman" w:hAnsi="Times New Roman" w:cs="Times New Roman"/>
          <w:b/>
          <w:bCs/>
          <w:color w:val="auto"/>
          <w:sz w:val="24"/>
          <w:szCs w:val="24"/>
        </w:rPr>
        <w:tab/>
        <w:t>Multilevel Beta Regression Results</w:t>
      </w:r>
      <w:bookmarkEnd w:id="19"/>
    </w:p>
    <w:p w14:paraId="251BE5A5" w14:textId="38821E6E"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 xml:space="preserve">Multilevel Beta regression model was estimated using the value chain stage and county as the random intercept grouping factors. The model converged </w:t>
      </w:r>
      <m:oMath>
        <m:r>
          <w:rPr>
            <w:rFonts w:ascii="Cambria Math" w:hAnsi="Cambria Math" w:cs="Times New Roman"/>
          </w:rPr>
          <m:t>(AIC=-2711.30, BIC=-2622.64, log-likelihood=1375.65, 2</m:t>
        </m:r>
      </m:oMath>
      <w:r w:rsidRPr="003B0C52">
        <w:rPr>
          <w:rFonts w:ascii="Times New Roman" w:eastAsiaTheme="minorEastAsia" w:hAnsi="Times New Roman" w:cs="Times New Roman"/>
        </w:rPr>
        <w:t>,  precision parameter</w:t>
      </w:r>
      <m:oMath>
        <m:r>
          <w:rPr>
            <w:rFonts w:ascii="Cambria Math" w:hAnsi="Cambria Math" w:cs="Times New Roman"/>
          </w:rPr>
          <m:t xml:space="preserve"> ϕ=308).</m:t>
        </m:r>
      </m:oMath>
      <w:r w:rsidRPr="003B0C52">
        <w:rPr>
          <w:rFonts w:ascii="Times New Roman" w:hAnsi="Times New Roman" w:cs="Times New Roman"/>
        </w:rPr>
        <w:t xml:space="preserve"> The high precision parameter implies that the proportional loss distribution is narrowly clustered around the mean, which is consistent with the narrow range of losses observed (15% to 45 percent). The Smithson and </w:t>
      </w:r>
      <w:proofErr w:type="spellStart"/>
      <w:r w:rsidRPr="003B0C52">
        <w:rPr>
          <w:rFonts w:ascii="Times New Roman" w:hAnsi="Times New Roman" w:cs="Times New Roman"/>
        </w:rPr>
        <w:t>Verkuilen</w:t>
      </w:r>
      <w:proofErr w:type="spellEnd"/>
      <w:r w:rsidRPr="003B0C52">
        <w:rPr>
          <w:rFonts w:ascii="Times New Roman" w:hAnsi="Times New Roman" w:cs="Times New Roman"/>
        </w:rPr>
        <w:t xml:space="preserve"> compression </w:t>
      </w:r>
      <m:oMath>
        <m:r>
          <w:rPr>
            <w:rFonts w:ascii="Cambria Math" w:hAnsi="Cambria Math" w:cs="Times New Roman"/>
          </w:rPr>
          <m:t>P*=P(n-1)+0.5)/n</m:t>
        </m:r>
      </m:oMath>
      <w:r w:rsidRPr="003B0C52">
        <w:rPr>
          <w:rFonts w:ascii="Times New Roman" w:hAnsi="Times New Roman" w:cs="Times New Roman"/>
        </w:rPr>
        <w:t xml:space="preserve"> was used to transform proportional losses to </w:t>
      </w:r>
      <w:r w:rsidRPr="003B0C52">
        <w:rPr>
          <w:rFonts w:ascii="Times New Roman" w:hAnsi="Times New Roman" w:cs="Times New Roman"/>
        </w:rPr>
        <w:lastRenderedPageBreak/>
        <w:t xml:space="preserve">ensure values strictly lie in </w:t>
      </w:r>
      <m:oMath>
        <m:r>
          <w:rPr>
            <w:rFonts w:ascii="Cambria Math" w:hAnsi="Cambria Math" w:cs="Times New Roman"/>
          </w:rPr>
          <m:t>(0, 1).</m:t>
        </m:r>
      </m:oMath>
      <w:r w:rsidRPr="003B0C52">
        <w:rPr>
          <w:rFonts w:ascii="Times New Roman" w:hAnsi="Times New Roman" w:cs="Times New Roman"/>
        </w:rPr>
        <w:t xml:space="preserve"> Fixed effects were all analyzed based on odds ratios</w:t>
      </w:r>
      <m:oMath>
        <m:r>
          <w:rPr>
            <w:rFonts w:ascii="Cambria Math" w:hAnsi="Cambria Math" w:cs="Times New Roman"/>
          </w:rPr>
          <m:t xml:space="preserve"> (OR = exp(B))</m:t>
        </m:r>
      </m:oMath>
      <w:r w:rsidRPr="003B0C52">
        <w:rPr>
          <w:rFonts w:ascii="Times New Roman" w:hAnsi="Times New Roman" w:cs="Times New Roman"/>
        </w:rPr>
        <w:t xml:space="preserve"> and marginal effects in percentage points when the sample mean was </w:t>
      </w:r>
      <m:oMath>
        <m:r>
          <w:rPr>
            <w:rFonts w:ascii="Cambria Math" w:hAnsi="Cambria Math" w:cs="Times New Roman"/>
          </w:rPr>
          <m:t>0.319 (31.9%),</m:t>
        </m:r>
      </m:oMath>
      <w:r w:rsidRPr="003B0C52">
        <w:rPr>
          <w:rFonts w:ascii="Times New Roman" w:hAnsi="Times New Roman" w:cs="Times New Roman"/>
        </w:rPr>
        <w:t xml:space="preserve"> which was the mean of the sample. </w:t>
      </w:r>
      <w:r w:rsidRPr="003B0C52">
        <w:rPr>
          <w:rFonts w:ascii="Times New Roman" w:hAnsi="Times New Roman" w:cs="Times New Roman"/>
        </w:rPr>
        <w:fldChar w:fldCharType="begin"/>
      </w:r>
      <w:r w:rsidRPr="003B0C52">
        <w:rPr>
          <w:rFonts w:ascii="Times New Roman" w:hAnsi="Times New Roman" w:cs="Times New Roman"/>
        </w:rPr>
        <w:instrText xml:space="preserve"> REF _Ref225192210 \h  \* MERGEFORMAT </w:instrText>
      </w:r>
      <w:r w:rsidRPr="003B0C52">
        <w:rPr>
          <w:rFonts w:ascii="Times New Roman" w:hAnsi="Times New Roman" w:cs="Times New Roman"/>
        </w:rPr>
      </w:r>
      <w:r w:rsidRPr="003B0C52">
        <w:rPr>
          <w:rFonts w:ascii="Times New Roman" w:hAnsi="Times New Roman" w:cs="Times New Roman"/>
        </w:rPr>
        <w:fldChar w:fldCharType="separate"/>
      </w:r>
      <w:r w:rsidRPr="003B0C52">
        <w:rPr>
          <w:rFonts w:ascii="Times New Roman" w:hAnsi="Times New Roman" w:cs="Times New Roman"/>
          <w:b/>
          <w:bCs/>
        </w:rPr>
        <w:t xml:space="preserve">Figure </w:t>
      </w:r>
      <w:r w:rsidRPr="003B0C52">
        <w:rPr>
          <w:rFonts w:ascii="Times New Roman" w:hAnsi="Times New Roman" w:cs="Times New Roman"/>
          <w:b/>
          <w:bCs/>
          <w:noProof/>
        </w:rPr>
        <w:t>2</w:t>
      </w:r>
      <w:r w:rsidRPr="003B0C52">
        <w:rPr>
          <w:rFonts w:ascii="Times New Roman" w:hAnsi="Times New Roman" w:cs="Times New Roman"/>
        </w:rPr>
        <w:fldChar w:fldCharType="end"/>
      </w:r>
      <w:r w:rsidRPr="003B0C52">
        <w:rPr>
          <w:rFonts w:ascii="Times New Roman" w:hAnsi="Times New Roman" w:cs="Times New Roman"/>
        </w:rPr>
        <w:t xml:space="preserve"> shows the odds ratio forest plot of the multilevel Beta model, which gives a visual representation of the direction and significance of all the predictors on the proportional loss outcome. Full estimates are in </w:t>
      </w:r>
      <w:r w:rsidR="008A59B2" w:rsidRPr="003B0C52">
        <w:rPr>
          <w:rFonts w:ascii="Times New Roman" w:hAnsi="Times New Roman" w:cs="Times New Roman"/>
        </w:rPr>
        <w:fldChar w:fldCharType="begin"/>
      </w:r>
      <w:r w:rsidR="008A59B2" w:rsidRPr="003B0C52">
        <w:rPr>
          <w:rFonts w:ascii="Times New Roman" w:hAnsi="Times New Roman" w:cs="Times New Roman"/>
        </w:rPr>
        <w:instrText xml:space="preserve"> REF _Ref225192372 \h </w:instrText>
      </w:r>
      <w:r w:rsidR="003B0C52">
        <w:rPr>
          <w:rFonts w:ascii="Times New Roman" w:hAnsi="Times New Roman" w:cs="Times New Roman"/>
        </w:rPr>
        <w:instrText xml:space="preserve"> \* MERGEFORMAT </w:instrText>
      </w:r>
      <w:r w:rsidR="008A59B2" w:rsidRPr="003B0C52">
        <w:rPr>
          <w:rFonts w:ascii="Times New Roman" w:hAnsi="Times New Roman" w:cs="Times New Roman"/>
        </w:rPr>
      </w:r>
      <w:r w:rsidR="008A59B2" w:rsidRPr="003B0C52">
        <w:rPr>
          <w:rFonts w:ascii="Times New Roman" w:hAnsi="Times New Roman" w:cs="Times New Roman"/>
        </w:rPr>
        <w:fldChar w:fldCharType="separate"/>
      </w:r>
      <w:r w:rsidR="008A59B2" w:rsidRPr="003B0C52">
        <w:rPr>
          <w:rFonts w:ascii="Times New Roman" w:hAnsi="Times New Roman" w:cs="Times New Roman"/>
          <w:b/>
          <w:bCs/>
        </w:rPr>
        <w:t xml:space="preserve">Table </w:t>
      </w:r>
      <w:r w:rsidR="008A59B2" w:rsidRPr="003B0C52">
        <w:rPr>
          <w:rFonts w:ascii="Times New Roman" w:hAnsi="Times New Roman" w:cs="Times New Roman"/>
          <w:b/>
          <w:bCs/>
          <w:noProof/>
        </w:rPr>
        <w:t>4</w:t>
      </w:r>
      <w:r w:rsidR="008A59B2" w:rsidRPr="003B0C52">
        <w:rPr>
          <w:rFonts w:ascii="Times New Roman" w:hAnsi="Times New Roman" w:cs="Times New Roman"/>
        </w:rPr>
        <w:fldChar w:fldCharType="end"/>
      </w:r>
      <w:r w:rsidRPr="003B0C52">
        <w:rPr>
          <w:rFonts w:ascii="Times New Roman" w:hAnsi="Times New Roman" w:cs="Times New Roman"/>
        </w:rPr>
        <w:fldChar w:fldCharType="begin"/>
      </w:r>
      <w:r w:rsidRPr="003B0C52">
        <w:rPr>
          <w:rFonts w:ascii="Times New Roman" w:hAnsi="Times New Roman" w:cs="Times New Roman"/>
        </w:rPr>
        <w:instrText xml:space="preserve"> REF _Ref225192372 \h  \* MERGEFORMAT </w:instrText>
      </w:r>
      <w:r w:rsidRPr="003B0C52">
        <w:rPr>
          <w:rFonts w:ascii="Times New Roman" w:hAnsi="Times New Roman" w:cs="Times New Roman"/>
        </w:rPr>
      </w:r>
      <w:r w:rsidRPr="003B0C52">
        <w:rPr>
          <w:rFonts w:ascii="Times New Roman" w:hAnsi="Times New Roman" w:cs="Times New Roman"/>
        </w:rPr>
        <w:fldChar w:fldCharType="end"/>
      </w:r>
      <w:r w:rsidRPr="003B0C52">
        <w:rPr>
          <w:rFonts w:ascii="Times New Roman" w:hAnsi="Times New Roman" w:cs="Times New Roman"/>
        </w:rPr>
        <w:t xml:space="preserve"> below.</w:t>
      </w:r>
    </w:p>
    <w:p w14:paraId="3A45AC81" w14:textId="77777777" w:rsidR="002D26E1" w:rsidRPr="003B0C52" w:rsidRDefault="002D26E1" w:rsidP="003B0C52">
      <w:pPr>
        <w:pStyle w:val="NoSpacing"/>
        <w:jc w:val="both"/>
        <w:rPr>
          <w:rFonts w:ascii="Times New Roman" w:eastAsia="MS Mincho" w:hAnsi="Times New Roman" w:cs="Times New Roman"/>
          <w:i/>
          <w:kern w:val="0"/>
          <w14:ligatures w14:val="none"/>
        </w:rPr>
      </w:pPr>
      <w:r w:rsidRPr="003B0C52">
        <w:rPr>
          <w:rFonts w:ascii="Times New Roman" w:hAnsi="Times New Roman" w:cs="Times New Roman"/>
          <w:noProof/>
        </w:rPr>
        <w:drawing>
          <wp:inline distT="0" distB="0" distL="0" distR="0" wp14:anchorId="15A3EDF3" wp14:editId="4CEC46A3">
            <wp:extent cx="5219700" cy="3653790"/>
            <wp:effectExtent l="0" t="0" r="0" b="381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9"/>
                    <a:stretch>
                      <a:fillRect/>
                    </a:stretch>
                  </pic:blipFill>
                  <pic:spPr>
                    <a:xfrm>
                      <a:off x="0" y="0"/>
                      <a:ext cx="5219700" cy="3653790"/>
                    </a:xfrm>
                    <a:prstGeom prst="rect">
                      <a:avLst/>
                    </a:prstGeom>
                  </pic:spPr>
                </pic:pic>
              </a:graphicData>
            </a:graphic>
          </wp:inline>
        </w:drawing>
      </w:r>
    </w:p>
    <w:p w14:paraId="17D0AB5B" w14:textId="77777777" w:rsidR="00AE4901" w:rsidRPr="003B0C52" w:rsidRDefault="002D26E1" w:rsidP="003B0C52">
      <w:pPr>
        <w:pStyle w:val="Caption"/>
        <w:rPr>
          <w:rFonts w:ascii="Times New Roman" w:hAnsi="Times New Roman" w:cs="Times New Roman"/>
          <w:b/>
          <w:bCs/>
          <w:sz w:val="24"/>
          <w:szCs w:val="24"/>
        </w:rPr>
      </w:pPr>
      <w:bookmarkStart w:id="20" w:name="_Ref225192210"/>
      <w:bookmarkStart w:id="21" w:name="_Toc225196575"/>
      <w:r w:rsidRPr="003B0C52">
        <w:rPr>
          <w:rFonts w:ascii="Times New Roman" w:hAnsi="Times New Roman" w:cs="Times New Roman"/>
          <w:b/>
          <w:bCs/>
          <w:sz w:val="24"/>
          <w:szCs w:val="24"/>
        </w:rPr>
        <w:t xml:space="preserve">Figure </w:t>
      </w:r>
      <w:r w:rsidRPr="003B0C52">
        <w:rPr>
          <w:rFonts w:ascii="Times New Roman" w:hAnsi="Times New Roman" w:cs="Times New Roman"/>
          <w:b/>
          <w:bCs/>
          <w:sz w:val="24"/>
          <w:szCs w:val="24"/>
        </w:rPr>
        <w:fldChar w:fldCharType="begin"/>
      </w:r>
      <w:r w:rsidRPr="003B0C52">
        <w:rPr>
          <w:rFonts w:ascii="Times New Roman" w:hAnsi="Times New Roman" w:cs="Times New Roman"/>
          <w:b/>
          <w:bCs/>
          <w:sz w:val="24"/>
          <w:szCs w:val="24"/>
        </w:rPr>
        <w:instrText xml:space="preserve"> SEQ Figure \* ARABIC </w:instrText>
      </w:r>
      <w:r w:rsidRPr="003B0C52">
        <w:rPr>
          <w:rFonts w:ascii="Times New Roman" w:hAnsi="Times New Roman" w:cs="Times New Roman"/>
          <w:b/>
          <w:bCs/>
          <w:sz w:val="24"/>
          <w:szCs w:val="24"/>
        </w:rPr>
        <w:fldChar w:fldCharType="separate"/>
      </w:r>
      <w:r w:rsidR="00AE4901" w:rsidRPr="003B0C52">
        <w:rPr>
          <w:rFonts w:ascii="Times New Roman" w:hAnsi="Times New Roman" w:cs="Times New Roman"/>
          <w:b/>
          <w:bCs/>
          <w:noProof/>
          <w:sz w:val="24"/>
          <w:szCs w:val="24"/>
        </w:rPr>
        <w:t>2</w:t>
      </w:r>
      <w:r w:rsidRPr="003B0C52">
        <w:rPr>
          <w:rFonts w:ascii="Times New Roman" w:hAnsi="Times New Roman" w:cs="Times New Roman"/>
          <w:b/>
          <w:bCs/>
          <w:sz w:val="24"/>
          <w:szCs w:val="24"/>
        </w:rPr>
        <w:fldChar w:fldCharType="end"/>
      </w:r>
      <w:bookmarkEnd w:id="20"/>
      <w:r w:rsidRPr="003B0C52">
        <w:rPr>
          <w:rFonts w:ascii="Times New Roman" w:hAnsi="Times New Roman" w:cs="Times New Roman"/>
          <w:b/>
          <w:bCs/>
          <w:sz w:val="24"/>
          <w:szCs w:val="24"/>
        </w:rPr>
        <w:t>:Multilevel Beta Regression</w:t>
      </w:r>
      <w:bookmarkEnd w:id="21"/>
    </w:p>
    <w:p w14:paraId="40FDB155" w14:textId="72D63D5F" w:rsidR="002D26E1" w:rsidRPr="003B0C52" w:rsidRDefault="00AE4901" w:rsidP="003B0C52">
      <w:pPr>
        <w:pStyle w:val="Caption"/>
        <w:rPr>
          <w:rFonts w:ascii="Times New Roman" w:hAnsi="Times New Roman" w:cs="Times New Roman"/>
          <w:i w:val="0"/>
          <w:sz w:val="24"/>
          <w:szCs w:val="24"/>
        </w:rPr>
      </w:pPr>
      <w:r w:rsidRPr="003B0C52">
        <w:rPr>
          <w:rFonts w:ascii="Times New Roman" w:hAnsi="Times New Roman" w:cs="Times New Roman"/>
          <w:b/>
          <w:bCs/>
          <w:sz w:val="24"/>
          <w:szCs w:val="24"/>
        </w:rPr>
        <w:fldChar w:fldCharType="begin"/>
      </w:r>
      <w:r w:rsidRPr="003B0C52">
        <w:rPr>
          <w:rFonts w:ascii="Times New Roman" w:hAnsi="Times New Roman" w:cs="Times New Roman"/>
          <w:b/>
          <w:bCs/>
          <w:sz w:val="24"/>
          <w:szCs w:val="24"/>
        </w:rPr>
        <w:instrText xml:space="preserve"> REF _Ref225192210 \h </w:instrText>
      </w:r>
      <w:r w:rsidR="003B0C52">
        <w:rPr>
          <w:rFonts w:ascii="Times New Roman" w:hAnsi="Times New Roman" w:cs="Times New Roman"/>
          <w:b/>
          <w:bCs/>
          <w:sz w:val="24"/>
          <w:szCs w:val="24"/>
        </w:rPr>
        <w:instrText xml:space="preserve"> \* MERGEFORMAT </w:instrText>
      </w:r>
      <w:r w:rsidRPr="003B0C52">
        <w:rPr>
          <w:rFonts w:ascii="Times New Roman" w:hAnsi="Times New Roman" w:cs="Times New Roman"/>
          <w:b/>
          <w:bCs/>
          <w:sz w:val="24"/>
          <w:szCs w:val="24"/>
        </w:rPr>
      </w:r>
      <w:r w:rsidRPr="003B0C52">
        <w:rPr>
          <w:rFonts w:ascii="Times New Roman" w:hAnsi="Times New Roman" w:cs="Times New Roman"/>
          <w:b/>
          <w:bCs/>
          <w:sz w:val="24"/>
          <w:szCs w:val="24"/>
        </w:rPr>
        <w:fldChar w:fldCharType="separate"/>
      </w:r>
      <w:r w:rsidRPr="003B0C52">
        <w:rPr>
          <w:rFonts w:ascii="Times New Roman" w:hAnsi="Times New Roman" w:cs="Times New Roman"/>
          <w:b/>
          <w:bCs/>
          <w:sz w:val="24"/>
          <w:szCs w:val="24"/>
        </w:rPr>
        <w:t xml:space="preserve">Figure </w:t>
      </w:r>
      <w:r w:rsidRPr="003B0C52">
        <w:rPr>
          <w:rFonts w:ascii="Times New Roman" w:hAnsi="Times New Roman" w:cs="Times New Roman"/>
          <w:b/>
          <w:bCs/>
          <w:noProof/>
          <w:sz w:val="24"/>
          <w:szCs w:val="24"/>
        </w:rPr>
        <w:t>2</w:t>
      </w:r>
      <w:r w:rsidRPr="003B0C52">
        <w:rPr>
          <w:rFonts w:ascii="Times New Roman" w:hAnsi="Times New Roman" w:cs="Times New Roman"/>
          <w:b/>
          <w:bCs/>
          <w:sz w:val="24"/>
          <w:szCs w:val="24"/>
        </w:rPr>
        <w:fldChar w:fldCharType="end"/>
      </w:r>
      <w:r w:rsidR="008358EF" w:rsidRPr="003B0C52">
        <w:rPr>
          <w:rFonts w:ascii="Times New Roman" w:hAnsi="Times New Roman" w:cs="Times New Roman"/>
          <w:b/>
          <w:bCs/>
          <w:sz w:val="24"/>
          <w:szCs w:val="24"/>
        </w:rPr>
        <w:t xml:space="preserve"> </w:t>
      </w:r>
      <w:r w:rsidR="008358EF" w:rsidRPr="003B0C52">
        <w:rPr>
          <w:rFonts w:ascii="Times New Roman" w:eastAsia="MS Mincho" w:hAnsi="Times New Roman" w:cs="Times New Roman"/>
          <w:i w:val="0"/>
          <w:kern w:val="0"/>
          <w:sz w:val="24"/>
          <w:szCs w:val="24"/>
          <w14:ligatures w14:val="none"/>
        </w:rPr>
        <w:t>G</w:t>
      </w:r>
      <w:r w:rsidR="002D26E1" w:rsidRPr="003B0C52">
        <w:rPr>
          <w:rFonts w:ascii="Times New Roman" w:eastAsia="MS Mincho" w:hAnsi="Times New Roman" w:cs="Times New Roman"/>
          <w:i w:val="0"/>
          <w:kern w:val="0"/>
          <w:sz w:val="24"/>
          <w:szCs w:val="24"/>
          <w14:ligatures w14:val="none"/>
        </w:rPr>
        <w:t xml:space="preserve">ives the </w:t>
      </w:r>
      <w:r w:rsidR="002D26E1" w:rsidRPr="003B0C52">
        <w:rPr>
          <w:rFonts w:ascii="Times New Roman" w:hAnsi="Times New Roman" w:cs="Times New Roman"/>
          <w:i w:val="0"/>
          <w:sz w:val="24"/>
          <w:szCs w:val="24"/>
        </w:rPr>
        <w:t xml:space="preserve">Multilevel Beta Regression summaries: Odds ratios with 95 percent confidence intervals. Red markers represent statistically significant predictors </w:t>
      </w:r>
      <m:oMath>
        <m:r>
          <w:rPr>
            <w:rFonts w:ascii="Cambria Math" w:hAnsi="Cambria Math" w:cs="Times New Roman"/>
            <w:sz w:val="24"/>
            <w:szCs w:val="24"/>
          </w:rPr>
          <m:t>(p&lt;0.05).</m:t>
        </m:r>
      </m:oMath>
      <w:r w:rsidR="002D26E1" w:rsidRPr="003B0C52">
        <w:rPr>
          <w:rFonts w:ascii="Times New Roman" w:hAnsi="Times New Roman" w:cs="Times New Roman"/>
          <w:i w:val="0"/>
          <w:sz w:val="24"/>
          <w:szCs w:val="24"/>
        </w:rPr>
        <w:t xml:space="preserve"> </w:t>
      </w:r>
      <m:oMath>
        <m:r>
          <w:rPr>
            <w:rFonts w:ascii="Cambria Math" w:hAnsi="Cambria Math" w:cs="Times New Roman"/>
            <w:sz w:val="24"/>
            <w:szCs w:val="24"/>
          </w:rPr>
          <m:t>OR&lt;1</m:t>
        </m:r>
      </m:oMath>
      <w:r w:rsidR="002D26E1" w:rsidRPr="003B0C52">
        <w:rPr>
          <w:rFonts w:ascii="Times New Roman" w:hAnsi="Times New Roman" w:cs="Times New Roman"/>
          <w:i w:val="0"/>
          <w:sz w:val="24"/>
          <w:szCs w:val="24"/>
        </w:rPr>
        <w:t xml:space="preserve"> means a corresponding proportional decrease in the loss; </w:t>
      </w:r>
      <m:oMath>
        <m:r>
          <w:rPr>
            <w:rFonts w:ascii="Cambria Math" w:hAnsi="Cambria Math" w:cs="Times New Roman"/>
            <w:sz w:val="24"/>
            <w:szCs w:val="24"/>
          </w:rPr>
          <m:t>OR&gt;1</m:t>
        </m:r>
      </m:oMath>
      <w:r w:rsidR="002D26E1" w:rsidRPr="003B0C52">
        <w:rPr>
          <w:rFonts w:ascii="Times New Roman" w:hAnsi="Times New Roman" w:cs="Times New Roman"/>
          <w:i w:val="0"/>
          <w:sz w:val="24"/>
          <w:szCs w:val="24"/>
        </w:rPr>
        <w:t xml:space="preserve"> means corresponding proport</w:t>
      </w:r>
      <w:proofErr w:type="spellStart"/>
      <w:r w:rsidR="002D26E1" w:rsidRPr="003B0C52">
        <w:rPr>
          <w:rFonts w:ascii="Times New Roman" w:hAnsi="Times New Roman" w:cs="Times New Roman"/>
          <w:i w:val="0"/>
          <w:sz w:val="24"/>
          <w:szCs w:val="24"/>
        </w:rPr>
        <w:t>ional</w:t>
      </w:r>
      <w:proofErr w:type="spellEnd"/>
      <w:r w:rsidR="002D26E1" w:rsidRPr="003B0C52">
        <w:rPr>
          <w:rFonts w:ascii="Times New Roman" w:hAnsi="Times New Roman" w:cs="Times New Roman"/>
          <w:i w:val="0"/>
          <w:sz w:val="24"/>
          <w:szCs w:val="24"/>
        </w:rPr>
        <w:t xml:space="preserve"> increase in the loss.</w:t>
      </w:r>
    </w:p>
    <w:p w14:paraId="5F88D1CF" w14:textId="31981C84" w:rsidR="002D26E1" w:rsidRPr="003B0C52" w:rsidRDefault="002D26E1" w:rsidP="003B0C52">
      <w:pPr>
        <w:pStyle w:val="Caption"/>
        <w:rPr>
          <w:rFonts w:ascii="Times New Roman" w:hAnsi="Times New Roman" w:cs="Times New Roman"/>
          <w:b/>
          <w:bCs/>
          <w:color w:val="auto"/>
          <w:sz w:val="24"/>
          <w:szCs w:val="24"/>
        </w:rPr>
      </w:pPr>
      <w:bookmarkStart w:id="22" w:name="_Ref225192372"/>
      <w:bookmarkStart w:id="23" w:name="_Toc225196610"/>
      <w:r w:rsidRPr="003B0C52">
        <w:rPr>
          <w:rFonts w:ascii="Times New Roman" w:hAnsi="Times New Roman" w:cs="Times New Roman"/>
          <w:b/>
          <w:bCs/>
          <w:color w:val="auto"/>
          <w:sz w:val="24"/>
          <w:szCs w:val="24"/>
        </w:rPr>
        <w:t xml:space="preserve">Table </w:t>
      </w:r>
      <w:r w:rsidRPr="003B0C52">
        <w:rPr>
          <w:rFonts w:ascii="Times New Roman" w:hAnsi="Times New Roman" w:cs="Times New Roman"/>
          <w:b/>
          <w:bCs/>
          <w:color w:val="auto"/>
          <w:sz w:val="24"/>
          <w:szCs w:val="24"/>
        </w:rPr>
        <w:fldChar w:fldCharType="begin"/>
      </w:r>
      <w:r w:rsidRPr="003B0C52">
        <w:rPr>
          <w:rFonts w:ascii="Times New Roman" w:hAnsi="Times New Roman" w:cs="Times New Roman"/>
          <w:b/>
          <w:bCs/>
          <w:color w:val="auto"/>
          <w:sz w:val="24"/>
          <w:szCs w:val="24"/>
        </w:rPr>
        <w:instrText xml:space="preserve"> SEQ Table \* ARABIC </w:instrText>
      </w:r>
      <w:r w:rsidRPr="003B0C52">
        <w:rPr>
          <w:rFonts w:ascii="Times New Roman" w:hAnsi="Times New Roman" w:cs="Times New Roman"/>
          <w:b/>
          <w:bCs/>
          <w:color w:val="auto"/>
          <w:sz w:val="24"/>
          <w:szCs w:val="24"/>
        </w:rPr>
        <w:fldChar w:fldCharType="separate"/>
      </w:r>
      <w:r w:rsidR="008A59B2" w:rsidRPr="003B0C52">
        <w:rPr>
          <w:rFonts w:ascii="Times New Roman" w:hAnsi="Times New Roman" w:cs="Times New Roman"/>
          <w:b/>
          <w:bCs/>
          <w:noProof/>
          <w:color w:val="auto"/>
          <w:sz w:val="24"/>
          <w:szCs w:val="24"/>
        </w:rPr>
        <w:t>4</w:t>
      </w:r>
      <w:r w:rsidRPr="003B0C52">
        <w:rPr>
          <w:rFonts w:ascii="Times New Roman" w:hAnsi="Times New Roman" w:cs="Times New Roman"/>
          <w:b/>
          <w:bCs/>
          <w:color w:val="auto"/>
          <w:sz w:val="24"/>
          <w:szCs w:val="24"/>
        </w:rPr>
        <w:fldChar w:fldCharType="end"/>
      </w:r>
      <w:bookmarkEnd w:id="22"/>
      <w:r w:rsidRPr="003B0C52">
        <w:rPr>
          <w:rFonts w:ascii="Times New Roman" w:hAnsi="Times New Roman" w:cs="Times New Roman"/>
          <w:b/>
          <w:bCs/>
          <w:color w:val="auto"/>
          <w:sz w:val="24"/>
          <w:szCs w:val="24"/>
        </w:rPr>
        <w:t>: Multilevel Beta Regression Coefficient Random Effects</w:t>
      </w:r>
      <w:bookmarkEnd w:id="23"/>
    </w:p>
    <w:tbl>
      <w:tblPr>
        <w:tblStyle w:val="TableGrid"/>
        <w:tblW w:w="0" w:type="auto"/>
        <w:jc w:val="center"/>
        <w:tblLook w:val="04A0" w:firstRow="1" w:lastRow="0" w:firstColumn="1" w:lastColumn="0" w:noHBand="0" w:noVBand="1"/>
      </w:tblPr>
      <w:tblGrid>
        <w:gridCol w:w="2595"/>
        <w:gridCol w:w="935"/>
        <w:gridCol w:w="935"/>
        <w:gridCol w:w="935"/>
        <w:gridCol w:w="1051"/>
        <w:gridCol w:w="738"/>
        <w:gridCol w:w="935"/>
        <w:gridCol w:w="1192"/>
      </w:tblGrid>
      <w:tr w:rsidR="002D26E1" w:rsidRPr="003B0C52" w14:paraId="744522CD"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1EE5DA6D"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b/>
              </w:rPr>
              <w:t>Variable</w:t>
            </w:r>
          </w:p>
        </w:tc>
        <w:tc>
          <w:tcPr>
            <w:tcW w:w="935" w:type="dxa"/>
            <w:tcBorders>
              <w:top w:val="single" w:sz="4" w:space="0" w:color="AAAAAA"/>
              <w:left w:val="nil"/>
              <w:bottom w:val="single" w:sz="4" w:space="0" w:color="AAAAAA"/>
              <w:right w:val="single" w:sz="4" w:space="0" w:color="AAAAAA"/>
            </w:tcBorders>
            <w:vAlign w:val="center"/>
            <w:hideMark/>
          </w:tcPr>
          <w:p w14:paraId="72F95479"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b/>
              </w:rPr>
              <w:t>β</w:t>
            </w:r>
          </w:p>
        </w:tc>
        <w:tc>
          <w:tcPr>
            <w:tcW w:w="935" w:type="dxa"/>
            <w:tcBorders>
              <w:top w:val="single" w:sz="4" w:space="0" w:color="AAAAAA"/>
              <w:left w:val="nil"/>
              <w:bottom w:val="single" w:sz="4" w:space="0" w:color="AAAAAA"/>
              <w:right w:val="single" w:sz="4" w:space="0" w:color="AAAAAA"/>
            </w:tcBorders>
            <w:vAlign w:val="center"/>
            <w:hideMark/>
          </w:tcPr>
          <w:p w14:paraId="622A8DBB"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b/>
              </w:rPr>
              <w:t>SE</w:t>
            </w:r>
          </w:p>
        </w:tc>
        <w:tc>
          <w:tcPr>
            <w:tcW w:w="935" w:type="dxa"/>
            <w:tcBorders>
              <w:top w:val="single" w:sz="4" w:space="0" w:color="AAAAAA"/>
              <w:left w:val="nil"/>
              <w:bottom w:val="single" w:sz="4" w:space="0" w:color="AAAAAA"/>
              <w:right w:val="single" w:sz="4" w:space="0" w:color="AAAAAA"/>
            </w:tcBorders>
            <w:vAlign w:val="center"/>
            <w:hideMark/>
          </w:tcPr>
          <w:p w14:paraId="158C2ECE"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b/>
              </w:rPr>
              <w:t>z</w:t>
            </w:r>
          </w:p>
        </w:tc>
        <w:tc>
          <w:tcPr>
            <w:tcW w:w="1051" w:type="dxa"/>
            <w:tcBorders>
              <w:top w:val="single" w:sz="4" w:space="0" w:color="AAAAAA"/>
              <w:left w:val="nil"/>
              <w:bottom w:val="single" w:sz="4" w:space="0" w:color="AAAAAA"/>
              <w:right w:val="single" w:sz="4" w:space="0" w:color="AAAAAA"/>
            </w:tcBorders>
            <w:vAlign w:val="center"/>
            <w:hideMark/>
          </w:tcPr>
          <w:p w14:paraId="3DEC4F95"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b/>
              </w:rPr>
              <w:t>p-value</w:t>
            </w:r>
          </w:p>
        </w:tc>
        <w:tc>
          <w:tcPr>
            <w:tcW w:w="738" w:type="dxa"/>
            <w:tcBorders>
              <w:top w:val="single" w:sz="4" w:space="0" w:color="AAAAAA"/>
              <w:left w:val="nil"/>
              <w:bottom w:val="single" w:sz="4" w:space="0" w:color="AAAAAA"/>
              <w:right w:val="single" w:sz="4" w:space="0" w:color="AAAAAA"/>
            </w:tcBorders>
            <w:vAlign w:val="center"/>
            <w:hideMark/>
          </w:tcPr>
          <w:p w14:paraId="2DB5CA31"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b/>
              </w:rPr>
              <w:t>Sig.</w:t>
            </w:r>
          </w:p>
        </w:tc>
        <w:tc>
          <w:tcPr>
            <w:tcW w:w="935" w:type="dxa"/>
            <w:tcBorders>
              <w:top w:val="single" w:sz="4" w:space="0" w:color="AAAAAA"/>
              <w:left w:val="nil"/>
              <w:bottom w:val="single" w:sz="4" w:space="0" w:color="AAAAAA"/>
              <w:right w:val="single" w:sz="4" w:space="0" w:color="AAAAAA"/>
            </w:tcBorders>
            <w:vAlign w:val="center"/>
            <w:hideMark/>
          </w:tcPr>
          <w:p w14:paraId="321A8315"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b/>
              </w:rPr>
              <w:t>OR</w:t>
            </w:r>
          </w:p>
        </w:tc>
        <w:tc>
          <w:tcPr>
            <w:tcW w:w="1192" w:type="dxa"/>
            <w:tcBorders>
              <w:top w:val="single" w:sz="4" w:space="0" w:color="AAAAAA"/>
              <w:left w:val="nil"/>
              <w:bottom w:val="single" w:sz="4" w:space="0" w:color="AAAAAA"/>
              <w:right w:val="single" w:sz="4" w:space="0" w:color="AAAAAA"/>
            </w:tcBorders>
            <w:vAlign w:val="center"/>
            <w:hideMark/>
          </w:tcPr>
          <w:p w14:paraId="3E2388D5"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b/>
              </w:rPr>
              <w:t>ME (pp)</w:t>
            </w:r>
          </w:p>
        </w:tc>
      </w:tr>
      <w:tr w:rsidR="002D26E1" w:rsidRPr="003B0C52" w14:paraId="1B24B9C1"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1B5500FF"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(Intercept)</w:t>
            </w:r>
          </w:p>
        </w:tc>
        <w:tc>
          <w:tcPr>
            <w:tcW w:w="935" w:type="dxa"/>
            <w:tcBorders>
              <w:top w:val="single" w:sz="4" w:space="0" w:color="AAAAAA"/>
              <w:left w:val="nil"/>
              <w:bottom w:val="single" w:sz="4" w:space="0" w:color="AAAAAA"/>
              <w:right w:val="single" w:sz="4" w:space="0" w:color="AAAAAA"/>
            </w:tcBorders>
            <w:vAlign w:val="center"/>
            <w:hideMark/>
          </w:tcPr>
          <w:p w14:paraId="2713E71E"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-0.908</w:t>
            </w:r>
          </w:p>
        </w:tc>
        <w:tc>
          <w:tcPr>
            <w:tcW w:w="935" w:type="dxa"/>
            <w:tcBorders>
              <w:top w:val="single" w:sz="4" w:space="0" w:color="AAAAAA"/>
              <w:left w:val="nil"/>
              <w:bottom w:val="single" w:sz="4" w:space="0" w:color="AAAAAA"/>
              <w:right w:val="single" w:sz="4" w:space="0" w:color="AAAAAA"/>
            </w:tcBorders>
            <w:vAlign w:val="center"/>
            <w:hideMark/>
          </w:tcPr>
          <w:p w14:paraId="41963161"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0.052</w:t>
            </w:r>
          </w:p>
        </w:tc>
        <w:tc>
          <w:tcPr>
            <w:tcW w:w="935" w:type="dxa"/>
            <w:tcBorders>
              <w:top w:val="single" w:sz="4" w:space="0" w:color="AAAAAA"/>
              <w:left w:val="nil"/>
              <w:bottom w:val="single" w:sz="4" w:space="0" w:color="AAAAAA"/>
              <w:right w:val="single" w:sz="4" w:space="0" w:color="AAAAAA"/>
            </w:tcBorders>
            <w:vAlign w:val="center"/>
            <w:hideMark/>
          </w:tcPr>
          <w:p w14:paraId="39F13B04"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-17.53</w:t>
            </w:r>
          </w:p>
        </w:tc>
        <w:tc>
          <w:tcPr>
            <w:tcW w:w="1051" w:type="dxa"/>
            <w:tcBorders>
              <w:top w:val="single" w:sz="4" w:space="0" w:color="AAAAAA"/>
              <w:left w:val="nil"/>
              <w:bottom w:val="single" w:sz="4" w:space="0" w:color="AAAAAA"/>
              <w:right w:val="single" w:sz="4" w:space="0" w:color="AAAAAA"/>
            </w:tcBorders>
            <w:vAlign w:val="center"/>
            <w:hideMark/>
          </w:tcPr>
          <w:p w14:paraId="7671EE0E"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&lt; 0.001</w:t>
            </w:r>
          </w:p>
        </w:tc>
        <w:tc>
          <w:tcPr>
            <w:tcW w:w="738" w:type="dxa"/>
            <w:tcBorders>
              <w:top w:val="single" w:sz="4" w:space="0" w:color="AAAAAA"/>
              <w:left w:val="nil"/>
              <w:bottom w:val="single" w:sz="4" w:space="0" w:color="AAAAAA"/>
              <w:right w:val="single" w:sz="4" w:space="0" w:color="AAAAAA"/>
            </w:tcBorders>
            <w:vAlign w:val="center"/>
            <w:hideMark/>
          </w:tcPr>
          <w:p w14:paraId="0BC6749E"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577489AB"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0.403</w:t>
            </w:r>
          </w:p>
        </w:tc>
        <w:tc>
          <w:tcPr>
            <w:tcW w:w="1192" w:type="dxa"/>
            <w:tcBorders>
              <w:top w:val="single" w:sz="4" w:space="0" w:color="AAAAAA"/>
              <w:left w:val="nil"/>
              <w:bottom w:val="single" w:sz="4" w:space="0" w:color="AAAAAA"/>
              <w:right w:val="single" w:sz="4" w:space="0" w:color="AAAAAA"/>
            </w:tcBorders>
            <w:vAlign w:val="center"/>
            <w:hideMark/>
          </w:tcPr>
          <w:p w14:paraId="2CD24EC5"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w:t>
            </w:r>
          </w:p>
        </w:tc>
      </w:tr>
      <w:tr w:rsidR="002D26E1" w:rsidRPr="003B0C52" w14:paraId="5719BC2F" w14:textId="77777777" w:rsidTr="00DA2D9D">
        <w:trPr>
          <w:trHeight w:val="767"/>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6AF6E0F3"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Storage: Dark room</w:t>
            </w:r>
          </w:p>
        </w:tc>
        <w:tc>
          <w:tcPr>
            <w:tcW w:w="935" w:type="dxa"/>
            <w:tcBorders>
              <w:top w:val="single" w:sz="4" w:space="0" w:color="AAAAAA"/>
              <w:left w:val="nil"/>
              <w:bottom w:val="single" w:sz="4" w:space="0" w:color="AAAAAA"/>
              <w:right w:val="single" w:sz="4" w:space="0" w:color="AAAAAA"/>
            </w:tcBorders>
            <w:vAlign w:val="center"/>
            <w:hideMark/>
          </w:tcPr>
          <w:p w14:paraId="1C20C131"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-0.343</w:t>
            </w:r>
          </w:p>
        </w:tc>
        <w:tc>
          <w:tcPr>
            <w:tcW w:w="935" w:type="dxa"/>
            <w:tcBorders>
              <w:top w:val="single" w:sz="4" w:space="0" w:color="AAAAAA"/>
              <w:left w:val="nil"/>
              <w:bottom w:val="single" w:sz="4" w:space="0" w:color="AAAAAA"/>
              <w:right w:val="single" w:sz="4" w:space="0" w:color="AAAAAA"/>
            </w:tcBorders>
            <w:vAlign w:val="center"/>
            <w:hideMark/>
          </w:tcPr>
          <w:p w14:paraId="2FA03278"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0.015</w:t>
            </w:r>
          </w:p>
        </w:tc>
        <w:tc>
          <w:tcPr>
            <w:tcW w:w="935" w:type="dxa"/>
            <w:tcBorders>
              <w:top w:val="single" w:sz="4" w:space="0" w:color="AAAAAA"/>
              <w:left w:val="nil"/>
              <w:bottom w:val="single" w:sz="4" w:space="0" w:color="AAAAAA"/>
              <w:right w:val="single" w:sz="4" w:space="0" w:color="AAAAAA"/>
            </w:tcBorders>
            <w:vAlign w:val="center"/>
            <w:hideMark/>
          </w:tcPr>
          <w:p w14:paraId="2FBCEBE1"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-23.41</w:t>
            </w:r>
          </w:p>
        </w:tc>
        <w:tc>
          <w:tcPr>
            <w:tcW w:w="1051" w:type="dxa"/>
            <w:tcBorders>
              <w:top w:val="single" w:sz="4" w:space="0" w:color="AAAAAA"/>
              <w:left w:val="nil"/>
              <w:bottom w:val="single" w:sz="4" w:space="0" w:color="AAAAAA"/>
              <w:right w:val="single" w:sz="4" w:space="0" w:color="AAAAAA"/>
            </w:tcBorders>
            <w:vAlign w:val="center"/>
            <w:hideMark/>
          </w:tcPr>
          <w:p w14:paraId="7DB1D8BF"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&lt; 0.001</w:t>
            </w:r>
          </w:p>
        </w:tc>
        <w:tc>
          <w:tcPr>
            <w:tcW w:w="738" w:type="dxa"/>
            <w:tcBorders>
              <w:top w:val="single" w:sz="4" w:space="0" w:color="AAAAAA"/>
              <w:left w:val="nil"/>
              <w:bottom w:val="single" w:sz="4" w:space="0" w:color="AAAAAA"/>
              <w:right w:val="single" w:sz="4" w:space="0" w:color="AAAAAA"/>
            </w:tcBorders>
            <w:vAlign w:val="center"/>
            <w:hideMark/>
          </w:tcPr>
          <w:p w14:paraId="2AD51891"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4C1C2BD8"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0.710</w:t>
            </w:r>
          </w:p>
        </w:tc>
        <w:tc>
          <w:tcPr>
            <w:tcW w:w="1192" w:type="dxa"/>
            <w:tcBorders>
              <w:top w:val="single" w:sz="4" w:space="0" w:color="AAAAAA"/>
              <w:left w:val="nil"/>
              <w:bottom w:val="single" w:sz="4" w:space="0" w:color="AAAAAA"/>
              <w:right w:val="single" w:sz="4" w:space="0" w:color="AAAAAA"/>
            </w:tcBorders>
            <w:vAlign w:val="center"/>
            <w:hideMark/>
          </w:tcPr>
          <w:p w14:paraId="6FCAEE02"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-7.44</w:t>
            </w:r>
          </w:p>
        </w:tc>
      </w:tr>
      <w:tr w:rsidR="002D26E1" w:rsidRPr="003B0C52" w14:paraId="128D261A"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115541DA"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Storage: Cold storage</w:t>
            </w:r>
          </w:p>
        </w:tc>
        <w:tc>
          <w:tcPr>
            <w:tcW w:w="935" w:type="dxa"/>
            <w:tcBorders>
              <w:top w:val="single" w:sz="4" w:space="0" w:color="AAAAAA"/>
              <w:left w:val="nil"/>
              <w:bottom w:val="single" w:sz="4" w:space="0" w:color="AAAAAA"/>
              <w:right w:val="single" w:sz="4" w:space="0" w:color="AAAAAA"/>
            </w:tcBorders>
            <w:vAlign w:val="center"/>
            <w:hideMark/>
          </w:tcPr>
          <w:p w14:paraId="0ECBF575"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-0.602</w:t>
            </w:r>
          </w:p>
        </w:tc>
        <w:tc>
          <w:tcPr>
            <w:tcW w:w="935" w:type="dxa"/>
            <w:tcBorders>
              <w:top w:val="single" w:sz="4" w:space="0" w:color="AAAAAA"/>
              <w:left w:val="nil"/>
              <w:bottom w:val="single" w:sz="4" w:space="0" w:color="AAAAAA"/>
              <w:right w:val="single" w:sz="4" w:space="0" w:color="AAAAAA"/>
            </w:tcBorders>
            <w:vAlign w:val="center"/>
            <w:hideMark/>
          </w:tcPr>
          <w:p w14:paraId="419431E4"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0.020</w:t>
            </w:r>
          </w:p>
        </w:tc>
        <w:tc>
          <w:tcPr>
            <w:tcW w:w="935" w:type="dxa"/>
            <w:tcBorders>
              <w:top w:val="single" w:sz="4" w:space="0" w:color="AAAAAA"/>
              <w:left w:val="nil"/>
              <w:bottom w:val="single" w:sz="4" w:space="0" w:color="AAAAAA"/>
              <w:right w:val="single" w:sz="4" w:space="0" w:color="AAAAAA"/>
            </w:tcBorders>
            <w:vAlign w:val="center"/>
            <w:hideMark/>
          </w:tcPr>
          <w:p w14:paraId="6D4ACDFE"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-30.31</w:t>
            </w:r>
          </w:p>
        </w:tc>
        <w:tc>
          <w:tcPr>
            <w:tcW w:w="1051" w:type="dxa"/>
            <w:tcBorders>
              <w:top w:val="single" w:sz="4" w:space="0" w:color="AAAAAA"/>
              <w:left w:val="nil"/>
              <w:bottom w:val="single" w:sz="4" w:space="0" w:color="AAAAAA"/>
              <w:right w:val="single" w:sz="4" w:space="0" w:color="AAAAAA"/>
            </w:tcBorders>
            <w:vAlign w:val="center"/>
            <w:hideMark/>
          </w:tcPr>
          <w:p w14:paraId="69CD8521"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&lt; 0.001</w:t>
            </w:r>
          </w:p>
        </w:tc>
        <w:tc>
          <w:tcPr>
            <w:tcW w:w="738" w:type="dxa"/>
            <w:tcBorders>
              <w:top w:val="single" w:sz="4" w:space="0" w:color="AAAAAA"/>
              <w:left w:val="nil"/>
              <w:bottom w:val="single" w:sz="4" w:space="0" w:color="AAAAAA"/>
              <w:right w:val="single" w:sz="4" w:space="0" w:color="AAAAAA"/>
            </w:tcBorders>
            <w:vAlign w:val="center"/>
            <w:hideMark/>
          </w:tcPr>
          <w:p w14:paraId="0C792692"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1EC971E1"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0.548</w:t>
            </w:r>
          </w:p>
        </w:tc>
        <w:tc>
          <w:tcPr>
            <w:tcW w:w="1192" w:type="dxa"/>
            <w:tcBorders>
              <w:top w:val="single" w:sz="4" w:space="0" w:color="AAAAAA"/>
              <w:left w:val="nil"/>
              <w:bottom w:val="single" w:sz="4" w:space="0" w:color="AAAAAA"/>
              <w:right w:val="single" w:sz="4" w:space="0" w:color="AAAAAA"/>
            </w:tcBorders>
            <w:vAlign w:val="center"/>
            <w:hideMark/>
          </w:tcPr>
          <w:p w14:paraId="3122791D"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-13.07</w:t>
            </w:r>
          </w:p>
        </w:tc>
      </w:tr>
      <w:tr w:rsidR="002D26E1" w:rsidRPr="003B0C52" w14:paraId="43F5DA58"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4BFB81BF"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lastRenderedPageBreak/>
              <w:t>Duration: 2–3 weeks</w:t>
            </w:r>
          </w:p>
        </w:tc>
        <w:tc>
          <w:tcPr>
            <w:tcW w:w="935" w:type="dxa"/>
            <w:tcBorders>
              <w:top w:val="single" w:sz="4" w:space="0" w:color="AAAAAA"/>
              <w:left w:val="nil"/>
              <w:bottom w:val="single" w:sz="4" w:space="0" w:color="AAAAAA"/>
              <w:right w:val="single" w:sz="4" w:space="0" w:color="AAAAAA"/>
            </w:tcBorders>
            <w:vAlign w:val="center"/>
            <w:hideMark/>
          </w:tcPr>
          <w:p w14:paraId="0AAD4F1C"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0.067</w:t>
            </w:r>
          </w:p>
        </w:tc>
        <w:tc>
          <w:tcPr>
            <w:tcW w:w="935" w:type="dxa"/>
            <w:tcBorders>
              <w:top w:val="single" w:sz="4" w:space="0" w:color="AAAAAA"/>
              <w:left w:val="nil"/>
              <w:bottom w:val="single" w:sz="4" w:space="0" w:color="AAAAAA"/>
              <w:right w:val="single" w:sz="4" w:space="0" w:color="AAAAAA"/>
            </w:tcBorders>
            <w:vAlign w:val="center"/>
            <w:hideMark/>
          </w:tcPr>
          <w:p w14:paraId="35C0AD07"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0.013</w:t>
            </w:r>
          </w:p>
        </w:tc>
        <w:tc>
          <w:tcPr>
            <w:tcW w:w="935" w:type="dxa"/>
            <w:tcBorders>
              <w:top w:val="single" w:sz="4" w:space="0" w:color="AAAAAA"/>
              <w:left w:val="nil"/>
              <w:bottom w:val="single" w:sz="4" w:space="0" w:color="AAAAAA"/>
              <w:right w:val="single" w:sz="4" w:space="0" w:color="AAAAAA"/>
            </w:tcBorders>
            <w:vAlign w:val="center"/>
            <w:hideMark/>
          </w:tcPr>
          <w:p w14:paraId="3BBAC6CD"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5.26</w:t>
            </w:r>
          </w:p>
        </w:tc>
        <w:tc>
          <w:tcPr>
            <w:tcW w:w="1051" w:type="dxa"/>
            <w:tcBorders>
              <w:top w:val="single" w:sz="4" w:space="0" w:color="AAAAAA"/>
              <w:left w:val="nil"/>
              <w:bottom w:val="single" w:sz="4" w:space="0" w:color="AAAAAA"/>
              <w:right w:val="single" w:sz="4" w:space="0" w:color="AAAAAA"/>
            </w:tcBorders>
            <w:vAlign w:val="center"/>
            <w:hideMark/>
          </w:tcPr>
          <w:p w14:paraId="07697779"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&lt; 0.001</w:t>
            </w:r>
          </w:p>
        </w:tc>
        <w:tc>
          <w:tcPr>
            <w:tcW w:w="738" w:type="dxa"/>
            <w:tcBorders>
              <w:top w:val="single" w:sz="4" w:space="0" w:color="AAAAAA"/>
              <w:left w:val="nil"/>
              <w:bottom w:val="single" w:sz="4" w:space="0" w:color="AAAAAA"/>
              <w:right w:val="single" w:sz="4" w:space="0" w:color="AAAAAA"/>
            </w:tcBorders>
            <w:vAlign w:val="center"/>
            <w:hideMark/>
          </w:tcPr>
          <w:p w14:paraId="74191DFE"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02A08C98"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1.070</w:t>
            </w:r>
          </w:p>
        </w:tc>
        <w:tc>
          <w:tcPr>
            <w:tcW w:w="1192" w:type="dxa"/>
            <w:tcBorders>
              <w:top w:val="single" w:sz="4" w:space="0" w:color="AAAAAA"/>
              <w:left w:val="nil"/>
              <w:bottom w:val="single" w:sz="4" w:space="0" w:color="AAAAAA"/>
              <w:right w:val="single" w:sz="4" w:space="0" w:color="AAAAAA"/>
            </w:tcBorders>
            <w:vAlign w:val="center"/>
            <w:hideMark/>
          </w:tcPr>
          <w:p w14:paraId="643E454F"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+1.46</w:t>
            </w:r>
          </w:p>
        </w:tc>
      </w:tr>
      <w:tr w:rsidR="002D26E1" w:rsidRPr="003B0C52" w14:paraId="0F147A19"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49C62900"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Duration: 3–4 weeks</w:t>
            </w:r>
          </w:p>
        </w:tc>
        <w:tc>
          <w:tcPr>
            <w:tcW w:w="935" w:type="dxa"/>
            <w:tcBorders>
              <w:top w:val="single" w:sz="4" w:space="0" w:color="AAAAAA"/>
              <w:left w:val="nil"/>
              <w:bottom w:val="single" w:sz="4" w:space="0" w:color="AAAAAA"/>
              <w:right w:val="single" w:sz="4" w:space="0" w:color="AAAAAA"/>
            </w:tcBorders>
            <w:vAlign w:val="center"/>
            <w:hideMark/>
          </w:tcPr>
          <w:p w14:paraId="521FC655"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0.174</w:t>
            </w:r>
          </w:p>
        </w:tc>
        <w:tc>
          <w:tcPr>
            <w:tcW w:w="935" w:type="dxa"/>
            <w:tcBorders>
              <w:top w:val="single" w:sz="4" w:space="0" w:color="AAAAAA"/>
              <w:left w:val="nil"/>
              <w:bottom w:val="single" w:sz="4" w:space="0" w:color="AAAAAA"/>
              <w:right w:val="single" w:sz="4" w:space="0" w:color="AAAAAA"/>
            </w:tcBorders>
            <w:vAlign w:val="center"/>
            <w:hideMark/>
          </w:tcPr>
          <w:p w14:paraId="280882D9"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0.017</w:t>
            </w:r>
          </w:p>
        </w:tc>
        <w:tc>
          <w:tcPr>
            <w:tcW w:w="935" w:type="dxa"/>
            <w:tcBorders>
              <w:top w:val="single" w:sz="4" w:space="0" w:color="AAAAAA"/>
              <w:left w:val="nil"/>
              <w:bottom w:val="single" w:sz="4" w:space="0" w:color="AAAAAA"/>
              <w:right w:val="single" w:sz="4" w:space="0" w:color="AAAAAA"/>
            </w:tcBorders>
            <w:vAlign w:val="center"/>
            <w:hideMark/>
          </w:tcPr>
          <w:p w14:paraId="69907BBF"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10.03</w:t>
            </w:r>
          </w:p>
        </w:tc>
        <w:tc>
          <w:tcPr>
            <w:tcW w:w="1051" w:type="dxa"/>
            <w:tcBorders>
              <w:top w:val="single" w:sz="4" w:space="0" w:color="AAAAAA"/>
              <w:left w:val="nil"/>
              <w:bottom w:val="single" w:sz="4" w:space="0" w:color="AAAAAA"/>
              <w:right w:val="single" w:sz="4" w:space="0" w:color="AAAAAA"/>
            </w:tcBorders>
            <w:vAlign w:val="center"/>
            <w:hideMark/>
          </w:tcPr>
          <w:p w14:paraId="66E84213"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&lt; 0.001</w:t>
            </w:r>
          </w:p>
        </w:tc>
        <w:tc>
          <w:tcPr>
            <w:tcW w:w="738" w:type="dxa"/>
            <w:tcBorders>
              <w:top w:val="single" w:sz="4" w:space="0" w:color="AAAAAA"/>
              <w:left w:val="nil"/>
              <w:bottom w:val="single" w:sz="4" w:space="0" w:color="AAAAAA"/>
              <w:right w:val="single" w:sz="4" w:space="0" w:color="AAAAAA"/>
            </w:tcBorders>
            <w:vAlign w:val="center"/>
            <w:hideMark/>
          </w:tcPr>
          <w:p w14:paraId="773BBE1F"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49F9A8B1"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1.190</w:t>
            </w:r>
          </w:p>
        </w:tc>
        <w:tc>
          <w:tcPr>
            <w:tcW w:w="1192" w:type="dxa"/>
            <w:tcBorders>
              <w:top w:val="single" w:sz="4" w:space="0" w:color="AAAAAA"/>
              <w:left w:val="nil"/>
              <w:bottom w:val="single" w:sz="4" w:space="0" w:color="AAAAAA"/>
              <w:right w:val="single" w:sz="4" w:space="0" w:color="AAAAAA"/>
            </w:tcBorders>
            <w:vAlign w:val="center"/>
            <w:hideMark/>
          </w:tcPr>
          <w:p w14:paraId="09C96AD7"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+3.77</w:t>
            </w:r>
          </w:p>
        </w:tc>
      </w:tr>
      <w:tr w:rsidR="002D26E1" w:rsidRPr="003B0C52" w14:paraId="25FE0208"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1F9CC935"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Duration: &gt; 1 month</w:t>
            </w:r>
          </w:p>
        </w:tc>
        <w:tc>
          <w:tcPr>
            <w:tcW w:w="935" w:type="dxa"/>
            <w:tcBorders>
              <w:top w:val="single" w:sz="4" w:space="0" w:color="AAAAAA"/>
              <w:left w:val="nil"/>
              <w:bottom w:val="single" w:sz="4" w:space="0" w:color="AAAAAA"/>
              <w:right w:val="single" w:sz="4" w:space="0" w:color="AAAAAA"/>
            </w:tcBorders>
            <w:vAlign w:val="center"/>
            <w:hideMark/>
          </w:tcPr>
          <w:p w14:paraId="5CDFAB9A"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0.217</w:t>
            </w:r>
          </w:p>
        </w:tc>
        <w:tc>
          <w:tcPr>
            <w:tcW w:w="935" w:type="dxa"/>
            <w:tcBorders>
              <w:top w:val="single" w:sz="4" w:space="0" w:color="AAAAAA"/>
              <w:left w:val="nil"/>
              <w:bottom w:val="single" w:sz="4" w:space="0" w:color="AAAAAA"/>
              <w:right w:val="single" w:sz="4" w:space="0" w:color="AAAAAA"/>
            </w:tcBorders>
            <w:vAlign w:val="center"/>
            <w:hideMark/>
          </w:tcPr>
          <w:p w14:paraId="0BC71960"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0.021</w:t>
            </w:r>
          </w:p>
        </w:tc>
        <w:tc>
          <w:tcPr>
            <w:tcW w:w="935" w:type="dxa"/>
            <w:tcBorders>
              <w:top w:val="single" w:sz="4" w:space="0" w:color="AAAAAA"/>
              <w:left w:val="nil"/>
              <w:bottom w:val="single" w:sz="4" w:space="0" w:color="AAAAAA"/>
              <w:right w:val="single" w:sz="4" w:space="0" w:color="AAAAAA"/>
            </w:tcBorders>
            <w:vAlign w:val="center"/>
            <w:hideMark/>
          </w:tcPr>
          <w:p w14:paraId="702536F6"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10.45</w:t>
            </w:r>
          </w:p>
        </w:tc>
        <w:tc>
          <w:tcPr>
            <w:tcW w:w="1051" w:type="dxa"/>
            <w:tcBorders>
              <w:top w:val="single" w:sz="4" w:space="0" w:color="AAAAAA"/>
              <w:left w:val="nil"/>
              <w:bottom w:val="single" w:sz="4" w:space="0" w:color="AAAAAA"/>
              <w:right w:val="single" w:sz="4" w:space="0" w:color="AAAAAA"/>
            </w:tcBorders>
            <w:vAlign w:val="center"/>
            <w:hideMark/>
          </w:tcPr>
          <w:p w14:paraId="5EBA7952"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&lt; 0.001</w:t>
            </w:r>
          </w:p>
        </w:tc>
        <w:tc>
          <w:tcPr>
            <w:tcW w:w="738" w:type="dxa"/>
            <w:tcBorders>
              <w:top w:val="single" w:sz="4" w:space="0" w:color="AAAAAA"/>
              <w:left w:val="nil"/>
              <w:bottom w:val="single" w:sz="4" w:space="0" w:color="AAAAAA"/>
              <w:right w:val="single" w:sz="4" w:space="0" w:color="AAAAAA"/>
            </w:tcBorders>
            <w:vAlign w:val="center"/>
            <w:hideMark/>
          </w:tcPr>
          <w:p w14:paraId="32CD25AB"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032AD3A9"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1.240</w:t>
            </w:r>
          </w:p>
        </w:tc>
        <w:tc>
          <w:tcPr>
            <w:tcW w:w="1192" w:type="dxa"/>
            <w:tcBorders>
              <w:top w:val="single" w:sz="4" w:space="0" w:color="AAAAAA"/>
              <w:left w:val="nil"/>
              <w:bottom w:val="single" w:sz="4" w:space="0" w:color="AAAAAA"/>
              <w:right w:val="single" w:sz="4" w:space="0" w:color="AAAAAA"/>
            </w:tcBorders>
            <w:vAlign w:val="center"/>
            <w:hideMark/>
          </w:tcPr>
          <w:p w14:paraId="1D06B943"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+4.71</w:t>
            </w:r>
          </w:p>
        </w:tc>
      </w:tr>
      <w:tr w:rsidR="002D26E1" w:rsidRPr="003B0C52" w14:paraId="2CFE1F0F" w14:textId="77777777" w:rsidTr="00DA2D9D">
        <w:trPr>
          <w:trHeight w:val="767"/>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1CA0AA5A"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Chemical use (Yes)</w:t>
            </w:r>
          </w:p>
        </w:tc>
        <w:tc>
          <w:tcPr>
            <w:tcW w:w="935" w:type="dxa"/>
            <w:tcBorders>
              <w:top w:val="single" w:sz="4" w:space="0" w:color="AAAAAA"/>
              <w:left w:val="nil"/>
              <w:bottom w:val="single" w:sz="4" w:space="0" w:color="AAAAAA"/>
              <w:right w:val="single" w:sz="4" w:space="0" w:color="AAAAAA"/>
            </w:tcBorders>
            <w:vAlign w:val="center"/>
            <w:hideMark/>
          </w:tcPr>
          <w:p w14:paraId="5AB3F012"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-0.098</w:t>
            </w:r>
          </w:p>
        </w:tc>
        <w:tc>
          <w:tcPr>
            <w:tcW w:w="935" w:type="dxa"/>
            <w:tcBorders>
              <w:top w:val="single" w:sz="4" w:space="0" w:color="AAAAAA"/>
              <w:left w:val="nil"/>
              <w:bottom w:val="single" w:sz="4" w:space="0" w:color="AAAAAA"/>
              <w:right w:val="single" w:sz="4" w:space="0" w:color="AAAAAA"/>
            </w:tcBorders>
            <w:vAlign w:val="center"/>
            <w:hideMark/>
          </w:tcPr>
          <w:p w14:paraId="440DD747"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0.014</w:t>
            </w:r>
          </w:p>
        </w:tc>
        <w:tc>
          <w:tcPr>
            <w:tcW w:w="935" w:type="dxa"/>
            <w:tcBorders>
              <w:top w:val="single" w:sz="4" w:space="0" w:color="AAAAAA"/>
              <w:left w:val="nil"/>
              <w:bottom w:val="single" w:sz="4" w:space="0" w:color="AAAAAA"/>
              <w:right w:val="single" w:sz="4" w:space="0" w:color="AAAAAA"/>
            </w:tcBorders>
            <w:vAlign w:val="center"/>
            <w:hideMark/>
          </w:tcPr>
          <w:p w14:paraId="6208987B"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-7.21</w:t>
            </w:r>
          </w:p>
        </w:tc>
        <w:tc>
          <w:tcPr>
            <w:tcW w:w="1051" w:type="dxa"/>
            <w:tcBorders>
              <w:top w:val="single" w:sz="4" w:space="0" w:color="AAAAAA"/>
              <w:left w:val="nil"/>
              <w:bottom w:val="single" w:sz="4" w:space="0" w:color="AAAAAA"/>
              <w:right w:val="single" w:sz="4" w:space="0" w:color="AAAAAA"/>
            </w:tcBorders>
            <w:vAlign w:val="center"/>
            <w:hideMark/>
          </w:tcPr>
          <w:p w14:paraId="7ECE90C7"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&lt; 0.001</w:t>
            </w:r>
          </w:p>
        </w:tc>
        <w:tc>
          <w:tcPr>
            <w:tcW w:w="738" w:type="dxa"/>
            <w:tcBorders>
              <w:top w:val="single" w:sz="4" w:space="0" w:color="AAAAAA"/>
              <w:left w:val="nil"/>
              <w:bottom w:val="single" w:sz="4" w:space="0" w:color="AAAAAA"/>
              <w:right w:val="single" w:sz="4" w:space="0" w:color="AAAAAA"/>
            </w:tcBorders>
            <w:vAlign w:val="center"/>
            <w:hideMark/>
          </w:tcPr>
          <w:p w14:paraId="55952A49"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5684266F"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0.907</w:t>
            </w:r>
          </w:p>
        </w:tc>
        <w:tc>
          <w:tcPr>
            <w:tcW w:w="1192" w:type="dxa"/>
            <w:tcBorders>
              <w:top w:val="single" w:sz="4" w:space="0" w:color="AAAAAA"/>
              <w:left w:val="nil"/>
              <w:bottom w:val="single" w:sz="4" w:space="0" w:color="AAAAAA"/>
              <w:right w:val="single" w:sz="4" w:space="0" w:color="AAAAAA"/>
            </w:tcBorders>
            <w:vAlign w:val="center"/>
            <w:hideMark/>
          </w:tcPr>
          <w:p w14:paraId="26C34A17"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-2.12</w:t>
            </w:r>
          </w:p>
        </w:tc>
      </w:tr>
      <w:tr w:rsidR="002D26E1" w:rsidRPr="003B0C52" w14:paraId="09DF3B10"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2BFA5FF6"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Extension training (Yes)</w:t>
            </w:r>
          </w:p>
        </w:tc>
        <w:tc>
          <w:tcPr>
            <w:tcW w:w="935" w:type="dxa"/>
            <w:tcBorders>
              <w:top w:val="single" w:sz="4" w:space="0" w:color="AAAAAA"/>
              <w:left w:val="nil"/>
              <w:bottom w:val="single" w:sz="4" w:space="0" w:color="AAAAAA"/>
              <w:right w:val="single" w:sz="4" w:space="0" w:color="AAAAAA"/>
            </w:tcBorders>
            <w:vAlign w:val="center"/>
            <w:hideMark/>
          </w:tcPr>
          <w:p w14:paraId="3F402E38"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-0.059</w:t>
            </w:r>
          </w:p>
        </w:tc>
        <w:tc>
          <w:tcPr>
            <w:tcW w:w="935" w:type="dxa"/>
            <w:tcBorders>
              <w:top w:val="single" w:sz="4" w:space="0" w:color="AAAAAA"/>
              <w:left w:val="nil"/>
              <w:bottom w:val="single" w:sz="4" w:space="0" w:color="AAAAAA"/>
              <w:right w:val="single" w:sz="4" w:space="0" w:color="AAAAAA"/>
            </w:tcBorders>
            <w:vAlign w:val="center"/>
            <w:hideMark/>
          </w:tcPr>
          <w:p w14:paraId="1C39E99F"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0.011</w:t>
            </w:r>
          </w:p>
        </w:tc>
        <w:tc>
          <w:tcPr>
            <w:tcW w:w="935" w:type="dxa"/>
            <w:tcBorders>
              <w:top w:val="single" w:sz="4" w:space="0" w:color="AAAAAA"/>
              <w:left w:val="nil"/>
              <w:bottom w:val="single" w:sz="4" w:space="0" w:color="AAAAAA"/>
              <w:right w:val="single" w:sz="4" w:space="0" w:color="AAAAAA"/>
            </w:tcBorders>
            <w:vAlign w:val="center"/>
            <w:hideMark/>
          </w:tcPr>
          <w:p w14:paraId="74C432FA"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-5.36</w:t>
            </w:r>
          </w:p>
        </w:tc>
        <w:tc>
          <w:tcPr>
            <w:tcW w:w="1051" w:type="dxa"/>
            <w:tcBorders>
              <w:top w:val="single" w:sz="4" w:space="0" w:color="AAAAAA"/>
              <w:left w:val="nil"/>
              <w:bottom w:val="single" w:sz="4" w:space="0" w:color="AAAAAA"/>
              <w:right w:val="single" w:sz="4" w:space="0" w:color="AAAAAA"/>
            </w:tcBorders>
            <w:vAlign w:val="center"/>
            <w:hideMark/>
          </w:tcPr>
          <w:p w14:paraId="25E4A632"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&lt; 0.001</w:t>
            </w:r>
          </w:p>
        </w:tc>
        <w:tc>
          <w:tcPr>
            <w:tcW w:w="738" w:type="dxa"/>
            <w:tcBorders>
              <w:top w:val="single" w:sz="4" w:space="0" w:color="AAAAAA"/>
              <w:left w:val="nil"/>
              <w:bottom w:val="single" w:sz="4" w:space="0" w:color="AAAAAA"/>
              <w:right w:val="single" w:sz="4" w:space="0" w:color="AAAAAA"/>
            </w:tcBorders>
            <w:vAlign w:val="center"/>
            <w:hideMark/>
          </w:tcPr>
          <w:p w14:paraId="4FC88BED"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5BACF30A"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0.942</w:t>
            </w:r>
          </w:p>
        </w:tc>
        <w:tc>
          <w:tcPr>
            <w:tcW w:w="1192" w:type="dxa"/>
            <w:tcBorders>
              <w:top w:val="single" w:sz="4" w:space="0" w:color="AAAAAA"/>
              <w:left w:val="nil"/>
              <w:bottom w:val="single" w:sz="4" w:space="0" w:color="AAAAAA"/>
              <w:right w:val="single" w:sz="4" w:space="0" w:color="AAAAAA"/>
            </w:tcBorders>
            <w:vAlign w:val="center"/>
            <w:hideMark/>
          </w:tcPr>
          <w:p w14:paraId="14F4AEB6"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-1.29</w:t>
            </w:r>
          </w:p>
        </w:tc>
      </w:tr>
      <w:tr w:rsidR="002D26E1" w:rsidRPr="003B0C52" w14:paraId="0B8C56D7"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53E9781A"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Market distance: 6–10 km</w:t>
            </w:r>
          </w:p>
        </w:tc>
        <w:tc>
          <w:tcPr>
            <w:tcW w:w="935" w:type="dxa"/>
            <w:tcBorders>
              <w:top w:val="single" w:sz="4" w:space="0" w:color="AAAAAA"/>
              <w:left w:val="nil"/>
              <w:bottom w:val="single" w:sz="4" w:space="0" w:color="AAAAAA"/>
              <w:right w:val="single" w:sz="4" w:space="0" w:color="AAAAAA"/>
            </w:tcBorders>
            <w:vAlign w:val="center"/>
            <w:hideMark/>
          </w:tcPr>
          <w:p w14:paraId="3EB16C7D"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0.091</w:t>
            </w:r>
          </w:p>
        </w:tc>
        <w:tc>
          <w:tcPr>
            <w:tcW w:w="935" w:type="dxa"/>
            <w:tcBorders>
              <w:top w:val="single" w:sz="4" w:space="0" w:color="AAAAAA"/>
              <w:left w:val="nil"/>
              <w:bottom w:val="single" w:sz="4" w:space="0" w:color="AAAAAA"/>
              <w:right w:val="single" w:sz="4" w:space="0" w:color="AAAAAA"/>
            </w:tcBorders>
            <w:vAlign w:val="center"/>
            <w:hideMark/>
          </w:tcPr>
          <w:p w14:paraId="379BD898"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0.013</w:t>
            </w:r>
          </w:p>
        </w:tc>
        <w:tc>
          <w:tcPr>
            <w:tcW w:w="935" w:type="dxa"/>
            <w:tcBorders>
              <w:top w:val="single" w:sz="4" w:space="0" w:color="AAAAAA"/>
              <w:left w:val="nil"/>
              <w:bottom w:val="single" w:sz="4" w:space="0" w:color="AAAAAA"/>
              <w:right w:val="single" w:sz="4" w:space="0" w:color="AAAAAA"/>
            </w:tcBorders>
            <w:vAlign w:val="center"/>
            <w:hideMark/>
          </w:tcPr>
          <w:p w14:paraId="70D1093F"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6.78</w:t>
            </w:r>
          </w:p>
        </w:tc>
        <w:tc>
          <w:tcPr>
            <w:tcW w:w="1051" w:type="dxa"/>
            <w:tcBorders>
              <w:top w:val="single" w:sz="4" w:space="0" w:color="AAAAAA"/>
              <w:left w:val="nil"/>
              <w:bottom w:val="single" w:sz="4" w:space="0" w:color="AAAAAA"/>
              <w:right w:val="single" w:sz="4" w:space="0" w:color="AAAAAA"/>
            </w:tcBorders>
            <w:vAlign w:val="center"/>
            <w:hideMark/>
          </w:tcPr>
          <w:p w14:paraId="1E5CA169"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&lt; 0.001</w:t>
            </w:r>
          </w:p>
        </w:tc>
        <w:tc>
          <w:tcPr>
            <w:tcW w:w="738" w:type="dxa"/>
            <w:tcBorders>
              <w:top w:val="single" w:sz="4" w:space="0" w:color="AAAAAA"/>
              <w:left w:val="nil"/>
              <w:bottom w:val="single" w:sz="4" w:space="0" w:color="AAAAAA"/>
              <w:right w:val="single" w:sz="4" w:space="0" w:color="AAAAAA"/>
            </w:tcBorders>
            <w:vAlign w:val="center"/>
            <w:hideMark/>
          </w:tcPr>
          <w:p w14:paraId="62A905CB"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095035FC"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1.100</w:t>
            </w:r>
          </w:p>
        </w:tc>
        <w:tc>
          <w:tcPr>
            <w:tcW w:w="1192" w:type="dxa"/>
            <w:tcBorders>
              <w:top w:val="single" w:sz="4" w:space="0" w:color="AAAAAA"/>
              <w:left w:val="nil"/>
              <w:bottom w:val="single" w:sz="4" w:space="0" w:color="AAAAAA"/>
              <w:right w:val="single" w:sz="4" w:space="0" w:color="AAAAAA"/>
            </w:tcBorders>
            <w:vAlign w:val="center"/>
            <w:hideMark/>
          </w:tcPr>
          <w:p w14:paraId="6533B3F9"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+1.98</w:t>
            </w:r>
          </w:p>
        </w:tc>
      </w:tr>
      <w:tr w:rsidR="002D26E1" w:rsidRPr="003B0C52" w14:paraId="09D0DB0C"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21EC217E"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Market distance: &gt; 10 km</w:t>
            </w:r>
          </w:p>
        </w:tc>
        <w:tc>
          <w:tcPr>
            <w:tcW w:w="935" w:type="dxa"/>
            <w:tcBorders>
              <w:top w:val="single" w:sz="4" w:space="0" w:color="AAAAAA"/>
              <w:left w:val="nil"/>
              <w:bottom w:val="single" w:sz="4" w:space="0" w:color="AAAAAA"/>
              <w:right w:val="single" w:sz="4" w:space="0" w:color="AAAAAA"/>
            </w:tcBorders>
            <w:vAlign w:val="center"/>
            <w:hideMark/>
          </w:tcPr>
          <w:p w14:paraId="7ACD98C4"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0.146</w:t>
            </w:r>
          </w:p>
        </w:tc>
        <w:tc>
          <w:tcPr>
            <w:tcW w:w="935" w:type="dxa"/>
            <w:tcBorders>
              <w:top w:val="single" w:sz="4" w:space="0" w:color="AAAAAA"/>
              <w:left w:val="nil"/>
              <w:bottom w:val="single" w:sz="4" w:space="0" w:color="AAAAAA"/>
              <w:right w:val="single" w:sz="4" w:space="0" w:color="AAAAAA"/>
            </w:tcBorders>
            <w:vAlign w:val="center"/>
            <w:hideMark/>
          </w:tcPr>
          <w:p w14:paraId="3C6A87AC"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0.015</w:t>
            </w:r>
          </w:p>
        </w:tc>
        <w:tc>
          <w:tcPr>
            <w:tcW w:w="935" w:type="dxa"/>
            <w:tcBorders>
              <w:top w:val="single" w:sz="4" w:space="0" w:color="AAAAAA"/>
              <w:left w:val="nil"/>
              <w:bottom w:val="single" w:sz="4" w:space="0" w:color="AAAAAA"/>
              <w:right w:val="single" w:sz="4" w:space="0" w:color="AAAAAA"/>
            </w:tcBorders>
            <w:vAlign w:val="center"/>
            <w:hideMark/>
          </w:tcPr>
          <w:p w14:paraId="5DE39DAF"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9.73</w:t>
            </w:r>
          </w:p>
        </w:tc>
        <w:tc>
          <w:tcPr>
            <w:tcW w:w="1051" w:type="dxa"/>
            <w:tcBorders>
              <w:top w:val="single" w:sz="4" w:space="0" w:color="AAAAAA"/>
              <w:left w:val="nil"/>
              <w:bottom w:val="single" w:sz="4" w:space="0" w:color="AAAAAA"/>
              <w:right w:val="single" w:sz="4" w:space="0" w:color="AAAAAA"/>
            </w:tcBorders>
            <w:vAlign w:val="center"/>
            <w:hideMark/>
          </w:tcPr>
          <w:p w14:paraId="0025385E"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&lt; 0.001</w:t>
            </w:r>
          </w:p>
        </w:tc>
        <w:tc>
          <w:tcPr>
            <w:tcW w:w="738" w:type="dxa"/>
            <w:tcBorders>
              <w:top w:val="single" w:sz="4" w:space="0" w:color="AAAAAA"/>
              <w:left w:val="nil"/>
              <w:bottom w:val="single" w:sz="4" w:space="0" w:color="AAAAAA"/>
              <w:right w:val="single" w:sz="4" w:space="0" w:color="AAAAAA"/>
            </w:tcBorders>
            <w:vAlign w:val="center"/>
            <w:hideMark/>
          </w:tcPr>
          <w:p w14:paraId="2EF00FF1"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4AA06752"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1.160</w:t>
            </w:r>
          </w:p>
        </w:tc>
        <w:tc>
          <w:tcPr>
            <w:tcW w:w="1192" w:type="dxa"/>
            <w:tcBorders>
              <w:top w:val="single" w:sz="4" w:space="0" w:color="AAAAAA"/>
              <w:left w:val="nil"/>
              <w:bottom w:val="single" w:sz="4" w:space="0" w:color="AAAAAA"/>
              <w:right w:val="single" w:sz="4" w:space="0" w:color="AAAAAA"/>
            </w:tcBorders>
            <w:vAlign w:val="center"/>
            <w:hideMark/>
          </w:tcPr>
          <w:p w14:paraId="06A883B1"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+3.17</w:t>
            </w:r>
          </w:p>
        </w:tc>
      </w:tr>
      <w:tr w:rsidR="002D26E1" w:rsidRPr="003B0C52" w14:paraId="5F04AEC1"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2C700240"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Transport impact (severity)</w:t>
            </w:r>
          </w:p>
        </w:tc>
        <w:tc>
          <w:tcPr>
            <w:tcW w:w="935" w:type="dxa"/>
            <w:tcBorders>
              <w:top w:val="single" w:sz="4" w:space="0" w:color="AAAAAA"/>
              <w:left w:val="nil"/>
              <w:bottom w:val="single" w:sz="4" w:space="0" w:color="AAAAAA"/>
              <w:right w:val="single" w:sz="4" w:space="0" w:color="AAAAAA"/>
            </w:tcBorders>
            <w:vAlign w:val="center"/>
            <w:hideMark/>
          </w:tcPr>
          <w:p w14:paraId="60130F24"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0.072</w:t>
            </w:r>
          </w:p>
        </w:tc>
        <w:tc>
          <w:tcPr>
            <w:tcW w:w="935" w:type="dxa"/>
            <w:tcBorders>
              <w:top w:val="single" w:sz="4" w:space="0" w:color="AAAAAA"/>
              <w:left w:val="nil"/>
              <w:bottom w:val="single" w:sz="4" w:space="0" w:color="AAAAAA"/>
              <w:right w:val="single" w:sz="4" w:space="0" w:color="AAAAAA"/>
            </w:tcBorders>
            <w:vAlign w:val="center"/>
            <w:hideMark/>
          </w:tcPr>
          <w:p w14:paraId="5638B344"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0.012</w:t>
            </w:r>
          </w:p>
        </w:tc>
        <w:tc>
          <w:tcPr>
            <w:tcW w:w="935" w:type="dxa"/>
            <w:tcBorders>
              <w:top w:val="single" w:sz="4" w:space="0" w:color="AAAAAA"/>
              <w:left w:val="nil"/>
              <w:bottom w:val="single" w:sz="4" w:space="0" w:color="AAAAAA"/>
              <w:right w:val="single" w:sz="4" w:space="0" w:color="AAAAAA"/>
            </w:tcBorders>
            <w:vAlign w:val="center"/>
            <w:hideMark/>
          </w:tcPr>
          <w:p w14:paraId="584213B7"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5.84</w:t>
            </w:r>
          </w:p>
        </w:tc>
        <w:tc>
          <w:tcPr>
            <w:tcW w:w="1051" w:type="dxa"/>
            <w:tcBorders>
              <w:top w:val="single" w:sz="4" w:space="0" w:color="AAAAAA"/>
              <w:left w:val="nil"/>
              <w:bottom w:val="single" w:sz="4" w:space="0" w:color="AAAAAA"/>
              <w:right w:val="single" w:sz="4" w:space="0" w:color="AAAAAA"/>
            </w:tcBorders>
            <w:vAlign w:val="center"/>
            <w:hideMark/>
          </w:tcPr>
          <w:p w14:paraId="79FB2F6A"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&lt; 0.001</w:t>
            </w:r>
          </w:p>
        </w:tc>
        <w:tc>
          <w:tcPr>
            <w:tcW w:w="738" w:type="dxa"/>
            <w:tcBorders>
              <w:top w:val="single" w:sz="4" w:space="0" w:color="AAAAAA"/>
              <w:left w:val="nil"/>
              <w:bottom w:val="single" w:sz="4" w:space="0" w:color="AAAAAA"/>
              <w:right w:val="single" w:sz="4" w:space="0" w:color="AAAAAA"/>
            </w:tcBorders>
            <w:vAlign w:val="center"/>
            <w:hideMark/>
          </w:tcPr>
          <w:p w14:paraId="3456F0D7"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06624159"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1.080</w:t>
            </w:r>
          </w:p>
        </w:tc>
        <w:tc>
          <w:tcPr>
            <w:tcW w:w="1192" w:type="dxa"/>
            <w:tcBorders>
              <w:top w:val="single" w:sz="4" w:space="0" w:color="AAAAAA"/>
              <w:left w:val="nil"/>
              <w:bottom w:val="single" w:sz="4" w:space="0" w:color="AAAAAA"/>
              <w:right w:val="single" w:sz="4" w:space="0" w:color="AAAAAA"/>
            </w:tcBorders>
            <w:vAlign w:val="center"/>
            <w:hideMark/>
          </w:tcPr>
          <w:p w14:paraId="0271B3A0"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+1.57</w:t>
            </w:r>
          </w:p>
        </w:tc>
      </w:tr>
      <w:tr w:rsidR="002D26E1" w:rsidRPr="003B0C52" w14:paraId="7598062E" w14:textId="77777777" w:rsidTr="00DA2D9D">
        <w:trPr>
          <w:trHeight w:val="383"/>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51B113B5"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Education: Primary</w:t>
            </w:r>
          </w:p>
        </w:tc>
        <w:tc>
          <w:tcPr>
            <w:tcW w:w="935" w:type="dxa"/>
            <w:tcBorders>
              <w:top w:val="single" w:sz="4" w:space="0" w:color="AAAAAA"/>
              <w:left w:val="nil"/>
              <w:bottom w:val="single" w:sz="4" w:space="0" w:color="AAAAAA"/>
              <w:right w:val="single" w:sz="4" w:space="0" w:color="AAAAAA"/>
            </w:tcBorders>
            <w:vAlign w:val="center"/>
            <w:hideMark/>
          </w:tcPr>
          <w:p w14:paraId="114DDF53"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0.027</w:t>
            </w:r>
          </w:p>
        </w:tc>
        <w:tc>
          <w:tcPr>
            <w:tcW w:w="935" w:type="dxa"/>
            <w:tcBorders>
              <w:top w:val="single" w:sz="4" w:space="0" w:color="AAAAAA"/>
              <w:left w:val="nil"/>
              <w:bottom w:val="single" w:sz="4" w:space="0" w:color="AAAAAA"/>
              <w:right w:val="single" w:sz="4" w:space="0" w:color="AAAAAA"/>
            </w:tcBorders>
            <w:vAlign w:val="center"/>
            <w:hideMark/>
          </w:tcPr>
          <w:p w14:paraId="737D1B16"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0.016</w:t>
            </w:r>
          </w:p>
        </w:tc>
        <w:tc>
          <w:tcPr>
            <w:tcW w:w="935" w:type="dxa"/>
            <w:tcBorders>
              <w:top w:val="single" w:sz="4" w:space="0" w:color="AAAAAA"/>
              <w:left w:val="nil"/>
              <w:bottom w:val="single" w:sz="4" w:space="0" w:color="AAAAAA"/>
              <w:right w:val="single" w:sz="4" w:space="0" w:color="AAAAAA"/>
            </w:tcBorders>
            <w:vAlign w:val="center"/>
            <w:hideMark/>
          </w:tcPr>
          <w:p w14:paraId="21851414"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1.71</w:t>
            </w:r>
          </w:p>
        </w:tc>
        <w:tc>
          <w:tcPr>
            <w:tcW w:w="1051" w:type="dxa"/>
            <w:tcBorders>
              <w:top w:val="single" w:sz="4" w:space="0" w:color="AAAAAA"/>
              <w:left w:val="nil"/>
              <w:bottom w:val="single" w:sz="4" w:space="0" w:color="AAAAAA"/>
              <w:right w:val="single" w:sz="4" w:space="0" w:color="AAAAAA"/>
            </w:tcBorders>
            <w:vAlign w:val="center"/>
            <w:hideMark/>
          </w:tcPr>
          <w:p w14:paraId="09600B20"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0.087</w:t>
            </w:r>
          </w:p>
        </w:tc>
        <w:tc>
          <w:tcPr>
            <w:tcW w:w="738" w:type="dxa"/>
            <w:tcBorders>
              <w:top w:val="single" w:sz="4" w:space="0" w:color="AAAAAA"/>
              <w:left w:val="nil"/>
              <w:bottom w:val="single" w:sz="4" w:space="0" w:color="AAAAAA"/>
              <w:right w:val="single" w:sz="4" w:space="0" w:color="AAAAAA"/>
            </w:tcBorders>
            <w:vAlign w:val="center"/>
            <w:hideMark/>
          </w:tcPr>
          <w:p w14:paraId="44978585"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03EA1051"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1.030</w:t>
            </w:r>
          </w:p>
        </w:tc>
        <w:tc>
          <w:tcPr>
            <w:tcW w:w="1192" w:type="dxa"/>
            <w:tcBorders>
              <w:top w:val="single" w:sz="4" w:space="0" w:color="AAAAAA"/>
              <w:left w:val="nil"/>
              <w:bottom w:val="single" w:sz="4" w:space="0" w:color="AAAAAA"/>
              <w:right w:val="single" w:sz="4" w:space="0" w:color="AAAAAA"/>
            </w:tcBorders>
            <w:vAlign w:val="center"/>
            <w:hideMark/>
          </w:tcPr>
          <w:p w14:paraId="4580B477"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+0.59</w:t>
            </w:r>
          </w:p>
        </w:tc>
      </w:tr>
      <w:tr w:rsidR="002D26E1" w:rsidRPr="003B0C52" w14:paraId="1536D25C"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64320174"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Education: Secondary</w:t>
            </w:r>
          </w:p>
        </w:tc>
        <w:tc>
          <w:tcPr>
            <w:tcW w:w="935" w:type="dxa"/>
            <w:tcBorders>
              <w:top w:val="single" w:sz="4" w:space="0" w:color="AAAAAA"/>
              <w:left w:val="nil"/>
              <w:bottom w:val="single" w:sz="4" w:space="0" w:color="AAAAAA"/>
              <w:right w:val="single" w:sz="4" w:space="0" w:color="AAAAAA"/>
            </w:tcBorders>
            <w:vAlign w:val="center"/>
            <w:hideMark/>
          </w:tcPr>
          <w:p w14:paraId="6D6EAAF6"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0.016</w:t>
            </w:r>
          </w:p>
        </w:tc>
        <w:tc>
          <w:tcPr>
            <w:tcW w:w="935" w:type="dxa"/>
            <w:tcBorders>
              <w:top w:val="single" w:sz="4" w:space="0" w:color="AAAAAA"/>
              <w:left w:val="nil"/>
              <w:bottom w:val="single" w:sz="4" w:space="0" w:color="AAAAAA"/>
              <w:right w:val="single" w:sz="4" w:space="0" w:color="AAAAAA"/>
            </w:tcBorders>
            <w:vAlign w:val="center"/>
            <w:hideMark/>
          </w:tcPr>
          <w:p w14:paraId="49A187D1"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0.016</w:t>
            </w:r>
          </w:p>
        </w:tc>
        <w:tc>
          <w:tcPr>
            <w:tcW w:w="935" w:type="dxa"/>
            <w:tcBorders>
              <w:top w:val="single" w:sz="4" w:space="0" w:color="AAAAAA"/>
              <w:left w:val="nil"/>
              <w:bottom w:val="single" w:sz="4" w:space="0" w:color="AAAAAA"/>
              <w:right w:val="single" w:sz="4" w:space="0" w:color="AAAAAA"/>
            </w:tcBorders>
            <w:vAlign w:val="center"/>
            <w:hideMark/>
          </w:tcPr>
          <w:p w14:paraId="54E43EDB"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1.04</w:t>
            </w:r>
          </w:p>
        </w:tc>
        <w:tc>
          <w:tcPr>
            <w:tcW w:w="1051" w:type="dxa"/>
            <w:tcBorders>
              <w:top w:val="single" w:sz="4" w:space="0" w:color="AAAAAA"/>
              <w:left w:val="nil"/>
              <w:bottom w:val="single" w:sz="4" w:space="0" w:color="AAAAAA"/>
              <w:right w:val="single" w:sz="4" w:space="0" w:color="AAAAAA"/>
            </w:tcBorders>
            <w:vAlign w:val="center"/>
            <w:hideMark/>
          </w:tcPr>
          <w:p w14:paraId="534C40E8"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0.298</w:t>
            </w:r>
          </w:p>
        </w:tc>
        <w:tc>
          <w:tcPr>
            <w:tcW w:w="738" w:type="dxa"/>
            <w:tcBorders>
              <w:top w:val="single" w:sz="4" w:space="0" w:color="AAAAAA"/>
              <w:left w:val="nil"/>
              <w:bottom w:val="single" w:sz="4" w:space="0" w:color="AAAAAA"/>
              <w:right w:val="single" w:sz="4" w:space="0" w:color="AAAAAA"/>
            </w:tcBorders>
            <w:vAlign w:val="center"/>
            <w:hideMark/>
          </w:tcPr>
          <w:p w14:paraId="2F62ECF5"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01294355"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1.020</w:t>
            </w:r>
          </w:p>
        </w:tc>
        <w:tc>
          <w:tcPr>
            <w:tcW w:w="1192" w:type="dxa"/>
            <w:tcBorders>
              <w:top w:val="single" w:sz="4" w:space="0" w:color="AAAAAA"/>
              <w:left w:val="nil"/>
              <w:bottom w:val="single" w:sz="4" w:space="0" w:color="AAAAAA"/>
              <w:right w:val="single" w:sz="4" w:space="0" w:color="AAAAAA"/>
            </w:tcBorders>
            <w:vAlign w:val="center"/>
            <w:hideMark/>
          </w:tcPr>
          <w:p w14:paraId="2708BC91"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+0.35</w:t>
            </w:r>
          </w:p>
        </w:tc>
      </w:tr>
      <w:tr w:rsidR="002D26E1" w:rsidRPr="003B0C52" w14:paraId="6BDF6930" w14:textId="77777777" w:rsidTr="00DA2D9D">
        <w:trPr>
          <w:trHeight w:val="383"/>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7330BD91"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Education: Tertiary</w:t>
            </w:r>
          </w:p>
        </w:tc>
        <w:tc>
          <w:tcPr>
            <w:tcW w:w="935" w:type="dxa"/>
            <w:tcBorders>
              <w:top w:val="single" w:sz="4" w:space="0" w:color="AAAAAA"/>
              <w:left w:val="nil"/>
              <w:bottom w:val="single" w:sz="4" w:space="0" w:color="AAAAAA"/>
              <w:right w:val="single" w:sz="4" w:space="0" w:color="AAAAAA"/>
            </w:tcBorders>
            <w:vAlign w:val="center"/>
            <w:hideMark/>
          </w:tcPr>
          <w:p w14:paraId="2FE55754"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0.033</w:t>
            </w:r>
          </w:p>
        </w:tc>
        <w:tc>
          <w:tcPr>
            <w:tcW w:w="935" w:type="dxa"/>
            <w:tcBorders>
              <w:top w:val="single" w:sz="4" w:space="0" w:color="AAAAAA"/>
              <w:left w:val="nil"/>
              <w:bottom w:val="single" w:sz="4" w:space="0" w:color="AAAAAA"/>
              <w:right w:val="single" w:sz="4" w:space="0" w:color="AAAAAA"/>
            </w:tcBorders>
            <w:vAlign w:val="center"/>
            <w:hideMark/>
          </w:tcPr>
          <w:p w14:paraId="0C54061D"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0.020</w:t>
            </w:r>
          </w:p>
        </w:tc>
        <w:tc>
          <w:tcPr>
            <w:tcW w:w="935" w:type="dxa"/>
            <w:tcBorders>
              <w:top w:val="single" w:sz="4" w:space="0" w:color="AAAAAA"/>
              <w:left w:val="nil"/>
              <w:bottom w:val="single" w:sz="4" w:space="0" w:color="AAAAAA"/>
              <w:right w:val="single" w:sz="4" w:space="0" w:color="AAAAAA"/>
            </w:tcBorders>
            <w:vAlign w:val="center"/>
            <w:hideMark/>
          </w:tcPr>
          <w:p w14:paraId="0E7B3CC9"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1.63</w:t>
            </w:r>
          </w:p>
        </w:tc>
        <w:tc>
          <w:tcPr>
            <w:tcW w:w="1051" w:type="dxa"/>
            <w:tcBorders>
              <w:top w:val="single" w:sz="4" w:space="0" w:color="AAAAAA"/>
              <w:left w:val="nil"/>
              <w:bottom w:val="single" w:sz="4" w:space="0" w:color="AAAAAA"/>
              <w:right w:val="single" w:sz="4" w:space="0" w:color="AAAAAA"/>
            </w:tcBorders>
            <w:vAlign w:val="center"/>
            <w:hideMark/>
          </w:tcPr>
          <w:p w14:paraId="28D7B1FA"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0.102</w:t>
            </w:r>
          </w:p>
        </w:tc>
        <w:tc>
          <w:tcPr>
            <w:tcW w:w="738" w:type="dxa"/>
            <w:tcBorders>
              <w:top w:val="single" w:sz="4" w:space="0" w:color="AAAAAA"/>
              <w:left w:val="nil"/>
              <w:bottom w:val="single" w:sz="4" w:space="0" w:color="AAAAAA"/>
              <w:right w:val="single" w:sz="4" w:space="0" w:color="AAAAAA"/>
            </w:tcBorders>
            <w:vAlign w:val="center"/>
            <w:hideMark/>
          </w:tcPr>
          <w:p w14:paraId="75D39E2E"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52684D29"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1.030</w:t>
            </w:r>
          </w:p>
        </w:tc>
        <w:tc>
          <w:tcPr>
            <w:tcW w:w="1192" w:type="dxa"/>
            <w:tcBorders>
              <w:top w:val="single" w:sz="4" w:space="0" w:color="AAAAAA"/>
              <w:left w:val="nil"/>
              <w:bottom w:val="single" w:sz="4" w:space="0" w:color="AAAAAA"/>
              <w:right w:val="single" w:sz="4" w:space="0" w:color="AAAAAA"/>
            </w:tcBorders>
            <w:vAlign w:val="center"/>
            <w:hideMark/>
          </w:tcPr>
          <w:p w14:paraId="066500E1"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+0.72</w:t>
            </w:r>
          </w:p>
        </w:tc>
      </w:tr>
      <w:tr w:rsidR="002D26E1" w:rsidRPr="003B0C52" w14:paraId="3503ECDE"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74D35224"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Transport mode: Truck</w:t>
            </w:r>
          </w:p>
        </w:tc>
        <w:tc>
          <w:tcPr>
            <w:tcW w:w="935" w:type="dxa"/>
            <w:tcBorders>
              <w:top w:val="single" w:sz="4" w:space="0" w:color="AAAAAA"/>
              <w:left w:val="nil"/>
              <w:bottom w:val="single" w:sz="4" w:space="0" w:color="AAAAAA"/>
              <w:right w:val="single" w:sz="4" w:space="0" w:color="AAAAAA"/>
            </w:tcBorders>
            <w:vAlign w:val="center"/>
            <w:hideMark/>
          </w:tcPr>
          <w:p w14:paraId="6A032B15"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-0.056</w:t>
            </w:r>
          </w:p>
        </w:tc>
        <w:tc>
          <w:tcPr>
            <w:tcW w:w="935" w:type="dxa"/>
            <w:tcBorders>
              <w:top w:val="single" w:sz="4" w:space="0" w:color="AAAAAA"/>
              <w:left w:val="nil"/>
              <w:bottom w:val="single" w:sz="4" w:space="0" w:color="AAAAAA"/>
              <w:right w:val="single" w:sz="4" w:space="0" w:color="AAAAAA"/>
            </w:tcBorders>
            <w:vAlign w:val="center"/>
            <w:hideMark/>
          </w:tcPr>
          <w:p w14:paraId="1698B626"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0.011</w:t>
            </w:r>
          </w:p>
        </w:tc>
        <w:tc>
          <w:tcPr>
            <w:tcW w:w="935" w:type="dxa"/>
            <w:tcBorders>
              <w:top w:val="single" w:sz="4" w:space="0" w:color="AAAAAA"/>
              <w:left w:val="nil"/>
              <w:bottom w:val="single" w:sz="4" w:space="0" w:color="AAAAAA"/>
              <w:right w:val="single" w:sz="4" w:space="0" w:color="AAAAAA"/>
            </w:tcBorders>
            <w:vAlign w:val="center"/>
            <w:hideMark/>
          </w:tcPr>
          <w:p w14:paraId="7B908A65"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-5.20</w:t>
            </w:r>
          </w:p>
        </w:tc>
        <w:tc>
          <w:tcPr>
            <w:tcW w:w="1051" w:type="dxa"/>
            <w:tcBorders>
              <w:top w:val="single" w:sz="4" w:space="0" w:color="AAAAAA"/>
              <w:left w:val="nil"/>
              <w:bottom w:val="single" w:sz="4" w:space="0" w:color="AAAAAA"/>
              <w:right w:val="single" w:sz="4" w:space="0" w:color="AAAAAA"/>
            </w:tcBorders>
            <w:vAlign w:val="center"/>
            <w:hideMark/>
          </w:tcPr>
          <w:p w14:paraId="731A468A"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&lt; 0.001</w:t>
            </w:r>
          </w:p>
        </w:tc>
        <w:tc>
          <w:tcPr>
            <w:tcW w:w="738" w:type="dxa"/>
            <w:tcBorders>
              <w:top w:val="single" w:sz="4" w:space="0" w:color="AAAAAA"/>
              <w:left w:val="nil"/>
              <w:bottom w:val="single" w:sz="4" w:space="0" w:color="AAAAAA"/>
              <w:right w:val="single" w:sz="4" w:space="0" w:color="AAAAAA"/>
            </w:tcBorders>
            <w:vAlign w:val="center"/>
            <w:hideMark/>
          </w:tcPr>
          <w:p w14:paraId="52111418"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743CAF36"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0.945</w:t>
            </w:r>
          </w:p>
        </w:tc>
        <w:tc>
          <w:tcPr>
            <w:tcW w:w="1192" w:type="dxa"/>
            <w:tcBorders>
              <w:top w:val="single" w:sz="4" w:space="0" w:color="AAAAAA"/>
              <w:left w:val="nil"/>
              <w:bottom w:val="single" w:sz="4" w:space="0" w:color="AAAAAA"/>
              <w:right w:val="single" w:sz="4" w:space="0" w:color="AAAAAA"/>
            </w:tcBorders>
            <w:vAlign w:val="center"/>
            <w:hideMark/>
          </w:tcPr>
          <w:p w14:paraId="571AAA4B"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-1.22</w:t>
            </w:r>
          </w:p>
        </w:tc>
      </w:tr>
      <w:tr w:rsidR="002D26E1" w:rsidRPr="003B0C52" w14:paraId="24876D74"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72A2D085"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Transport mode: Animal</w:t>
            </w:r>
          </w:p>
        </w:tc>
        <w:tc>
          <w:tcPr>
            <w:tcW w:w="935" w:type="dxa"/>
            <w:tcBorders>
              <w:top w:val="single" w:sz="4" w:space="0" w:color="AAAAAA"/>
              <w:left w:val="nil"/>
              <w:bottom w:val="single" w:sz="4" w:space="0" w:color="AAAAAA"/>
              <w:right w:val="single" w:sz="4" w:space="0" w:color="AAAAAA"/>
            </w:tcBorders>
            <w:vAlign w:val="center"/>
            <w:hideMark/>
          </w:tcPr>
          <w:p w14:paraId="6B267048"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-0.010</w:t>
            </w:r>
          </w:p>
        </w:tc>
        <w:tc>
          <w:tcPr>
            <w:tcW w:w="935" w:type="dxa"/>
            <w:tcBorders>
              <w:top w:val="single" w:sz="4" w:space="0" w:color="AAAAAA"/>
              <w:left w:val="nil"/>
              <w:bottom w:val="single" w:sz="4" w:space="0" w:color="AAAAAA"/>
              <w:right w:val="single" w:sz="4" w:space="0" w:color="AAAAAA"/>
            </w:tcBorders>
            <w:vAlign w:val="center"/>
            <w:hideMark/>
          </w:tcPr>
          <w:p w14:paraId="3CAE5EA3"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0.073</w:t>
            </w:r>
          </w:p>
        </w:tc>
        <w:tc>
          <w:tcPr>
            <w:tcW w:w="935" w:type="dxa"/>
            <w:tcBorders>
              <w:top w:val="single" w:sz="4" w:space="0" w:color="AAAAAA"/>
              <w:left w:val="nil"/>
              <w:bottom w:val="single" w:sz="4" w:space="0" w:color="AAAAAA"/>
              <w:right w:val="single" w:sz="4" w:space="0" w:color="AAAAAA"/>
            </w:tcBorders>
            <w:vAlign w:val="center"/>
            <w:hideMark/>
          </w:tcPr>
          <w:p w14:paraId="08715D06"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-0.14</w:t>
            </w:r>
          </w:p>
        </w:tc>
        <w:tc>
          <w:tcPr>
            <w:tcW w:w="1051" w:type="dxa"/>
            <w:tcBorders>
              <w:top w:val="single" w:sz="4" w:space="0" w:color="AAAAAA"/>
              <w:left w:val="nil"/>
              <w:bottom w:val="single" w:sz="4" w:space="0" w:color="AAAAAA"/>
              <w:right w:val="single" w:sz="4" w:space="0" w:color="AAAAAA"/>
            </w:tcBorders>
            <w:vAlign w:val="center"/>
            <w:hideMark/>
          </w:tcPr>
          <w:p w14:paraId="000A5F70"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0.891</w:t>
            </w:r>
          </w:p>
        </w:tc>
        <w:tc>
          <w:tcPr>
            <w:tcW w:w="738" w:type="dxa"/>
            <w:tcBorders>
              <w:top w:val="single" w:sz="4" w:space="0" w:color="AAAAAA"/>
              <w:left w:val="nil"/>
              <w:bottom w:val="single" w:sz="4" w:space="0" w:color="AAAAAA"/>
              <w:right w:val="single" w:sz="4" w:space="0" w:color="AAAAAA"/>
            </w:tcBorders>
            <w:vAlign w:val="center"/>
            <w:hideMark/>
          </w:tcPr>
          <w:p w14:paraId="28FBFE44"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6656417B"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0.990</w:t>
            </w:r>
          </w:p>
        </w:tc>
        <w:tc>
          <w:tcPr>
            <w:tcW w:w="1192" w:type="dxa"/>
            <w:tcBorders>
              <w:top w:val="single" w:sz="4" w:space="0" w:color="AAAAAA"/>
              <w:left w:val="nil"/>
              <w:bottom w:val="single" w:sz="4" w:space="0" w:color="AAAAAA"/>
              <w:right w:val="single" w:sz="4" w:space="0" w:color="AAAAAA"/>
            </w:tcBorders>
            <w:vAlign w:val="center"/>
            <w:hideMark/>
          </w:tcPr>
          <w:p w14:paraId="161AFDCD"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-0.22</w:t>
            </w:r>
          </w:p>
        </w:tc>
      </w:tr>
      <w:tr w:rsidR="002D26E1" w:rsidRPr="003B0C52" w14:paraId="241646CA"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7A7EB5A8"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Transport mode: Other</w:t>
            </w:r>
          </w:p>
        </w:tc>
        <w:tc>
          <w:tcPr>
            <w:tcW w:w="935" w:type="dxa"/>
            <w:tcBorders>
              <w:top w:val="single" w:sz="4" w:space="0" w:color="AAAAAA"/>
              <w:left w:val="nil"/>
              <w:bottom w:val="single" w:sz="4" w:space="0" w:color="AAAAAA"/>
              <w:right w:val="single" w:sz="4" w:space="0" w:color="AAAAAA"/>
            </w:tcBorders>
            <w:vAlign w:val="center"/>
            <w:hideMark/>
          </w:tcPr>
          <w:p w14:paraId="6A0BE8E9"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-0.047</w:t>
            </w:r>
          </w:p>
        </w:tc>
        <w:tc>
          <w:tcPr>
            <w:tcW w:w="935" w:type="dxa"/>
            <w:tcBorders>
              <w:top w:val="single" w:sz="4" w:space="0" w:color="AAAAAA"/>
              <w:left w:val="nil"/>
              <w:bottom w:val="single" w:sz="4" w:space="0" w:color="AAAAAA"/>
              <w:right w:val="single" w:sz="4" w:space="0" w:color="AAAAAA"/>
            </w:tcBorders>
            <w:vAlign w:val="center"/>
            <w:hideMark/>
          </w:tcPr>
          <w:p w14:paraId="65F32EA6"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0.035</w:t>
            </w:r>
          </w:p>
        </w:tc>
        <w:tc>
          <w:tcPr>
            <w:tcW w:w="935" w:type="dxa"/>
            <w:tcBorders>
              <w:top w:val="single" w:sz="4" w:space="0" w:color="AAAAAA"/>
              <w:left w:val="nil"/>
              <w:bottom w:val="single" w:sz="4" w:space="0" w:color="AAAAAA"/>
              <w:right w:val="single" w:sz="4" w:space="0" w:color="AAAAAA"/>
            </w:tcBorders>
            <w:vAlign w:val="center"/>
            <w:hideMark/>
          </w:tcPr>
          <w:p w14:paraId="3D5187BF"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-1.33</w:t>
            </w:r>
          </w:p>
        </w:tc>
        <w:tc>
          <w:tcPr>
            <w:tcW w:w="1051" w:type="dxa"/>
            <w:tcBorders>
              <w:top w:val="single" w:sz="4" w:space="0" w:color="AAAAAA"/>
              <w:left w:val="nil"/>
              <w:bottom w:val="single" w:sz="4" w:space="0" w:color="AAAAAA"/>
              <w:right w:val="single" w:sz="4" w:space="0" w:color="AAAAAA"/>
            </w:tcBorders>
            <w:vAlign w:val="center"/>
            <w:hideMark/>
          </w:tcPr>
          <w:p w14:paraId="7BD1845F"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0.183</w:t>
            </w:r>
          </w:p>
        </w:tc>
        <w:tc>
          <w:tcPr>
            <w:tcW w:w="738" w:type="dxa"/>
            <w:tcBorders>
              <w:top w:val="single" w:sz="4" w:space="0" w:color="AAAAAA"/>
              <w:left w:val="nil"/>
              <w:bottom w:val="single" w:sz="4" w:space="0" w:color="AAAAAA"/>
              <w:right w:val="single" w:sz="4" w:space="0" w:color="AAAAAA"/>
            </w:tcBorders>
            <w:vAlign w:val="center"/>
            <w:hideMark/>
          </w:tcPr>
          <w:p w14:paraId="2FD0367C"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61C70431"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0.954</w:t>
            </w:r>
          </w:p>
        </w:tc>
        <w:tc>
          <w:tcPr>
            <w:tcW w:w="1192" w:type="dxa"/>
            <w:tcBorders>
              <w:top w:val="single" w:sz="4" w:space="0" w:color="AAAAAA"/>
              <w:left w:val="nil"/>
              <w:bottom w:val="single" w:sz="4" w:space="0" w:color="AAAAAA"/>
              <w:right w:val="single" w:sz="4" w:space="0" w:color="AAAAAA"/>
            </w:tcBorders>
            <w:vAlign w:val="center"/>
            <w:hideMark/>
          </w:tcPr>
          <w:p w14:paraId="2AF8C124"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-1.02</w:t>
            </w:r>
          </w:p>
        </w:tc>
      </w:tr>
    </w:tbl>
    <w:p w14:paraId="5F039238" w14:textId="2A55A421" w:rsidR="002D26E1" w:rsidRPr="003B0C52" w:rsidRDefault="002D26E1" w:rsidP="003B0C52">
      <w:pPr>
        <w:pStyle w:val="NoSpacing"/>
        <w:jc w:val="both"/>
        <w:rPr>
          <w:rFonts w:ascii="Times New Roman" w:hAnsi="Times New Roman" w:cs="Times New Roman"/>
          <w:i/>
        </w:rPr>
      </w:pPr>
      <w:r w:rsidRPr="003B0C52">
        <w:rPr>
          <w:rFonts w:ascii="Times New Roman" w:hAnsi="Times New Roman" w:cs="Times New Roman"/>
          <w:i/>
        </w:rPr>
        <w:t xml:space="preserve">The Odds ratio </w:t>
      </w:r>
      <m:oMath>
        <m:r>
          <w:rPr>
            <w:rFonts w:ascii="Cambria Math" w:hAnsi="Cambria Math" w:cs="Times New Roman"/>
          </w:rPr>
          <m:t>OR=exp</m:t>
        </m:r>
        <m:d>
          <m:dPr>
            <m:ctrlPr>
              <w:rPr>
                <w:rFonts w:ascii="Cambria Math" w:hAnsi="Cambria Math" w:cs="Times New Roman"/>
                <w:i/>
              </w:rPr>
            </m:ctrlPr>
          </m:dPr>
          <m:e>
            <m:r>
              <w:rPr>
                <w:rFonts w:ascii="Cambria Math" w:hAnsi="Cambria Math" w:cs="Times New Roman"/>
              </w:rPr>
              <m:t>β</m:t>
            </m:r>
          </m:e>
        </m:d>
      </m:oMath>
      <w:r w:rsidRPr="003B0C52">
        <w:rPr>
          <w:rFonts w:ascii="Times New Roman" w:eastAsiaTheme="minorEastAsia" w:hAnsi="Times New Roman" w:cs="Times New Roman"/>
          <w:i/>
        </w:rPr>
        <w:t xml:space="preserve">, </w:t>
      </w:r>
      <m:oMath>
        <m:r>
          <w:rPr>
            <w:rFonts w:ascii="Cambria Math" w:eastAsiaTheme="minorEastAsia" w:hAnsi="Cambria Math" w:cs="Times New Roman"/>
          </w:rPr>
          <m:t xml:space="preserve">ME (pp) </m:t>
        </m:r>
      </m:oMath>
      <w:r w:rsidRPr="003B0C52">
        <w:rPr>
          <w:rFonts w:ascii="Times New Roman" w:eastAsiaTheme="minorEastAsia" w:hAnsi="Times New Roman" w:cs="Times New Roman"/>
          <w:i/>
        </w:rPr>
        <w:t xml:space="preserve">are the marginal effects in percentage points at </w:t>
      </w:r>
      <m:oMath>
        <m:r>
          <w:rPr>
            <w:rFonts w:ascii="Cambria Math" w:eastAsiaTheme="minorEastAsia" w:hAnsi="Cambria Math" w:cs="Times New Roman"/>
          </w:rPr>
          <m:t>µ=0.319</m:t>
        </m:r>
      </m:oMath>
      <w:r w:rsidRPr="003B0C52">
        <w:rPr>
          <w:rFonts w:ascii="Times New Roman" w:eastAsiaTheme="minorEastAsia" w:hAnsi="Times New Roman" w:cs="Times New Roman"/>
          <w:i/>
        </w:rPr>
        <w:t xml:space="preserve"> </w:t>
      </w:r>
      <m:oMath>
        <m:d>
          <m:dPr>
            <m:ctrlPr>
              <w:rPr>
                <w:rFonts w:ascii="Cambria Math" w:eastAsiaTheme="minorEastAsia" w:hAnsi="Cambria Math" w:cs="Times New Roman"/>
                <w:i/>
              </w:rPr>
            </m:ctrlPr>
          </m:dPr>
          <m:e>
            <m:r>
              <w:rPr>
                <w:rFonts w:ascii="Cambria Math" w:eastAsiaTheme="minorEastAsia" w:hAnsi="Cambria Math" w:cs="Times New Roman"/>
              </w:rPr>
              <m:t>31.9%</m:t>
            </m:r>
          </m:e>
        </m:d>
      </m:oMath>
      <w:r w:rsidRPr="003B0C52">
        <w:rPr>
          <w:rFonts w:ascii="Times New Roman" w:eastAsiaTheme="minorEastAsia" w:hAnsi="Times New Roman" w:cs="Times New Roman"/>
          <w:i/>
        </w:rPr>
        <w:t>. The reference categories: Storage duration less than 2 weeks, distance less than 5km, mode of transport is motorcycle.</w:t>
      </w:r>
    </w:p>
    <w:p w14:paraId="4507D139" w14:textId="16691D0D" w:rsidR="002D26E1" w:rsidRPr="003B0C52" w:rsidRDefault="002D26E1" w:rsidP="003B0C52">
      <w:pPr>
        <w:pStyle w:val="Heading2"/>
        <w:spacing w:line="240" w:lineRule="auto"/>
        <w:rPr>
          <w:rFonts w:ascii="Times New Roman" w:hAnsi="Times New Roman" w:cs="Times New Roman"/>
          <w:b/>
          <w:bCs/>
          <w:color w:val="auto"/>
          <w:sz w:val="24"/>
          <w:szCs w:val="24"/>
        </w:rPr>
      </w:pPr>
      <w:bookmarkStart w:id="24" w:name="_Toc225180567"/>
      <w:r w:rsidRPr="003B0C52">
        <w:rPr>
          <w:rFonts w:ascii="Times New Roman" w:hAnsi="Times New Roman" w:cs="Times New Roman"/>
          <w:b/>
          <w:bCs/>
          <w:color w:val="auto"/>
          <w:sz w:val="24"/>
          <w:szCs w:val="24"/>
        </w:rPr>
        <w:t>4.</w:t>
      </w:r>
      <w:r w:rsidR="0075761C" w:rsidRPr="003B0C52">
        <w:rPr>
          <w:rFonts w:ascii="Times New Roman" w:hAnsi="Times New Roman" w:cs="Times New Roman"/>
          <w:b/>
          <w:bCs/>
          <w:color w:val="auto"/>
          <w:sz w:val="24"/>
          <w:szCs w:val="24"/>
        </w:rPr>
        <w:t>5</w:t>
      </w:r>
      <w:r w:rsidRPr="003B0C52">
        <w:rPr>
          <w:rFonts w:ascii="Times New Roman" w:hAnsi="Times New Roman" w:cs="Times New Roman"/>
          <w:b/>
          <w:bCs/>
          <w:color w:val="auto"/>
          <w:sz w:val="24"/>
          <w:szCs w:val="24"/>
        </w:rPr>
        <w:tab/>
        <w:t>Independent variables</w:t>
      </w:r>
      <w:bookmarkEnd w:id="24"/>
      <w:r w:rsidRPr="003B0C52">
        <w:rPr>
          <w:rFonts w:ascii="Times New Roman" w:hAnsi="Times New Roman" w:cs="Times New Roman"/>
          <w:b/>
          <w:bCs/>
          <w:color w:val="auto"/>
          <w:sz w:val="24"/>
          <w:szCs w:val="24"/>
        </w:rPr>
        <w:t xml:space="preserve"> </w:t>
      </w:r>
    </w:p>
    <w:p w14:paraId="57F247E1" w14:textId="74966B31" w:rsidR="002D26E1" w:rsidRPr="003B0C52" w:rsidRDefault="002D26E1" w:rsidP="003B0C52">
      <w:pPr>
        <w:pStyle w:val="Heading4"/>
        <w:spacing w:line="240" w:lineRule="auto"/>
        <w:rPr>
          <w:rFonts w:ascii="Times New Roman" w:hAnsi="Times New Roman" w:cs="Times New Roman"/>
          <w:b/>
          <w:bCs/>
          <w:i w:val="0"/>
          <w:iCs w:val="0"/>
          <w:color w:val="auto"/>
        </w:rPr>
      </w:pPr>
      <w:r w:rsidRPr="003B0C52">
        <w:rPr>
          <w:rFonts w:ascii="Times New Roman" w:hAnsi="Times New Roman" w:cs="Times New Roman"/>
          <w:b/>
          <w:bCs/>
          <w:i w:val="0"/>
          <w:iCs w:val="0"/>
          <w:color w:val="auto"/>
        </w:rPr>
        <w:t>4.</w:t>
      </w:r>
      <w:r w:rsidR="0075761C" w:rsidRPr="003B0C52">
        <w:rPr>
          <w:rFonts w:ascii="Times New Roman" w:hAnsi="Times New Roman" w:cs="Times New Roman"/>
          <w:b/>
          <w:bCs/>
          <w:i w:val="0"/>
          <w:iCs w:val="0"/>
          <w:color w:val="auto"/>
        </w:rPr>
        <w:t>5</w:t>
      </w:r>
      <w:r w:rsidRPr="003B0C52">
        <w:rPr>
          <w:rFonts w:ascii="Times New Roman" w:hAnsi="Times New Roman" w:cs="Times New Roman"/>
          <w:b/>
          <w:bCs/>
          <w:i w:val="0"/>
          <w:iCs w:val="0"/>
          <w:color w:val="auto"/>
        </w:rPr>
        <w:t>.1</w:t>
      </w:r>
      <w:r w:rsidRPr="003B0C52">
        <w:rPr>
          <w:rFonts w:ascii="Times New Roman" w:hAnsi="Times New Roman" w:cs="Times New Roman"/>
          <w:b/>
          <w:bCs/>
          <w:i w:val="0"/>
          <w:iCs w:val="0"/>
          <w:color w:val="auto"/>
        </w:rPr>
        <w:tab/>
        <w:t>Storage method and storage duration</w:t>
      </w:r>
    </w:p>
    <w:p w14:paraId="27DD6C3C" w14:textId="54E9899C" w:rsidR="00AE4901" w:rsidRPr="003B0C52" w:rsidRDefault="002D26E1" w:rsidP="003B0C52">
      <w:pPr>
        <w:pStyle w:val="NoSpacing"/>
        <w:jc w:val="both"/>
        <w:rPr>
          <w:rFonts w:ascii="Times New Roman" w:hAnsi="Times New Roman" w:cs="Times New Roman"/>
          <w:noProof/>
        </w:rPr>
      </w:pPr>
      <w:r w:rsidRPr="003B0C52">
        <w:rPr>
          <w:rFonts w:ascii="Times New Roman" w:hAnsi="Times New Roman" w:cs="Times New Roman"/>
        </w:rPr>
        <w:t xml:space="preserve">The single most significant predictor was storage method </w:t>
      </w:r>
      <m:oMath>
        <m:r>
          <w:rPr>
            <w:rFonts w:ascii="Cambria Math" w:hAnsi="Cambria Math" w:cs="Times New Roman"/>
          </w:rPr>
          <m:t xml:space="preserve">(Wald </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=1182.71,df=2, p=0.001)</m:t>
        </m:r>
      </m:oMath>
      <w:r w:rsidRPr="003B0C52">
        <w:rPr>
          <w:rFonts w:ascii="Times New Roman" w:hAnsi="Times New Roman" w:cs="Times New Roman"/>
        </w:rPr>
        <w:t xml:space="preserve">. Compared to traditional storage, dark room storage decreased the log-odds of proportional loss by </w:t>
      </w:r>
      <m:oMath>
        <m:r>
          <w:rPr>
            <w:rFonts w:ascii="Cambria Math" w:hAnsi="Cambria Math" w:cs="Times New Roman"/>
          </w:rPr>
          <m:t>β=-0.343</m:t>
        </m:r>
      </m:oMath>
      <w:r w:rsidRPr="003B0C52">
        <w:rPr>
          <w:rFonts w:ascii="Times New Roman" w:hAnsi="Times New Roman" w:cs="Times New Roman"/>
        </w:rPr>
        <w:t xml:space="preserve"> </w:t>
      </w:r>
      <m:oMath>
        <m:r>
          <w:rPr>
            <w:rFonts w:ascii="Cambria Math" w:hAnsi="Cambria Math" w:cs="Times New Roman"/>
          </w:rPr>
          <m:t>(OR=0.710, ME=-7.44pp, p= 0.001)</m:t>
        </m:r>
      </m:oMath>
      <w:r w:rsidRPr="003B0C52">
        <w:rPr>
          <w:rFonts w:ascii="Times New Roman" w:hAnsi="Times New Roman" w:cs="Times New Roman"/>
        </w:rPr>
        <w:t xml:space="preserve"> and cold s</w:t>
      </w:r>
      <w:proofErr w:type="spellStart"/>
      <w:r w:rsidRPr="003B0C52">
        <w:rPr>
          <w:rFonts w:ascii="Times New Roman" w:hAnsi="Times New Roman" w:cs="Times New Roman"/>
        </w:rPr>
        <w:t>torage</w:t>
      </w:r>
      <w:proofErr w:type="spellEnd"/>
      <w:r w:rsidRPr="003B0C52">
        <w:rPr>
          <w:rFonts w:ascii="Times New Roman" w:hAnsi="Times New Roman" w:cs="Times New Roman"/>
        </w:rPr>
        <w:t xml:space="preserve"> by</w:t>
      </w:r>
      <m:oMath>
        <m:r>
          <w:rPr>
            <w:rFonts w:ascii="Cambria Math" w:hAnsi="Cambria Math" w:cs="Times New Roman"/>
          </w:rPr>
          <m:t xml:space="preserve"> β=</m:t>
        </m:r>
        <m:r>
          <w:rPr>
            <w:rFonts w:ascii="Cambria Math" w:hAnsi="Cambria Math" w:cs="Times New Roman"/>
          </w:rPr>
          <w:lastRenderedPageBreak/>
          <m:t>-0.602 (OR=0.548, ME=-13.07pp,  p=0.001).</m:t>
        </m:r>
      </m:oMath>
      <w:r w:rsidRPr="003B0C52">
        <w:rPr>
          <w:rFonts w:ascii="Times New Roman" w:hAnsi="Times New Roman" w:cs="Times New Roman"/>
        </w:rPr>
        <w:t xml:space="preserve"> </w:t>
      </w:r>
      <w:r w:rsidR="00AE4901" w:rsidRPr="003B0C52">
        <w:rPr>
          <w:rFonts w:ascii="Times New Roman" w:hAnsi="Times New Roman" w:cs="Times New Roman"/>
        </w:rPr>
        <w:fldChar w:fldCharType="begin"/>
      </w:r>
      <w:r w:rsidR="00AE4901" w:rsidRPr="003B0C52">
        <w:rPr>
          <w:rFonts w:ascii="Times New Roman" w:hAnsi="Times New Roman" w:cs="Times New Roman"/>
        </w:rPr>
        <w:instrText xml:space="preserve"> REF _Ref225193047 \h </w:instrText>
      </w:r>
      <w:r w:rsidR="003B0C52">
        <w:rPr>
          <w:rFonts w:ascii="Times New Roman" w:hAnsi="Times New Roman" w:cs="Times New Roman"/>
        </w:rPr>
        <w:instrText xml:space="preserve"> \* MERGEFORMAT </w:instrText>
      </w:r>
      <w:r w:rsidR="00AE4901" w:rsidRPr="003B0C52">
        <w:rPr>
          <w:rFonts w:ascii="Times New Roman" w:hAnsi="Times New Roman" w:cs="Times New Roman"/>
        </w:rPr>
      </w:r>
      <w:r w:rsidR="00AE4901" w:rsidRPr="003B0C52">
        <w:rPr>
          <w:rFonts w:ascii="Times New Roman" w:hAnsi="Times New Roman" w:cs="Times New Roman"/>
        </w:rPr>
        <w:fldChar w:fldCharType="separate"/>
      </w:r>
      <w:r w:rsidR="00AE4901" w:rsidRPr="003B0C52">
        <w:rPr>
          <w:rFonts w:ascii="Times New Roman" w:hAnsi="Times New Roman" w:cs="Times New Roman"/>
        </w:rPr>
        <w:t xml:space="preserve">Figure </w:t>
      </w:r>
      <w:r w:rsidR="00AE4901" w:rsidRPr="003B0C52">
        <w:rPr>
          <w:rFonts w:ascii="Times New Roman" w:hAnsi="Times New Roman" w:cs="Times New Roman"/>
          <w:noProof/>
        </w:rPr>
        <w:t>3</w:t>
      </w:r>
      <w:r w:rsidR="00AE4901" w:rsidRPr="003B0C52">
        <w:rPr>
          <w:rFonts w:ascii="Times New Roman" w:hAnsi="Times New Roman" w:cs="Times New Roman"/>
        </w:rPr>
        <w:fldChar w:fldCharType="end"/>
      </w:r>
      <w:r w:rsidR="00AE4901" w:rsidRPr="003B0C52">
        <w:rPr>
          <w:rFonts w:ascii="Times New Roman" w:hAnsi="Times New Roman" w:cs="Times New Roman"/>
        </w:rPr>
        <w:t xml:space="preserve"> </w:t>
      </w:r>
      <w:r w:rsidRPr="003B0C52">
        <w:rPr>
          <w:rFonts w:ascii="Times New Roman" w:hAnsi="Times New Roman" w:cs="Times New Roman"/>
        </w:rPr>
        <w:t xml:space="preserve">indicates the proportional loss by method of storage likely to be the model and clearly demonstrates the gradual assumption of 30% under the traditional storage method to 25% under the dark room and 20% under the cold storage method control of all other predictors. Storage time also had a monotonically increasing effect on losses </w:t>
      </w:r>
      <m:oMath>
        <m:r>
          <w:rPr>
            <w:rFonts w:ascii="Cambria Math" w:hAnsi="Cambria Math" w:cs="Times New Roman"/>
          </w:rPr>
          <m:t xml:space="preserve">(Wald </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=137.39, df =3, p &lt; 0.001)</m:t>
        </m:r>
      </m:oMath>
      <w:r w:rsidRPr="003B0C52">
        <w:rPr>
          <w:rFonts w:ascii="Times New Roman" w:hAnsi="Times New Roman" w:cs="Times New Roman"/>
        </w:rPr>
        <w:t xml:space="preserve">: </w:t>
      </w:r>
      <m:oMath>
        <m:r>
          <w:rPr>
            <w:rFonts w:ascii="Cambria Math" w:hAnsi="Cambria Math" w:cs="Times New Roman"/>
          </w:rPr>
          <m:t>+1.46pp</m:t>
        </m:r>
      </m:oMath>
      <w:r w:rsidRPr="003B0C52">
        <w:rPr>
          <w:rFonts w:ascii="Times New Roman" w:hAnsi="Times New Roman" w:cs="Times New Roman"/>
        </w:rPr>
        <w:t xml:space="preserve"> at 23 weeks, and </w:t>
      </w:r>
      <m:oMath>
        <m:r>
          <w:rPr>
            <w:rFonts w:ascii="Cambria Math" w:hAnsi="Cambria Math" w:cs="Times New Roman"/>
          </w:rPr>
          <m:t>+4.71pp</m:t>
        </m:r>
      </m:oMath>
      <w:r w:rsidRPr="003B0C52">
        <w:rPr>
          <w:rFonts w:ascii="Times New Roman" w:hAnsi="Times New Roman" w:cs="Times New Roman"/>
        </w:rPr>
        <w:t xml:space="preserve"> after more than one month</w:t>
      </w:r>
      <w:r w:rsidR="00AE4901" w:rsidRPr="003B0C52">
        <w:rPr>
          <w:rFonts w:ascii="Times New Roman" w:hAnsi="Times New Roman" w:cs="Times New Roman"/>
        </w:rPr>
        <w:t xml:space="preserve"> as shown in </w:t>
      </w:r>
      <w:r w:rsidR="00AE4901" w:rsidRPr="003B0C52">
        <w:rPr>
          <w:rFonts w:ascii="Times New Roman" w:hAnsi="Times New Roman" w:cs="Times New Roman"/>
        </w:rPr>
        <w:fldChar w:fldCharType="begin"/>
      </w:r>
      <w:r w:rsidR="00AE4901" w:rsidRPr="003B0C52">
        <w:rPr>
          <w:rFonts w:ascii="Times New Roman" w:hAnsi="Times New Roman" w:cs="Times New Roman"/>
        </w:rPr>
        <w:instrText xml:space="preserve"> REF _Ref225193791 \h </w:instrText>
      </w:r>
      <w:r w:rsidR="003B0C52">
        <w:rPr>
          <w:rFonts w:ascii="Times New Roman" w:hAnsi="Times New Roman" w:cs="Times New Roman"/>
        </w:rPr>
        <w:instrText xml:space="preserve"> \* MERGEFORMAT </w:instrText>
      </w:r>
      <w:r w:rsidR="00AE4901" w:rsidRPr="003B0C52">
        <w:rPr>
          <w:rFonts w:ascii="Times New Roman" w:hAnsi="Times New Roman" w:cs="Times New Roman"/>
        </w:rPr>
      </w:r>
      <w:r w:rsidR="00AE4901" w:rsidRPr="003B0C52">
        <w:rPr>
          <w:rFonts w:ascii="Times New Roman" w:hAnsi="Times New Roman" w:cs="Times New Roman"/>
        </w:rPr>
        <w:fldChar w:fldCharType="separate"/>
      </w:r>
      <w:r w:rsidR="00AE4901" w:rsidRPr="003B0C52">
        <w:rPr>
          <w:rFonts w:ascii="Times New Roman" w:hAnsi="Times New Roman" w:cs="Times New Roman"/>
          <w:b/>
          <w:bCs/>
        </w:rPr>
        <w:t xml:space="preserve">Figure </w:t>
      </w:r>
      <w:r w:rsidR="00AE4901" w:rsidRPr="003B0C52">
        <w:rPr>
          <w:rFonts w:ascii="Times New Roman" w:hAnsi="Times New Roman" w:cs="Times New Roman"/>
          <w:b/>
          <w:bCs/>
          <w:noProof/>
        </w:rPr>
        <w:t>4</w:t>
      </w:r>
      <w:r w:rsidR="00AE4901" w:rsidRPr="003B0C52">
        <w:rPr>
          <w:rFonts w:ascii="Times New Roman" w:hAnsi="Times New Roman" w:cs="Times New Roman"/>
        </w:rPr>
        <w:fldChar w:fldCharType="end"/>
      </w:r>
      <w:r w:rsidRPr="003B0C52">
        <w:rPr>
          <w:rFonts w:ascii="Times New Roman" w:hAnsi="Times New Roman" w:cs="Times New Roman"/>
        </w:rPr>
        <w:t xml:space="preserve">. The use of chemicals was found to reduce the number of losses </w:t>
      </w:r>
      <m:oMath>
        <m:r>
          <w:rPr>
            <w:rFonts w:ascii="Cambria Math" w:hAnsi="Cambria Math" w:cs="Times New Roman"/>
          </w:rPr>
          <m:t xml:space="preserve">(β=-0.098, OR= 0.907, ME=-2.12 pp, Wald </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=51.93, p = 0.001)</m:t>
        </m:r>
      </m:oMath>
      <w:r w:rsidRPr="003B0C52">
        <w:rPr>
          <w:rFonts w:ascii="Times New Roman" w:hAnsi="Times New Roman" w:cs="Times New Roman"/>
        </w:rPr>
        <w:t>, and users were predicted to lose about 29% as compared to 33% of non-users who did not use the chemicals</w:t>
      </w:r>
      <w:r w:rsidR="00AE4901" w:rsidRPr="003B0C52">
        <w:rPr>
          <w:rFonts w:ascii="Times New Roman" w:hAnsi="Times New Roman" w:cs="Times New Roman"/>
        </w:rPr>
        <w:t>.</w:t>
      </w:r>
    </w:p>
    <w:p w14:paraId="0ABD22CF" w14:textId="4E1C1EFB" w:rsidR="00B32DA8" w:rsidRPr="003B0C52" w:rsidRDefault="00B32DA8" w:rsidP="003B0C52">
      <w:pPr>
        <w:pStyle w:val="NoSpacing"/>
        <w:jc w:val="both"/>
        <w:rPr>
          <w:rFonts w:ascii="Times New Roman" w:hAnsi="Times New Roman" w:cs="Times New Roman"/>
        </w:rPr>
      </w:pPr>
      <w:r w:rsidRPr="003B0C52">
        <w:rPr>
          <w:rFonts w:ascii="Times New Roman" w:hAnsi="Times New Roman" w:cs="Times New Roman"/>
          <w:noProof/>
        </w:rPr>
        <w:drawing>
          <wp:inline distT="0" distB="0" distL="0" distR="0" wp14:anchorId="5C3A7743" wp14:editId="49FE3D73">
            <wp:extent cx="5219700" cy="3653790"/>
            <wp:effectExtent l="0" t="0" r="317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0"/>
                    <a:stretch>
                      <a:fillRect/>
                    </a:stretch>
                  </pic:blipFill>
                  <pic:spPr>
                    <a:xfrm>
                      <a:off x="0" y="0"/>
                      <a:ext cx="5219700" cy="3653790"/>
                    </a:xfrm>
                    <a:prstGeom prst="rect">
                      <a:avLst/>
                    </a:prstGeom>
                  </pic:spPr>
                </pic:pic>
              </a:graphicData>
            </a:graphic>
          </wp:inline>
        </w:drawing>
      </w:r>
    </w:p>
    <w:p w14:paraId="14ED1500" w14:textId="281E6284" w:rsidR="00B32DA8" w:rsidRPr="003B0C52" w:rsidRDefault="00B32DA8" w:rsidP="003B0C52">
      <w:pPr>
        <w:pStyle w:val="Caption"/>
        <w:jc w:val="center"/>
        <w:rPr>
          <w:rFonts w:ascii="Times New Roman" w:hAnsi="Times New Roman" w:cs="Times New Roman"/>
          <w:sz w:val="24"/>
          <w:szCs w:val="24"/>
        </w:rPr>
      </w:pPr>
      <w:bookmarkStart w:id="25" w:name="_Ref225193047"/>
      <w:bookmarkStart w:id="26" w:name="_Toc225196576"/>
      <w:r w:rsidRPr="003B0C52">
        <w:rPr>
          <w:rFonts w:ascii="Times New Roman" w:hAnsi="Times New Roman" w:cs="Times New Roman"/>
          <w:sz w:val="24"/>
          <w:szCs w:val="24"/>
        </w:rPr>
        <w:t xml:space="preserve">Figure </w:t>
      </w:r>
      <w:r w:rsidRPr="003B0C52">
        <w:rPr>
          <w:rFonts w:ascii="Times New Roman" w:hAnsi="Times New Roman" w:cs="Times New Roman"/>
          <w:sz w:val="24"/>
          <w:szCs w:val="24"/>
        </w:rPr>
        <w:fldChar w:fldCharType="begin"/>
      </w:r>
      <w:r w:rsidRPr="003B0C52">
        <w:rPr>
          <w:rFonts w:ascii="Times New Roman" w:hAnsi="Times New Roman" w:cs="Times New Roman"/>
          <w:sz w:val="24"/>
          <w:szCs w:val="24"/>
        </w:rPr>
        <w:instrText xml:space="preserve"> SEQ Figure \* ARABIC </w:instrText>
      </w:r>
      <w:r w:rsidRPr="003B0C52">
        <w:rPr>
          <w:rFonts w:ascii="Times New Roman" w:hAnsi="Times New Roman" w:cs="Times New Roman"/>
          <w:sz w:val="24"/>
          <w:szCs w:val="24"/>
        </w:rPr>
        <w:fldChar w:fldCharType="separate"/>
      </w:r>
      <w:r w:rsidR="00AE4901" w:rsidRPr="003B0C52">
        <w:rPr>
          <w:rFonts w:ascii="Times New Roman" w:hAnsi="Times New Roman" w:cs="Times New Roman"/>
          <w:noProof/>
          <w:sz w:val="24"/>
          <w:szCs w:val="24"/>
        </w:rPr>
        <w:t>3</w:t>
      </w:r>
      <w:r w:rsidRPr="003B0C52">
        <w:rPr>
          <w:rFonts w:ascii="Times New Roman" w:hAnsi="Times New Roman" w:cs="Times New Roman"/>
          <w:noProof/>
          <w:sz w:val="24"/>
          <w:szCs w:val="24"/>
        </w:rPr>
        <w:fldChar w:fldCharType="end"/>
      </w:r>
      <w:bookmarkEnd w:id="25"/>
      <w:r w:rsidRPr="003B0C52">
        <w:rPr>
          <w:rFonts w:ascii="Times New Roman" w:hAnsi="Times New Roman" w:cs="Times New Roman"/>
          <w:sz w:val="24"/>
          <w:szCs w:val="24"/>
        </w:rPr>
        <w:t>: proportional loss by method of storage</w:t>
      </w:r>
      <w:bookmarkEnd w:id="26"/>
    </w:p>
    <w:p w14:paraId="664B6482" w14:textId="3F7343E0" w:rsidR="00B32DA8" w:rsidRPr="003B0C52" w:rsidRDefault="00AE4901" w:rsidP="003B0C52">
      <w:pPr>
        <w:pStyle w:val="NoSpacing"/>
        <w:jc w:val="both"/>
        <w:rPr>
          <w:rFonts w:ascii="Times New Roman" w:hAnsi="Times New Roman" w:cs="Times New Roman"/>
          <w:i/>
        </w:rPr>
      </w:pPr>
      <w:r w:rsidRPr="003B0C52">
        <w:rPr>
          <w:rFonts w:ascii="Times New Roman" w:hAnsi="Times New Roman" w:cs="Times New Roman"/>
          <w:i/>
        </w:rPr>
        <w:fldChar w:fldCharType="begin"/>
      </w:r>
      <w:r w:rsidRPr="003B0C52">
        <w:rPr>
          <w:rFonts w:ascii="Times New Roman" w:hAnsi="Times New Roman" w:cs="Times New Roman"/>
          <w:i/>
        </w:rPr>
        <w:instrText xml:space="preserve"> REF _Ref225193047 \h  \* MERGEFORMAT </w:instrText>
      </w:r>
      <w:r w:rsidRPr="003B0C52">
        <w:rPr>
          <w:rFonts w:ascii="Times New Roman" w:hAnsi="Times New Roman" w:cs="Times New Roman"/>
          <w:i/>
        </w:rPr>
      </w:r>
      <w:r w:rsidRPr="003B0C52">
        <w:rPr>
          <w:rFonts w:ascii="Times New Roman" w:hAnsi="Times New Roman" w:cs="Times New Roman"/>
          <w:i/>
        </w:rPr>
        <w:fldChar w:fldCharType="separate"/>
      </w:r>
      <w:r w:rsidRPr="003B0C52">
        <w:rPr>
          <w:rFonts w:ascii="Times New Roman" w:hAnsi="Times New Roman" w:cs="Times New Roman"/>
          <w:i/>
        </w:rPr>
        <w:t xml:space="preserve">Figure </w:t>
      </w:r>
      <w:r w:rsidRPr="003B0C52">
        <w:rPr>
          <w:rFonts w:ascii="Times New Roman" w:hAnsi="Times New Roman" w:cs="Times New Roman"/>
          <w:i/>
          <w:noProof/>
        </w:rPr>
        <w:t>3</w:t>
      </w:r>
      <w:r w:rsidRPr="003B0C52">
        <w:rPr>
          <w:rFonts w:ascii="Times New Roman" w:hAnsi="Times New Roman" w:cs="Times New Roman"/>
          <w:i/>
        </w:rPr>
        <w:fldChar w:fldCharType="end"/>
      </w:r>
      <w:r w:rsidRPr="003B0C52">
        <w:rPr>
          <w:rFonts w:ascii="Times New Roman" w:hAnsi="Times New Roman" w:cs="Times New Roman"/>
          <w:i/>
        </w:rPr>
        <w:t xml:space="preserve">: </w:t>
      </w:r>
      <w:r w:rsidR="00B32DA8" w:rsidRPr="003B0C52">
        <w:rPr>
          <w:rFonts w:ascii="Times New Roman" w:hAnsi="Times New Roman" w:cs="Times New Roman"/>
          <w:i/>
        </w:rPr>
        <w:t>Predicted proportional loss to storage method adjusted on all other covariates. Error bars denote confidence intervals of 95% intervals.</w:t>
      </w:r>
    </w:p>
    <w:p w14:paraId="3EDEF148" w14:textId="77777777" w:rsidR="00B32DA8" w:rsidRPr="003B0C52" w:rsidRDefault="00B32DA8" w:rsidP="003B0C52">
      <w:pPr>
        <w:pStyle w:val="NoSpacing"/>
        <w:jc w:val="both"/>
        <w:rPr>
          <w:rFonts w:ascii="Times New Roman" w:hAnsi="Times New Roman" w:cs="Times New Roman"/>
          <w:iCs/>
        </w:rPr>
      </w:pPr>
      <w:r w:rsidRPr="003B0C52">
        <w:rPr>
          <w:rFonts w:ascii="Times New Roman" w:hAnsi="Times New Roman" w:cs="Times New Roman"/>
          <w:noProof/>
        </w:rPr>
        <w:lastRenderedPageBreak/>
        <w:drawing>
          <wp:inline distT="0" distB="0" distL="0" distR="0" wp14:anchorId="655C5F57" wp14:editId="23C278CE">
            <wp:extent cx="5204460" cy="3643122"/>
            <wp:effectExtent l="0" t="0" r="0" b="0"/>
            <wp:docPr id="1102859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1"/>
                    <a:stretch>
                      <a:fillRect/>
                    </a:stretch>
                  </pic:blipFill>
                  <pic:spPr>
                    <a:xfrm>
                      <a:off x="0" y="0"/>
                      <a:ext cx="5209852" cy="3646897"/>
                    </a:xfrm>
                    <a:prstGeom prst="rect">
                      <a:avLst/>
                    </a:prstGeom>
                  </pic:spPr>
                </pic:pic>
              </a:graphicData>
            </a:graphic>
          </wp:inline>
        </w:drawing>
      </w:r>
    </w:p>
    <w:p w14:paraId="09DB36FE" w14:textId="5DD905CF" w:rsidR="00B32DA8" w:rsidRPr="003B0C52" w:rsidRDefault="00B32DA8" w:rsidP="003B0C52">
      <w:pPr>
        <w:pStyle w:val="Caption"/>
        <w:jc w:val="center"/>
        <w:rPr>
          <w:rFonts w:ascii="Times New Roman" w:hAnsi="Times New Roman" w:cs="Times New Roman"/>
          <w:b/>
          <w:bCs/>
          <w:iCs w:val="0"/>
          <w:color w:val="auto"/>
          <w:sz w:val="24"/>
          <w:szCs w:val="24"/>
        </w:rPr>
      </w:pPr>
      <w:bookmarkStart w:id="27" w:name="_Ref225193791"/>
      <w:bookmarkStart w:id="28" w:name="_Ref225195064"/>
      <w:bookmarkStart w:id="29" w:name="_Toc225196577"/>
      <w:r w:rsidRPr="003B0C52">
        <w:rPr>
          <w:rFonts w:ascii="Times New Roman" w:hAnsi="Times New Roman" w:cs="Times New Roman"/>
          <w:b/>
          <w:bCs/>
          <w:color w:val="auto"/>
          <w:sz w:val="24"/>
          <w:szCs w:val="24"/>
        </w:rPr>
        <w:t xml:space="preserve">Figure </w:t>
      </w:r>
      <w:r w:rsidRPr="003B0C52">
        <w:rPr>
          <w:rFonts w:ascii="Times New Roman" w:hAnsi="Times New Roman" w:cs="Times New Roman"/>
          <w:b/>
          <w:bCs/>
          <w:color w:val="auto"/>
          <w:sz w:val="24"/>
          <w:szCs w:val="24"/>
        </w:rPr>
        <w:fldChar w:fldCharType="begin"/>
      </w:r>
      <w:r w:rsidRPr="003B0C52">
        <w:rPr>
          <w:rFonts w:ascii="Times New Roman" w:hAnsi="Times New Roman" w:cs="Times New Roman"/>
          <w:b/>
          <w:bCs/>
          <w:color w:val="auto"/>
          <w:sz w:val="24"/>
          <w:szCs w:val="24"/>
        </w:rPr>
        <w:instrText xml:space="preserve"> SEQ Figure \* ARABIC </w:instrText>
      </w:r>
      <w:r w:rsidRPr="003B0C52">
        <w:rPr>
          <w:rFonts w:ascii="Times New Roman" w:hAnsi="Times New Roman" w:cs="Times New Roman"/>
          <w:b/>
          <w:bCs/>
          <w:color w:val="auto"/>
          <w:sz w:val="24"/>
          <w:szCs w:val="24"/>
        </w:rPr>
        <w:fldChar w:fldCharType="separate"/>
      </w:r>
      <w:r w:rsidR="00AE4901" w:rsidRPr="003B0C52">
        <w:rPr>
          <w:rFonts w:ascii="Times New Roman" w:hAnsi="Times New Roman" w:cs="Times New Roman"/>
          <w:b/>
          <w:bCs/>
          <w:noProof/>
          <w:color w:val="auto"/>
          <w:sz w:val="24"/>
          <w:szCs w:val="24"/>
        </w:rPr>
        <w:t>4</w:t>
      </w:r>
      <w:r w:rsidRPr="003B0C52">
        <w:rPr>
          <w:rFonts w:ascii="Times New Roman" w:hAnsi="Times New Roman" w:cs="Times New Roman"/>
          <w:b/>
          <w:bCs/>
          <w:noProof/>
          <w:color w:val="auto"/>
          <w:sz w:val="24"/>
          <w:szCs w:val="24"/>
        </w:rPr>
        <w:fldChar w:fldCharType="end"/>
      </w:r>
      <w:bookmarkEnd w:id="27"/>
      <w:r w:rsidRPr="003B0C52">
        <w:rPr>
          <w:rFonts w:ascii="Times New Roman" w:hAnsi="Times New Roman" w:cs="Times New Roman"/>
          <w:b/>
          <w:bCs/>
          <w:color w:val="auto"/>
          <w:sz w:val="24"/>
          <w:szCs w:val="24"/>
        </w:rPr>
        <w:t>: proportional loss by Duration of storage</w:t>
      </w:r>
      <w:bookmarkEnd w:id="28"/>
      <w:bookmarkEnd w:id="29"/>
    </w:p>
    <w:p w14:paraId="39D96DF7" w14:textId="77777777" w:rsidR="00B32DA8" w:rsidRPr="003B0C52" w:rsidRDefault="00B32DA8" w:rsidP="003B0C52">
      <w:pPr>
        <w:pStyle w:val="NoSpacing"/>
        <w:jc w:val="both"/>
        <w:rPr>
          <w:rFonts w:ascii="Times New Roman" w:hAnsi="Times New Roman" w:cs="Times New Roman"/>
          <w:iCs/>
        </w:rPr>
      </w:pPr>
      <w:r w:rsidRPr="003B0C52">
        <w:rPr>
          <w:rFonts w:ascii="Times New Roman" w:hAnsi="Times New Roman" w:cs="Times New Roman"/>
          <w:iCs/>
        </w:rPr>
        <w:t>Predicted proportional loss by length of storage predicted by other covariates, other covariates held constant. The gradual, unvarying growth is an indication of deterioration of the body.</w:t>
      </w:r>
    </w:p>
    <w:p w14:paraId="04BC6A38" w14:textId="755BC250" w:rsidR="002D26E1" w:rsidRPr="003B0C52" w:rsidRDefault="002D26E1" w:rsidP="003B0C52">
      <w:pPr>
        <w:pStyle w:val="NoSpacing"/>
        <w:jc w:val="both"/>
        <w:rPr>
          <w:rFonts w:ascii="Times New Roman" w:hAnsi="Times New Roman" w:cs="Times New Roman"/>
        </w:rPr>
      </w:pPr>
    </w:p>
    <w:p w14:paraId="55787A07" w14:textId="62FBAEB6" w:rsidR="002D26E1" w:rsidRPr="003B0C52" w:rsidRDefault="002D26E1" w:rsidP="003B0C52">
      <w:pPr>
        <w:pStyle w:val="Heading4"/>
        <w:spacing w:line="240" w:lineRule="auto"/>
        <w:rPr>
          <w:rFonts w:ascii="Times New Roman" w:hAnsi="Times New Roman" w:cs="Times New Roman"/>
          <w:b/>
          <w:bCs/>
          <w:i w:val="0"/>
          <w:iCs w:val="0"/>
          <w:color w:val="auto"/>
        </w:rPr>
      </w:pPr>
      <w:r w:rsidRPr="003B0C52">
        <w:rPr>
          <w:rFonts w:ascii="Times New Roman" w:hAnsi="Times New Roman" w:cs="Times New Roman"/>
          <w:b/>
          <w:bCs/>
          <w:i w:val="0"/>
          <w:iCs w:val="0"/>
          <w:color w:val="auto"/>
        </w:rPr>
        <w:t>4.</w:t>
      </w:r>
      <w:r w:rsidR="0075761C" w:rsidRPr="003B0C52">
        <w:rPr>
          <w:rFonts w:ascii="Times New Roman" w:hAnsi="Times New Roman" w:cs="Times New Roman"/>
          <w:b/>
          <w:bCs/>
          <w:i w:val="0"/>
          <w:iCs w:val="0"/>
          <w:color w:val="auto"/>
        </w:rPr>
        <w:t>5</w:t>
      </w:r>
      <w:r w:rsidRPr="003B0C52">
        <w:rPr>
          <w:rFonts w:ascii="Times New Roman" w:hAnsi="Times New Roman" w:cs="Times New Roman"/>
          <w:b/>
          <w:bCs/>
          <w:i w:val="0"/>
          <w:iCs w:val="0"/>
          <w:color w:val="auto"/>
        </w:rPr>
        <w:t>.2</w:t>
      </w:r>
      <w:r w:rsidRPr="003B0C52">
        <w:rPr>
          <w:rFonts w:ascii="Times New Roman" w:hAnsi="Times New Roman" w:cs="Times New Roman"/>
          <w:b/>
          <w:bCs/>
          <w:i w:val="0"/>
          <w:iCs w:val="0"/>
          <w:color w:val="auto"/>
        </w:rPr>
        <w:tab/>
        <w:t xml:space="preserve">Extension Services and Education level </w:t>
      </w:r>
    </w:p>
    <w:p w14:paraId="09EE3B75" w14:textId="099B51A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 xml:space="preserve">Proportional losses were also reduced significantly by extension training </w:t>
      </w:r>
      <m:oMath>
        <m:r>
          <w:rPr>
            <w:rFonts w:ascii="Cambria Math" w:hAnsi="Cambria Math" w:cs="Times New Roman"/>
          </w:rPr>
          <m:t xml:space="preserve">(β=-0.059, OR=0.942, ME=-1.29pp, Wald </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=28.68, p=0.001),</m:t>
        </m:r>
      </m:oMath>
      <w:r w:rsidRPr="003B0C52">
        <w:rPr>
          <w:rFonts w:ascii="Times New Roman" w:hAnsi="Times New Roman" w:cs="Times New Roman"/>
        </w:rPr>
        <w:t xml:space="preserve"> and trained respondents were estimated to lose about 31% versus 35% in the case of an untrained respondent</w:t>
      </w:r>
      <w:r w:rsidRPr="003B0C52">
        <w:rPr>
          <w:rFonts w:ascii="Times New Roman" w:hAnsi="Times New Roman" w:cs="Times New Roman"/>
        </w:rPr>
        <w:fldChar w:fldCharType="begin"/>
      </w:r>
      <w:r w:rsidRPr="003B0C52">
        <w:rPr>
          <w:rFonts w:ascii="Times New Roman" w:hAnsi="Times New Roman" w:cs="Times New Roman"/>
        </w:rPr>
        <w:instrText xml:space="preserve"> REF _Ref225194315 \h  \* MERGEFORMAT </w:instrText>
      </w:r>
      <w:r w:rsidRPr="003B0C52">
        <w:rPr>
          <w:rFonts w:ascii="Times New Roman" w:hAnsi="Times New Roman" w:cs="Times New Roman"/>
        </w:rPr>
      </w:r>
      <w:r w:rsidRPr="003B0C52">
        <w:rPr>
          <w:rFonts w:ascii="Times New Roman" w:hAnsi="Times New Roman" w:cs="Times New Roman"/>
        </w:rPr>
        <w:fldChar w:fldCharType="end"/>
      </w:r>
      <w:r w:rsidRPr="003B0C52">
        <w:rPr>
          <w:rFonts w:ascii="Times New Roman" w:hAnsi="Times New Roman" w:cs="Times New Roman"/>
        </w:rPr>
        <w:t xml:space="preserve">. In contrast, the level of formal education was not a statistically significant predictor </w:t>
      </w:r>
      <m:oMath>
        <m:r>
          <w:rPr>
            <w:rFonts w:ascii="Cambria Math" w:hAnsi="Cambria Math" w:cs="Times New Roman"/>
          </w:rPr>
          <m:t xml:space="preserve">(Wald </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=4.06, 3, p=0.255)</m:t>
        </m:r>
      </m:oMath>
      <w:r w:rsidRPr="003B0C52">
        <w:rPr>
          <w:rFonts w:ascii="Times New Roman" w:hAnsi="Times New Roman" w:cs="Times New Roman"/>
        </w:rPr>
        <w:t>. The predicted education-based losses indicate a relatively linear trend in education variables where the predicted proportional losses vary within a tight range of 31 to 34 % once the variables of operation are held constant across the education groups. This is in contrast to the unadjusted means where the relationship was non-linear and it is therefore confirmed that the apparent education effect in the raw data is explained by the confounding effects of operational variables like storage method and chemical use rather than by a direct effect of education on loss behavior.</w:t>
      </w:r>
    </w:p>
    <w:p w14:paraId="5071E81D" w14:textId="77777777" w:rsidR="00B32DA8" w:rsidRPr="003B0C52" w:rsidRDefault="00B32DA8" w:rsidP="003B0C52">
      <w:pPr>
        <w:pStyle w:val="NoSpacing"/>
        <w:jc w:val="both"/>
        <w:rPr>
          <w:rFonts w:ascii="Times New Roman" w:hAnsi="Times New Roman" w:cs="Times New Roman"/>
        </w:rPr>
      </w:pPr>
    </w:p>
    <w:p w14:paraId="593155B4" w14:textId="3F202864" w:rsidR="00B32DA8" w:rsidRPr="003B0C52" w:rsidRDefault="00B32DA8" w:rsidP="003B0C52">
      <w:pPr>
        <w:pStyle w:val="Heading4"/>
        <w:spacing w:line="240" w:lineRule="auto"/>
        <w:rPr>
          <w:rFonts w:ascii="Times New Roman" w:eastAsiaTheme="minorHAnsi" w:hAnsi="Times New Roman" w:cs="Times New Roman"/>
          <w:i w:val="0"/>
          <w:iCs w:val="0"/>
          <w:color w:val="auto"/>
        </w:rPr>
      </w:pPr>
      <w:r w:rsidRPr="003B0C52">
        <w:rPr>
          <w:rFonts w:ascii="Times New Roman" w:eastAsiaTheme="minorHAnsi" w:hAnsi="Times New Roman" w:cs="Times New Roman"/>
          <w:i w:val="0"/>
          <w:iCs w:val="0"/>
          <w:color w:val="auto"/>
        </w:rPr>
        <w:t>4.5.3</w:t>
      </w:r>
      <w:r w:rsidRPr="003B0C52">
        <w:rPr>
          <w:rFonts w:ascii="Times New Roman" w:eastAsiaTheme="minorHAnsi" w:hAnsi="Times New Roman" w:cs="Times New Roman"/>
          <w:i w:val="0"/>
          <w:iCs w:val="0"/>
          <w:color w:val="auto"/>
        </w:rPr>
        <w:tab/>
        <w:t xml:space="preserve">Market Access and Mode of Transportation </w:t>
      </w:r>
    </w:p>
    <w:p w14:paraId="0209A83F" w14:textId="55C54CBA" w:rsidR="00B32DA8" w:rsidRPr="003B0C52" w:rsidRDefault="00B32DA8" w:rsidP="003B0C52">
      <w:pPr>
        <w:pStyle w:val="NoSpacing"/>
        <w:jc w:val="both"/>
        <w:rPr>
          <w:rFonts w:ascii="Times New Roman" w:hAnsi="Times New Roman" w:cs="Times New Roman"/>
        </w:rPr>
      </w:pPr>
      <w:r w:rsidRPr="003B0C52">
        <w:rPr>
          <w:rFonts w:ascii="Times New Roman" w:hAnsi="Times New Roman" w:cs="Times New Roman"/>
        </w:rPr>
        <w:t xml:space="preserve">Market distance was an extremely important positive predictor </w:t>
      </w:r>
      <m:oMath>
        <m:r>
          <m:rPr>
            <m:sty m:val="p"/>
          </m:rPr>
          <w:rPr>
            <w:rFonts w:ascii="Cambria Math" w:hAnsi="Cambria Math" w:cs="Times New Roman"/>
          </w:rPr>
          <m:t>(</m:t>
        </m:r>
        <m:r>
          <w:rPr>
            <w:rFonts w:ascii="Cambria Math" w:hAnsi="Cambria Math" w:cs="Times New Roman"/>
          </w:rPr>
          <m:t>Wald</m:t>
        </m:r>
        <m:r>
          <m:rPr>
            <m:sty m:val="p"/>
          </m:rPr>
          <w:rPr>
            <w:rFonts w:ascii="Cambria Math" w:hAnsi="Cambria Math" w:cs="Times New Roman"/>
          </w:rPr>
          <m:t xml:space="preserve"> </m:t>
        </m:r>
        <m:sSup>
          <m:sSupPr>
            <m:ctrlPr>
              <w:rPr>
                <w:rFonts w:ascii="Cambria Math" w:hAnsi="Cambria Math" w:cs="Times New Roman"/>
              </w:rPr>
            </m:ctrlPr>
          </m:sSupPr>
          <m:e>
            <m:r>
              <w:rPr>
                <w:rFonts w:ascii="Cambria Math" w:hAnsi="Cambria Math" w:cs="Times New Roman"/>
              </w:rPr>
              <m:t>χ</m:t>
            </m:r>
          </m:e>
          <m:sup>
            <m:r>
              <m:rPr>
                <m:sty m:val="p"/>
              </m:rPr>
              <w:rPr>
                <w:rFonts w:ascii="Cambria Math" w:hAnsi="Cambria Math" w:cs="Times New Roman"/>
              </w:rPr>
              <m:t>2</m:t>
            </m:r>
          </m:sup>
        </m:sSup>
        <m:r>
          <m:rPr>
            <m:sty m:val="p"/>
          </m:rPr>
          <w:rPr>
            <w:rFonts w:ascii="Cambria Math" w:hAnsi="Cambria Math" w:cs="Times New Roman"/>
          </w:rPr>
          <m:t xml:space="preserve">=95.97, </m:t>
        </m:r>
        <m:r>
          <w:rPr>
            <w:rFonts w:ascii="Cambria Math" w:hAnsi="Cambria Math" w:cs="Times New Roman"/>
          </w:rPr>
          <m:t>df</m:t>
        </m:r>
        <m:r>
          <m:rPr>
            <m:sty m:val="p"/>
          </m:rPr>
          <w:rPr>
            <w:rFonts w:ascii="Cambria Math" w:hAnsi="Cambria Math" w:cs="Times New Roman"/>
          </w:rPr>
          <m:t xml:space="preserve">=2, </m:t>
        </m:r>
        <m:r>
          <w:rPr>
            <w:rFonts w:ascii="Cambria Math" w:hAnsi="Cambria Math" w:cs="Times New Roman"/>
          </w:rPr>
          <m:t>p</m:t>
        </m:r>
        <m:r>
          <m:rPr>
            <m:sty m:val="p"/>
          </m:rPr>
          <w:rPr>
            <w:rFonts w:ascii="Cambria Math" w:hAnsi="Cambria Math" w:cs="Times New Roman"/>
          </w:rPr>
          <m:t xml:space="preserve">=0.001). </m:t>
        </m:r>
      </m:oMath>
      <w:r w:rsidRPr="003B0C52">
        <w:rPr>
          <w:rFonts w:ascii="Times New Roman" w:hAnsi="Times New Roman" w:cs="Times New Roman"/>
        </w:rPr>
        <w:t xml:space="preserve">Compared to those within 5 km of market, those within 6-10 km experienced </w:t>
      </w:r>
      <m:oMath>
        <m:r>
          <m:rPr>
            <m:sty m:val="p"/>
          </m:rPr>
          <w:rPr>
            <w:rFonts w:ascii="Cambria Math" w:hAnsi="Cambria Math" w:cs="Times New Roman"/>
          </w:rPr>
          <m:t>+1.98</m:t>
        </m:r>
        <m:r>
          <w:rPr>
            <w:rFonts w:ascii="Cambria Math" w:hAnsi="Cambria Math" w:cs="Times New Roman"/>
          </w:rPr>
          <m:t>pp</m:t>
        </m:r>
        <m:r>
          <m:rPr>
            <m:sty m:val="p"/>
          </m:rPr>
          <w:rPr>
            <w:rFonts w:ascii="Cambria Math" w:hAnsi="Cambria Math" w:cs="Times New Roman"/>
          </w:rPr>
          <m:t xml:space="preserve"> (</m:t>
        </m:r>
        <m:r>
          <w:rPr>
            <w:rFonts w:ascii="Cambria Math" w:hAnsi="Cambria Math" w:cs="Times New Roman"/>
          </w:rPr>
          <m:t>β</m:t>
        </m:r>
        <m:r>
          <m:rPr>
            <m:sty m:val="p"/>
          </m:rPr>
          <w:rPr>
            <w:rFonts w:ascii="Cambria Math" w:hAnsi="Cambria Math" w:cs="Times New Roman"/>
          </w:rPr>
          <m:t xml:space="preserve">=0.091, </m:t>
        </m:r>
        <m:r>
          <w:rPr>
            <w:rFonts w:ascii="Cambria Math" w:hAnsi="Cambria Math" w:cs="Times New Roman"/>
          </w:rPr>
          <m:t>OR</m:t>
        </m:r>
        <m:r>
          <m:rPr>
            <m:sty m:val="p"/>
          </m:rPr>
          <w:rPr>
            <w:rFonts w:ascii="Cambria Math" w:hAnsi="Cambria Math" w:cs="Times New Roman"/>
          </w:rPr>
          <m:t xml:space="preserve">=1.10, </m:t>
        </m:r>
        <m:r>
          <w:rPr>
            <w:rFonts w:ascii="Cambria Math" w:hAnsi="Cambria Math" w:cs="Times New Roman"/>
          </w:rPr>
          <m:t>p</m:t>
        </m:r>
        <m:r>
          <m:rPr>
            <m:sty m:val="p"/>
          </m:rPr>
          <w:rPr>
            <w:rFonts w:ascii="Cambria Math" w:hAnsi="Cambria Math" w:cs="Times New Roman"/>
          </w:rPr>
          <m:t>&lt;0.001),</m:t>
        </m:r>
      </m:oMath>
      <w:r w:rsidRPr="003B0C52">
        <w:rPr>
          <w:rFonts w:ascii="Times New Roman" w:hAnsi="Times New Roman" w:cs="Times New Roman"/>
        </w:rPr>
        <w:t xml:space="preserve"> and those outside the market beyond 10 km experienced </w:t>
      </w:r>
      <m:oMath>
        <m:r>
          <m:rPr>
            <m:sty m:val="p"/>
          </m:rPr>
          <w:rPr>
            <w:rFonts w:ascii="Cambria Math" w:hAnsi="Cambria Math" w:cs="Times New Roman"/>
          </w:rPr>
          <m:t>+3.17</m:t>
        </m:r>
        <m:r>
          <w:rPr>
            <w:rFonts w:ascii="Cambria Math" w:hAnsi="Cambria Math" w:cs="Times New Roman"/>
          </w:rPr>
          <m:t>pp</m:t>
        </m:r>
        <m:r>
          <m:rPr>
            <m:sty m:val="p"/>
          </m:rPr>
          <w:rPr>
            <w:rFonts w:ascii="Cambria Math" w:hAnsi="Cambria Math" w:cs="Times New Roman"/>
          </w:rPr>
          <m:t xml:space="preserve"> (</m:t>
        </m:r>
        <m:r>
          <w:rPr>
            <w:rFonts w:ascii="Cambria Math" w:hAnsi="Cambria Math" w:cs="Times New Roman"/>
          </w:rPr>
          <m:t>β</m:t>
        </m:r>
        <m:r>
          <m:rPr>
            <m:sty m:val="p"/>
          </m:rPr>
          <w:rPr>
            <w:rFonts w:ascii="Cambria Math" w:hAnsi="Cambria Math" w:cs="Times New Roman"/>
          </w:rPr>
          <m:t xml:space="preserve">=0.146, </m:t>
        </m:r>
        <m:r>
          <w:rPr>
            <w:rFonts w:ascii="Cambria Math" w:hAnsi="Cambria Math" w:cs="Times New Roman"/>
          </w:rPr>
          <m:t>OR</m:t>
        </m:r>
        <m:r>
          <m:rPr>
            <m:sty m:val="p"/>
          </m:rPr>
          <w:rPr>
            <w:rFonts w:ascii="Cambria Math" w:hAnsi="Cambria Math" w:cs="Times New Roman"/>
          </w:rPr>
          <m:t xml:space="preserve">=1.160, </m:t>
        </m:r>
        <m:r>
          <w:rPr>
            <w:rFonts w:ascii="Cambria Math" w:hAnsi="Cambria Math" w:cs="Times New Roman"/>
          </w:rPr>
          <m:t>p</m:t>
        </m:r>
        <m:r>
          <m:rPr>
            <m:sty m:val="p"/>
          </m:rPr>
          <w:rPr>
            <w:rFonts w:ascii="Cambria Math" w:hAnsi="Cambria Math" w:cs="Times New Roman"/>
          </w:rPr>
          <m:t>&lt;0.001).</m:t>
        </m:r>
      </m:oMath>
      <w:r w:rsidRPr="003B0C52">
        <w:rPr>
          <w:rFonts w:ascii="Times New Roman" w:hAnsi="Times New Roman" w:cs="Times New Roman"/>
        </w:rPr>
        <w:t xml:space="preserve"> </w:t>
      </w:r>
      <w:r w:rsidR="00AE4901" w:rsidRPr="003B0C52">
        <w:rPr>
          <w:rFonts w:ascii="Times New Roman" w:hAnsi="Times New Roman" w:cs="Times New Roman"/>
        </w:rPr>
        <w:fldChar w:fldCharType="begin"/>
      </w:r>
      <w:r w:rsidR="00AE4901" w:rsidRPr="003B0C52">
        <w:rPr>
          <w:rFonts w:ascii="Times New Roman" w:hAnsi="Times New Roman" w:cs="Times New Roman"/>
        </w:rPr>
        <w:instrText xml:space="preserve"> REF _Ref225194768 \h </w:instrText>
      </w:r>
      <w:r w:rsidR="003B0C52" w:rsidRPr="003B0C52">
        <w:rPr>
          <w:rFonts w:ascii="Times New Roman" w:hAnsi="Times New Roman" w:cs="Times New Roman"/>
        </w:rPr>
        <w:instrText xml:space="preserve"> \* MERGEFORMAT </w:instrText>
      </w:r>
      <w:r w:rsidR="00AE4901" w:rsidRPr="003B0C52">
        <w:rPr>
          <w:rFonts w:ascii="Times New Roman" w:hAnsi="Times New Roman" w:cs="Times New Roman"/>
        </w:rPr>
      </w:r>
      <w:r w:rsidR="00AE4901" w:rsidRPr="003B0C52">
        <w:rPr>
          <w:rFonts w:ascii="Times New Roman" w:hAnsi="Times New Roman" w:cs="Times New Roman"/>
        </w:rPr>
        <w:fldChar w:fldCharType="separate"/>
      </w:r>
      <w:r w:rsidR="00AE4901" w:rsidRPr="003B0C52">
        <w:rPr>
          <w:rFonts w:ascii="Times New Roman" w:hAnsi="Times New Roman" w:cs="Times New Roman"/>
        </w:rPr>
        <w:t>Figure 5</w:t>
      </w:r>
      <w:r w:rsidR="00AE4901" w:rsidRPr="003B0C52">
        <w:rPr>
          <w:rFonts w:ascii="Times New Roman" w:hAnsi="Times New Roman" w:cs="Times New Roman"/>
        </w:rPr>
        <w:fldChar w:fldCharType="end"/>
      </w:r>
      <w:r w:rsidR="00AE4901" w:rsidRPr="003B0C52">
        <w:rPr>
          <w:rFonts w:ascii="Times New Roman" w:hAnsi="Times New Roman" w:cs="Times New Roman"/>
        </w:rPr>
        <w:t xml:space="preserve"> </w:t>
      </w:r>
      <w:r w:rsidRPr="003B0C52">
        <w:rPr>
          <w:rFonts w:ascii="Times New Roman" w:hAnsi="Times New Roman" w:cs="Times New Roman"/>
        </w:rPr>
        <w:t xml:space="preserve">shows model-predicted losses by market distance, and it is clear that there is a step increase in the percentage of approximately 32% to 36% across the three distance categories. Perceived severity of transport also significantly increased losses by </w:t>
      </w:r>
      <m:oMath>
        <m:r>
          <m:rPr>
            <m:sty m:val="p"/>
          </m:rPr>
          <w:rPr>
            <w:rFonts w:ascii="Cambria Math" w:hAnsi="Cambria Math" w:cs="Times New Roman"/>
          </w:rPr>
          <m:t>1.57</m:t>
        </m:r>
        <m:r>
          <w:rPr>
            <w:rFonts w:ascii="Cambria Math" w:hAnsi="Cambria Math" w:cs="Times New Roman"/>
          </w:rPr>
          <m:t>pp</m:t>
        </m:r>
        <m:r>
          <m:rPr>
            <m:sty m:val="p"/>
          </m:rPr>
          <w:rPr>
            <w:rFonts w:ascii="Cambria Math" w:hAnsi="Cambria Math" w:cs="Times New Roman"/>
          </w:rPr>
          <m:t xml:space="preserve"> </m:t>
        </m:r>
        <m:r>
          <w:rPr>
            <w:rFonts w:ascii="Cambria Math" w:hAnsi="Cambria Math" w:cs="Times New Roman"/>
          </w:rPr>
          <m:t>per</m:t>
        </m:r>
        <m:r>
          <m:rPr>
            <m:sty m:val="p"/>
          </m:rPr>
          <w:rPr>
            <w:rFonts w:ascii="Cambria Math" w:hAnsi="Cambria Math" w:cs="Times New Roman"/>
          </w:rPr>
          <m:t xml:space="preserve"> </m:t>
        </m:r>
        <m:r>
          <w:rPr>
            <w:rFonts w:ascii="Cambria Math" w:hAnsi="Cambria Math" w:cs="Times New Roman"/>
          </w:rPr>
          <m:t>unit</m:t>
        </m:r>
        <m:r>
          <m:rPr>
            <m:sty m:val="p"/>
          </m:rPr>
          <w:rPr>
            <w:rFonts w:ascii="Cambria Math" w:hAnsi="Cambria Math" w:cs="Times New Roman"/>
          </w:rPr>
          <m:t xml:space="preserve"> (</m:t>
        </m:r>
        <m:r>
          <w:rPr>
            <w:rFonts w:ascii="Cambria Math" w:hAnsi="Cambria Math" w:cs="Times New Roman"/>
          </w:rPr>
          <m:t>Wald</m:t>
        </m:r>
        <m:r>
          <m:rPr>
            <m:sty m:val="p"/>
          </m:rPr>
          <w:rPr>
            <w:rFonts w:ascii="Cambria Math" w:hAnsi="Cambria Math" w:cs="Times New Roman"/>
          </w:rPr>
          <m:t xml:space="preserve"> </m:t>
        </m:r>
        <m:sSup>
          <m:sSupPr>
            <m:ctrlPr>
              <w:rPr>
                <w:rFonts w:ascii="Cambria Math" w:hAnsi="Cambria Math" w:cs="Times New Roman"/>
              </w:rPr>
            </m:ctrlPr>
          </m:sSupPr>
          <m:e>
            <m:r>
              <w:rPr>
                <w:rFonts w:ascii="Cambria Math" w:hAnsi="Cambria Math" w:cs="Times New Roman"/>
              </w:rPr>
              <m:t>χ</m:t>
            </m:r>
          </m:e>
          <m:sup>
            <m:r>
              <m:rPr>
                <m:sty m:val="p"/>
              </m:rPr>
              <w:rPr>
                <w:rFonts w:ascii="Cambria Math" w:hAnsi="Cambria Math" w:cs="Times New Roman"/>
              </w:rPr>
              <m:t>2</m:t>
            </m:r>
          </m:sup>
        </m:sSup>
        <m:r>
          <m:rPr>
            <m:sty m:val="p"/>
          </m:rPr>
          <w:rPr>
            <w:rFonts w:ascii="Cambria Math" w:hAnsi="Cambria Math" w:cs="Times New Roman"/>
          </w:rPr>
          <m:t xml:space="preserve">=34.10, </m:t>
        </m:r>
        <m:r>
          <w:rPr>
            <w:rFonts w:ascii="Cambria Math" w:hAnsi="Cambria Math" w:cs="Times New Roman"/>
          </w:rPr>
          <m:t>p</m:t>
        </m:r>
        <m:r>
          <m:rPr>
            <m:sty m:val="p"/>
          </m:rPr>
          <w:rPr>
            <w:rFonts w:ascii="Cambria Math" w:hAnsi="Cambria Math" w:cs="Times New Roman"/>
          </w:rPr>
          <m:t>&lt;0.001).</m:t>
        </m:r>
      </m:oMath>
      <w:r w:rsidRPr="003B0C52">
        <w:rPr>
          <w:rFonts w:ascii="Times New Roman" w:hAnsi="Times New Roman" w:cs="Times New Roman"/>
        </w:rPr>
        <w:t xml:space="preserve"> Overall </w:t>
      </w:r>
      <w:r w:rsidRPr="003B0C52">
        <w:rPr>
          <w:rFonts w:ascii="Times New Roman" w:hAnsi="Times New Roman" w:cs="Times New Roman"/>
        </w:rPr>
        <w:lastRenderedPageBreak/>
        <w:t xml:space="preserve">transport mode was also important </w:t>
      </w:r>
      <m:oMath>
        <m:r>
          <m:rPr>
            <m:sty m:val="p"/>
          </m:rPr>
          <w:rPr>
            <w:rFonts w:ascii="Cambria Math" w:hAnsi="Cambria Math" w:cs="Times New Roman"/>
          </w:rPr>
          <m:t>(</m:t>
        </m:r>
        <m:r>
          <w:rPr>
            <w:rFonts w:ascii="Cambria Math" w:hAnsi="Cambria Math" w:cs="Times New Roman"/>
          </w:rPr>
          <m:t>Wald</m:t>
        </m:r>
        <m:r>
          <m:rPr>
            <m:sty m:val="p"/>
          </m:rPr>
          <w:rPr>
            <w:rFonts w:ascii="Cambria Math" w:hAnsi="Cambria Math" w:cs="Times New Roman"/>
          </w:rPr>
          <m:t xml:space="preserve"> </m:t>
        </m:r>
        <m:sSup>
          <m:sSupPr>
            <m:ctrlPr>
              <w:rPr>
                <w:rFonts w:ascii="Cambria Math" w:hAnsi="Cambria Math" w:cs="Times New Roman"/>
              </w:rPr>
            </m:ctrlPr>
          </m:sSupPr>
          <m:e>
            <m:r>
              <w:rPr>
                <w:rFonts w:ascii="Cambria Math" w:hAnsi="Cambria Math" w:cs="Times New Roman"/>
              </w:rPr>
              <m:t>χ</m:t>
            </m:r>
          </m:e>
          <m:sup>
            <m:r>
              <m:rPr>
                <m:sty m:val="p"/>
              </m:rPr>
              <w:rPr>
                <w:rFonts w:ascii="Cambria Math" w:hAnsi="Cambria Math" w:cs="Times New Roman"/>
              </w:rPr>
              <m:t>2</m:t>
            </m:r>
          </m:sup>
        </m:sSup>
        <m:r>
          <m:rPr>
            <m:sty m:val="p"/>
          </m:rPr>
          <w:rPr>
            <w:rFonts w:ascii="Cambria Math" w:hAnsi="Cambria Math" w:cs="Times New Roman"/>
          </w:rPr>
          <m:t xml:space="preserve">=27.46, </m:t>
        </m:r>
        <m:r>
          <w:rPr>
            <w:rFonts w:ascii="Cambria Math" w:hAnsi="Cambria Math" w:cs="Times New Roman"/>
          </w:rPr>
          <m:t>df</m:t>
        </m:r>
        <m:r>
          <m:rPr>
            <m:sty m:val="p"/>
          </m:rPr>
          <w:rPr>
            <w:rFonts w:ascii="Cambria Math" w:hAnsi="Cambria Math" w:cs="Times New Roman"/>
          </w:rPr>
          <m:t xml:space="preserve">=3, </m:t>
        </m:r>
        <m:r>
          <w:rPr>
            <w:rFonts w:ascii="Cambria Math" w:hAnsi="Cambria Math" w:cs="Times New Roman"/>
          </w:rPr>
          <m:t>p</m:t>
        </m:r>
        <m:r>
          <m:rPr>
            <m:sty m:val="p"/>
          </m:rPr>
          <w:rPr>
            <w:rFonts w:ascii="Cambria Math" w:hAnsi="Cambria Math" w:cs="Times New Roman"/>
          </w:rPr>
          <m:t>=0.001)</m:t>
        </m:r>
      </m:oMath>
      <w:r w:rsidRPr="003B0C52">
        <w:rPr>
          <w:rFonts w:ascii="Times New Roman" w:hAnsi="Times New Roman" w:cs="Times New Roman"/>
        </w:rPr>
        <w:t xml:space="preserve"> as the mode of transport that generated a </w:t>
      </w:r>
      <m:oMath>
        <m:r>
          <m:rPr>
            <m:sty m:val="p"/>
          </m:rPr>
          <w:rPr>
            <w:rFonts w:ascii="Cambria Math" w:hAnsi="Cambria Math" w:cs="Times New Roman"/>
          </w:rPr>
          <m:t>1.22</m:t>
        </m:r>
        <m:r>
          <w:rPr>
            <w:rFonts w:ascii="Cambria Math" w:hAnsi="Cambria Math" w:cs="Times New Roman"/>
          </w:rPr>
          <m:t>pp</m:t>
        </m:r>
      </m:oMath>
      <w:r w:rsidRPr="003B0C52">
        <w:rPr>
          <w:rFonts w:ascii="Times New Roman" w:hAnsi="Times New Roman" w:cs="Times New Roman"/>
        </w:rPr>
        <w:t xml:space="preserve"> reduction in comparison to motorcycle (</w:t>
      </w:r>
      <w:r w:rsidR="00AE4901" w:rsidRPr="003B0C52">
        <w:rPr>
          <w:rFonts w:ascii="Times New Roman" w:hAnsi="Times New Roman" w:cs="Times New Roman"/>
        </w:rPr>
        <w:fldChar w:fldCharType="begin"/>
      </w:r>
      <w:r w:rsidR="00AE4901" w:rsidRPr="003B0C52">
        <w:rPr>
          <w:rFonts w:ascii="Times New Roman" w:hAnsi="Times New Roman" w:cs="Times New Roman"/>
        </w:rPr>
        <w:instrText xml:space="preserve"> REF _Ref225194869 \h </w:instrText>
      </w:r>
      <w:r w:rsidR="003B0C52" w:rsidRPr="003B0C52">
        <w:rPr>
          <w:rFonts w:ascii="Times New Roman" w:hAnsi="Times New Roman" w:cs="Times New Roman"/>
        </w:rPr>
        <w:instrText xml:space="preserve"> \* MERGEFORMAT </w:instrText>
      </w:r>
      <w:r w:rsidR="00AE4901" w:rsidRPr="003B0C52">
        <w:rPr>
          <w:rFonts w:ascii="Times New Roman" w:hAnsi="Times New Roman" w:cs="Times New Roman"/>
        </w:rPr>
      </w:r>
      <w:r w:rsidR="00AE4901" w:rsidRPr="003B0C52">
        <w:rPr>
          <w:rFonts w:ascii="Times New Roman" w:hAnsi="Times New Roman" w:cs="Times New Roman"/>
        </w:rPr>
        <w:fldChar w:fldCharType="separate"/>
      </w:r>
      <w:r w:rsidR="00AE4901" w:rsidRPr="003B0C52">
        <w:rPr>
          <w:rFonts w:ascii="Times New Roman" w:hAnsi="Times New Roman" w:cs="Times New Roman"/>
        </w:rPr>
        <w:t>Figure 6</w:t>
      </w:r>
      <w:r w:rsidR="00AE4901" w:rsidRPr="003B0C52">
        <w:rPr>
          <w:rFonts w:ascii="Times New Roman" w:hAnsi="Times New Roman" w:cs="Times New Roman"/>
        </w:rPr>
        <w:fldChar w:fldCharType="end"/>
      </w:r>
      <w:r w:rsidRPr="003B0C52">
        <w:rPr>
          <w:rFonts w:ascii="Times New Roman" w:hAnsi="Times New Roman" w:cs="Times New Roman"/>
        </w:rPr>
        <w:t xml:space="preserve">). There was no significance in animal and other modes with their very small samples </w:t>
      </w:r>
      <m:oMath>
        <m:r>
          <m:rPr>
            <m:sty m:val="p"/>
          </m:rPr>
          <w:rPr>
            <w:rFonts w:ascii="Cambria Math" w:hAnsi="Cambria Math" w:cs="Times New Roman"/>
          </w:rPr>
          <m:t>(</m:t>
        </m:r>
        <m:r>
          <w:rPr>
            <w:rFonts w:ascii="Cambria Math" w:hAnsi="Cambria Math" w:cs="Times New Roman"/>
          </w:rPr>
          <m:t>n</m:t>
        </m:r>
        <m:r>
          <m:rPr>
            <m:sty m:val="p"/>
          </m:rPr>
          <w:rPr>
            <w:rFonts w:ascii="Cambria Math" w:hAnsi="Cambria Math" w:cs="Times New Roman"/>
          </w:rPr>
          <m:t xml:space="preserve">=3 </m:t>
        </m:r>
        <m:r>
          <w:rPr>
            <w:rFonts w:ascii="Cambria Math" w:hAnsi="Cambria Math" w:cs="Times New Roman"/>
          </w:rPr>
          <m:t>and</m:t>
        </m:r>
        <m:r>
          <m:rPr>
            <m:sty m:val="p"/>
          </m:rPr>
          <w:rPr>
            <w:rFonts w:ascii="Cambria Math" w:hAnsi="Cambria Math" w:cs="Times New Roman"/>
          </w:rPr>
          <m:t xml:space="preserve"> </m:t>
        </m:r>
        <m:r>
          <w:rPr>
            <w:rFonts w:ascii="Cambria Math" w:hAnsi="Cambria Math" w:cs="Times New Roman"/>
          </w:rPr>
          <m:t>n</m:t>
        </m:r>
        <m:r>
          <m:rPr>
            <m:sty m:val="p"/>
          </m:rPr>
          <w:rPr>
            <w:rFonts w:ascii="Cambria Math" w:hAnsi="Cambria Math" w:cs="Times New Roman"/>
          </w:rPr>
          <m:t xml:space="preserve">=14 </m:t>
        </m:r>
      </m:oMath>
      <w:r w:rsidRPr="003B0C52">
        <w:rPr>
          <w:rFonts w:ascii="Times New Roman" w:hAnsi="Times New Roman" w:cs="Times New Roman"/>
        </w:rPr>
        <w:t>respecti</w:t>
      </w:r>
      <w:proofErr w:type="spellStart"/>
      <w:r w:rsidRPr="003B0C52">
        <w:rPr>
          <w:rFonts w:ascii="Times New Roman" w:hAnsi="Times New Roman" w:cs="Times New Roman"/>
        </w:rPr>
        <w:t>vely</w:t>
      </w:r>
      <w:proofErr w:type="spellEnd"/>
      <m:oMath>
        <m:r>
          <m:rPr>
            <m:sty m:val="p"/>
          </m:rPr>
          <w:rPr>
            <w:rFonts w:ascii="Cambria Math" w:hAnsi="Cambria Math" w:cs="Times New Roman"/>
          </w:rPr>
          <m:t>).</m:t>
        </m:r>
      </m:oMath>
    </w:p>
    <w:p w14:paraId="0E6F26D4" w14:textId="77777777" w:rsidR="00B32DA8" w:rsidRPr="003B0C52" w:rsidRDefault="00B32DA8" w:rsidP="003B0C52">
      <w:pPr>
        <w:pStyle w:val="NoSpacing"/>
        <w:jc w:val="both"/>
        <w:rPr>
          <w:rFonts w:ascii="Times New Roman" w:hAnsi="Times New Roman" w:cs="Times New Roman"/>
        </w:rPr>
      </w:pPr>
    </w:p>
    <w:p w14:paraId="014A3DD0" w14:textId="77777777" w:rsidR="00B32DA8" w:rsidRPr="003B0C52" w:rsidRDefault="00B32DA8" w:rsidP="003B0C52">
      <w:pPr>
        <w:pStyle w:val="NoSpacing"/>
        <w:jc w:val="both"/>
        <w:rPr>
          <w:rFonts w:ascii="Times New Roman" w:hAnsi="Times New Roman" w:cs="Times New Roman"/>
        </w:rPr>
      </w:pPr>
      <w:r w:rsidRPr="003B0C52">
        <w:rPr>
          <w:rFonts w:ascii="Times New Roman" w:hAnsi="Times New Roman" w:cs="Times New Roman"/>
          <w:noProof/>
        </w:rPr>
        <w:drawing>
          <wp:inline distT="0" distB="0" distL="0" distR="0" wp14:anchorId="199DB8F1" wp14:editId="52CCC3B3">
            <wp:extent cx="5219700" cy="3653790"/>
            <wp:effectExtent l="0" t="0" r="0" b="381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2"/>
                    <a:stretch>
                      <a:fillRect/>
                    </a:stretch>
                  </pic:blipFill>
                  <pic:spPr>
                    <a:xfrm>
                      <a:off x="0" y="0"/>
                      <a:ext cx="5219700" cy="3653790"/>
                    </a:xfrm>
                    <a:prstGeom prst="rect">
                      <a:avLst/>
                    </a:prstGeom>
                  </pic:spPr>
                </pic:pic>
              </a:graphicData>
            </a:graphic>
          </wp:inline>
        </w:drawing>
      </w:r>
    </w:p>
    <w:p w14:paraId="1832172D" w14:textId="1C77CC8C" w:rsidR="00B32DA8" w:rsidRPr="003B0C52" w:rsidRDefault="00B32DA8" w:rsidP="003B0C52">
      <w:pPr>
        <w:pStyle w:val="Caption"/>
        <w:rPr>
          <w:rFonts w:ascii="Times New Roman" w:hAnsi="Times New Roman" w:cs="Times New Roman"/>
          <w:b/>
          <w:bCs/>
          <w:color w:val="auto"/>
          <w:sz w:val="24"/>
          <w:szCs w:val="24"/>
        </w:rPr>
      </w:pPr>
      <w:bookmarkStart w:id="30" w:name="_Ref225194768"/>
      <w:bookmarkStart w:id="31" w:name="_Toc225196580"/>
      <w:r w:rsidRPr="003B0C52">
        <w:rPr>
          <w:rFonts w:ascii="Times New Roman" w:hAnsi="Times New Roman" w:cs="Times New Roman"/>
          <w:b/>
          <w:bCs/>
          <w:color w:val="auto"/>
          <w:sz w:val="24"/>
          <w:szCs w:val="24"/>
        </w:rPr>
        <w:t xml:space="preserve">Figure </w:t>
      </w:r>
      <w:r w:rsidRPr="003B0C52">
        <w:rPr>
          <w:rFonts w:ascii="Times New Roman" w:hAnsi="Times New Roman" w:cs="Times New Roman"/>
          <w:b/>
          <w:bCs/>
          <w:color w:val="auto"/>
          <w:sz w:val="24"/>
          <w:szCs w:val="24"/>
        </w:rPr>
        <w:fldChar w:fldCharType="begin"/>
      </w:r>
      <w:r w:rsidRPr="003B0C52">
        <w:rPr>
          <w:rFonts w:ascii="Times New Roman" w:hAnsi="Times New Roman" w:cs="Times New Roman"/>
          <w:b/>
          <w:bCs/>
          <w:color w:val="auto"/>
          <w:sz w:val="24"/>
          <w:szCs w:val="24"/>
        </w:rPr>
        <w:instrText xml:space="preserve"> SEQ Figure \* ARABIC </w:instrText>
      </w:r>
      <w:r w:rsidRPr="003B0C52">
        <w:rPr>
          <w:rFonts w:ascii="Times New Roman" w:hAnsi="Times New Roman" w:cs="Times New Roman"/>
          <w:b/>
          <w:bCs/>
          <w:color w:val="auto"/>
          <w:sz w:val="24"/>
          <w:szCs w:val="24"/>
        </w:rPr>
        <w:fldChar w:fldCharType="separate"/>
      </w:r>
      <w:r w:rsidR="00AE4901" w:rsidRPr="003B0C52">
        <w:rPr>
          <w:rFonts w:ascii="Times New Roman" w:hAnsi="Times New Roman" w:cs="Times New Roman"/>
          <w:b/>
          <w:bCs/>
          <w:noProof/>
          <w:color w:val="auto"/>
          <w:sz w:val="24"/>
          <w:szCs w:val="24"/>
        </w:rPr>
        <w:t>5</w:t>
      </w:r>
      <w:r w:rsidRPr="003B0C52">
        <w:rPr>
          <w:rFonts w:ascii="Times New Roman" w:hAnsi="Times New Roman" w:cs="Times New Roman"/>
          <w:b/>
          <w:bCs/>
          <w:color w:val="auto"/>
          <w:sz w:val="24"/>
          <w:szCs w:val="24"/>
        </w:rPr>
        <w:fldChar w:fldCharType="end"/>
      </w:r>
      <w:bookmarkEnd w:id="30"/>
      <w:r w:rsidRPr="003B0C52">
        <w:rPr>
          <w:rFonts w:ascii="Times New Roman" w:hAnsi="Times New Roman" w:cs="Times New Roman"/>
          <w:b/>
          <w:bCs/>
          <w:color w:val="auto"/>
          <w:sz w:val="24"/>
          <w:szCs w:val="24"/>
        </w:rPr>
        <w:t xml:space="preserve">:Proportional Loss Modeled </w:t>
      </w:r>
      <w:r w:rsidR="00AE4901" w:rsidRPr="003B0C52">
        <w:rPr>
          <w:rFonts w:ascii="Times New Roman" w:hAnsi="Times New Roman" w:cs="Times New Roman"/>
          <w:b/>
          <w:bCs/>
          <w:color w:val="auto"/>
          <w:sz w:val="24"/>
          <w:szCs w:val="24"/>
        </w:rPr>
        <w:t>by</w:t>
      </w:r>
      <w:r w:rsidRPr="003B0C52">
        <w:rPr>
          <w:rFonts w:ascii="Times New Roman" w:hAnsi="Times New Roman" w:cs="Times New Roman"/>
          <w:b/>
          <w:bCs/>
          <w:color w:val="auto"/>
          <w:sz w:val="24"/>
          <w:szCs w:val="24"/>
        </w:rPr>
        <w:t xml:space="preserve"> Market Distance</w:t>
      </w:r>
      <w:bookmarkEnd w:id="31"/>
    </w:p>
    <w:p w14:paraId="54AFDF2E" w14:textId="77777777" w:rsidR="00B32DA8" w:rsidRPr="003B0C52" w:rsidRDefault="00B32DA8" w:rsidP="003B0C52">
      <w:pPr>
        <w:pStyle w:val="NoSpacing"/>
        <w:jc w:val="both"/>
        <w:rPr>
          <w:rFonts w:ascii="Times New Roman" w:hAnsi="Times New Roman" w:cs="Times New Roman"/>
        </w:rPr>
      </w:pPr>
      <w:r w:rsidRPr="003B0C52">
        <w:rPr>
          <w:rFonts w:ascii="Times New Roman" w:hAnsi="Times New Roman" w:cs="Times New Roman"/>
          <w:noProof/>
        </w:rPr>
        <w:drawing>
          <wp:inline distT="0" distB="0" distL="0" distR="0" wp14:anchorId="147C952E" wp14:editId="0844BCBA">
            <wp:extent cx="4549140" cy="3184398"/>
            <wp:effectExtent l="0" t="0" r="381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3"/>
                    <a:stretch>
                      <a:fillRect/>
                    </a:stretch>
                  </pic:blipFill>
                  <pic:spPr>
                    <a:xfrm>
                      <a:off x="0" y="0"/>
                      <a:ext cx="4553552" cy="3187486"/>
                    </a:xfrm>
                    <a:prstGeom prst="rect">
                      <a:avLst/>
                    </a:prstGeom>
                  </pic:spPr>
                </pic:pic>
              </a:graphicData>
            </a:graphic>
          </wp:inline>
        </w:drawing>
      </w:r>
    </w:p>
    <w:p w14:paraId="7A11D823" w14:textId="37B3BFEC" w:rsidR="00B32DA8" w:rsidRPr="003B0C52" w:rsidRDefault="00B32DA8" w:rsidP="003B0C52">
      <w:pPr>
        <w:pStyle w:val="Caption"/>
        <w:rPr>
          <w:rFonts w:ascii="Times New Roman" w:hAnsi="Times New Roman" w:cs="Times New Roman"/>
          <w:b/>
          <w:bCs/>
          <w:color w:val="auto"/>
          <w:sz w:val="24"/>
          <w:szCs w:val="24"/>
        </w:rPr>
      </w:pPr>
      <w:bookmarkStart w:id="32" w:name="_Ref225194869"/>
      <w:bookmarkStart w:id="33" w:name="_Toc225196581"/>
      <w:r w:rsidRPr="003B0C52">
        <w:rPr>
          <w:rFonts w:ascii="Times New Roman" w:hAnsi="Times New Roman" w:cs="Times New Roman"/>
          <w:b/>
          <w:bCs/>
          <w:color w:val="auto"/>
          <w:sz w:val="24"/>
          <w:szCs w:val="24"/>
        </w:rPr>
        <w:t xml:space="preserve">Figure </w:t>
      </w:r>
      <w:r w:rsidRPr="003B0C52">
        <w:rPr>
          <w:rFonts w:ascii="Times New Roman" w:hAnsi="Times New Roman" w:cs="Times New Roman"/>
          <w:b/>
          <w:bCs/>
          <w:color w:val="auto"/>
          <w:sz w:val="24"/>
          <w:szCs w:val="24"/>
        </w:rPr>
        <w:fldChar w:fldCharType="begin"/>
      </w:r>
      <w:r w:rsidRPr="003B0C52">
        <w:rPr>
          <w:rFonts w:ascii="Times New Roman" w:hAnsi="Times New Roman" w:cs="Times New Roman"/>
          <w:b/>
          <w:bCs/>
          <w:color w:val="auto"/>
          <w:sz w:val="24"/>
          <w:szCs w:val="24"/>
        </w:rPr>
        <w:instrText xml:space="preserve"> SEQ Figure \* ARABIC </w:instrText>
      </w:r>
      <w:r w:rsidRPr="003B0C52">
        <w:rPr>
          <w:rFonts w:ascii="Times New Roman" w:hAnsi="Times New Roman" w:cs="Times New Roman"/>
          <w:b/>
          <w:bCs/>
          <w:color w:val="auto"/>
          <w:sz w:val="24"/>
          <w:szCs w:val="24"/>
        </w:rPr>
        <w:fldChar w:fldCharType="separate"/>
      </w:r>
      <w:r w:rsidR="00AE4901" w:rsidRPr="003B0C52">
        <w:rPr>
          <w:rFonts w:ascii="Times New Roman" w:hAnsi="Times New Roman" w:cs="Times New Roman"/>
          <w:b/>
          <w:bCs/>
          <w:noProof/>
          <w:color w:val="auto"/>
          <w:sz w:val="24"/>
          <w:szCs w:val="24"/>
        </w:rPr>
        <w:t>6</w:t>
      </w:r>
      <w:r w:rsidRPr="003B0C52">
        <w:rPr>
          <w:rFonts w:ascii="Times New Roman" w:hAnsi="Times New Roman" w:cs="Times New Roman"/>
          <w:b/>
          <w:bCs/>
          <w:color w:val="auto"/>
          <w:sz w:val="24"/>
          <w:szCs w:val="24"/>
        </w:rPr>
        <w:fldChar w:fldCharType="end"/>
      </w:r>
      <w:bookmarkEnd w:id="32"/>
      <w:r w:rsidRPr="003B0C52">
        <w:rPr>
          <w:rFonts w:ascii="Times New Roman" w:hAnsi="Times New Roman" w:cs="Times New Roman"/>
          <w:b/>
          <w:bCs/>
          <w:color w:val="auto"/>
          <w:sz w:val="24"/>
          <w:szCs w:val="24"/>
        </w:rPr>
        <w:t>:Model-Predicted Proportional Loss by Mode of Transportation</w:t>
      </w:r>
      <w:bookmarkEnd w:id="33"/>
    </w:p>
    <w:p w14:paraId="3508FDC3" w14:textId="496A2767" w:rsidR="002D26E1" w:rsidRPr="003B0C52" w:rsidRDefault="002D26E1" w:rsidP="003B0C52">
      <w:pPr>
        <w:pStyle w:val="Heading3"/>
        <w:spacing w:line="240" w:lineRule="auto"/>
        <w:rPr>
          <w:rFonts w:ascii="Times New Roman" w:hAnsi="Times New Roman" w:cs="Times New Roman"/>
          <w:b/>
          <w:bCs/>
          <w:color w:val="auto"/>
          <w:sz w:val="24"/>
          <w:szCs w:val="24"/>
        </w:rPr>
      </w:pPr>
      <w:bookmarkStart w:id="34" w:name="_Toc225180568"/>
      <w:r w:rsidRPr="003B0C52">
        <w:rPr>
          <w:rFonts w:ascii="Times New Roman" w:hAnsi="Times New Roman" w:cs="Times New Roman"/>
          <w:b/>
          <w:bCs/>
          <w:color w:val="auto"/>
          <w:sz w:val="24"/>
          <w:szCs w:val="24"/>
        </w:rPr>
        <w:lastRenderedPageBreak/>
        <w:t>4.</w:t>
      </w:r>
      <w:r w:rsidR="0075761C" w:rsidRPr="003B0C52">
        <w:rPr>
          <w:rFonts w:ascii="Times New Roman" w:hAnsi="Times New Roman" w:cs="Times New Roman"/>
          <w:b/>
          <w:bCs/>
          <w:color w:val="auto"/>
          <w:sz w:val="24"/>
          <w:szCs w:val="24"/>
        </w:rPr>
        <w:t>6</w:t>
      </w:r>
      <w:r w:rsidRPr="003B0C52">
        <w:rPr>
          <w:rFonts w:ascii="Times New Roman" w:hAnsi="Times New Roman" w:cs="Times New Roman"/>
          <w:b/>
          <w:bCs/>
          <w:color w:val="auto"/>
          <w:sz w:val="24"/>
          <w:szCs w:val="24"/>
        </w:rPr>
        <w:tab/>
        <w:t>Wald Tests</w:t>
      </w:r>
      <w:bookmarkEnd w:id="34"/>
    </w:p>
    <w:p w14:paraId="34FC0113" w14:textId="1E5102BC"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 xml:space="preserve">Type III Wald Chi-square tests compared the overall significance of each predictor at all levels of predictor described by one or more dummies. Operational and market access variables were very significant. Storage method had the largest statistic </w:t>
      </w:r>
      <m:oMath>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=1182.71, df=2, p=0.001)</m:t>
        </m:r>
      </m:oMath>
      <w:r w:rsidRPr="003B0C52">
        <w:rPr>
          <w:rFonts w:ascii="Times New Roman" w:hAnsi="Times New Roman" w:cs="Times New Roman"/>
        </w:rPr>
        <w:t xml:space="preserve">, then storage duration </w:t>
      </w:r>
      <m:oMath>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=137.39)</m:t>
        </m:r>
      </m:oMath>
      <w:r w:rsidRPr="003B0C52">
        <w:rPr>
          <w:rFonts w:ascii="Times New Roman" w:hAnsi="Times New Roman" w:cs="Times New Roman"/>
        </w:rPr>
        <w:t xml:space="preserve">, market distance </w:t>
      </w:r>
      <m:oMath>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=95.97),</m:t>
        </m:r>
      </m:oMath>
      <w:r w:rsidRPr="003B0C52">
        <w:rPr>
          <w:rFonts w:ascii="Times New Roman" w:hAnsi="Times New Roman" w:cs="Times New Roman"/>
        </w:rPr>
        <w:t xml:space="preserve"> chemical use </w:t>
      </w:r>
      <m:oMath>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=51.93),</m:t>
        </m:r>
      </m:oMath>
      <w:r w:rsidRPr="003B0C52">
        <w:rPr>
          <w:rFonts w:ascii="Times New Roman" w:hAnsi="Times New Roman" w:cs="Times New Roman"/>
        </w:rPr>
        <w:t xml:space="preserve"> transport impact </w:t>
      </w:r>
      <m:oMath>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=34.10)</m:t>
        </m:r>
      </m:oMath>
      <w:r w:rsidRPr="003B0C52">
        <w:rPr>
          <w:rFonts w:ascii="Times New Roman" w:hAnsi="Times New Roman" w:cs="Times New Roman"/>
        </w:rPr>
        <w:t xml:space="preserve">, extension training </w:t>
      </w:r>
      <m:oMath>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=28.68)</m:t>
        </m:r>
      </m:oMath>
      <w:r w:rsidRPr="003B0C52">
        <w:rPr>
          <w:rFonts w:ascii="Times New Roman" w:hAnsi="Times New Roman" w:cs="Times New Roman"/>
        </w:rPr>
        <w:t xml:space="preserve">, and transport mode </w:t>
      </w:r>
      <m:oMath>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=27.46)</m:t>
        </m:r>
      </m:oMath>
      <w:r w:rsidRPr="003B0C52">
        <w:rPr>
          <w:rFonts w:ascii="Times New Roman" w:hAnsi="Times New Roman" w:cs="Times New Roman"/>
        </w:rPr>
        <w:t xml:space="preserve">. Education level was not a significant predictor </w:t>
      </w:r>
      <m:oMath>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=4.06, 3 df = 0.255)</m:t>
        </m:r>
      </m:oMath>
      <w:r w:rsidRPr="003B0C52">
        <w:rPr>
          <w:rFonts w:ascii="Times New Roman" w:hAnsi="Times New Roman" w:cs="Times New Roman"/>
        </w:rPr>
        <w:t xml:space="preserve">. Full results are in </w:t>
      </w:r>
      <w:r w:rsidR="008A59B2" w:rsidRPr="003B0C52">
        <w:rPr>
          <w:rFonts w:ascii="Times New Roman" w:hAnsi="Times New Roman" w:cs="Times New Roman"/>
        </w:rPr>
        <w:fldChar w:fldCharType="begin"/>
      </w:r>
      <w:r w:rsidR="008A59B2" w:rsidRPr="003B0C52">
        <w:rPr>
          <w:rFonts w:ascii="Times New Roman" w:hAnsi="Times New Roman" w:cs="Times New Roman"/>
        </w:rPr>
        <w:instrText xml:space="preserve"> REF _Ref225195399 \h </w:instrText>
      </w:r>
      <w:r w:rsidR="003B0C52">
        <w:rPr>
          <w:rFonts w:ascii="Times New Roman" w:hAnsi="Times New Roman" w:cs="Times New Roman"/>
        </w:rPr>
        <w:instrText xml:space="preserve"> \* MERGEFORMAT </w:instrText>
      </w:r>
      <w:r w:rsidR="008A59B2" w:rsidRPr="003B0C52">
        <w:rPr>
          <w:rFonts w:ascii="Times New Roman" w:hAnsi="Times New Roman" w:cs="Times New Roman"/>
        </w:rPr>
      </w:r>
      <w:r w:rsidR="008A59B2" w:rsidRPr="003B0C52">
        <w:rPr>
          <w:rFonts w:ascii="Times New Roman" w:hAnsi="Times New Roman" w:cs="Times New Roman"/>
        </w:rPr>
        <w:fldChar w:fldCharType="separate"/>
      </w:r>
      <w:r w:rsidR="008A59B2" w:rsidRPr="003B0C52">
        <w:rPr>
          <w:rFonts w:ascii="Times New Roman" w:hAnsi="Times New Roman" w:cs="Times New Roman"/>
          <w:b/>
          <w:bCs/>
        </w:rPr>
        <w:t xml:space="preserve">Table </w:t>
      </w:r>
      <w:r w:rsidR="008A59B2" w:rsidRPr="003B0C52">
        <w:rPr>
          <w:rFonts w:ascii="Times New Roman" w:hAnsi="Times New Roman" w:cs="Times New Roman"/>
          <w:b/>
          <w:bCs/>
          <w:noProof/>
        </w:rPr>
        <w:t>5</w:t>
      </w:r>
      <w:r w:rsidR="008A59B2" w:rsidRPr="003B0C52">
        <w:rPr>
          <w:rFonts w:ascii="Times New Roman" w:hAnsi="Times New Roman" w:cs="Times New Roman"/>
        </w:rPr>
        <w:fldChar w:fldCharType="end"/>
      </w:r>
      <w:r w:rsidR="008A59B2" w:rsidRPr="003B0C52">
        <w:rPr>
          <w:rFonts w:ascii="Times New Roman" w:hAnsi="Times New Roman" w:cs="Times New Roman"/>
        </w:rPr>
        <w:t xml:space="preserve"> </w:t>
      </w:r>
      <w:r w:rsidRPr="003B0C52">
        <w:rPr>
          <w:rFonts w:ascii="Times New Roman" w:hAnsi="Times New Roman" w:cs="Times New Roman"/>
        </w:rPr>
        <w:t>below.</w:t>
      </w:r>
    </w:p>
    <w:p w14:paraId="4199A499" w14:textId="0A155306" w:rsidR="002D26E1" w:rsidRPr="003B0C52" w:rsidRDefault="002D26E1" w:rsidP="003B0C52">
      <w:pPr>
        <w:pStyle w:val="Caption"/>
        <w:rPr>
          <w:rFonts w:ascii="Times New Roman" w:hAnsi="Times New Roman" w:cs="Times New Roman"/>
          <w:b/>
          <w:bCs/>
          <w:color w:val="auto"/>
          <w:sz w:val="24"/>
          <w:szCs w:val="24"/>
        </w:rPr>
      </w:pPr>
      <w:bookmarkStart w:id="35" w:name="_Ref225195399"/>
      <w:bookmarkStart w:id="36" w:name="_Ref225195390"/>
      <w:bookmarkStart w:id="37" w:name="_Toc225196611"/>
      <w:r w:rsidRPr="003B0C52">
        <w:rPr>
          <w:rFonts w:ascii="Times New Roman" w:hAnsi="Times New Roman" w:cs="Times New Roman"/>
          <w:b/>
          <w:bCs/>
          <w:color w:val="auto"/>
          <w:sz w:val="24"/>
          <w:szCs w:val="24"/>
        </w:rPr>
        <w:t xml:space="preserve">Table </w:t>
      </w:r>
      <w:r w:rsidRPr="003B0C52">
        <w:rPr>
          <w:rFonts w:ascii="Times New Roman" w:hAnsi="Times New Roman" w:cs="Times New Roman"/>
          <w:b/>
          <w:bCs/>
          <w:color w:val="auto"/>
          <w:sz w:val="24"/>
          <w:szCs w:val="24"/>
        </w:rPr>
        <w:fldChar w:fldCharType="begin"/>
      </w:r>
      <w:r w:rsidRPr="003B0C52">
        <w:rPr>
          <w:rFonts w:ascii="Times New Roman" w:hAnsi="Times New Roman" w:cs="Times New Roman"/>
          <w:b/>
          <w:bCs/>
          <w:color w:val="auto"/>
          <w:sz w:val="24"/>
          <w:szCs w:val="24"/>
        </w:rPr>
        <w:instrText xml:space="preserve"> SEQ Table \* ARABIC </w:instrText>
      </w:r>
      <w:r w:rsidRPr="003B0C52">
        <w:rPr>
          <w:rFonts w:ascii="Times New Roman" w:hAnsi="Times New Roman" w:cs="Times New Roman"/>
          <w:b/>
          <w:bCs/>
          <w:color w:val="auto"/>
          <w:sz w:val="24"/>
          <w:szCs w:val="24"/>
        </w:rPr>
        <w:fldChar w:fldCharType="separate"/>
      </w:r>
      <w:r w:rsidR="008A59B2" w:rsidRPr="003B0C52">
        <w:rPr>
          <w:rFonts w:ascii="Times New Roman" w:hAnsi="Times New Roman" w:cs="Times New Roman"/>
          <w:b/>
          <w:bCs/>
          <w:noProof/>
          <w:color w:val="auto"/>
          <w:sz w:val="24"/>
          <w:szCs w:val="24"/>
        </w:rPr>
        <w:t>5</w:t>
      </w:r>
      <w:r w:rsidRPr="003B0C52">
        <w:rPr>
          <w:rFonts w:ascii="Times New Roman" w:hAnsi="Times New Roman" w:cs="Times New Roman"/>
          <w:b/>
          <w:bCs/>
          <w:color w:val="auto"/>
          <w:sz w:val="24"/>
          <w:szCs w:val="24"/>
        </w:rPr>
        <w:fldChar w:fldCharType="end"/>
      </w:r>
      <w:bookmarkEnd w:id="35"/>
      <w:r w:rsidRPr="003B0C52">
        <w:rPr>
          <w:rFonts w:ascii="Times New Roman" w:hAnsi="Times New Roman" w:cs="Times New Roman"/>
          <w:b/>
          <w:bCs/>
          <w:color w:val="auto"/>
          <w:sz w:val="24"/>
          <w:szCs w:val="24"/>
        </w:rPr>
        <w:t>:Type III Chi-Square Tests. Multilevel Beta Regression</w:t>
      </w:r>
      <w:bookmarkEnd w:id="36"/>
      <w:bookmarkEnd w:id="37"/>
    </w:p>
    <w:tbl>
      <w:tblPr>
        <w:tblStyle w:val="TableGrid"/>
        <w:tblW w:w="9693" w:type="dxa"/>
        <w:jc w:val="center"/>
        <w:tblLook w:val="04A0" w:firstRow="1" w:lastRow="0" w:firstColumn="1" w:lastColumn="0" w:noHBand="0" w:noVBand="1"/>
      </w:tblPr>
      <w:tblGrid>
        <w:gridCol w:w="2337"/>
        <w:gridCol w:w="1268"/>
        <w:gridCol w:w="878"/>
        <w:gridCol w:w="1464"/>
        <w:gridCol w:w="3746"/>
      </w:tblGrid>
      <w:tr w:rsidR="002D26E1" w:rsidRPr="003B0C52" w14:paraId="11630ADF" w14:textId="77777777" w:rsidTr="003B0C52">
        <w:trPr>
          <w:trHeight w:val="378"/>
          <w:jc w:val="center"/>
        </w:trPr>
        <w:tc>
          <w:tcPr>
            <w:tcW w:w="2337" w:type="dxa"/>
            <w:tcBorders>
              <w:top w:val="single" w:sz="4" w:space="0" w:color="AAAAAA"/>
              <w:left w:val="single" w:sz="4" w:space="0" w:color="AAAAAA"/>
              <w:bottom w:val="single" w:sz="4" w:space="0" w:color="AAAAAA"/>
              <w:right w:val="single" w:sz="4" w:space="0" w:color="AAAAAA"/>
            </w:tcBorders>
            <w:vAlign w:val="center"/>
            <w:hideMark/>
          </w:tcPr>
          <w:p w14:paraId="3E4C5C52" w14:textId="77777777" w:rsidR="002D26E1" w:rsidRPr="003B0C52" w:rsidRDefault="002D26E1" w:rsidP="003B0C52">
            <w:pPr>
              <w:pStyle w:val="NoSpacing"/>
              <w:jc w:val="both"/>
              <w:rPr>
                <w:rFonts w:ascii="Times New Roman" w:hAnsi="Times New Roman" w:cs="Times New Roman"/>
                <w:b/>
                <w:bCs/>
              </w:rPr>
            </w:pPr>
            <w:r w:rsidRPr="003B0C52">
              <w:rPr>
                <w:rFonts w:ascii="Times New Roman" w:hAnsi="Times New Roman" w:cs="Times New Roman"/>
                <w:b/>
                <w:bCs/>
              </w:rPr>
              <w:t>Predictor</w:t>
            </w:r>
          </w:p>
        </w:tc>
        <w:tc>
          <w:tcPr>
            <w:tcW w:w="1268" w:type="dxa"/>
            <w:tcBorders>
              <w:top w:val="single" w:sz="4" w:space="0" w:color="AAAAAA"/>
              <w:left w:val="nil"/>
              <w:bottom w:val="single" w:sz="4" w:space="0" w:color="AAAAAA"/>
              <w:right w:val="single" w:sz="4" w:space="0" w:color="AAAAAA"/>
            </w:tcBorders>
            <w:vAlign w:val="center"/>
            <w:hideMark/>
          </w:tcPr>
          <w:p w14:paraId="127E8E5B" w14:textId="77777777" w:rsidR="002D26E1" w:rsidRPr="003B0C52" w:rsidRDefault="002D26E1" w:rsidP="003B0C52">
            <w:pPr>
              <w:pStyle w:val="NoSpacing"/>
              <w:jc w:val="both"/>
              <w:rPr>
                <w:rFonts w:ascii="Times New Roman" w:hAnsi="Times New Roman" w:cs="Times New Roman"/>
                <w:b/>
                <w:bCs/>
              </w:rPr>
            </w:pPr>
            <w:r w:rsidRPr="003B0C52">
              <w:rPr>
                <w:rFonts w:ascii="Times New Roman" w:hAnsi="Times New Roman" w:cs="Times New Roman"/>
                <w:b/>
                <w:bCs/>
              </w:rPr>
              <w:t>Wald χ²</w:t>
            </w:r>
          </w:p>
        </w:tc>
        <w:tc>
          <w:tcPr>
            <w:tcW w:w="878" w:type="dxa"/>
            <w:tcBorders>
              <w:top w:val="single" w:sz="4" w:space="0" w:color="AAAAAA"/>
              <w:left w:val="nil"/>
              <w:bottom w:val="single" w:sz="4" w:space="0" w:color="AAAAAA"/>
              <w:right w:val="single" w:sz="4" w:space="0" w:color="AAAAAA"/>
            </w:tcBorders>
            <w:vAlign w:val="center"/>
            <w:hideMark/>
          </w:tcPr>
          <w:p w14:paraId="1C28075C" w14:textId="77777777" w:rsidR="002D26E1" w:rsidRPr="003B0C52" w:rsidRDefault="002D26E1" w:rsidP="003B0C52">
            <w:pPr>
              <w:pStyle w:val="NoSpacing"/>
              <w:jc w:val="both"/>
              <w:rPr>
                <w:rFonts w:ascii="Times New Roman" w:hAnsi="Times New Roman" w:cs="Times New Roman"/>
                <w:b/>
                <w:bCs/>
              </w:rPr>
            </w:pPr>
            <w:r w:rsidRPr="003B0C52">
              <w:rPr>
                <w:rFonts w:ascii="Times New Roman" w:hAnsi="Times New Roman" w:cs="Times New Roman"/>
                <w:b/>
                <w:bCs/>
              </w:rPr>
              <w:t>df</w:t>
            </w:r>
          </w:p>
        </w:tc>
        <w:tc>
          <w:tcPr>
            <w:tcW w:w="1464" w:type="dxa"/>
            <w:tcBorders>
              <w:top w:val="single" w:sz="4" w:space="0" w:color="AAAAAA"/>
              <w:left w:val="nil"/>
              <w:bottom w:val="single" w:sz="4" w:space="0" w:color="AAAAAA"/>
              <w:right w:val="single" w:sz="4" w:space="0" w:color="AAAAAA"/>
            </w:tcBorders>
            <w:vAlign w:val="center"/>
            <w:hideMark/>
          </w:tcPr>
          <w:p w14:paraId="46AF2725" w14:textId="77777777" w:rsidR="002D26E1" w:rsidRPr="003B0C52" w:rsidRDefault="002D26E1" w:rsidP="003B0C52">
            <w:pPr>
              <w:pStyle w:val="NoSpacing"/>
              <w:jc w:val="both"/>
              <w:rPr>
                <w:rFonts w:ascii="Times New Roman" w:hAnsi="Times New Roman" w:cs="Times New Roman"/>
                <w:b/>
                <w:bCs/>
              </w:rPr>
            </w:pPr>
            <w:r w:rsidRPr="003B0C52">
              <w:rPr>
                <w:rFonts w:ascii="Times New Roman" w:hAnsi="Times New Roman" w:cs="Times New Roman"/>
                <w:b/>
                <w:bCs/>
              </w:rPr>
              <w:t>p-value</w:t>
            </w:r>
          </w:p>
        </w:tc>
        <w:tc>
          <w:tcPr>
            <w:tcW w:w="3746" w:type="dxa"/>
            <w:tcBorders>
              <w:top w:val="single" w:sz="4" w:space="0" w:color="AAAAAA"/>
              <w:left w:val="nil"/>
              <w:bottom w:val="single" w:sz="4" w:space="0" w:color="AAAAAA"/>
              <w:right w:val="single" w:sz="4" w:space="0" w:color="AAAAAA"/>
            </w:tcBorders>
            <w:vAlign w:val="center"/>
            <w:hideMark/>
          </w:tcPr>
          <w:p w14:paraId="487D7E4C" w14:textId="77777777" w:rsidR="002D26E1" w:rsidRPr="003B0C52" w:rsidRDefault="002D26E1" w:rsidP="003B0C52">
            <w:pPr>
              <w:pStyle w:val="NoSpacing"/>
              <w:jc w:val="both"/>
              <w:rPr>
                <w:rFonts w:ascii="Times New Roman" w:hAnsi="Times New Roman" w:cs="Times New Roman"/>
                <w:b/>
                <w:bCs/>
              </w:rPr>
            </w:pPr>
            <w:r w:rsidRPr="003B0C52">
              <w:rPr>
                <w:rFonts w:ascii="Times New Roman" w:hAnsi="Times New Roman" w:cs="Times New Roman"/>
                <w:b/>
                <w:bCs/>
              </w:rPr>
              <w:t>Significance</w:t>
            </w:r>
          </w:p>
        </w:tc>
      </w:tr>
      <w:tr w:rsidR="002D26E1" w:rsidRPr="003B0C52" w14:paraId="59111DC4" w14:textId="77777777" w:rsidTr="003B0C52">
        <w:trPr>
          <w:trHeight w:val="768"/>
          <w:jc w:val="center"/>
        </w:trPr>
        <w:tc>
          <w:tcPr>
            <w:tcW w:w="2337" w:type="dxa"/>
            <w:tcBorders>
              <w:top w:val="single" w:sz="4" w:space="0" w:color="AAAAAA"/>
              <w:left w:val="single" w:sz="4" w:space="0" w:color="AAAAAA"/>
              <w:bottom w:val="single" w:sz="4" w:space="0" w:color="AAAAAA"/>
              <w:right w:val="single" w:sz="4" w:space="0" w:color="AAAAAA"/>
            </w:tcBorders>
            <w:vAlign w:val="center"/>
            <w:hideMark/>
          </w:tcPr>
          <w:p w14:paraId="1FA4B7A6"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Storage method</w:t>
            </w:r>
          </w:p>
        </w:tc>
        <w:tc>
          <w:tcPr>
            <w:tcW w:w="1268" w:type="dxa"/>
            <w:tcBorders>
              <w:top w:val="single" w:sz="4" w:space="0" w:color="AAAAAA"/>
              <w:left w:val="nil"/>
              <w:bottom w:val="single" w:sz="4" w:space="0" w:color="AAAAAA"/>
              <w:right w:val="single" w:sz="4" w:space="0" w:color="AAAAAA"/>
            </w:tcBorders>
            <w:vAlign w:val="center"/>
            <w:hideMark/>
          </w:tcPr>
          <w:p w14:paraId="0D261C59"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1182.71</w:t>
            </w:r>
          </w:p>
        </w:tc>
        <w:tc>
          <w:tcPr>
            <w:tcW w:w="878" w:type="dxa"/>
            <w:tcBorders>
              <w:top w:val="single" w:sz="4" w:space="0" w:color="AAAAAA"/>
              <w:left w:val="nil"/>
              <w:bottom w:val="single" w:sz="4" w:space="0" w:color="AAAAAA"/>
              <w:right w:val="single" w:sz="4" w:space="0" w:color="AAAAAA"/>
            </w:tcBorders>
            <w:vAlign w:val="center"/>
            <w:hideMark/>
          </w:tcPr>
          <w:p w14:paraId="0A1A28EC"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2</w:t>
            </w:r>
          </w:p>
        </w:tc>
        <w:tc>
          <w:tcPr>
            <w:tcW w:w="1464" w:type="dxa"/>
            <w:tcBorders>
              <w:top w:val="single" w:sz="4" w:space="0" w:color="AAAAAA"/>
              <w:left w:val="nil"/>
              <w:bottom w:val="single" w:sz="4" w:space="0" w:color="AAAAAA"/>
              <w:right w:val="single" w:sz="4" w:space="0" w:color="AAAAAA"/>
            </w:tcBorders>
            <w:vAlign w:val="center"/>
            <w:hideMark/>
          </w:tcPr>
          <w:p w14:paraId="28A0AE1E"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&lt; 0.001</w:t>
            </w:r>
          </w:p>
        </w:tc>
        <w:tc>
          <w:tcPr>
            <w:tcW w:w="3746" w:type="dxa"/>
            <w:tcBorders>
              <w:top w:val="single" w:sz="4" w:space="0" w:color="AAAAAA"/>
              <w:left w:val="nil"/>
              <w:bottom w:val="single" w:sz="4" w:space="0" w:color="AAAAAA"/>
              <w:right w:val="single" w:sz="4" w:space="0" w:color="AAAAAA"/>
            </w:tcBorders>
            <w:vAlign w:val="center"/>
            <w:hideMark/>
          </w:tcPr>
          <w:p w14:paraId="37447A35"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 Highly significant</w:t>
            </w:r>
          </w:p>
        </w:tc>
      </w:tr>
      <w:tr w:rsidR="002D26E1" w:rsidRPr="003B0C52" w14:paraId="1BF73E09" w14:textId="77777777" w:rsidTr="003B0C52">
        <w:trPr>
          <w:trHeight w:val="768"/>
          <w:jc w:val="center"/>
        </w:trPr>
        <w:tc>
          <w:tcPr>
            <w:tcW w:w="2337" w:type="dxa"/>
            <w:tcBorders>
              <w:top w:val="single" w:sz="4" w:space="0" w:color="AAAAAA"/>
              <w:left w:val="single" w:sz="4" w:space="0" w:color="AAAAAA"/>
              <w:bottom w:val="single" w:sz="4" w:space="0" w:color="AAAAAA"/>
              <w:right w:val="single" w:sz="4" w:space="0" w:color="AAAAAA"/>
            </w:tcBorders>
            <w:vAlign w:val="center"/>
            <w:hideMark/>
          </w:tcPr>
          <w:p w14:paraId="00AFD23B"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Storage duration</w:t>
            </w:r>
          </w:p>
        </w:tc>
        <w:tc>
          <w:tcPr>
            <w:tcW w:w="1268" w:type="dxa"/>
            <w:tcBorders>
              <w:top w:val="single" w:sz="4" w:space="0" w:color="AAAAAA"/>
              <w:left w:val="nil"/>
              <w:bottom w:val="single" w:sz="4" w:space="0" w:color="AAAAAA"/>
              <w:right w:val="single" w:sz="4" w:space="0" w:color="AAAAAA"/>
            </w:tcBorders>
            <w:vAlign w:val="center"/>
            <w:hideMark/>
          </w:tcPr>
          <w:p w14:paraId="7420D5BB"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137.39</w:t>
            </w:r>
          </w:p>
        </w:tc>
        <w:tc>
          <w:tcPr>
            <w:tcW w:w="878" w:type="dxa"/>
            <w:tcBorders>
              <w:top w:val="single" w:sz="4" w:space="0" w:color="AAAAAA"/>
              <w:left w:val="nil"/>
              <w:bottom w:val="single" w:sz="4" w:space="0" w:color="AAAAAA"/>
              <w:right w:val="single" w:sz="4" w:space="0" w:color="AAAAAA"/>
            </w:tcBorders>
            <w:vAlign w:val="center"/>
            <w:hideMark/>
          </w:tcPr>
          <w:p w14:paraId="2AB45EE6"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3</w:t>
            </w:r>
          </w:p>
        </w:tc>
        <w:tc>
          <w:tcPr>
            <w:tcW w:w="1464" w:type="dxa"/>
            <w:tcBorders>
              <w:top w:val="single" w:sz="4" w:space="0" w:color="AAAAAA"/>
              <w:left w:val="nil"/>
              <w:bottom w:val="single" w:sz="4" w:space="0" w:color="AAAAAA"/>
              <w:right w:val="single" w:sz="4" w:space="0" w:color="AAAAAA"/>
            </w:tcBorders>
            <w:vAlign w:val="center"/>
            <w:hideMark/>
          </w:tcPr>
          <w:p w14:paraId="64A95539"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&lt; 0.001</w:t>
            </w:r>
          </w:p>
        </w:tc>
        <w:tc>
          <w:tcPr>
            <w:tcW w:w="3746" w:type="dxa"/>
            <w:tcBorders>
              <w:top w:val="single" w:sz="4" w:space="0" w:color="AAAAAA"/>
              <w:left w:val="nil"/>
              <w:bottom w:val="single" w:sz="4" w:space="0" w:color="AAAAAA"/>
              <w:right w:val="single" w:sz="4" w:space="0" w:color="AAAAAA"/>
            </w:tcBorders>
            <w:vAlign w:val="center"/>
            <w:hideMark/>
          </w:tcPr>
          <w:p w14:paraId="4F376A56"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 Highly significant</w:t>
            </w:r>
          </w:p>
        </w:tc>
      </w:tr>
      <w:tr w:rsidR="002D26E1" w:rsidRPr="003B0C52" w14:paraId="144C0F6A" w14:textId="77777777" w:rsidTr="003B0C52">
        <w:trPr>
          <w:trHeight w:val="757"/>
          <w:jc w:val="center"/>
        </w:trPr>
        <w:tc>
          <w:tcPr>
            <w:tcW w:w="2337" w:type="dxa"/>
            <w:tcBorders>
              <w:top w:val="single" w:sz="4" w:space="0" w:color="AAAAAA"/>
              <w:left w:val="single" w:sz="4" w:space="0" w:color="AAAAAA"/>
              <w:bottom w:val="single" w:sz="4" w:space="0" w:color="AAAAAA"/>
              <w:right w:val="single" w:sz="4" w:space="0" w:color="AAAAAA"/>
            </w:tcBorders>
            <w:vAlign w:val="center"/>
            <w:hideMark/>
          </w:tcPr>
          <w:p w14:paraId="77139C1C"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Chemical use</w:t>
            </w:r>
          </w:p>
        </w:tc>
        <w:tc>
          <w:tcPr>
            <w:tcW w:w="1268" w:type="dxa"/>
            <w:tcBorders>
              <w:top w:val="single" w:sz="4" w:space="0" w:color="AAAAAA"/>
              <w:left w:val="nil"/>
              <w:bottom w:val="single" w:sz="4" w:space="0" w:color="AAAAAA"/>
              <w:right w:val="single" w:sz="4" w:space="0" w:color="AAAAAA"/>
            </w:tcBorders>
            <w:vAlign w:val="center"/>
            <w:hideMark/>
          </w:tcPr>
          <w:p w14:paraId="4658CAE5"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51.93</w:t>
            </w:r>
          </w:p>
        </w:tc>
        <w:tc>
          <w:tcPr>
            <w:tcW w:w="878" w:type="dxa"/>
            <w:tcBorders>
              <w:top w:val="single" w:sz="4" w:space="0" w:color="AAAAAA"/>
              <w:left w:val="nil"/>
              <w:bottom w:val="single" w:sz="4" w:space="0" w:color="AAAAAA"/>
              <w:right w:val="single" w:sz="4" w:space="0" w:color="AAAAAA"/>
            </w:tcBorders>
            <w:vAlign w:val="center"/>
            <w:hideMark/>
          </w:tcPr>
          <w:p w14:paraId="576C7C3F"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1</w:t>
            </w:r>
          </w:p>
        </w:tc>
        <w:tc>
          <w:tcPr>
            <w:tcW w:w="1464" w:type="dxa"/>
            <w:tcBorders>
              <w:top w:val="single" w:sz="4" w:space="0" w:color="AAAAAA"/>
              <w:left w:val="nil"/>
              <w:bottom w:val="single" w:sz="4" w:space="0" w:color="AAAAAA"/>
              <w:right w:val="single" w:sz="4" w:space="0" w:color="AAAAAA"/>
            </w:tcBorders>
            <w:vAlign w:val="center"/>
            <w:hideMark/>
          </w:tcPr>
          <w:p w14:paraId="77E75A8B"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&lt; 0.001</w:t>
            </w:r>
          </w:p>
        </w:tc>
        <w:tc>
          <w:tcPr>
            <w:tcW w:w="3746" w:type="dxa"/>
            <w:tcBorders>
              <w:top w:val="single" w:sz="4" w:space="0" w:color="AAAAAA"/>
              <w:left w:val="nil"/>
              <w:bottom w:val="single" w:sz="4" w:space="0" w:color="AAAAAA"/>
              <w:right w:val="single" w:sz="4" w:space="0" w:color="AAAAAA"/>
            </w:tcBorders>
            <w:vAlign w:val="center"/>
            <w:hideMark/>
          </w:tcPr>
          <w:p w14:paraId="018988A7"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 Highly significant</w:t>
            </w:r>
          </w:p>
        </w:tc>
      </w:tr>
      <w:tr w:rsidR="002D26E1" w:rsidRPr="003B0C52" w14:paraId="2199E645" w14:textId="77777777" w:rsidTr="003B0C52">
        <w:trPr>
          <w:trHeight w:val="768"/>
          <w:jc w:val="center"/>
        </w:trPr>
        <w:tc>
          <w:tcPr>
            <w:tcW w:w="2337" w:type="dxa"/>
            <w:tcBorders>
              <w:top w:val="single" w:sz="4" w:space="0" w:color="AAAAAA"/>
              <w:left w:val="single" w:sz="4" w:space="0" w:color="AAAAAA"/>
              <w:bottom w:val="single" w:sz="4" w:space="0" w:color="AAAAAA"/>
              <w:right w:val="single" w:sz="4" w:space="0" w:color="AAAAAA"/>
            </w:tcBorders>
            <w:vAlign w:val="center"/>
            <w:hideMark/>
          </w:tcPr>
          <w:p w14:paraId="44F81772"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Extension training</w:t>
            </w:r>
          </w:p>
        </w:tc>
        <w:tc>
          <w:tcPr>
            <w:tcW w:w="1268" w:type="dxa"/>
            <w:tcBorders>
              <w:top w:val="single" w:sz="4" w:space="0" w:color="AAAAAA"/>
              <w:left w:val="nil"/>
              <w:bottom w:val="single" w:sz="4" w:space="0" w:color="AAAAAA"/>
              <w:right w:val="single" w:sz="4" w:space="0" w:color="AAAAAA"/>
            </w:tcBorders>
            <w:vAlign w:val="center"/>
            <w:hideMark/>
          </w:tcPr>
          <w:p w14:paraId="7CA84FC2"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28.68</w:t>
            </w:r>
          </w:p>
        </w:tc>
        <w:tc>
          <w:tcPr>
            <w:tcW w:w="878" w:type="dxa"/>
            <w:tcBorders>
              <w:top w:val="single" w:sz="4" w:space="0" w:color="AAAAAA"/>
              <w:left w:val="nil"/>
              <w:bottom w:val="single" w:sz="4" w:space="0" w:color="AAAAAA"/>
              <w:right w:val="single" w:sz="4" w:space="0" w:color="AAAAAA"/>
            </w:tcBorders>
            <w:vAlign w:val="center"/>
            <w:hideMark/>
          </w:tcPr>
          <w:p w14:paraId="6008B7D1"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1</w:t>
            </w:r>
          </w:p>
        </w:tc>
        <w:tc>
          <w:tcPr>
            <w:tcW w:w="1464" w:type="dxa"/>
            <w:tcBorders>
              <w:top w:val="single" w:sz="4" w:space="0" w:color="AAAAAA"/>
              <w:left w:val="nil"/>
              <w:bottom w:val="single" w:sz="4" w:space="0" w:color="AAAAAA"/>
              <w:right w:val="single" w:sz="4" w:space="0" w:color="AAAAAA"/>
            </w:tcBorders>
            <w:vAlign w:val="center"/>
            <w:hideMark/>
          </w:tcPr>
          <w:p w14:paraId="4980ADF5"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&lt; 0.001</w:t>
            </w:r>
          </w:p>
        </w:tc>
        <w:tc>
          <w:tcPr>
            <w:tcW w:w="3746" w:type="dxa"/>
            <w:tcBorders>
              <w:top w:val="single" w:sz="4" w:space="0" w:color="AAAAAA"/>
              <w:left w:val="nil"/>
              <w:bottom w:val="single" w:sz="4" w:space="0" w:color="AAAAAA"/>
              <w:right w:val="single" w:sz="4" w:space="0" w:color="AAAAAA"/>
            </w:tcBorders>
            <w:vAlign w:val="center"/>
            <w:hideMark/>
          </w:tcPr>
          <w:p w14:paraId="689E7275"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 Highly significant</w:t>
            </w:r>
          </w:p>
        </w:tc>
      </w:tr>
      <w:tr w:rsidR="002D26E1" w:rsidRPr="003B0C52" w14:paraId="6A30060F" w14:textId="77777777" w:rsidTr="003B0C52">
        <w:trPr>
          <w:trHeight w:val="768"/>
          <w:jc w:val="center"/>
        </w:trPr>
        <w:tc>
          <w:tcPr>
            <w:tcW w:w="2337" w:type="dxa"/>
            <w:tcBorders>
              <w:top w:val="single" w:sz="4" w:space="0" w:color="AAAAAA"/>
              <w:left w:val="single" w:sz="4" w:space="0" w:color="AAAAAA"/>
              <w:bottom w:val="single" w:sz="4" w:space="0" w:color="AAAAAA"/>
              <w:right w:val="single" w:sz="4" w:space="0" w:color="AAAAAA"/>
            </w:tcBorders>
            <w:vAlign w:val="center"/>
            <w:hideMark/>
          </w:tcPr>
          <w:p w14:paraId="2823B0E5"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Market distance</w:t>
            </w:r>
          </w:p>
        </w:tc>
        <w:tc>
          <w:tcPr>
            <w:tcW w:w="1268" w:type="dxa"/>
            <w:tcBorders>
              <w:top w:val="single" w:sz="4" w:space="0" w:color="AAAAAA"/>
              <w:left w:val="nil"/>
              <w:bottom w:val="single" w:sz="4" w:space="0" w:color="AAAAAA"/>
              <w:right w:val="single" w:sz="4" w:space="0" w:color="AAAAAA"/>
            </w:tcBorders>
            <w:vAlign w:val="center"/>
            <w:hideMark/>
          </w:tcPr>
          <w:p w14:paraId="7C461422"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95.97</w:t>
            </w:r>
          </w:p>
        </w:tc>
        <w:tc>
          <w:tcPr>
            <w:tcW w:w="878" w:type="dxa"/>
            <w:tcBorders>
              <w:top w:val="single" w:sz="4" w:space="0" w:color="AAAAAA"/>
              <w:left w:val="nil"/>
              <w:bottom w:val="single" w:sz="4" w:space="0" w:color="AAAAAA"/>
              <w:right w:val="single" w:sz="4" w:space="0" w:color="AAAAAA"/>
            </w:tcBorders>
            <w:vAlign w:val="center"/>
            <w:hideMark/>
          </w:tcPr>
          <w:p w14:paraId="277F5F7A"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2</w:t>
            </w:r>
          </w:p>
        </w:tc>
        <w:tc>
          <w:tcPr>
            <w:tcW w:w="1464" w:type="dxa"/>
            <w:tcBorders>
              <w:top w:val="single" w:sz="4" w:space="0" w:color="AAAAAA"/>
              <w:left w:val="nil"/>
              <w:bottom w:val="single" w:sz="4" w:space="0" w:color="AAAAAA"/>
              <w:right w:val="single" w:sz="4" w:space="0" w:color="AAAAAA"/>
            </w:tcBorders>
            <w:vAlign w:val="center"/>
            <w:hideMark/>
          </w:tcPr>
          <w:p w14:paraId="5C7EA05D"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&lt; 0.001</w:t>
            </w:r>
          </w:p>
        </w:tc>
        <w:tc>
          <w:tcPr>
            <w:tcW w:w="3746" w:type="dxa"/>
            <w:tcBorders>
              <w:top w:val="single" w:sz="4" w:space="0" w:color="AAAAAA"/>
              <w:left w:val="nil"/>
              <w:bottom w:val="single" w:sz="4" w:space="0" w:color="AAAAAA"/>
              <w:right w:val="single" w:sz="4" w:space="0" w:color="AAAAAA"/>
            </w:tcBorders>
            <w:vAlign w:val="center"/>
            <w:hideMark/>
          </w:tcPr>
          <w:p w14:paraId="00DAEFD9"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 Highly significant</w:t>
            </w:r>
          </w:p>
        </w:tc>
      </w:tr>
      <w:tr w:rsidR="002D26E1" w:rsidRPr="003B0C52" w14:paraId="37ECBBCB" w14:textId="77777777" w:rsidTr="003B0C52">
        <w:trPr>
          <w:trHeight w:val="768"/>
          <w:jc w:val="center"/>
        </w:trPr>
        <w:tc>
          <w:tcPr>
            <w:tcW w:w="2337" w:type="dxa"/>
            <w:tcBorders>
              <w:top w:val="single" w:sz="4" w:space="0" w:color="AAAAAA"/>
              <w:left w:val="single" w:sz="4" w:space="0" w:color="AAAAAA"/>
              <w:bottom w:val="single" w:sz="4" w:space="0" w:color="AAAAAA"/>
              <w:right w:val="single" w:sz="4" w:space="0" w:color="AAAAAA"/>
            </w:tcBorders>
            <w:vAlign w:val="center"/>
            <w:hideMark/>
          </w:tcPr>
          <w:p w14:paraId="4F65706D"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Transport impact</w:t>
            </w:r>
          </w:p>
        </w:tc>
        <w:tc>
          <w:tcPr>
            <w:tcW w:w="1268" w:type="dxa"/>
            <w:tcBorders>
              <w:top w:val="single" w:sz="4" w:space="0" w:color="AAAAAA"/>
              <w:left w:val="nil"/>
              <w:bottom w:val="single" w:sz="4" w:space="0" w:color="AAAAAA"/>
              <w:right w:val="single" w:sz="4" w:space="0" w:color="AAAAAA"/>
            </w:tcBorders>
            <w:vAlign w:val="center"/>
            <w:hideMark/>
          </w:tcPr>
          <w:p w14:paraId="0196D806"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34.10</w:t>
            </w:r>
          </w:p>
        </w:tc>
        <w:tc>
          <w:tcPr>
            <w:tcW w:w="878" w:type="dxa"/>
            <w:tcBorders>
              <w:top w:val="single" w:sz="4" w:space="0" w:color="AAAAAA"/>
              <w:left w:val="nil"/>
              <w:bottom w:val="single" w:sz="4" w:space="0" w:color="AAAAAA"/>
              <w:right w:val="single" w:sz="4" w:space="0" w:color="AAAAAA"/>
            </w:tcBorders>
            <w:vAlign w:val="center"/>
            <w:hideMark/>
          </w:tcPr>
          <w:p w14:paraId="12EA0A2A"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1</w:t>
            </w:r>
          </w:p>
        </w:tc>
        <w:tc>
          <w:tcPr>
            <w:tcW w:w="1464" w:type="dxa"/>
            <w:tcBorders>
              <w:top w:val="single" w:sz="4" w:space="0" w:color="AAAAAA"/>
              <w:left w:val="nil"/>
              <w:bottom w:val="single" w:sz="4" w:space="0" w:color="AAAAAA"/>
              <w:right w:val="single" w:sz="4" w:space="0" w:color="AAAAAA"/>
            </w:tcBorders>
            <w:vAlign w:val="center"/>
            <w:hideMark/>
          </w:tcPr>
          <w:p w14:paraId="3794B8A3"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&lt; 0.001</w:t>
            </w:r>
          </w:p>
        </w:tc>
        <w:tc>
          <w:tcPr>
            <w:tcW w:w="3746" w:type="dxa"/>
            <w:tcBorders>
              <w:top w:val="single" w:sz="4" w:space="0" w:color="AAAAAA"/>
              <w:left w:val="nil"/>
              <w:bottom w:val="single" w:sz="4" w:space="0" w:color="AAAAAA"/>
              <w:right w:val="single" w:sz="4" w:space="0" w:color="AAAAAA"/>
            </w:tcBorders>
            <w:vAlign w:val="center"/>
            <w:hideMark/>
          </w:tcPr>
          <w:p w14:paraId="5F7C2037"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 Highly significant</w:t>
            </w:r>
          </w:p>
        </w:tc>
      </w:tr>
      <w:tr w:rsidR="002D26E1" w:rsidRPr="003B0C52" w14:paraId="4AB16404" w14:textId="77777777" w:rsidTr="003B0C52">
        <w:trPr>
          <w:trHeight w:val="768"/>
          <w:jc w:val="center"/>
        </w:trPr>
        <w:tc>
          <w:tcPr>
            <w:tcW w:w="2337" w:type="dxa"/>
            <w:tcBorders>
              <w:top w:val="single" w:sz="4" w:space="0" w:color="AAAAAA"/>
              <w:left w:val="single" w:sz="4" w:space="0" w:color="AAAAAA"/>
              <w:bottom w:val="single" w:sz="4" w:space="0" w:color="AAAAAA"/>
              <w:right w:val="single" w:sz="4" w:space="0" w:color="AAAAAA"/>
            </w:tcBorders>
            <w:vAlign w:val="center"/>
            <w:hideMark/>
          </w:tcPr>
          <w:p w14:paraId="0FED1E1C"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Transport mode</w:t>
            </w:r>
          </w:p>
        </w:tc>
        <w:tc>
          <w:tcPr>
            <w:tcW w:w="1268" w:type="dxa"/>
            <w:tcBorders>
              <w:top w:val="single" w:sz="4" w:space="0" w:color="AAAAAA"/>
              <w:left w:val="nil"/>
              <w:bottom w:val="single" w:sz="4" w:space="0" w:color="AAAAAA"/>
              <w:right w:val="single" w:sz="4" w:space="0" w:color="AAAAAA"/>
            </w:tcBorders>
            <w:vAlign w:val="center"/>
            <w:hideMark/>
          </w:tcPr>
          <w:p w14:paraId="16A8D6F7"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27.46</w:t>
            </w:r>
          </w:p>
        </w:tc>
        <w:tc>
          <w:tcPr>
            <w:tcW w:w="878" w:type="dxa"/>
            <w:tcBorders>
              <w:top w:val="single" w:sz="4" w:space="0" w:color="AAAAAA"/>
              <w:left w:val="nil"/>
              <w:bottom w:val="single" w:sz="4" w:space="0" w:color="AAAAAA"/>
              <w:right w:val="single" w:sz="4" w:space="0" w:color="AAAAAA"/>
            </w:tcBorders>
            <w:vAlign w:val="center"/>
            <w:hideMark/>
          </w:tcPr>
          <w:p w14:paraId="664B7D72"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3</w:t>
            </w:r>
          </w:p>
        </w:tc>
        <w:tc>
          <w:tcPr>
            <w:tcW w:w="1464" w:type="dxa"/>
            <w:tcBorders>
              <w:top w:val="single" w:sz="4" w:space="0" w:color="AAAAAA"/>
              <w:left w:val="nil"/>
              <w:bottom w:val="single" w:sz="4" w:space="0" w:color="AAAAAA"/>
              <w:right w:val="single" w:sz="4" w:space="0" w:color="AAAAAA"/>
            </w:tcBorders>
            <w:vAlign w:val="center"/>
            <w:hideMark/>
          </w:tcPr>
          <w:p w14:paraId="791875B2"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&lt; 0.001</w:t>
            </w:r>
          </w:p>
        </w:tc>
        <w:tc>
          <w:tcPr>
            <w:tcW w:w="3746" w:type="dxa"/>
            <w:tcBorders>
              <w:top w:val="single" w:sz="4" w:space="0" w:color="AAAAAA"/>
              <w:left w:val="nil"/>
              <w:bottom w:val="single" w:sz="4" w:space="0" w:color="AAAAAA"/>
              <w:right w:val="single" w:sz="4" w:space="0" w:color="AAAAAA"/>
            </w:tcBorders>
            <w:vAlign w:val="center"/>
            <w:hideMark/>
          </w:tcPr>
          <w:p w14:paraId="3A683476"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 Highly significant</w:t>
            </w:r>
          </w:p>
        </w:tc>
      </w:tr>
      <w:tr w:rsidR="002D26E1" w:rsidRPr="003B0C52" w14:paraId="101E83E1" w14:textId="77777777" w:rsidTr="003B0C52">
        <w:trPr>
          <w:trHeight w:val="757"/>
          <w:jc w:val="center"/>
        </w:trPr>
        <w:tc>
          <w:tcPr>
            <w:tcW w:w="2337" w:type="dxa"/>
            <w:tcBorders>
              <w:top w:val="single" w:sz="4" w:space="0" w:color="AAAAAA"/>
              <w:left w:val="single" w:sz="4" w:space="0" w:color="AAAAAA"/>
              <w:bottom w:val="single" w:sz="4" w:space="0" w:color="AAAAAA"/>
              <w:right w:val="single" w:sz="4" w:space="0" w:color="AAAAAA"/>
            </w:tcBorders>
            <w:vAlign w:val="center"/>
            <w:hideMark/>
          </w:tcPr>
          <w:p w14:paraId="1256BC6E"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Education level</w:t>
            </w:r>
          </w:p>
        </w:tc>
        <w:tc>
          <w:tcPr>
            <w:tcW w:w="1268" w:type="dxa"/>
            <w:tcBorders>
              <w:top w:val="single" w:sz="4" w:space="0" w:color="AAAAAA"/>
              <w:left w:val="nil"/>
              <w:bottom w:val="single" w:sz="4" w:space="0" w:color="AAAAAA"/>
              <w:right w:val="single" w:sz="4" w:space="0" w:color="AAAAAA"/>
            </w:tcBorders>
            <w:vAlign w:val="center"/>
            <w:hideMark/>
          </w:tcPr>
          <w:p w14:paraId="24878CAC"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4.06</w:t>
            </w:r>
          </w:p>
        </w:tc>
        <w:tc>
          <w:tcPr>
            <w:tcW w:w="878" w:type="dxa"/>
            <w:tcBorders>
              <w:top w:val="single" w:sz="4" w:space="0" w:color="AAAAAA"/>
              <w:left w:val="nil"/>
              <w:bottom w:val="single" w:sz="4" w:space="0" w:color="AAAAAA"/>
              <w:right w:val="single" w:sz="4" w:space="0" w:color="AAAAAA"/>
            </w:tcBorders>
            <w:vAlign w:val="center"/>
            <w:hideMark/>
          </w:tcPr>
          <w:p w14:paraId="7F2C6B9C"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3</w:t>
            </w:r>
          </w:p>
        </w:tc>
        <w:tc>
          <w:tcPr>
            <w:tcW w:w="1464" w:type="dxa"/>
            <w:tcBorders>
              <w:top w:val="single" w:sz="4" w:space="0" w:color="AAAAAA"/>
              <w:left w:val="nil"/>
              <w:bottom w:val="single" w:sz="4" w:space="0" w:color="AAAAAA"/>
              <w:right w:val="single" w:sz="4" w:space="0" w:color="AAAAAA"/>
            </w:tcBorders>
            <w:vAlign w:val="center"/>
            <w:hideMark/>
          </w:tcPr>
          <w:p w14:paraId="66294AA9"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0.255</w:t>
            </w:r>
          </w:p>
        </w:tc>
        <w:tc>
          <w:tcPr>
            <w:tcW w:w="3746" w:type="dxa"/>
            <w:tcBorders>
              <w:top w:val="single" w:sz="4" w:space="0" w:color="AAAAAA"/>
              <w:left w:val="nil"/>
              <w:bottom w:val="single" w:sz="4" w:space="0" w:color="AAAAAA"/>
              <w:right w:val="single" w:sz="4" w:space="0" w:color="AAAAAA"/>
            </w:tcBorders>
            <w:vAlign w:val="center"/>
            <w:hideMark/>
          </w:tcPr>
          <w:p w14:paraId="5922337F"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Not significant</w:t>
            </w:r>
          </w:p>
        </w:tc>
      </w:tr>
    </w:tbl>
    <w:p w14:paraId="7DB60210" w14:textId="77777777" w:rsidR="002D26E1" w:rsidRPr="003B0C52" w:rsidRDefault="002D26E1" w:rsidP="003B0C52">
      <w:pPr>
        <w:pStyle w:val="NoSpacing"/>
        <w:jc w:val="both"/>
        <w:rPr>
          <w:rFonts w:ascii="Times New Roman" w:hAnsi="Times New Roman" w:cs="Times New Roman"/>
          <w:b/>
          <w:bCs/>
        </w:rPr>
      </w:pPr>
    </w:p>
    <w:p w14:paraId="47CE882F" w14:textId="42501908" w:rsidR="002D26E1" w:rsidRPr="003B0C52" w:rsidRDefault="002D26E1" w:rsidP="003B0C52">
      <w:pPr>
        <w:pStyle w:val="Heading3"/>
        <w:spacing w:line="240" w:lineRule="auto"/>
        <w:rPr>
          <w:rFonts w:ascii="Times New Roman" w:hAnsi="Times New Roman" w:cs="Times New Roman"/>
          <w:b/>
          <w:bCs/>
          <w:color w:val="auto"/>
          <w:sz w:val="24"/>
          <w:szCs w:val="24"/>
        </w:rPr>
      </w:pPr>
      <w:bookmarkStart w:id="38" w:name="_Toc225180570"/>
      <w:r w:rsidRPr="003B0C52">
        <w:rPr>
          <w:rFonts w:ascii="Times New Roman" w:hAnsi="Times New Roman" w:cs="Times New Roman"/>
          <w:b/>
          <w:bCs/>
          <w:color w:val="auto"/>
          <w:sz w:val="24"/>
          <w:szCs w:val="24"/>
        </w:rPr>
        <w:t>4.</w:t>
      </w:r>
      <w:r w:rsidR="0075761C" w:rsidRPr="003B0C52">
        <w:rPr>
          <w:rFonts w:ascii="Times New Roman" w:hAnsi="Times New Roman" w:cs="Times New Roman"/>
          <w:b/>
          <w:bCs/>
          <w:color w:val="auto"/>
          <w:sz w:val="24"/>
          <w:szCs w:val="24"/>
        </w:rPr>
        <w:t>5.1</w:t>
      </w:r>
      <w:r w:rsidRPr="003B0C52">
        <w:rPr>
          <w:rFonts w:ascii="Times New Roman" w:hAnsi="Times New Roman" w:cs="Times New Roman"/>
          <w:b/>
          <w:bCs/>
          <w:color w:val="auto"/>
          <w:sz w:val="24"/>
          <w:szCs w:val="24"/>
        </w:rPr>
        <w:tab/>
        <w:t>Model Diagnostics</w:t>
      </w:r>
      <w:bookmarkEnd w:id="38"/>
    </w:p>
    <w:p w14:paraId="594B5CA6" w14:textId="002B09E2" w:rsidR="002D26E1" w:rsidRPr="003B0C52" w:rsidRDefault="002D26E1" w:rsidP="003B0C52">
      <w:pPr>
        <w:spacing w:line="240" w:lineRule="auto"/>
        <w:jc w:val="both"/>
        <w:rPr>
          <w:rFonts w:ascii="Times New Roman" w:hAnsi="Times New Roman" w:cs="Times New Roman"/>
        </w:rPr>
      </w:pPr>
      <w:r w:rsidRPr="003B0C52">
        <w:rPr>
          <w:rFonts w:ascii="Times New Roman" w:hAnsi="Times New Roman" w:cs="Times New Roman"/>
        </w:rPr>
        <w:t xml:space="preserve">The multilevel Negative Binomial and multilevel Beta regression models were subjected to </w:t>
      </w:r>
      <m:oMath>
        <m:r>
          <w:rPr>
            <w:rFonts w:ascii="Cambria Math" w:hAnsi="Cambria Math" w:cs="Times New Roman"/>
          </w:rPr>
          <m:t>DHARMa</m:t>
        </m:r>
      </m:oMath>
      <w:r w:rsidRPr="003B0C52">
        <w:rPr>
          <w:rFonts w:ascii="Times New Roman" w:hAnsi="Times New Roman" w:cs="Times New Roman"/>
        </w:rPr>
        <w:t xml:space="preserve"> simulation-based residual diagnostics to determine the appropriateness of their distributional assumptions. </w:t>
      </w:r>
      <w:r w:rsidR="00AE4901" w:rsidRPr="003B0C52">
        <w:rPr>
          <w:rFonts w:ascii="Times New Roman" w:hAnsi="Times New Roman" w:cs="Times New Roman"/>
        </w:rPr>
        <w:fldChar w:fldCharType="begin"/>
      </w:r>
      <w:r w:rsidR="00AE4901" w:rsidRPr="003B0C52">
        <w:rPr>
          <w:rFonts w:ascii="Times New Roman" w:hAnsi="Times New Roman" w:cs="Times New Roman"/>
        </w:rPr>
        <w:instrText xml:space="preserve"> REF _Ref225195987 \h </w:instrText>
      </w:r>
      <w:r w:rsidR="003B0C52">
        <w:rPr>
          <w:rFonts w:ascii="Times New Roman" w:hAnsi="Times New Roman" w:cs="Times New Roman"/>
        </w:rPr>
        <w:instrText xml:space="preserve"> \* MERGEFORMAT </w:instrText>
      </w:r>
      <w:r w:rsidR="00AE4901" w:rsidRPr="003B0C52">
        <w:rPr>
          <w:rFonts w:ascii="Times New Roman" w:hAnsi="Times New Roman" w:cs="Times New Roman"/>
        </w:rPr>
      </w:r>
      <w:r w:rsidR="00AE4901" w:rsidRPr="003B0C52">
        <w:rPr>
          <w:rFonts w:ascii="Times New Roman" w:hAnsi="Times New Roman" w:cs="Times New Roman"/>
        </w:rPr>
        <w:fldChar w:fldCharType="separate"/>
      </w:r>
      <w:r w:rsidR="00AE4901" w:rsidRPr="003B0C52">
        <w:rPr>
          <w:rFonts w:ascii="Times New Roman" w:hAnsi="Times New Roman" w:cs="Times New Roman"/>
          <w:b/>
          <w:bCs/>
        </w:rPr>
        <w:t xml:space="preserve">Figure </w:t>
      </w:r>
      <w:r w:rsidR="00AE4901" w:rsidRPr="003B0C52">
        <w:rPr>
          <w:rFonts w:ascii="Times New Roman" w:hAnsi="Times New Roman" w:cs="Times New Roman"/>
          <w:b/>
          <w:bCs/>
          <w:noProof/>
        </w:rPr>
        <w:t>7</w:t>
      </w:r>
      <w:r w:rsidR="00AE4901" w:rsidRPr="003B0C52">
        <w:rPr>
          <w:rFonts w:ascii="Times New Roman" w:hAnsi="Times New Roman" w:cs="Times New Roman"/>
        </w:rPr>
        <w:fldChar w:fldCharType="end"/>
      </w:r>
      <w:r w:rsidR="00AE4901" w:rsidRPr="003B0C52">
        <w:rPr>
          <w:rFonts w:ascii="Times New Roman" w:hAnsi="Times New Roman" w:cs="Times New Roman"/>
        </w:rPr>
        <w:t xml:space="preserve"> </w:t>
      </w:r>
      <w:r w:rsidRPr="003B0C52">
        <w:rPr>
          <w:rFonts w:ascii="Times New Roman" w:hAnsi="Times New Roman" w:cs="Times New Roman"/>
        </w:rPr>
        <w:t>and</w:t>
      </w:r>
      <w:r w:rsidR="00AE4901" w:rsidRPr="003B0C52">
        <w:rPr>
          <w:rFonts w:ascii="Times New Roman" w:hAnsi="Times New Roman" w:cs="Times New Roman"/>
        </w:rPr>
        <w:t xml:space="preserve"> </w:t>
      </w:r>
      <w:r w:rsidR="00AE4901" w:rsidRPr="003B0C52">
        <w:rPr>
          <w:rFonts w:ascii="Times New Roman" w:hAnsi="Times New Roman" w:cs="Times New Roman"/>
        </w:rPr>
        <w:fldChar w:fldCharType="begin"/>
      </w:r>
      <w:r w:rsidR="00AE4901" w:rsidRPr="003B0C52">
        <w:rPr>
          <w:rFonts w:ascii="Times New Roman" w:hAnsi="Times New Roman" w:cs="Times New Roman"/>
        </w:rPr>
        <w:instrText xml:space="preserve"> REF _Ref225196149 \h </w:instrText>
      </w:r>
      <w:r w:rsidR="003B0C52">
        <w:rPr>
          <w:rFonts w:ascii="Times New Roman" w:hAnsi="Times New Roman" w:cs="Times New Roman"/>
        </w:rPr>
        <w:instrText xml:space="preserve"> \* MERGEFORMAT </w:instrText>
      </w:r>
      <w:r w:rsidR="00AE4901" w:rsidRPr="003B0C52">
        <w:rPr>
          <w:rFonts w:ascii="Times New Roman" w:hAnsi="Times New Roman" w:cs="Times New Roman"/>
        </w:rPr>
      </w:r>
      <w:r w:rsidR="00AE4901" w:rsidRPr="003B0C52">
        <w:rPr>
          <w:rFonts w:ascii="Times New Roman" w:hAnsi="Times New Roman" w:cs="Times New Roman"/>
        </w:rPr>
        <w:fldChar w:fldCharType="separate"/>
      </w:r>
      <w:r w:rsidR="00AE4901" w:rsidRPr="003B0C52">
        <w:rPr>
          <w:rFonts w:ascii="Times New Roman" w:hAnsi="Times New Roman" w:cs="Times New Roman"/>
          <w:b/>
          <w:bCs/>
        </w:rPr>
        <w:t xml:space="preserve">Figure </w:t>
      </w:r>
      <w:r w:rsidR="00AE4901" w:rsidRPr="003B0C52">
        <w:rPr>
          <w:rFonts w:ascii="Times New Roman" w:hAnsi="Times New Roman" w:cs="Times New Roman"/>
          <w:b/>
          <w:bCs/>
          <w:noProof/>
        </w:rPr>
        <w:t>8</w:t>
      </w:r>
      <w:r w:rsidR="00AE4901" w:rsidRPr="003B0C52">
        <w:rPr>
          <w:rFonts w:ascii="Times New Roman" w:hAnsi="Times New Roman" w:cs="Times New Roman"/>
        </w:rPr>
        <w:fldChar w:fldCharType="end"/>
      </w:r>
      <w:r w:rsidRPr="003B0C52">
        <w:rPr>
          <w:rFonts w:ascii="Times New Roman" w:hAnsi="Times New Roman" w:cs="Times New Roman"/>
        </w:rPr>
        <w:t xml:space="preserve"> shows</w:t>
      </w:r>
      <w:r w:rsidR="00B26F26" w:rsidRPr="003B0C52">
        <w:rPr>
          <w:rFonts w:ascii="Times New Roman" w:hAnsi="Times New Roman" w:cs="Times New Roman"/>
        </w:rPr>
        <w:t xml:space="preserve"> </w:t>
      </w:r>
      <w:r w:rsidRPr="003B0C52">
        <w:rPr>
          <w:rFonts w:ascii="Times New Roman" w:hAnsi="Times New Roman" w:cs="Times New Roman"/>
        </w:rPr>
        <w:t xml:space="preserve">the </w:t>
      </w:r>
      <m:oMath>
        <m:r>
          <w:rPr>
            <w:rFonts w:ascii="Cambria Math" w:hAnsi="Cambria Math" w:cs="Times New Roman"/>
          </w:rPr>
          <m:t>DHARMa</m:t>
        </m:r>
      </m:oMath>
      <w:r w:rsidRPr="003B0C52">
        <w:rPr>
          <w:rFonts w:ascii="Times New Roman" w:hAnsi="Times New Roman" w:cs="Times New Roman"/>
        </w:rPr>
        <w:t xml:space="preserve"> diagnostic plots of each model respectively. In the multilevel NB model </w:t>
      </w:r>
      <w:r w:rsidR="00B26F26" w:rsidRPr="003B0C52">
        <w:rPr>
          <w:rFonts w:ascii="Times New Roman" w:hAnsi="Times New Roman" w:cs="Times New Roman"/>
        </w:rPr>
        <w:t>(</w:t>
      </w:r>
      <w:r w:rsidR="00AE4901" w:rsidRPr="003B0C52">
        <w:rPr>
          <w:rFonts w:ascii="Times New Roman" w:hAnsi="Times New Roman" w:cs="Times New Roman"/>
        </w:rPr>
        <w:fldChar w:fldCharType="begin"/>
      </w:r>
      <w:r w:rsidR="00AE4901" w:rsidRPr="003B0C52">
        <w:rPr>
          <w:rFonts w:ascii="Times New Roman" w:hAnsi="Times New Roman" w:cs="Times New Roman"/>
        </w:rPr>
        <w:instrText xml:space="preserve"> REF _Ref225195987 \h </w:instrText>
      </w:r>
      <w:r w:rsidR="003B0C52">
        <w:rPr>
          <w:rFonts w:ascii="Times New Roman" w:hAnsi="Times New Roman" w:cs="Times New Roman"/>
        </w:rPr>
        <w:instrText xml:space="preserve"> \* MERGEFORMAT </w:instrText>
      </w:r>
      <w:r w:rsidR="00AE4901" w:rsidRPr="003B0C52">
        <w:rPr>
          <w:rFonts w:ascii="Times New Roman" w:hAnsi="Times New Roman" w:cs="Times New Roman"/>
        </w:rPr>
      </w:r>
      <w:r w:rsidR="00AE4901" w:rsidRPr="003B0C52">
        <w:rPr>
          <w:rFonts w:ascii="Times New Roman" w:hAnsi="Times New Roman" w:cs="Times New Roman"/>
        </w:rPr>
        <w:fldChar w:fldCharType="separate"/>
      </w:r>
      <w:r w:rsidR="00AE4901" w:rsidRPr="003B0C52">
        <w:rPr>
          <w:rFonts w:ascii="Times New Roman" w:hAnsi="Times New Roman" w:cs="Times New Roman"/>
          <w:b/>
          <w:bCs/>
        </w:rPr>
        <w:t xml:space="preserve">Figure </w:t>
      </w:r>
      <w:r w:rsidR="00AE4901" w:rsidRPr="003B0C52">
        <w:rPr>
          <w:rFonts w:ascii="Times New Roman" w:hAnsi="Times New Roman" w:cs="Times New Roman"/>
          <w:b/>
          <w:bCs/>
          <w:noProof/>
        </w:rPr>
        <w:t>7</w:t>
      </w:r>
      <w:r w:rsidR="00AE4901" w:rsidRPr="003B0C52">
        <w:rPr>
          <w:rFonts w:ascii="Times New Roman" w:hAnsi="Times New Roman" w:cs="Times New Roman"/>
        </w:rPr>
        <w:fldChar w:fldCharType="end"/>
      </w:r>
      <w:r w:rsidR="00B26F26" w:rsidRPr="003B0C52">
        <w:rPr>
          <w:rFonts w:ascii="Times New Roman" w:hAnsi="Times New Roman" w:cs="Times New Roman"/>
        </w:rPr>
        <w:t>)</w:t>
      </w:r>
      <w:r w:rsidRPr="003B0C52">
        <w:rPr>
          <w:rFonts w:ascii="Times New Roman" w:hAnsi="Times New Roman" w:cs="Times New Roman"/>
        </w:rPr>
        <w:t xml:space="preserve">, the QQ plot of residuals shows a clear S-shaped deviation to the diagonal reference line; the KS-test </w:t>
      </w:r>
      <m:oMath>
        <m:r>
          <w:rPr>
            <w:rFonts w:ascii="Cambria Math" w:hAnsi="Cambria Math" w:cs="Times New Roman"/>
          </w:rPr>
          <m:t xml:space="preserve">(p=0) </m:t>
        </m:r>
      </m:oMath>
      <w:r w:rsidRPr="003B0C52">
        <w:rPr>
          <w:rFonts w:ascii="Times New Roman" w:hAnsi="Times New Roman" w:cs="Times New Roman"/>
        </w:rPr>
        <w:t xml:space="preserve">and the dispersion-test </w:t>
      </w:r>
      <m:oMath>
        <m:r>
          <w:rPr>
            <w:rFonts w:ascii="Cambria Math" w:hAnsi="Cambria Math" w:cs="Times New Roman"/>
          </w:rPr>
          <m:t>(p=0)</m:t>
        </m:r>
      </m:oMath>
      <w:r w:rsidRPr="003B0C52">
        <w:rPr>
          <w:rFonts w:ascii="Times New Roman" w:hAnsi="Times New Roman" w:cs="Times New Roman"/>
        </w:rPr>
        <w:t xml:space="preserve"> are both statistically significant. The plot of residual versus fitted indicates systematic curvature, and the overall adjusted quantile test is also significant. These findings ind</w:t>
      </w:r>
      <w:proofErr w:type="spellStart"/>
      <w:r w:rsidRPr="003B0C52">
        <w:rPr>
          <w:rFonts w:ascii="Times New Roman" w:hAnsi="Times New Roman" w:cs="Times New Roman"/>
        </w:rPr>
        <w:t>icate</w:t>
      </w:r>
      <w:proofErr w:type="spellEnd"/>
      <w:r w:rsidRPr="003B0C52">
        <w:rPr>
          <w:rFonts w:ascii="Times New Roman" w:hAnsi="Times New Roman" w:cs="Times New Roman"/>
        </w:rPr>
        <w:t xml:space="preserve"> that the multilevel NB model cannot be used on this dataset because overdispersion is not present in the count-based outcome </w:t>
      </w:r>
      <m:oMath>
        <m:r>
          <w:rPr>
            <w:rFonts w:ascii="Cambria Math" w:hAnsi="Cambria Math" w:cs="Times New Roman"/>
          </w:rPr>
          <m:t>(Pearso</m:t>
        </m:r>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m:t>
            </m:r>
          </m:sup>
        </m:sSup>
        <m:r>
          <w:rPr>
            <w:rFonts w:ascii="Cambria Math" w:hAnsi="Cambria Math" w:cs="Times New Roman"/>
          </w:rPr>
          <m:t xml:space="preserve">s </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/df=0.243)</m:t>
        </m:r>
      </m:oMath>
      <w:r w:rsidRPr="003B0C52">
        <w:rPr>
          <w:rFonts w:ascii="Times New Roman" w:hAnsi="Times New Roman" w:cs="Times New Roman"/>
        </w:rPr>
        <w:t xml:space="preserve"> and the NB dispersion parameter theta approaches infinity. </w:t>
      </w:r>
      <w:r w:rsidRPr="003B0C52">
        <w:rPr>
          <w:rFonts w:ascii="Times New Roman" w:hAnsi="Times New Roman" w:cs="Times New Roman"/>
        </w:rPr>
        <w:lastRenderedPageBreak/>
        <w:t>This gives a solid empirical va</w:t>
      </w:r>
      <w:proofErr w:type="spellStart"/>
      <w:r w:rsidRPr="003B0C52">
        <w:rPr>
          <w:rFonts w:ascii="Times New Roman" w:hAnsi="Times New Roman" w:cs="Times New Roman"/>
        </w:rPr>
        <w:t>lidation</w:t>
      </w:r>
      <w:proofErr w:type="spellEnd"/>
      <w:r w:rsidRPr="003B0C52">
        <w:rPr>
          <w:rFonts w:ascii="Times New Roman" w:hAnsi="Times New Roman" w:cs="Times New Roman"/>
        </w:rPr>
        <w:t xml:space="preserve"> that the NB family does not fit the count-based loss outcome in this research and the Poisson and multilevel Beta regression specifications are the right modeling options.</w:t>
      </w:r>
    </w:p>
    <w:p w14:paraId="3B2E2386"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noProof/>
        </w:rPr>
        <w:drawing>
          <wp:inline distT="0" distB="0" distL="0" distR="0" wp14:anchorId="16D6EBF4" wp14:editId="0C67765D">
            <wp:extent cx="4465320" cy="257376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_qq.png"/>
                    <pic:cNvPicPr/>
                  </pic:nvPicPr>
                  <pic:blipFill>
                    <a:blip r:embed="rId14"/>
                    <a:stretch>
                      <a:fillRect/>
                    </a:stretch>
                  </pic:blipFill>
                  <pic:spPr>
                    <a:xfrm>
                      <a:off x="0" y="0"/>
                      <a:ext cx="4470102" cy="2576517"/>
                    </a:xfrm>
                    <a:prstGeom prst="rect">
                      <a:avLst/>
                    </a:prstGeom>
                  </pic:spPr>
                </pic:pic>
              </a:graphicData>
            </a:graphic>
          </wp:inline>
        </w:drawing>
      </w:r>
    </w:p>
    <w:p w14:paraId="74158FA3" w14:textId="068FCB71" w:rsidR="002D26E1" w:rsidRPr="003B0C52" w:rsidRDefault="002D26E1" w:rsidP="003B0C52">
      <w:pPr>
        <w:pStyle w:val="Caption"/>
        <w:rPr>
          <w:rFonts w:ascii="Times New Roman" w:hAnsi="Times New Roman" w:cs="Times New Roman"/>
          <w:b/>
          <w:bCs/>
          <w:sz w:val="24"/>
          <w:szCs w:val="24"/>
        </w:rPr>
      </w:pPr>
      <w:bookmarkStart w:id="39" w:name="_Ref225195987"/>
      <w:bookmarkStart w:id="40" w:name="_Toc225196584"/>
      <w:r w:rsidRPr="003B0C52">
        <w:rPr>
          <w:rFonts w:ascii="Times New Roman" w:hAnsi="Times New Roman" w:cs="Times New Roman"/>
          <w:b/>
          <w:bCs/>
          <w:sz w:val="24"/>
          <w:szCs w:val="24"/>
        </w:rPr>
        <w:t xml:space="preserve">Figure </w:t>
      </w:r>
      <w:r w:rsidRPr="003B0C52">
        <w:rPr>
          <w:rFonts w:ascii="Times New Roman" w:hAnsi="Times New Roman" w:cs="Times New Roman"/>
          <w:b/>
          <w:bCs/>
          <w:sz w:val="24"/>
          <w:szCs w:val="24"/>
        </w:rPr>
        <w:fldChar w:fldCharType="begin"/>
      </w:r>
      <w:r w:rsidRPr="003B0C52">
        <w:rPr>
          <w:rFonts w:ascii="Times New Roman" w:hAnsi="Times New Roman" w:cs="Times New Roman"/>
          <w:b/>
          <w:bCs/>
          <w:sz w:val="24"/>
          <w:szCs w:val="24"/>
        </w:rPr>
        <w:instrText xml:space="preserve"> SEQ Figure \* ARABIC </w:instrText>
      </w:r>
      <w:r w:rsidRPr="003B0C52">
        <w:rPr>
          <w:rFonts w:ascii="Times New Roman" w:hAnsi="Times New Roman" w:cs="Times New Roman"/>
          <w:b/>
          <w:bCs/>
          <w:sz w:val="24"/>
          <w:szCs w:val="24"/>
        </w:rPr>
        <w:fldChar w:fldCharType="separate"/>
      </w:r>
      <w:r w:rsidR="00AE4901" w:rsidRPr="003B0C52">
        <w:rPr>
          <w:rFonts w:ascii="Times New Roman" w:hAnsi="Times New Roman" w:cs="Times New Roman"/>
          <w:b/>
          <w:bCs/>
          <w:noProof/>
          <w:sz w:val="24"/>
          <w:szCs w:val="24"/>
        </w:rPr>
        <w:t>7</w:t>
      </w:r>
      <w:r w:rsidRPr="003B0C52">
        <w:rPr>
          <w:rFonts w:ascii="Times New Roman" w:hAnsi="Times New Roman" w:cs="Times New Roman"/>
          <w:b/>
          <w:bCs/>
          <w:sz w:val="24"/>
          <w:szCs w:val="24"/>
        </w:rPr>
        <w:fldChar w:fldCharType="end"/>
      </w:r>
      <w:bookmarkEnd w:id="39"/>
      <w:r w:rsidRPr="003B0C52">
        <w:rPr>
          <w:rFonts w:ascii="Times New Roman" w:hAnsi="Times New Roman" w:cs="Times New Roman"/>
          <w:b/>
          <w:bCs/>
          <w:sz w:val="24"/>
          <w:szCs w:val="24"/>
        </w:rPr>
        <w:t>:Dharma Residual Diagnostics Multilevel Negative Binomial Model</w:t>
      </w:r>
      <w:bookmarkEnd w:id="40"/>
    </w:p>
    <w:p w14:paraId="7A3456C0" w14:textId="0E26CA84" w:rsidR="002D26E1" w:rsidRPr="003B0C52" w:rsidRDefault="003B0C52" w:rsidP="003B0C52">
      <w:pPr>
        <w:pStyle w:val="NoSpacing"/>
        <w:jc w:val="both"/>
        <w:rPr>
          <w:rFonts w:ascii="Times New Roman" w:hAnsi="Times New Roman" w:cs="Times New Roman"/>
        </w:rPr>
      </w:pPr>
      <w:r w:rsidRPr="003B0C52">
        <w:rPr>
          <w:rFonts w:ascii="Times New Roman" w:hAnsi="Times New Roman" w:cs="Times New Roman"/>
        </w:rPr>
        <w:fldChar w:fldCharType="begin"/>
      </w:r>
      <w:r w:rsidRPr="003B0C52">
        <w:rPr>
          <w:rFonts w:ascii="Times New Roman" w:hAnsi="Times New Roman" w:cs="Times New Roman"/>
        </w:rPr>
        <w:instrText xml:space="preserve"> REF _Ref225195987 \h </w:instrText>
      </w:r>
      <w:r>
        <w:rPr>
          <w:rFonts w:ascii="Times New Roman" w:hAnsi="Times New Roman" w:cs="Times New Roman"/>
        </w:rPr>
        <w:instrText xml:space="preserve"> \* MERGEFORMAT </w:instrText>
      </w:r>
      <w:r w:rsidRPr="003B0C52">
        <w:rPr>
          <w:rFonts w:ascii="Times New Roman" w:hAnsi="Times New Roman" w:cs="Times New Roman"/>
        </w:rPr>
      </w:r>
      <w:r w:rsidRPr="003B0C52">
        <w:rPr>
          <w:rFonts w:ascii="Times New Roman" w:hAnsi="Times New Roman" w:cs="Times New Roman"/>
        </w:rPr>
        <w:fldChar w:fldCharType="separate"/>
      </w:r>
      <w:r w:rsidRPr="003B0C52">
        <w:rPr>
          <w:rFonts w:ascii="Times New Roman" w:hAnsi="Times New Roman" w:cs="Times New Roman"/>
          <w:b/>
          <w:bCs/>
        </w:rPr>
        <w:t xml:space="preserve">Figure </w:t>
      </w:r>
      <w:r w:rsidRPr="003B0C52">
        <w:rPr>
          <w:rFonts w:ascii="Times New Roman" w:hAnsi="Times New Roman" w:cs="Times New Roman"/>
          <w:b/>
          <w:bCs/>
          <w:noProof/>
        </w:rPr>
        <w:t>7</w:t>
      </w:r>
      <w:r w:rsidRPr="003B0C52">
        <w:rPr>
          <w:rFonts w:ascii="Times New Roman" w:hAnsi="Times New Roman" w:cs="Times New Roman"/>
        </w:rPr>
        <w:fldChar w:fldCharType="end"/>
      </w:r>
      <w:r w:rsidR="002D26E1" w:rsidRPr="003B0C52">
        <w:rPr>
          <w:rFonts w:ascii="Times New Roman" w:hAnsi="Times New Roman" w:cs="Times New Roman"/>
        </w:rPr>
        <w:fldChar w:fldCharType="begin"/>
      </w:r>
      <w:r w:rsidR="002D26E1" w:rsidRPr="003B0C52">
        <w:rPr>
          <w:rFonts w:ascii="Times New Roman" w:hAnsi="Times New Roman" w:cs="Times New Roman"/>
        </w:rPr>
        <w:instrText xml:space="preserve"> REF _Ref225195987 \h  \* MERGEFORMAT </w:instrText>
      </w:r>
      <w:r w:rsidR="002D26E1" w:rsidRPr="003B0C52">
        <w:rPr>
          <w:rFonts w:ascii="Times New Roman" w:hAnsi="Times New Roman" w:cs="Times New Roman"/>
        </w:rPr>
      </w:r>
      <w:r w:rsidR="002D26E1" w:rsidRPr="003B0C52">
        <w:rPr>
          <w:rFonts w:ascii="Times New Roman" w:hAnsi="Times New Roman" w:cs="Times New Roman"/>
        </w:rPr>
        <w:fldChar w:fldCharType="end"/>
      </w:r>
      <w:r w:rsidR="002D26E1" w:rsidRPr="003B0C52">
        <w:rPr>
          <w:rFonts w:ascii="Times New Roman" w:hAnsi="Times New Roman" w:cs="Times New Roman"/>
        </w:rPr>
        <w:t xml:space="preserve"> shows </w:t>
      </w:r>
      <m:oMath>
        <m:r>
          <w:rPr>
            <w:rFonts w:ascii="Cambria Math" w:hAnsi="Cambria Math" w:cs="Times New Roman"/>
          </w:rPr>
          <m:t>DHARMa</m:t>
        </m:r>
      </m:oMath>
      <w:r w:rsidR="002D26E1" w:rsidRPr="003B0C52">
        <w:rPr>
          <w:rFonts w:ascii="Times New Roman" w:hAnsi="Times New Roman" w:cs="Times New Roman"/>
        </w:rPr>
        <w:t xml:space="preserve"> residual diagnostics Multilevel Negative Binomial model. Left panel: QQ plot of simulated residuals with a large deviation in the expected uniform distribution </w:t>
      </w:r>
      <m:oMath>
        <m:r>
          <m:rPr>
            <m:sty m:val="p"/>
          </m:rPr>
          <w:rPr>
            <w:rFonts w:ascii="Cambria Math" w:hAnsi="Cambria Math" w:cs="Times New Roman"/>
          </w:rPr>
          <m:t xml:space="preserve">(KS test </m:t>
        </m:r>
        <m:r>
          <w:rPr>
            <w:rFonts w:ascii="Cambria Math" w:hAnsi="Cambria Math" w:cs="Times New Roman"/>
          </w:rPr>
          <m:t xml:space="preserve">p=0.006 </m:t>
        </m:r>
        <m:r>
          <m:rPr>
            <m:sty m:val="p"/>
          </m:rPr>
          <w:rPr>
            <w:rFonts w:ascii="Cambria Math" w:hAnsi="Cambria Math" w:cs="Times New Roman"/>
          </w:rPr>
          <m:t xml:space="preserve">, </m:t>
        </m:r>
      </m:oMath>
      <w:r w:rsidR="002D26E1" w:rsidRPr="003B0C52">
        <w:rPr>
          <w:rFonts w:ascii="Times New Roman" w:eastAsiaTheme="minorEastAsia" w:hAnsi="Times New Roman" w:cs="Times New Roman"/>
        </w:rPr>
        <w:t>dispersion test</w:t>
      </w:r>
      <m:oMath>
        <m:r>
          <m:rPr>
            <m:sty m:val="p"/>
          </m:rPr>
          <w:rPr>
            <w:rFonts w:ascii="Cambria Math" w:hAnsi="Cambria Math" w:cs="Times New Roman"/>
          </w:rPr>
          <m:t xml:space="preserve"> p=0.612 </m:t>
        </m:r>
      </m:oMath>
      <w:r w:rsidR="002D26E1" w:rsidRPr="003B0C52">
        <w:rPr>
          <w:rFonts w:ascii="Times New Roman" w:eastAsiaTheme="minorEastAsia" w:hAnsi="Times New Roman" w:cs="Times New Roman"/>
        </w:rPr>
        <w:t>not significant, outlier test</w:t>
      </w:r>
      <m:oMath>
        <m:r>
          <m:rPr>
            <m:sty m:val="p"/>
          </m:rPr>
          <w:rPr>
            <w:rFonts w:ascii="Cambria Math" w:hAnsi="Cambria Math" w:cs="Times New Roman"/>
          </w:rPr>
          <m:t xml:space="preserve">=0.189 </m:t>
        </m:r>
      </m:oMath>
      <w:r w:rsidR="002D26E1" w:rsidRPr="003B0C52">
        <w:rPr>
          <w:rFonts w:ascii="Times New Roman" w:eastAsiaTheme="minorEastAsia" w:hAnsi="Times New Roman" w:cs="Times New Roman"/>
        </w:rPr>
        <w:t>not significant</w:t>
      </w:r>
      <m:oMath>
        <m:r>
          <m:rPr>
            <m:sty m:val="p"/>
          </m:rPr>
          <w:rPr>
            <w:rFonts w:ascii="Cambria Math" w:hAnsi="Cambria Math" w:cs="Times New Roman"/>
          </w:rPr>
          <m:t>).</m:t>
        </m:r>
      </m:oMath>
      <w:r w:rsidR="002D26E1" w:rsidRPr="003B0C52">
        <w:rPr>
          <w:rFonts w:ascii="Times New Roman" w:hAnsi="Times New Roman" w:cs="Times New Roman"/>
        </w:rPr>
        <w:t xml:space="preserve"> Right panel shows the results of the residual versus model prediction (rank transformed) with systematic curvature and significant sum test of quantile. These two panels confirm model misspecification, which is also in line with the lack of o</w:t>
      </w:r>
      <w:proofErr w:type="spellStart"/>
      <w:r w:rsidR="002D26E1" w:rsidRPr="003B0C52">
        <w:rPr>
          <w:rFonts w:ascii="Times New Roman" w:hAnsi="Times New Roman" w:cs="Times New Roman"/>
        </w:rPr>
        <w:t>verdispersion</w:t>
      </w:r>
      <w:proofErr w:type="spellEnd"/>
      <w:r w:rsidR="002D26E1" w:rsidRPr="003B0C52">
        <w:rPr>
          <w:rFonts w:ascii="Times New Roman" w:hAnsi="Times New Roman" w:cs="Times New Roman"/>
        </w:rPr>
        <w:t xml:space="preserve"> in the count outcome and the departure of the NB dispersion parameter toward infinity (θ → 2,393,074).</w:t>
      </w:r>
    </w:p>
    <w:p w14:paraId="44F0EB60" w14:textId="40E1C10C"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rPr>
        <w:t xml:space="preserve">The high deviations in the multilevel NB diagnostics plots are not surprising considering the nature of the data, the count-based loss outcome is not over dispersed </w:t>
      </w:r>
      <m:oMath>
        <m:r>
          <w:rPr>
            <w:rFonts w:ascii="Cambria Math" w:hAnsi="Cambria Math" w:cs="Times New Roman"/>
          </w:rPr>
          <m:t>(Pearso</m:t>
        </m:r>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m:t>
            </m:r>
          </m:sup>
        </m:sSup>
        <m:r>
          <w:rPr>
            <w:rFonts w:ascii="Cambria Math" w:hAnsi="Cambria Math" w:cs="Times New Roman"/>
          </w:rPr>
          <m:t xml:space="preserve">s </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/df= 0.243)</m:t>
        </m:r>
      </m:oMath>
      <w:r w:rsidRPr="003B0C52">
        <w:rPr>
          <w:rFonts w:ascii="Times New Roman" w:hAnsi="Times New Roman" w:cs="Times New Roman"/>
        </w:rPr>
        <w:t xml:space="preserve"> and the NB dispersion parameter was brought to non-zero in the estimation process, effectively reducing the NB to a Poisson. The DHARMa diagnostics thus provide empirical validation to what the analytic tests had determined analytically: </w:t>
      </w:r>
      <w:proofErr w:type="gramStart"/>
      <w:r w:rsidRPr="003B0C52">
        <w:rPr>
          <w:rFonts w:ascii="Times New Roman" w:hAnsi="Times New Roman" w:cs="Times New Roman"/>
        </w:rPr>
        <w:t>the</w:t>
      </w:r>
      <w:proofErr w:type="gramEnd"/>
      <w:r w:rsidRPr="003B0C52">
        <w:rPr>
          <w:rFonts w:ascii="Times New Roman" w:hAnsi="Times New Roman" w:cs="Times New Roman"/>
        </w:rPr>
        <w:t xml:space="preserve"> Negative Binomial model is not a suitable distributional model in explaining the count-based loss outcome in this data set. These findings also justify the need to use proportional beta regression framework as a main analytical framework as seen in </w:t>
      </w:r>
      <w:r w:rsidR="003B0C52" w:rsidRPr="003B0C52">
        <w:rPr>
          <w:rFonts w:ascii="Times New Roman" w:hAnsi="Times New Roman" w:cs="Times New Roman"/>
        </w:rPr>
        <w:fldChar w:fldCharType="begin"/>
      </w:r>
      <w:r w:rsidR="003B0C52" w:rsidRPr="003B0C52">
        <w:rPr>
          <w:rFonts w:ascii="Times New Roman" w:hAnsi="Times New Roman" w:cs="Times New Roman"/>
        </w:rPr>
        <w:instrText xml:space="preserve"> REF _Ref225196149 \h </w:instrText>
      </w:r>
      <w:r w:rsidR="003B0C52">
        <w:rPr>
          <w:rFonts w:ascii="Times New Roman" w:hAnsi="Times New Roman" w:cs="Times New Roman"/>
        </w:rPr>
        <w:instrText xml:space="preserve"> \* MERGEFORMAT </w:instrText>
      </w:r>
      <w:r w:rsidR="003B0C52" w:rsidRPr="003B0C52">
        <w:rPr>
          <w:rFonts w:ascii="Times New Roman" w:hAnsi="Times New Roman" w:cs="Times New Roman"/>
        </w:rPr>
      </w:r>
      <w:r w:rsidR="003B0C52" w:rsidRPr="003B0C52">
        <w:rPr>
          <w:rFonts w:ascii="Times New Roman" w:hAnsi="Times New Roman" w:cs="Times New Roman"/>
        </w:rPr>
        <w:fldChar w:fldCharType="separate"/>
      </w:r>
      <w:r w:rsidR="003B0C52" w:rsidRPr="003B0C52">
        <w:rPr>
          <w:rFonts w:ascii="Times New Roman" w:hAnsi="Times New Roman" w:cs="Times New Roman"/>
          <w:b/>
          <w:bCs/>
        </w:rPr>
        <w:t xml:space="preserve">Figure </w:t>
      </w:r>
      <w:r w:rsidR="003B0C52" w:rsidRPr="003B0C52">
        <w:rPr>
          <w:rFonts w:ascii="Times New Roman" w:hAnsi="Times New Roman" w:cs="Times New Roman"/>
          <w:b/>
          <w:bCs/>
          <w:noProof/>
        </w:rPr>
        <w:t>8</w:t>
      </w:r>
      <w:r w:rsidR="003B0C52" w:rsidRPr="003B0C52">
        <w:rPr>
          <w:rFonts w:ascii="Times New Roman" w:hAnsi="Times New Roman" w:cs="Times New Roman"/>
        </w:rPr>
        <w:fldChar w:fldCharType="end"/>
      </w:r>
      <w:r w:rsidR="00B26F26" w:rsidRPr="003B0C52">
        <w:rPr>
          <w:rFonts w:ascii="Times New Roman" w:hAnsi="Times New Roman" w:cs="Times New Roman"/>
        </w:rPr>
        <w:fldChar w:fldCharType="begin"/>
      </w:r>
      <w:r w:rsidR="00B26F26" w:rsidRPr="003B0C52">
        <w:rPr>
          <w:rFonts w:ascii="Times New Roman" w:hAnsi="Times New Roman" w:cs="Times New Roman"/>
        </w:rPr>
        <w:instrText xml:space="preserve"> REF _Ref225196149 \h </w:instrText>
      </w:r>
      <w:r w:rsidR="003B0C52">
        <w:rPr>
          <w:rFonts w:ascii="Times New Roman" w:hAnsi="Times New Roman" w:cs="Times New Roman"/>
        </w:rPr>
        <w:instrText xml:space="preserve"> \* MERGEFORMAT </w:instrText>
      </w:r>
      <w:r w:rsidR="00B26F26" w:rsidRPr="003B0C52">
        <w:rPr>
          <w:rFonts w:ascii="Times New Roman" w:hAnsi="Times New Roman" w:cs="Times New Roman"/>
        </w:rPr>
      </w:r>
      <w:r w:rsidR="00B26F26" w:rsidRPr="003B0C52">
        <w:rPr>
          <w:rFonts w:ascii="Times New Roman" w:hAnsi="Times New Roman" w:cs="Times New Roman"/>
        </w:rPr>
        <w:fldChar w:fldCharType="end"/>
      </w:r>
      <w:r w:rsidRPr="003B0C52">
        <w:rPr>
          <w:rFonts w:ascii="Times New Roman" w:hAnsi="Times New Roman" w:cs="Times New Roman"/>
        </w:rPr>
        <w:fldChar w:fldCharType="begin"/>
      </w:r>
      <w:r w:rsidRPr="003B0C52">
        <w:rPr>
          <w:rFonts w:ascii="Times New Roman" w:hAnsi="Times New Roman" w:cs="Times New Roman"/>
        </w:rPr>
        <w:instrText xml:space="preserve"> REF _Ref225196149 \h  \* MERGEFORMAT </w:instrText>
      </w:r>
      <w:r w:rsidRPr="003B0C52">
        <w:rPr>
          <w:rFonts w:ascii="Times New Roman" w:hAnsi="Times New Roman" w:cs="Times New Roman"/>
        </w:rPr>
      </w:r>
      <w:r w:rsidRPr="003B0C52">
        <w:rPr>
          <w:rFonts w:ascii="Times New Roman" w:hAnsi="Times New Roman" w:cs="Times New Roman"/>
        </w:rPr>
        <w:fldChar w:fldCharType="end"/>
      </w:r>
      <w:r w:rsidRPr="003B0C52">
        <w:rPr>
          <w:rFonts w:ascii="Times New Roman" w:hAnsi="Times New Roman" w:cs="Times New Roman"/>
        </w:rPr>
        <w:t>.</w:t>
      </w:r>
    </w:p>
    <w:p w14:paraId="6982A3CE" w14:textId="77777777" w:rsidR="002D26E1" w:rsidRPr="003B0C52" w:rsidRDefault="002D26E1" w:rsidP="003B0C52">
      <w:pPr>
        <w:pStyle w:val="NoSpacing"/>
        <w:jc w:val="both"/>
        <w:rPr>
          <w:rFonts w:ascii="Times New Roman" w:hAnsi="Times New Roman" w:cs="Times New Roman"/>
        </w:rPr>
      </w:pPr>
      <w:r w:rsidRPr="003B0C52">
        <w:rPr>
          <w:rFonts w:ascii="Times New Roman" w:hAnsi="Times New Roman" w:cs="Times New Roman"/>
          <w:noProof/>
        </w:rPr>
        <w:lastRenderedPageBreak/>
        <w:drawing>
          <wp:inline distT="0" distB="0" distL="0" distR="0" wp14:anchorId="3EECFDCC" wp14:editId="24D1601D">
            <wp:extent cx="5220000" cy="30087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_qqq.png"/>
                    <pic:cNvPicPr/>
                  </pic:nvPicPr>
                  <pic:blipFill>
                    <a:blip r:embed="rId15"/>
                    <a:stretch>
                      <a:fillRect/>
                    </a:stretch>
                  </pic:blipFill>
                  <pic:spPr>
                    <a:xfrm>
                      <a:off x="0" y="0"/>
                      <a:ext cx="5220000" cy="3008750"/>
                    </a:xfrm>
                    <a:prstGeom prst="rect">
                      <a:avLst/>
                    </a:prstGeom>
                  </pic:spPr>
                </pic:pic>
              </a:graphicData>
            </a:graphic>
          </wp:inline>
        </w:drawing>
      </w:r>
    </w:p>
    <w:p w14:paraId="53D2FF2F" w14:textId="214FE69D" w:rsidR="002D26E1" w:rsidRPr="003B0C52" w:rsidRDefault="002D26E1" w:rsidP="003B0C52">
      <w:pPr>
        <w:pStyle w:val="Caption"/>
        <w:rPr>
          <w:rFonts w:ascii="Times New Roman" w:hAnsi="Times New Roman" w:cs="Times New Roman"/>
          <w:b/>
          <w:bCs/>
          <w:color w:val="auto"/>
          <w:sz w:val="24"/>
          <w:szCs w:val="24"/>
        </w:rPr>
      </w:pPr>
      <w:bookmarkStart w:id="41" w:name="_Ref225196149"/>
      <w:bookmarkStart w:id="42" w:name="_Toc225196585"/>
      <w:r w:rsidRPr="003B0C52">
        <w:rPr>
          <w:rFonts w:ascii="Times New Roman" w:hAnsi="Times New Roman" w:cs="Times New Roman"/>
          <w:b/>
          <w:bCs/>
          <w:color w:val="auto"/>
          <w:sz w:val="24"/>
          <w:szCs w:val="24"/>
        </w:rPr>
        <w:t xml:space="preserve">Figure </w:t>
      </w:r>
      <w:r w:rsidRPr="003B0C52">
        <w:rPr>
          <w:rFonts w:ascii="Times New Roman" w:hAnsi="Times New Roman" w:cs="Times New Roman"/>
          <w:b/>
          <w:bCs/>
          <w:color w:val="auto"/>
          <w:sz w:val="24"/>
          <w:szCs w:val="24"/>
        </w:rPr>
        <w:fldChar w:fldCharType="begin"/>
      </w:r>
      <w:r w:rsidRPr="003B0C52">
        <w:rPr>
          <w:rFonts w:ascii="Times New Roman" w:hAnsi="Times New Roman" w:cs="Times New Roman"/>
          <w:b/>
          <w:bCs/>
          <w:color w:val="auto"/>
          <w:sz w:val="24"/>
          <w:szCs w:val="24"/>
        </w:rPr>
        <w:instrText xml:space="preserve"> SEQ Figure \* ARABIC </w:instrText>
      </w:r>
      <w:r w:rsidRPr="003B0C52">
        <w:rPr>
          <w:rFonts w:ascii="Times New Roman" w:hAnsi="Times New Roman" w:cs="Times New Roman"/>
          <w:b/>
          <w:bCs/>
          <w:color w:val="auto"/>
          <w:sz w:val="24"/>
          <w:szCs w:val="24"/>
        </w:rPr>
        <w:fldChar w:fldCharType="separate"/>
      </w:r>
      <w:r w:rsidR="00AE4901" w:rsidRPr="003B0C52">
        <w:rPr>
          <w:rFonts w:ascii="Times New Roman" w:hAnsi="Times New Roman" w:cs="Times New Roman"/>
          <w:b/>
          <w:bCs/>
          <w:noProof/>
          <w:color w:val="auto"/>
          <w:sz w:val="24"/>
          <w:szCs w:val="24"/>
        </w:rPr>
        <w:t>8</w:t>
      </w:r>
      <w:r w:rsidRPr="003B0C52">
        <w:rPr>
          <w:rFonts w:ascii="Times New Roman" w:hAnsi="Times New Roman" w:cs="Times New Roman"/>
          <w:b/>
          <w:bCs/>
          <w:color w:val="auto"/>
          <w:sz w:val="24"/>
          <w:szCs w:val="24"/>
        </w:rPr>
        <w:fldChar w:fldCharType="end"/>
      </w:r>
      <w:bookmarkEnd w:id="41"/>
      <w:r w:rsidRPr="003B0C52">
        <w:rPr>
          <w:rFonts w:ascii="Times New Roman" w:hAnsi="Times New Roman" w:cs="Times New Roman"/>
          <w:b/>
          <w:bCs/>
          <w:color w:val="auto"/>
          <w:sz w:val="24"/>
          <w:szCs w:val="24"/>
        </w:rPr>
        <w:t>:Multilevel Beta Regression Model, Dharma Measure of Residual Diagnostics</w:t>
      </w:r>
      <w:bookmarkEnd w:id="42"/>
    </w:p>
    <w:p w14:paraId="259A7F80" w14:textId="38F57323" w:rsidR="007C2009" w:rsidRPr="003B0C52" w:rsidRDefault="003B0C52" w:rsidP="003B0C52">
      <w:pPr>
        <w:pStyle w:val="NoSpacing"/>
        <w:jc w:val="both"/>
        <w:rPr>
          <w:rFonts w:ascii="Times New Roman" w:hAnsi="Times New Roman" w:cs="Times New Roman"/>
        </w:rPr>
      </w:pPr>
      <w:r w:rsidRPr="003B0C52">
        <w:rPr>
          <w:rFonts w:ascii="Times New Roman" w:hAnsi="Times New Roman" w:cs="Times New Roman"/>
        </w:rPr>
        <w:fldChar w:fldCharType="begin"/>
      </w:r>
      <w:r w:rsidRPr="003B0C52">
        <w:rPr>
          <w:rFonts w:ascii="Times New Roman" w:hAnsi="Times New Roman" w:cs="Times New Roman"/>
        </w:rPr>
        <w:instrText xml:space="preserve"> REF _Ref225196149 \h </w:instrText>
      </w:r>
      <w:r>
        <w:rPr>
          <w:rFonts w:ascii="Times New Roman" w:hAnsi="Times New Roman" w:cs="Times New Roman"/>
        </w:rPr>
        <w:instrText xml:space="preserve"> \* MERGEFORMAT </w:instrText>
      </w:r>
      <w:r w:rsidRPr="003B0C52">
        <w:rPr>
          <w:rFonts w:ascii="Times New Roman" w:hAnsi="Times New Roman" w:cs="Times New Roman"/>
        </w:rPr>
      </w:r>
      <w:r w:rsidRPr="003B0C52">
        <w:rPr>
          <w:rFonts w:ascii="Times New Roman" w:hAnsi="Times New Roman" w:cs="Times New Roman"/>
        </w:rPr>
        <w:fldChar w:fldCharType="separate"/>
      </w:r>
      <w:r w:rsidRPr="003B0C52">
        <w:rPr>
          <w:rFonts w:ascii="Times New Roman" w:hAnsi="Times New Roman" w:cs="Times New Roman"/>
          <w:b/>
          <w:bCs/>
        </w:rPr>
        <w:t xml:space="preserve">Figure </w:t>
      </w:r>
      <w:r w:rsidRPr="003B0C52">
        <w:rPr>
          <w:rFonts w:ascii="Times New Roman" w:hAnsi="Times New Roman" w:cs="Times New Roman"/>
          <w:b/>
          <w:bCs/>
          <w:noProof/>
        </w:rPr>
        <w:t>8</w:t>
      </w:r>
      <w:r w:rsidRPr="003B0C52">
        <w:rPr>
          <w:rFonts w:ascii="Times New Roman" w:hAnsi="Times New Roman" w:cs="Times New Roman"/>
        </w:rPr>
        <w:fldChar w:fldCharType="end"/>
      </w:r>
      <w:r w:rsidR="00B26F26" w:rsidRPr="003B0C52">
        <w:rPr>
          <w:rFonts w:ascii="Times New Roman" w:hAnsi="Times New Roman" w:cs="Times New Roman"/>
        </w:rPr>
        <w:fldChar w:fldCharType="begin"/>
      </w:r>
      <w:r w:rsidR="00B26F26" w:rsidRPr="003B0C52">
        <w:rPr>
          <w:rFonts w:ascii="Times New Roman" w:hAnsi="Times New Roman" w:cs="Times New Roman"/>
        </w:rPr>
        <w:instrText xml:space="preserve"> REF _Ref225196149 \h </w:instrText>
      </w:r>
      <w:r>
        <w:rPr>
          <w:rFonts w:ascii="Times New Roman" w:hAnsi="Times New Roman" w:cs="Times New Roman"/>
        </w:rPr>
        <w:instrText xml:space="preserve"> \* MERGEFORMAT </w:instrText>
      </w:r>
      <w:r w:rsidR="00B26F26" w:rsidRPr="003B0C52">
        <w:rPr>
          <w:rFonts w:ascii="Times New Roman" w:hAnsi="Times New Roman" w:cs="Times New Roman"/>
        </w:rPr>
      </w:r>
      <w:r w:rsidR="00B26F26" w:rsidRPr="003B0C52">
        <w:rPr>
          <w:rFonts w:ascii="Times New Roman" w:hAnsi="Times New Roman" w:cs="Times New Roman"/>
        </w:rPr>
        <w:fldChar w:fldCharType="end"/>
      </w:r>
      <w:r w:rsidR="00B26F26" w:rsidRPr="003B0C52">
        <w:rPr>
          <w:rFonts w:ascii="Times New Roman" w:hAnsi="Times New Roman" w:cs="Times New Roman"/>
        </w:rPr>
        <w:t xml:space="preserve"> </w:t>
      </w:r>
      <w:r w:rsidR="002D26E1" w:rsidRPr="003B0C52">
        <w:rPr>
          <w:rFonts w:ascii="Times New Roman" w:hAnsi="Times New Roman" w:cs="Times New Roman"/>
        </w:rPr>
        <w:t xml:space="preserve">shows Multilevel Beta Regression model, </w:t>
      </w:r>
      <m:oMath>
        <m:r>
          <w:rPr>
            <w:rFonts w:ascii="Cambria Math" w:hAnsi="Cambria Math" w:cs="Times New Roman"/>
          </w:rPr>
          <m:t>DHARMa</m:t>
        </m:r>
      </m:oMath>
      <w:r w:rsidR="002D26E1" w:rsidRPr="003B0C52">
        <w:rPr>
          <w:rFonts w:ascii="Times New Roman" w:hAnsi="Times New Roman" w:cs="Times New Roman"/>
        </w:rPr>
        <w:t xml:space="preserve"> measure of residual diagnostics. Left panel: QQ plot, there is a strong adherence to the diagonal reference line with slight upper-tail deviations </w:t>
      </w:r>
      <m:oMath>
        <m:r>
          <w:rPr>
            <w:rFonts w:ascii="Cambria Math" w:hAnsi="Cambria Math" w:cs="Times New Roman"/>
          </w:rPr>
          <m:t>(KS test p= 0.006</m:t>
        </m:r>
        <m:r>
          <m:rPr>
            <m:sty m:val="p"/>
          </m:rPr>
          <w:rPr>
            <w:rFonts w:ascii="Cambria Math" w:hAnsi="Cambria Math" w:cs="Times New Roman"/>
          </w:rPr>
          <m:t xml:space="preserve">; </m:t>
        </m:r>
      </m:oMath>
      <w:r w:rsidR="002D26E1" w:rsidRPr="003B0C52">
        <w:rPr>
          <w:rFonts w:ascii="Times New Roman" w:hAnsi="Times New Roman" w:cs="Times New Roman"/>
        </w:rPr>
        <w:t>dispersion test</w:t>
      </w:r>
      <w:r w:rsidR="002D26E1" w:rsidRPr="003B0C52">
        <w:rPr>
          <w:rFonts w:ascii="Times New Roman" w:hAnsi="Times New Roman" w:cs="Times New Roman"/>
          <w:i/>
          <w:iCs/>
        </w:rPr>
        <w:t xml:space="preserve"> </w:t>
      </w:r>
      <m:oMath>
        <m:r>
          <w:rPr>
            <w:rFonts w:ascii="Cambria Math" w:hAnsi="Cambria Math" w:cs="Times New Roman"/>
          </w:rPr>
          <m:t>p=0.612</m:t>
        </m:r>
      </m:oMath>
      <w:r w:rsidR="002D26E1" w:rsidRPr="003B0C52">
        <w:rPr>
          <w:rFonts w:ascii="Times New Roman" w:eastAsiaTheme="minorEastAsia" w:hAnsi="Times New Roman" w:cs="Times New Roman"/>
          <w:i/>
          <w:iCs/>
        </w:rPr>
        <w:t>,</w:t>
      </w:r>
      <w:r w:rsidR="002D26E1" w:rsidRPr="003B0C52">
        <w:rPr>
          <w:rFonts w:ascii="Times New Roman" w:eastAsiaTheme="minorEastAsia" w:hAnsi="Times New Roman" w:cs="Times New Roman"/>
        </w:rPr>
        <w:t xml:space="preserve"> not significant</w:t>
      </w:r>
      <m:oMath>
        <m:r>
          <m:rPr>
            <m:sty m:val="p"/>
          </m:rPr>
          <w:rPr>
            <w:rFonts w:ascii="Cambria Math" w:hAnsi="Cambria Math" w:cs="Times New Roman"/>
          </w:rPr>
          <m:t>.; outlier test</m:t>
        </m:r>
        <m:r>
          <w:rPr>
            <w:rFonts w:ascii="Cambria Math" w:hAnsi="Cambria Math" w:cs="Times New Roman"/>
          </w:rPr>
          <m:t xml:space="preserve"> p= 0.189</m:t>
        </m:r>
      </m:oMath>
      <w:r w:rsidR="002D26E1" w:rsidRPr="003B0C52">
        <w:rPr>
          <w:rFonts w:ascii="Times New Roman" w:eastAsiaTheme="minorEastAsia" w:hAnsi="Times New Roman" w:cs="Times New Roman"/>
        </w:rPr>
        <w:t>,  not significant</w:t>
      </w:r>
      <m:oMath>
        <m:r>
          <m:rPr>
            <m:sty m:val="p"/>
          </m:rPr>
          <w:rPr>
            <w:rFonts w:ascii="Cambria Math" w:hAnsi="Cambria Math" w:cs="Times New Roman"/>
          </w:rPr>
          <m:t xml:space="preserve">.). </m:t>
        </m:r>
      </m:oMath>
      <w:r w:rsidR="002D26E1" w:rsidRPr="003B0C52">
        <w:rPr>
          <w:rFonts w:ascii="Times New Roman" w:hAnsi="Times New Roman" w:cs="Times New Roman"/>
        </w:rPr>
        <w:t>Right panel shows Residuals versus model predictions with acceptable scattered results with no systematic curvature as shown in the NB model. These diagnostics establish that the proportional loss outcome has been specified correctly in terms of its beta distribution.</w:t>
      </w:r>
      <w:r w:rsidR="007C2009" w:rsidRPr="003B0C52">
        <w:rPr>
          <w:rFonts w:ascii="Times New Roman" w:hAnsi="Times New Roman" w:cs="Times New Roman"/>
        </w:rPr>
        <w:t xml:space="preserve"> </w:t>
      </w:r>
      <w:r w:rsidR="002D26E1" w:rsidRPr="003B0C52">
        <w:rPr>
          <w:rFonts w:ascii="Times New Roman" w:hAnsi="Times New Roman" w:cs="Times New Roman"/>
        </w:rPr>
        <w:t xml:space="preserve">Unlike the NB model, the multilevel Beta regression model gives a much better fit to data. Since the non-significant dispersion test </w:t>
      </w:r>
      <m:oMath>
        <m:r>
          <w:rPr>
            <w:rFonts w:ascii="Cambria Math" w:hAnsi="Cambria Math" w:cs="Times New Roman"/>
          </w:rPr>
          <m:t>(p=0.612)</m:t>
        </m:r>
      </m:oMath>
      <w:r w:rsidR="002D26E1" w:rsidRPr="003B0C52">
        <w:rPr>
          <w:rFonts w:ascii="Times New Roman" w:hAnsi="Times New Roman" w:cs="Times New Roman"/>
        </w:rPr>
        <w:t xml:space="preserve"> and outlier test </w:t>
      </w:r>
      <m:oMath>
        <m:r>
          <w:rPr>
            <w:rFonts w:ascii="Cambria Math" w:hAnsi="Cambria Math" w:cs="Times New Roman"/>
          </w:rPr>
          <m:t>(p=0.189)</m:t>
        </m:r>
      </m:oMath>
      <w:r w:rsidR="002D26E1" w:rsidRPr="003B0C52">
        <w:rPr>
          <w:rFonts w:ascii="Times New Roman" w:hAnsi="Times New Roman" w:cs="Times New Roman"/>
        </w:rPr>
        <w:t xml:space="preserve"> indicate that the beta distribution is specified correctly in the proportional loss outcome, there is no systematic over- or </w:t>
      </w:r>
      <w:proofErr w:type="spellStart"/>
      <w:r w:rsidR="002D26E1" w:rsidRPr="003B0C52">
        <w:rPr>
          <w:rFonts w:ascii="Times New Roman" w:hAnsi="Times New Roman" w:cs="Times New Roman"/>
        </w:rPr>
        <w:t>underdispersion</w:t>
      </w:r>
      <w:proofErr w:type="spellEnd"/>
      <w:r w:rsidR="002D26E1" w:rsidRPr="003B0C52">
        <w:rPr>
          <w:rFonts w:ascii="Times New Roman" w:hAnsi="Times New Roman" w:cs="Times New Roman"/>
        </w:rPr>
        <w:t xml:space="preserve">. Although the KS test attains marginal significance </w:t>
      </w:r>
      <m:oMath>
        <m:r>
          <w:rPr>
            <w:rFonts w:ascii="Cambria Math" w:hAnsi="Cambria Math" w:cs="Times New Roman"/>
          </w:rPr>
          <m:t>(p=0.006),</m:t>
        </m:r>
      </m:oMath>
      <w:r w:rsidR="002D26E1" w:rsidRPr="003B0C52">
        <w:rPr>
          <w:rFonts w:ascii="Times New Roman" w:hAnsi="Times New Roman" w:cs="Times New Roman"/>
        </w:rPr>
        <w:t xml:space="preserve"> this is typical with large samples </w:t>
      </w:r>
      <m:oMath>
        <m:r>
          <w:rPr>
            <w:rFonts w:ascii="Cambria Math" w:hAnsi="Cambria Math" w:cs="Times New Roman"/>
          </w:rPr>
          <m:t>(n=622)</m:t>
        </m:r>
      </m:oMath>
      <w:r w:rsidR="002D26E1" w:rsidRPr="003B0C52">
        <w:rPr>
          <w:rFonts w:ascii="Times New Roman" w:hAnsi="Times New Roman" w:cs="Times New Roman"/>
        </w:rPr>
        <w:t xml:space="preserve"> where even insignificant changes in uniformity are statistically significant and need not be construed as an indication of substantial misspecification. The plot of the residual’s vs fitted values indicates that there is a satisfactory values distribution without the steep turn as noticed in the NB model. This combination of diagnostic results to a great extent confirms the hypothesis that the multilevel Beta regression is the appropriate and well-fitted model to use with this data, and all of the inferences made based on the parameter estimates are valid statistically. The single-level </w:t>
      </w:r>
      <m:oMath>
        <m:r>
          <w:rPr>
            <w:rFonts w:ascii="Cambria Math" w:hAnsi="Cambria Math" w:cs="Times New Roman"/>
          </w:rPr>
          <m:t>betareg</m:t>
        </m:r>
      </m:oMath>
      <w:r w:rsidR="002D26E1" w:rsidRPr="003B0C52">
        <w:rPr>
          <w:rFonts w:ascii="Times New Roman" w:hAnsi="Times New Roman" w:cs="Times New Roman"/>
        </w:rPr>
        <w:t xml:space="preserve"> model provided a </w:t>
      </w:r>
      <m:oMath>
        <m:r>
          <w:rPr>
            <w:rFonts w:ascii="Cambria Math" w:hAnsi="Cambria Math" w:cs="Times New Roman"/>
          </w:rPr>
          <m:t xml:space="preserve">pseudo </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 xml:space="preserve"> = 0.7612</m:t>
        </m:r>
      </m:oMath>
      <w:r w:rsidR="002D26E1" w:rsidRPr="003B0C52">
        <w:rPr>
          <w:rFonts w:ascii="Times New Roman" w:hAnsi="Times New Roman" w:cs="Times New Roman"/>
        </w:rPr>
        <w:t>, which implies that the fixed effects explain the proportional losses variation of the 622 respondents in the analytic sample.</w:t>
      </w:r>
    </w:p>
    <w:p w14:paraId="331A22CC" w14:textId="60F6DBF4" w:rsidR="007C2009" w:rsidRPr="003B0C52" w:rsidRDefault="007C2009" w:rsidP="003B0C52">
      <w:pPr>
        <w:pStyle w:val="Heading2"/>
        <w:spacing w:line="240" w:lineRule="auto"/>
        <w:rPr>
          <w:rFonts w:ascii="Times New Roman" w:hAnsi="Times New Roman" w:cs="Times New Roman"/>
          <w:b/>
          <w:bCs/>
          <w:color w:val="auto"/>
          <w:sz w:val="24"/>
          <w:szCs w:val="24"/>
        </w:rPr>
      </w:pPr>
      <w:bookmarkStart w:id="43" w:name="_Toc225180573"/>
      <w:r w:rsidRPr="003B0C52">
        <w:rPr>
          <w:rFonts w:ascii="Times New Roman" w:hAnsi="Times New Roman" w:cs="Times New Roman"/>
          <w:b/>
          <w:bCs/>
          <w:color w:val="auto"/>
          <w:sz w:val="24"/>
          <w:szCs w:val="24"/>
        </w:rPr>
        <w:t>5.</w:t>
      </w:r>
      <w:r w:rsidR="0075761C" w:rsidRPr="003B0C52">
        <w:rPr>
          <w:rFonts w:ascii="Times New Roman" w:hAnsi="Times New Roman" w:cs="Times New Roman"/>
          <w:b/>
          <w:bCs/>
          <w:color w:val="auto"/>
          <w:sz w:val="24"/>
          <w:szCs w:val="24"/>
        </w:rPr>
        <w:t>0</w:t>
      </w:r>
      <w:r w:rsidRPr="003B0C52">
        <w:rPr>
          <w:rFonts w:ascii="Times New Roman" w:hAnsi="Times New Roman" w:cs="Times New Roman"/>
          <w:b/>
          <w:bCs/>
          <w:color w:val="auto"/>
          <w:sz w:val="24"/>
          <w:szCs w:val="24"/>
        </w:rPr>
        <w:tab/>
        <w:t>Conclusion and Recommendations</w:t>
      </w:r>
      <w:bookmarkEnd w:id="43"/>
    </w:p>
    <w:p w14:paraId="2BB12611" w14:textId="37664B44" w:rsidR="006F0D79" w:rsidRPr="003B0C52" w:rsidRDefault="00F611F9" w:rsidP="003B0C52">
      <w:pPr>
        <w:pStyle w:val="NoSpacing"/>
        <w:jc w:val="both"/>
        <w:rPr>
          <w:rFonts w:ascii="Times New Roman" w:hAnsi="Times New Roman" w:cs="Times New Roman"/>
        </w:rPr>
      </w:pPr>
      <w:r w:rsidRPr="003B0C52">
        <w:rPr>
          <w:rFonts w:ascii="Times New Roman" w:hAnsi="Times New Roman" w:cs="Times New Roman"/>
        </w:rPr>
        <w:t xml:space="preserve">This paper establishes the role of storage type, time of storage, market access conditions, transportation infrastructure, chemical use, and extension training as critical determinants of post-harvest loss along the Kenyan potato farm-market value chain. This methodologically appropriate and substantively important MLBR framework is well-suited for this type of proportional agricultural loss data with bounded outcomes and nesting. The results confirm policy recommendations focusing on three main pillars. First, invest in accessible and affordable storage, especially dark rooms through farmer groups, and solar-powered cold storage at aggregation points </w:t>
      </w:r>
      <w:r w:rsidRPr="003B0C52">
        <w:rPr>
          <w:rFonts w:ascii="Times New Roman" w:hAnsi="Times New Roman" w:cs="Times New Roman"/>
        </w:rPr>
        <w:lastRenderedPageBreak/>
        <w:t xml:space="preserve">on major transportation corridors. Second, reconstruct post-harvest extension services through an integrated co-delivery model of training and inputs, so that the training on approved sprout suppressants comes hand-in-hand with access through </w:t>
      </w:r>
      <w:proofErr w:type="spellStart"/>
      <w:r w:rsidRPr="003B0C52">
        <w:rPr>
          <w:rFonts w:ascii="Times New Roman" w:hAnsi="Times New Roman" w:cs="Times New Roman"/>
        </w:rPr>
        <w:t>agro</w:t>
      </w:r>
      <w:proofErr w:type="spellEnd"/>
      <w:r w:rsidRPr="003B0C52">
        <w:rPr>
          <w:rFonts w:ascii="Times New Roman" w:hAnsi="Times New Roman" w:cs="Times New Roman"/>
        </w:rPr>
        <w:t>-dealers licensed for its sale, to bridge the gap between extension coverage and its use (51.3% vs 30.7%). Third, investment in transportation infrastructure and better packaging for motorcycle transport, will reduce physical damage, and distance related losses. Future research could employ longitudinal or experimental designs, national sample representative geographic coverage, objective measures of post-harvest losses, and apply the multilevel beta regression method to other perishable crop value chains across sub-Saharan Africa.</w:t>
      </w:r>
    </w:p>
    <w:p w14:paraId="589AC06F" w14:textId="77777777" w:rsidR="00F611F9" w:rsidRDefault="00F611F9" w:rsidP="003B0C52">
      <w:pPr>
        <w:pStyle w:val="NoSpacing"/>
        <w:jc w:val="both"/>
        <w:rPr>
          <w:rFonts w:ascii="Times New Roman" w:hAnsi="Times New Roman" w:cs="Times New Roman"/>
        </w:rPr>
      </w:pPr>
    </w:p>
    <w:p w14:paraId="26300C67" w14:textId="77777777" w:rsidR="00270BED" w:rsidRPr="0034779A" w:rsidRDefault="00270BED" w:rsidP="00270BED">
      <w:pPr>
        <w:pStyle w:val="Heading2"/>
        <w:spacing w:line="480" w:lineRule="auto"/>
        <w:jc w:val="both"/>
        <w:rPr>
          <w:rFonts w:ascii="Palatino Linotype" w:eastAsiaTheme="minorEastAsia" w:hAnsi="Palatino Linotype" w:cs="Times New Roman"/>
          <w:b/>
          <w:bCs/>
          <w:color w:val="auto"/>
          <w:sz w:val="20"/>
          <w:szCs w:val="20"/>
        </w:rPr>
      </w:pPr>
      <w:bookmarkStart w:id="44" w:name="_GoBack"/>
      <w:bookmarkEnd w:id="44"/>
      <w:r w:rsidRPr="0034779A">
        <w:rPr>
          <w:rFonts w:ascii="Palatino Linotype" w:eastAsiaTheme="minorEastAsia" w:hAnsi="Palatino Linotype" w:cs="Times New Roman"/>
          <w:b/>
          <w:bCs/>
          <w:color w:val="auto"/>
          <w:sz w:val="20"/>
          <w:szCs w:val="20"/>
        </w:rPr>
        <w:t>Data availability</w:t>
      </w:r>
    </w:p>
    <w:p w14:paraId="1C589F31" w14:textId="77777777" w:rsidR="00270BED" w:rsidRPr="0034779A" w:rsidRDefault="00270BED" w:rsidP="00270BED">
      <w:pPr>
        <w:spacing w:line="480" w:lineRule="auto"/>
        <w:jc w:val="both"/>
        <w:rPr>
          <w:rFonts w:ascii="Palatino Linotype" w:eastAsiaTheme="minorEastAsia" w:hAnsi="Palatino Linotype" w:cs="Times New Roman"/>
          <w:iCs/>
          <w:sz w:val="20"/>
          <w:szCs w:val="20"/>
        </w:rPr>
      </w:pPr>
      <w:r w:rsidRPr="0034779A">
        <w:rPr>
          <w:rFonts w:ascii="Palatino Linotype" w:eastAsiaTheme="minorEastAsia" w:hAnsi="Palatino Linotype" w:cs="Times New Roman"/>
          <w:iCs/>
          <w:sz w:val="20"/>
          <w:szCs w:val="20"/>
        </w:rPr>
        <w:t>The dataset utilized in this research can be provided by the author upon reasonable request.</w:t>
      </w:r>
    </w:p>
    <w:p w14:paraId="3B3F0558" w14:textId="77777777" w:rsidR="003A3B00" w:rsidRPr="003A3B00" w:rsidRDefault="003A3B00" w:rsidP="003A3B00">
      <w:pPr>
        <w:spacing w:after="200" w:line="276" w:lineRule="auto"/>
        <w:rPr>
          <w:rFonts w:ascii="Arial" w:eastAsia="Times New Roman" w:hAnsi="Arial" w:cs="Arial"/>
          <w:b/>
          <w:bCs/>
          <w:kern w:val="0"/>
          <w:sz w:val="22"/>
          <w:szCs w:val="22"/>
          <w:lang w:val="en-GB" w:eastAsia="en-GB"/>
          <w14:ligatures w14:val="none"/>
        </w:rPr>
      </w:pPr>
      <w:r w:rsidRPr="003A3B00">
        <w:rPr>
          <w:rFonts w:ascii="Arial" w:eastAsia="Times New Roman" w:hAnsi="Arial" w:cs="Arial"/>
          <w:b/>
          <w:bCs/>
          <w:kern w:val="0"/>
          <w:sz w:val="22"/>
          <w:szCs w:val="22"/>
          <w:lang w:val="en-GB" w:eastAsia="en-GB"/>
          <w14:ligatures w14:val="none"/>
        </w:rPr>
        <w:t>COMPETING INTERESTS DISCLAIMER:</w:t>
      </w:r>
    </w:p>
    <w:p w14:paraId="7BBCCE37" w14:textId="77777777" w:rsidR="003A3B00" w:rsidRPr="003A3B00" w:rsidRDefault="003A3B00" w:rsidP="003A3B00">
      <w:pPr>
        <w:spacing w:after="200" w:line="276" w:lineRule="auto"/>
        <w:rPr>
          <w:rFonts w:ascii="Calibri" w:eastAsia="Times New Roman" w:hAnsi="Calibri" w:cs="Times New Roman"/>
          <w:kern w:val="0"/>
          <w:sz w:val="22"/>
          <w:szCs w:val="22"/>
          <w:lang w:val="en-GB" w:eastAsia="en-GB"/>
          <w14:ligatures w14:val="none"/>
        </w:rPr>
      </w:pPr>
      <w:r w:rsidRPr="003A3B00">
        <w:rPr>
          <w:rFonts w:ascii="Arial" w:eastAsia="Times New Roman" w:hAnsi="Arial" w:cs="Arial"/>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7BF84B3" w14:textId="77777777" w:rsidR="003A3B00" w:rsidRPr="0034779A" w:rsidRDefault="003A3B00" w:rsidP="00270BED">
      <w:pPr>
        <w:spacing w:line="480" w:lineRule="auto"/>
        <w:jc w:val="both"/>
        <w:rPr>
          <w:rFonts w:ascii="Palatino Linotype" w:eastAsiaTheme="minorEastAsia" w:hAnsi="Palatino Linotype" w:cs="Times New Roman"/>
          <w:iCs/>
          <w:sz w:val="20"/>
          <w:szCs w:val="20"/>
        </w:rPr>
      </w:pPr>
    </w:p>
    <w:p w14:paraId="278878C5" w14:textId="6590744E" w:rsidR="00F611F9" w:rsidRPr="003B0C52" w:rsidRDefault="0075761C" w:rsidP="003B0C52">
      <w:pPr>
        <w:pStyle w:val="Heading2"/>
        <w:spacing w:line="240" w:lineRule="auto"/>
        <w:rPr>
          <w:rFonts w:ascii="Times New Roman" w:hAnsi="Times New Roman" w:cs="Times New Roman"/>
          <w:b/>
          <w:bCs/>
          <w:color w:val="auto"/>
          <w:sz w:val="24"/>
          <w:szCs w:val="24"/>
        </w:rPr>
      </w:pPr>
      <w:r w:rsidRPr="003B0C52">
        <w:rPr>
          <w:rFonts w:ascii="Times New Roman" w:hAnsi="Times New Roman" w:cs="Times New Roman"/>
          <w:b/>
          <w:bCs/>
          <w:color w:val="auto"/>
          <w:sz w:val="24"/>
          <w:szCs w:val="24"/>
        </w:rPr>
        <w:t>6.0</w:t>
      </w:r>
      <w:r w:rsidR="00F611F9" w:rsidRPr="003B0C52">
        <w:rPr>
          <w:rFonts w:ascii="Times New Roman" w:hAnsi="Times New Roman" w:cs="Times New Roman"/>
          <w:b/>
          <w:bCs/>
          <w:color w:val="auto"/>
          <w:sz w:val="24"/>
          <w:szCs w:val="24"/>
        </w:rPr>
        <w:tab/>
        <w:t>References</w:t>
      </w:r>
    </w:p>
    <w:sdt>
      <w:sdtPr>
        <w:rPr>
          <w:rFonts w:ascii="Times New Roman" w:hAnsi="Times New Roman" w:cs="Times New Roman"/>
          <w:color w:val="000000"/>
        </w:rPr>
        <w:tag w:val="MENDELEY_BIBLIOGRAPHY"/>
        <w:id w:val="400488204"/>
        <w:placeholder>
          <w:docPart w:val="DefaultPlaceholder_-1854013440"/>
        </w:placeholder>
      </w:sdtPr>
      <w:sdtEndPr/>
      <w:sdtContent>
        <w:p w14:paraId="6DD7F40C" w14:textId="77777777" w:rsidR="00F611F9" w:rsidRPr="003B0C52" w:rsidRDefault="00F611F9" w:rsidP="003B0C52">
          <w:pPr>
            <w:autoSpaceDE w:val="0"/>
            <w:autoSpaceDN w:val="0"/>
            <w:spacing w:line="240" w:lineRule="auto"/>
            <w:ind w:hanging="480"/>
            <w:divId w:val="1235899885"/>
            <w:rPr>
              <w:rFonts w:ascii="Times New Roman" w:eastAsia="Times New Roman" w:hAnsi="Times New Roman" w:cs="Times New Roman"/>
              <w:color w:val="000000"/>
              <w:kern w:val="0"/>
              <w14:ligatures w14:val="none"/>
            </w:rPr>
          </w:pPr>
          <w:proofErr w:type="spellStart"/>
          <w:r w:rsidRPr="003B0C52">
            <w:rPr>
              <w:rFonts w:ascii="Times New Roman" w:eastAsia="Times New Roman" w:hAnsi="Times New Roman" w:cs="Times New Roman"/>
              <w:color w:val="000000"/>
            </w:rPr>
            <w:t>Abonazel</w:t>
          </w:r>
          <w:proofErr w:type="spellEnd"/>
          <w:r w:rsidRPr="003B0C52">
            <w:rPr>
              <w:rFonts w:ascii="Times New Roman" w:eastAsia="Times New Roman" w:hAnsi="Times New Roman" w:cs="Times New Roman"/>
              <w:color w:val="000000"/>
            </w:rPr>
            <w:t xml:space="preserve">, M. R., </w:t>
          </w:r>
          <w:proofErr w:type="spellStart"/>
          <w:r w:rsidRPr="003B0C52">
            <w:rPr>
              <w:rFonts w:ascii="Times New Roman" w:eastAsia="Times New Roman" w:hAnsi="Times New Roman" w:cs="Times New Roman"/>
              <w:color w:val="000000"/>
            </w:rPr>
            <w:t>Algamal</w:t>
          </w:r>
          <w:proofErr w:type="spellEnd"/>
          <w:r w:rsidRPr="003B0C52">
            <w:rPr>
              <w:rFonts w:ascii="Times New Roman" w:eastAsia="Times New Roman" w:hAnsi="Times New Roman" w:cs="Times New Roman"/>
              <w:color w:val="000000"/>
            </w:rPr>
            <w:t xml:space="preserve">, Z. Y., </w:t>
          </w:r>
          <w:proofErr w:type="spellStart"/>
          <w:r w:rsidRPr="003B0C52">
            <w:rPr>
              <w:rFonts w:ascii="Times New Roman" w:eastAsia="Times New Roman" w:hAnsi="Times New Roman" w:cs="Times New Roman"/>
              <w:color w:val="000000"/>
            </w:rPr>
            <w:t>Awwad</w:t>
          </w:r>
          <w:proofErr w:type="spellEnd"/>
          <w:r w:rsidRPr="003B0C52">
            <w:rPr>
              <w:rFonts w:ascii="Times New Roman" w:eastAsia="Times New Roman" w:hAnsi="Times New Roman" w:cs="Times New Roman"/>
              <w:color w:val="000000"/>
            </w:rPr>
            <w:t xml:space="preserve">, F. A., &amp; Taha, I. M. (2022). A New Two-Parameter Estimator for Beta Regression Model: Method, Simulation, and Application. </w:t>
          </w:r>
          <w:r w:rsidRPr="003B0C52">
            <w:rPr>
              <w:rFonts w:ascii="Times New Roman" w:eastAsia="Times New Roman" w:hAnsi="Times New Roman" w:cs="Times New Roman"/>
              <w:i/>
              <w:iCs/>
              <w:color w:val="000000"/>
            </w:rPr>
            <w:t>Frontiers in Applied Mathematics and Statistics</w:t>
          </w:r>
          <w:r w:rsidRPr="003B0C52">
            <w:rPr>
              <w:rFonts w:ascii="Times New Roman" w:eastAsia="Times New Roman" w:hAnsi="Times New Roman" w:cs="Times New Roman"/>
              <w:color w:val="000000"/>
            </w:rPr>
            <w:t xml:space="preserve">, </w:t>
          </w:r>
          <w:r w:rsidRPr="003B0C52">
            <w:rPr>
              <w:rFonts w:ascii="Times New Roman" w:eastAsia="Times New Roman" w:hAnsi="Times New Roman" w:cs="Times New Roman"/>
              <w:i/>
              <w:iCs/>
              <w:color w:val="000000"/>
            </w:rPr>
            <w:t>7</w:t>
          </w:r>
          <w:r w:rsidRPr="003B0C52">
            <w:rPr>
              <w:rFonts w:ascii="Times New Roman" w:eastAsia="Times New Roman" w:hAnsi="Times New Roman" w:cs="Times New Roman"/>
              <w:color w:val="000000"/>
            </w:rPr>
            <w:t>. https://doi.org/10.3389/fams.2021.780322</w:t>
          </w:r>
        </w:p>
        <w:p w14:paraId="10BA6387" w14:textId="77777777" w:rsidR="00F611F9" w:rsidRPr="003B0C52" w:rsidRDefault="00F611F9" w:rsidP="003B0C52">
          <w:pPr>
            <w:autoSpaceDE w:val="0"/>
            <w:autoSpaceDN w:val="0"/>
            <w:spacing w:line="240" w:lineRule="auto"/>
            <w:ind w:hanging="480"/>
            <w:divId w:val="698050902"/>
            <w:rPr>
              <w:rFonts w:ascii="Times New Roman" w:eastAsia="Times New Roman" w:hAnsi="Times New Roman" w:cs="Times New Roman"/>
              <w:color w:val="000000"/>
            </w:rPr>
          </w:pPr>
          <w:proofErr w:type="spellStart"/>
          <w:r w:rsidRPr="003B0C52">
            <w:rPr>
              <w:rFonts w:ascii="Times New Roman" w:eastAsia="Times New Roman" w:hAnsi="Times New Roman" w:cs="Times New Roman"/>
              <w:color w:val="000000"/>
            </w:rPr>
            <w:t>Almasi</w:t>
          </w:r>
          <w:proofErr w:type="spellEnd"/>
          <w:r w:rsidRPr="003B0C52">
            <w:rPr>
              <w:rFonts w:ascii="Times New Roman" w:eastAsia="Times New Roman" w:hAnsi="Times New Roman" w:cs="Times New Roman"/>
              <w:color w:val="000000"/>
            </w:rPr>
            <w:t xml:space="preserve">, A., </w:t>
          </w:r>
          <w:proofErr w:type="spellStart"/>
          <w:r w:rsidRPr="003B0C52">
            <w:rPr>
              <w:rFonts w:ascii="Times New Roman" w:eastAsia="Times New Roman" w:hAnsi="Times New Roman" w:cs="Times New Roman"/>
              <w:color w:val="000000"/>
            </w:rPr>
            <w:t>Eshraghian</w:t>
          </w:r>
          <w:proofErr w:type="spellEnd"/>
          <w:r w:rsidRPr="003B0C52">
            <w:rPr>
              <w:rFonts w:ascii="Times New Roman" w:eastAsia="Times New Roman" w:hAnsi="Times New Roman" w:cs="Times New Roman"/>
              <w:color w:val="000000"/>
            </w:rPr>
            <w:t xml:space="preserve">, M. R., </w:t>
          </w:r>
          <w:proofErr w:type="spellStart"/>
          <w:r w:rsidRPr="003B0C52">
            <w:rPr>
              <w:rFonts w:ascii="Times New Roman" w:eastAsia="Times New Roman" w:hAnsi="Times New Roman" w:cs="Times New Roman"/>
              <w:color w:val="000000"/>
            </w:rPr>
            <w:t>Moghimbeigi</w:t>
          </w:r>
          <w:proofErr w:type="spellEnd"/>
          <w:r w:rsidRPr="003B0C52">
            <w:rPr>
              <w:rFonts w:ascii="Times New Roman" w:eastAsia="Times New Roman" w:hAnsi="Times New Roman" w:cs="Times New Roman"/>
              <w:color w:val="000000"/>
            </w:rPr>
            <w:t xml:space="preserve">, A., Rahimi, A., Mohammad, K., &amp; </w:t>
          </w:r>
          <w:proofErr w:type="spellStart"/>
          <w:r w:rsidRPr="003B0C52">
            <w:rPr>
              <w:rFonts w:ascii="Times New Roman" w:eastAsia="Times New Roman" w:hAnsi="Times New Roman" w:cs="Times New Roman"/>
              <w:color w:val="000000"/>
            </w:rPr>
            <w:t>Fallahigilan</w:t>
          </w:r>
          <w:proofErr w:type="spellEnd"/>
          <w:r w:rsidRPr="003B0C52">
            <w:rPr>
              <w:rFonts w:ascii="Times New Roman" w:eastAsia="Times New Roman" w:hAnsi="Times New Roman" w:cs="Times New Roman"/>
              <w:color w:val="000000"/>
            </w:rPr>
            <w:t xml:space="preserve">, S. (2016). Multilevel zero-inflated Generalized Poisson regression modeling for dispersed correlated count data. </w:t>
          </w:r>
          <w:r w:rsidRPr="003B0C52">
            <w:rPr>
              <w:rFonts w:ascii="Times New Roman" w:eastAsia="Times New Roman" w:hAnsi="Times New Roman" w:cs="Times New Roman"/>
              <w:i/>
              <w:iCs/>
              <w:color w:val="000000"/>
            </w:rPr>
            <w:t>Statistical Methodology</w:t>
          </w:r>
          <w:r w:rsidRPr="003B0C52">
            <w:rPr>
              <w:rFonts w:ascii="Times New Roman" w:eastAsia="Times New Roman" w:hAnsi="Times New Roman" w:cs="Times New Roman"/>
              <w:color w:val="000000"/>
            </w:rPr>
            <w:t xml:space="preserve">, </w:t>
          </w:r>
          <w:r w:rsidRPr="003B0C52">
            <w:rPr>
              <w:rFonts w:ascii="Times New Roman" w:eastAsia="Times New Roman" w:hAnsi="Times New Roman" w:cs="Times New Roman"/>
              <w:i/>
              <w:iCs/>
              <w:color w:val="000000"/>
            </w:rPr>
            <w:t>30</w:t>
          </w:r>
          <w:r w:rsidRPr="003B0C52">
            <w:rPr>
              <w:rFonts w:ascii="Times New Roman" w:eastAsia="Times New Roman" w:hAnsi="Times New Roman" w:cs="Times New Roman"/>
              <w:color w:val="000000"/>
            </w:rPr>
            <w:t>, 1–14. https://doi.org/10.1016/j.stamet.2015.11.001</w:t>
          </w:r>
        </w:p>
        <w:p w14:paraId="5988EC90" w14:textId="77777777" w:rsidR="00F611F9" w:rsidRPr="003B0C52" w:rsidRDefault="00F611F9" w:rsidP="003B0C52">
          <w:pPr>
            <w:autoSpaceDE w:val="0"/>
            <w:autoSpaceDN w:val="0"/>
            <w:spacing w:line="240" w:lineRule="auto"/>
            <w:ind w:hanging="480"/>
            <w:divId w:val="172649704"/>
            <w:rPr>
              <w:rFonts w:ascii="Times New Roman" w:eastAsia="Times New Roman" w:hAnsi="Times New Roman" w:cs="Times New Roman"/>
              <w:color w:val="000000"/>
            </w:rPr>
          </w:pPr>
          <w:proofErr w:type="spellStart"/>
          <w:r w:rsidRPr="003B0C52">
            <w:rPr>
              <w:rFonts w:ascii="Times New Roman" w:eastAsia="Times New Roman" w:hAnsi="Times New Roman" w:cs="Times New Roman"/>
              <w:color w:val="000000"/>
            </w:rPr>
            <w:t>Ariong</w:t>
          </w:r>
          <w:proofErr w:type="spellEnd"/>
          <w:r w:rsidRPr="003B0C52">
            <w:rPr>
              <w:rFonts w:ascii="Times New Roman" w:eastAsia="Times New Roman" w:hAnsi="Times New Roman" w:cs="Times New Roman"/>
              <w:color w:val="000000"/>
            </w:rPr>
            <w:t xml:space="preserve">, R. M., Okello, D. M., </w:t>
          </w:r>
          <w:proofErr w:type="spellStart"/>
          <w:r w:rsidRPr="003B0C52">
            <w:rPr>
              <w:rFonts w:ascii="Times New Roman" w:eastAsia="Times New Roman" w:hAnsi="Times New Roman" w:cs="Times New Roman"/>
              <w:color w:val="000000"/>
            </w:rPr>
            <w:t>Otim</w:t>
          </w:r>
          <w:proofErr w:type="spellEnd"/>
          <w:r w:rsidRPr="003B0C52">
            <w:rPr>
              <w:rFonts w:ascii="Times New Roman" w:eastAsia="Times New Roman" w:hAnsi="Times New Roman" w:cs="Times New Roman"/>
              <w:color w:val="000000"/>
            </w:rPr>
            <w:t xml:space="preserve">, M. H., &amp; </w:t>
          </w:r>
          <w:proofErr w:type="spellStart"/>
          <w:r w:rsidRPr="003B0C52">
            <w:rPr>
              <w:rFonts w:ascii="Times New Roman" w:eastAsia="Times New Roman" w:hAnsi="Times New Roman" w:cs="Times New Roman"/>
              <w:color w:val="000000"/>
            </w:rPr>
            <w:t>Paparu</w:t>
          </w:r>
          <w:proofErr w:type="spellEnd"/>
          <w:r w:rsidRPr="003B0C52">
            <w:rPr>
              <w:rFonts w:ascii="Times New Roman" w:eastAsia="Times New Roman" w:hAnsi="Times New Roman" w:cs="Times New Roman"/>
              <w:color w:val="000000"/>
            </w:rPr>
            <w:t xml:space="preserve">, P. (2023). The cost of inadequate postharvest management of pulse grain: Farmer losses due to handling and storage practices in Uganda. </w:t>
          </w:r>
          <w:r w:rsidRPr="003B0C52">
            <w:rPr>
              <w:rFonts w:ascii="Times New Roman" w:eastAsia="Times New Roman" w:hAnsi="Times New Roman" w:cs="Times New Roman"/>
              <w:i/>
              <w:iCs/>
              <w:color w:val="000000"/>
            </w:rPr>
            <w:t>Agriculture and Food Security</w:t>
          </w:r>
          <w:r w:rsidRPr="003B0C52">
            <w:rPr>
              <w:rFonts w:ascii="Times New Roman" w:eastAsia="Times New Roman" w:hAnsi="Times New Roman" w:cs="Times New Roman"/>
              <w:color w:val="000000"/>
            </w:rPr>
            <w:t xml:space="preserve">, </w:t>
          </w:r>
          <w:r w:rsidRPr="003B0C52">
            <w:rPr>
              <w:rFonts w:ascii="Times New Roman" w:eastAsia="Times New Roman" w:hAnsi="Times New Roman" w:cs="Times New Roman"/>
              <w:i/>
              <w:iCs/>
              <w:color w:val="000000"/>
            </w:rPr>
            <w:t>12</w:t>
          </w:r>
          <w:r w:rsidRPr="003B0C52">
            <w:rPr>
              <w:rFonts w:ascii="Times New Roman" w:eastAsia="Times New Roman" w:hAnsi="Times New Roman" w:cs="Times New Roman"/>
              <w:color w:val="000000"/>
            </w:rPr>
            <w:t>(1). https://doi.org/10.1186/s40066-023-00423-7</w:t>
          </w:r>
        </w:p>
        <w:p w14:paraId="74E824D4" w14:textId="77777777" w:rsidR="00F611F9" w:rsidRPr="003B0C52" w:rsidRDefault="00F611F9" w:rsidP="003B0C52">
          <w:pPr>
            <w:autoSpaceDE w:val="0"/>
            <w:autoSpaceDN w:val="0"/>
            <w:spacing w:line="240" w:lineRule="auto"/>
            <w:ind w:hanging="480"/>
            <w:divId w:val="574095686"/>
            <w:rPr>
              <w:rFonts w:ascii="Times New Roman" w:eastAsia="Times New Roman" w:hAnsi="Times New Roman" w:cs="Times New Roman"/>
              <w:color w:val="000000"/>
            </w:rPr>
          </w:pPr>
          <w:r w:rsidRPr="003B0C52">
            <w:rPr>
              <w:rFonts w:ascii="Times New Roman" w:eastAsia="Times New Roman" w:hAnsi="Times New Roman" w:cs="Times New Roman"/>
              <w:color w:val="000000"/>
            </w:rPr>
            <w:t xml:space="preserve">Chen, V. Y. J., &amp; Yang, Y. C. (2024). Geographically weighted regression analysis for nonnegative continuous outcomes: An application to Taiwan dengue data. </w:t>
          </w:r>
          <w:proofErr w:type="spellStart"/>
          <w:r w:rsidRPr="003B0C52">
            <w:rPr>
              <w:rFonts w:ascii="Times New Roman" w:eastAsia="Times New Roman" w:hAnsi="Times New Roman" w:cs="Times New Roman"/>
              <w:i/>
              <w:iCs/>
              <w:color w:val="000000"/>
            </w:rPr>
            <w:t>PLoS</w:t>
          </w:r>
          <w:proofErr w:type="spellEnd"/>
          <w:r w:rsidRPr="003B0C52">
            <w:rPr>
              <w:rFonts w:ascii="Times New Roman" w:eastAsia="Times New Roman" w:hAnsi="Times New Roman" w:cs="Times New Roman"/>
              <w:i/>
              <w:iCs/>
              <w:color w:val="000000"/>
            </w:rPr>
            <w:t xml:space="preserve"> ONE</w:t>
          </w:r>
          <w:r w:rsidRPr="003B0C52">
            <w:rPr>
              <w:rFonts w:ascii="Times New Roman" w:eastAsia="Times New Roman" w:hAnsi="Times New Roman" w:cs="Times New Roman"/>
              <w:color w:val="000000"/>
            </w:rPr>
            <w:t xml:space="preserve">, </w:t>
          </w:r>
          <w:r w:rsidRPr="003B0C52">
            <w:rPr>
              <w:rFonts w:ascii="Times New Roman" w:eastAsia="Times New Roman" w:hAnsi="Times New Roman" w:cs="Times New Roman"/>
              <w:i/>
              <w:iCs/>
              <w:color w:val="000000"/>
            </w:rPr>
            <w:t>19</w:t>
          </w:r>
          <w:r w:rsidRPr="003B0C52">
            <w:rPr>
              <w:rFonts w:ascii="Times New Roman" w:eastAsia="Times New Roman" w:hAnsi="Times New Roman" w:cs="Times New Roman"/>
              <w:color w:val="000000"/>
            </w:rPr>
            <w:t>(12 December). https://doi.org/10.1371/journal.pone.0315327</w:t>
          </w:r>
        </w:p>
        <w:p w14:paraId="08D9D507" w14:textId="77777777" w:rsidR="00F611F9" w:rsidRPr="003B0C52" w:rsidRDefault="00F611F9" w:rsidP="003B0C52">
          <w:pPr>
            <w:autoSpaceDE w:val="0"/>
            <w:autoSpaceDN w:val="0"/>
            <w:spacing w:line="240" w:lineRule="auto"/>
            <w:ind w:hanging="480"/>
            <w:divId w:val="1196308419"/>
            <w:rPr>
              <w:rFonts w:ascii="Times New Roman" w:eastAsia="Times New Roman" w:hAnsi="Times New Roman" w:cs="Times New Roman"/>
              <w:color w:val="000000"/>
            </w:rPr>
          </w:pPr>
          <w:r w:rsidRPr="003B0C52">
            <w:rPr>
              <w:rFonts w:ascii="Times New Roman" w:eastAsia="Times New Roman" w:hAnsi="Times New Roman" w:cs="Times New Roman"/>
              <w:color w:val="000000"/>
            </w:rPr>
            <w:t xml:space="preserve">Devine, S., </w:t>
          </w:r>
          <w:proofErr w:type="spellStart"/>
          <w:r w:rsidRPr="003B0C52">
            <w:rPr>
              <w:rFonts w:ascii="Times New Roman" w:eastAsia="Times New Roman" w:hAnsi="Times New Roman" w:cs="Times New Roman"/>
              <w:color w:val="000000"/>
            </w:rPr>
            <w:t>Uanhoro</w:t>
          </w:r>
          <w:proofErr w:type="spellEnd"/>
          <w:r w:rsidRPr="003B0C52">
            <w:rPr>
              <w:rFonts w:ascii="Times New Roman" w:eastAsia="Times New Roman" w:hAnsi="Times New Roman" w:cs="Times New Roman"/>
              <w:color w:val="000000"/>
            </w:rPr>
            <w:t xml:space="preserve">, J. O., Otto, A. R., &amp; Flake, J. K. (2024). Approaches for Quantifying the ICC in Multilevel Logistic Models: A Didactic Demonstration. </w:t>
          </w:r>
          <w:r w:rsidRPr="003B0C52">
            <w:rPr>
              <w:rFonts w:ascii="Times New Roman" w:eastAsia="Times New Roman" w:hAnsi="Times New Roman" w:cs="Times New Roman"/>
              <w:i/>
              <w:iCs/>
              <w:color w:val="000000"/>
            </w:rPr>
            <w:t>Collabra: Psychology</w:t>
          </w:r>
          <w:r w:rsidRPr="003B0C52">
            <w:rPr>
              <w:rFonts w:ascii="Times New Roman" w:eastAsia="Times New Roman" w:hAnsi="Times New Roman" w:cs="Times New Roman"/>
              <w:color w:val="000000"/>
            </w:rPr>
            <w:t xml:space="preserve">, </w:t>
          </w:r>
          <w:r w:rsidRPr="003B0C52">
            <w:rPr>
              <w:rFonts w:ascii="Times New Roman" w:eastAsia="Times New Roman" w:hAnsi="Times New Roman" w:cs="Times New Roman"/>
              <w:i/>
              <w:iCs/>
              <w:color w:val="000000"/>
            </w:rPr>
            <w:t>10</w:t>
          </w:r>
          <w:r w:rsidRPr="003B0C52">
            <w:rPr>
              <w:rFonts w:ascii="Times New Roman" w:eastAsia="Times New Roman" w:hAnsi="Times New Roman" w:cs="Times New Roman"/>
              <w:color w:val="000000"/>
            </w:rPr>
            <w:t>(1), 3175–3199. https://doi.org/10.1525/collabra.94263</w:t>
          </w:r>
        </w:p>
        <w:p w14:paraId="27CE1256" w14:textId="77777777" w:rsidR="00F611F9" w:rsidRPr="003B0C52" w:rsidRDefault="00F611F9" w:rsidP="003B0C52">
          <w:pPr>
            <w:autoSpaceDE w:val="0"/>
            <w:autoSpaceDN w:val="0"/>
            <w:spacing w:line="240" w:lineRule="auto"/>
            <w:ind w:hanging="480"/>
            <w:divId w:val="996108497"/>
            <w:rPr>
              <w:rFonts w:ascii="Times New Roman" w:eastAsia="Times New Roman" w:hAnsi="Times New Roman" w:cs="Times New Roman"/>
              <w:color w:val="000000"/>
            </w:rPr>
          </w:pPr>
          <w:r w:rsidRPr="003B0C52">
            <w:rPr>
              <w:rFonts w:ascii="Times New Roman" w:eastAsia="Times New Roman" w:hAnsi="Times New Roman" w:cs="Times New Roman"/>
              <w:color w:val="000000"/>
            </w:rPr>
            <w:lastRenderedPageBreak/>
            <w:t xml:space="preserve">Ferrari, S. L. P., &amp; </w:t>
          </w:r>
          <w:proofErr w:type="spellStart"/>
          <w:r w:rsidRPr="003B0C52">
            <w:rPr>
              <w:rFonts w:ascii="Times New Roman" w:eastAsia="Times New Roman" w:hAnsi="Times New Roman" w:cs="Times New Roman"/>
              <w:color w:val="000000"/>
            </w:rPr>
            <w:t>Cribari-Neto</w:t>
          </w:r>
          <w:proofErr w:type="spellEnd"/>
          <w:r w:rsidRPr="003B0C52">
            <w:rPr>
              <w:rFonts w:ascii="Times New Roman" w:eastAsia="Times New Roman" w:hAnsi="Times New Roman" w:cs="Times New Roman"/>
              <w:color w:val="000000"/>
            </w:rPr>
            <w:t xml:space="preserve">, F. (2004). Beta regression for modelling rates and proportions. </w:t>
          </w:r>
          <w:r w:rsidRPr="003B0C52">
            <w:rPr>
              <w:rFonts w:ascii="Times New Roman" w:eastAsia="Times New Roman" w:hAnsi="Times New Roman" w:cs="Times New Roman"/>
              <w:i/>
              <w:iCs/>
              <w:color w:val="000000"/>
            </w:rPr>
            <w:t>Journal of Applied Statistics</w:t>
          </w:r>
          <w:r w:rsidRPr="003B0C52">
            <w:rPr>
              <w:rFonts w:ascii="Times New Roman" w:eastAsia="Times New Roman" w:hAnsi="Times New Roman" w:cs="Times New Roman"/>
              <w:color w:val="000000"/>
            </w:rPr>
            <w:t xml:space="preserve">, </w:t>
          </w:r>
          <w:r w:rsidRPr="003B0C52">
            <w:rPr>
              <w:rFonts w:ascii="Times New Roman" w:eastAsia="Times New Roman" w:hAnsi="Times New Roman" w:cs="Times New Roman"/>
              <w:i/>
              <w:iCs/>
              <w:color w:val="000000"/>
            </w:rPr>
            <w:t>31</w:t>
          </w:r>
          <w:r w:rsidRPr="003B0C52">
            <w:rPr>
              <w:rFonts w:ascii="Times New Roman" w:eastAsia="Times New Roman" w:hAnsi="Times New Roman" w:cs="Times New Roman"/>
              <w:color w:val="000000"/>
            </w:rPr>
            <w:t>(7), 799–815. https://doi.org/10.1080/0266476042000214501</w:t>
          </w:r>
        </w:p>
        <w:p w14:paraId="27A227D7" w14:textId="77777777" w:rsidR="00F611F9" w:rsidRPr="003B0C52" w:rsidRDefault="00F611F9" w:rsidP="003B0C52">
          <w:pPr>
            <w:autoSpaceDE w:val="0"/>
            <w:autoSpaceDN w:val="0"/>
            <w:spacing w:line="240" w:lineRule="auto"/>
            <w:ind w:hanging="480"/>
            <w:divId w:val="181013382"/>
            <w:rPr>
              <w:rFonts w:ascii="Times New Roman" w:eastAsia="Times New Roman" w:hAnsi="Times New Roman" w:cs="Times New Roman"/>
              <w:color w:val="000000"/>
            </w:rPr>
          </w:pPr>
          <w:proofErr w:type="spellStart"/>
          <w:r w:rsidRPr="003B0C52">
            <w:rPr>
              <w:rFonts w:ascii="Times New Roman" w:eastAsia="Times New Roman" w:hAnsi="Times New Roman" w:cs="Times New Roman"/>
              <w:color w:val="000000"/>
            </w:rPr>
            <w:t>Geissinger</w:t>
          </w:r>
          <w:proofErr w:type="spellEnd"/>
          <w:r w:rsidRPr="003B0C52">
            <w:rPr>
              <w:rFonts w:ascii="Times New Roman" w:eastAsia="Times New Roman" w:hAnsi="Times New Roman" w:cs="Times New Roman"/>
              <w:color w:val="000000"/>
            </w:rPr>
            <w:t xml:space="preserve">, E. A., Khoo, C. L. L., Richmond, I. C., Faulkner, S. J. M., &amp; Schneider, D. C. (2022). A case for beta regression in the natural sciences. </w:t>
          </w:r>
          <w:r w:rsidRPr="003B0C52">
            <w:rPr>
              <w:rFonts w:ascii="Times New Roman" w:eastAsia="Times New Roman" w:hAnsi="Times New Roman" w:cs="Times New Roman"/>
              <w:i/>
              <w:iCs/>
              <w:color w:val="000000"/>
            </w:rPr>
            <w:t>Ecosphere</w:t>
          </w:r>
          <w:r w:rsidRPr="003B0C52">
            <w:rPr>
              <w:rFonts w:ascii="Times New Roman" w:eastAsia="Times New Roman" w:hAnsi="Times New Roman" w:cs="Times New Roman"/>
              <w:color w:val="000000"/>
            </w:rPr>
            <w:t xml:space="preserve">, </w:t>
          </w:r>
          <w:r w:rsidRPr="003B0C52">
            <w:rPr>
              <w:rFonts w:ascii="Times New Roman" w:eastAsia="Times New Roman" w:hAnsi="Times New Roman" w:cs="Times New Roman"/>
              <w:i/>
              <w:iCs/>
              <w:color w:val="000000"/>
            </w:rPr>
            <w:t>13</w:t>
          </w:r>
          <w:r w:rsidRPr="003B0C52">
            <w:rPr>
              <w:rFonts w:ascii="Times New Roman" w:eastAsia="Times New Roman" w:hAnsi="Times New Roman" w:cs="Times New Roman"/>
              <w:color w:val="000000"/>
            </w:rPr>
            <w:t>(2). https://doi.org/10.1002/ecs2.3940</w:t>
          </w:r>
        </w:p>
        <w:p w14:paraId="12DF183C" w14:textId="77777777" w:rsidR="00F611F9" w:rsidRPr="003B0C52" w:rsidRDefault="00F611F9" w:rsidP="003B0C52">
          <w:pPr>
            <w:autoSpaceDE w:val="0"/>
            <w:autoSpaceDN w:val="0"/>
            <w:spacing w:line="240" w:lineRule="auto"/>
            <w:ind w:hanging="480"/>
            <w:divId w:val="1389182849"/>
            <w:rPr>
              <w:rFonts w:ascii="Times New Roman" w:eastAsia="Times New Roman" w:hAnsi="Times New Roman" w:cs="Times New Roman"/>
              <w:color w:val="000000"/>
            </w:rPr>
          </w:pPr>
          <w:r w:rsidRPr="003B0C52">
            <w:rPr>
              <w:rFonts w:ascii="Times New Roman" w:eastAsia="Times New Roman" w:hAnsi="Times New Roman" w:cs="Times New Roman"/>
              <w:color w:val="000000"/>
            </w:rPr>
            <w:t xml:space="preserve">Khan, Md. K., &amp; Hasan, Md. T. (2022). A POISSON REGRESSION APPROACH TO MODELING TRAFFIC ACCIDENT FREQUENCY IN URBAN AREAS. </w:t>
          </w:r>
          <w:r w:rsidRPr="003B0C52">
            <w:rPr>
              <w:rFonts w:ascii="Times New Roman" w:eastAsia="Times New Roman" w:hAnsi="Times New Roman" w:cs="Times New Roman"/>
              <w:i/>
              <w:iCs/>
              <w:color w:val="000000"/>
            </w:rPr>
            <w:t>American Journal of Interdisciplinary Studies</w:t>
          </w:r>
          <w:r w:rsidRPr="003B0C52">
            <w:rPr>
              <w:rFonts w:ascii="Times New Roman" w:eastAsia="Times New Roman" w:hAnsi="Times New Roman" w:cs="Times New Roman"/>
              <w:color w:val="000000"/>
            </w:rPr>
            <w:t xml:space="preserve">, </w:t>
          </w:r>
          <w:r w:rsidRPr="003B0C52">
            <w:rPr>
              <w:rFonts w:ascii="Times New Roman" w:eastAsia="Times New Roman" w:hAnsi="Times New Roman" w:cs="Times New Roman"/>
              <w:i/>
              <w:iCs/>
              <w:color w:val="000000"/>
            </w:rPr>
            <w:t>03</w:t>
          </w:r>
          <w:r w:rsidRPr="003B0C52">
            <w:rPr>
              <w:rFonts w:ascii="Times New Roman" w:eastAsia="Times New Roman" w:hAnsi="Times New Roman" w:cs="Times New Roman"/>
              <w:color w:val="000000"/>
            </w:rPr>
            <w:t>(04), 117–156. https://doi.org/10.63125/wqh7pd07</w:t>
          </w:r>
        </w:p>
        <w:p w14:paraId="13B160F5" w14:textId="77777777" w:rsidR="00F611F9" w:rsidRPr="003B0C52" w:rsidRDefault="00F611F9" w:rsidP="003B0C52">
          <w:pPr>
            <w:autoSpaceDE w:val="0"/>
            <w:autoSpaceDN w:val="0"/>
            <w:spacing w:line="240" w:lineRule="auto"/>
            <w:ind w:hanging="480"/>
            <w:divId w:val="1830977420"/>
            <w:rPr>
              <w:rFonts w:ascii="Times New Roman" w:eastAsia="Times New Roman" w:hAnsi="Times New Roman" w:cs="Times New Roman"/>
              <w:color w:val="000000"/>
            </w:rPr>
          </w:pPr>
          <w:proofErr w:type="spellStart"/>
          <w:r w:rsidRPr="003B0C52">
            <w:rPr>
              <w:rFonts w:ascii="Times New Roman" w:eastAsia="Times New Roman" w:hAnsi="Times New Roman" w:cs="Times New Roman"/>
              <w:color w:val="000000"/>
            </w:rPr>
            <w:t>Levaj</w:t>
          </w:r>
          <w:proofErr w:type="spellEnd"/>
          <w:r w:rsidRPr="003B0C52">
            <w:rPr>
              <w:rFonts w:ascii="Times New Roman" w:eastAsia="Times New Roman" w:hAnsi="Times New Roman" w:cs="Times New Roman"/>
              <w:color w:val="000000"/>
            </w:rPr>
            <w:t xml:space="preserve">, B., </w:t>
          </w:r>
          <w:proofErr w:type="spellStart"/>
          <w:r w:rsidRPr="003B0C52">
            <w:rPr>
              <w:rFonts w:ascii="Times New Roman" w:eastAsia="Times New Roman" w:hAnsi="Times New Roman" w:cs="Times New Roman"/>
              <w:color w:val="000000"/>
            </w:rPr>
            <w:t>Pelaić</w:t>
          </w:r>
          <w:proofErr w:type="spellEnd"/>
          <w:r w:rsidRPr="003B0C52">
            <w:rPr>
              <w:rFonts w:ascii="Times New Roman" w:eastAsia="Times New Roman" w:hAnsi="Times New Roman" w:cs="Times New Roman"/>
              <w:color w:val="000000"/>
            </w:rPr>
            <w:t xml:space="preserve">, Z., </w:t>
          </w:r>
          <w:proofErr w:type="spellStart"/>
          <w:r w:rsidRPr="003B0C52">
            <w:rPr>
              <w:rFonts w:ascii="Times New Roman" w:eastAsia="Times New Roman" w:hAnsi="Times New Roman" w:cs="Times New Roman"/>
              <w:color w:val="000000"/>
            </w:rPr>
            <w:t>Galić</w:t>
          </w:r>
          <w:proofErr w:type="spellEnd"/>
          <w:r w:rsidRPr="003B0C52">
            <w:rPr>
              <w:rFonts w:ascii="Times New Roman" w:eastAsia="Times New Roman" w:hAnsi="Times New Roman" w:cs="Times New Roman"/>
              <w:color w:val="000000"/>
            </w:rPr>
            <w:t xml:space="preserve">, K., Kurek, M., </w:t>
          </w:r>
          <w:proofErr w:type="spellStart"/>
          <w:r w:rsidRPr="003B0C52">
            <w:rPr>
              <w:rFonts w:ascii="Times New Roman" w:eastAsia="Times New Roman" w:hAnsi="Times New Roman" w:cs="Times New Roman"/>
              <w:color w:val="000000"/>
            </w:rPr>
            <w:t>Ščetar</w:t>
          </w:r>
          <w:proofErr w:type="spellEnd"/>
          <w:r w:rsidRPr="003B0C52">
            <w:rPr>
              <w:rFonts w:ascii="Times New Roman" w:eastAsia="Times New Roman" w:hAnsi="Times New Roman" w:cs="Times New Roman"/>
              <w:color w:val="000000"/>
            </w:rPr>
            <w:t xml:space="preserve">, M., </w:t>
          </w:r>
          <w:proofErr w:type="spellStart"/>
          <w:r w:rsidRPr="003B0C52">
            <w:rPr>
              <w:rFonts w:ascii="Times New Roman" w:eastAsia="Times New Roman" w:hAnsi="Times New Roman" w:cs="Times New Roman"/>
              <w:color w:val="000000"/>
            </w:rPr>
            <w:t>Poljak</w:t>
          </w:r>
          <w:proofErr w:type="spellEnd"/>
          <w:r w:rsidRPr="003B0C52">
            <w:rPr>
              <w:rFonts w:ascii="Times New Roman" w:eastAsia="Times New Roman" w:hAnsi="Times New Roman" w:cs="Times New Roman"/>
              <w:color w:val="000000"/>
            </w:rPr>
            <w:t xml:space="preserve">, M., </w:t>
          </w:r>
          <w:proofErr w:type="spellStart"/>
          <w:r w:rsidRPr="003B0C52">
            <w:rPr>
              <w:rFonts w:ascii="Times New Roman" w:eastAsia="Times New Roman" w:hAnsi="Times New Roman" w:cs="Times New Roman"/>
              <w:color w:val="000000"/>
            </w:rPr>
            <w:t>Dite</w:t>
          </w:r>
          <w:proofErr w:type="spellEnd"/>
          <w:r w:rsidRPr="003B0C52">
            <w:rPr>
              <w:rFonts w:ascii="Times New Roman" w:eastAsia="Times New Roman" w:hAnsi="Times New Roman" w:cs="Times New Roman"/>
              <w:color w:val="000000"/>
            </w:rPr>
            <w:t xml:space="preserve"> </w:t>
          </w:r>
          <w:proofErr w:type="spellStart"/>
          <w:r w:rsidRPr="003B0C52">
            <w:rPr>
              <w:rFonts w:ascii="Times New Roman" w:eastAsia="Times New Roman" w:hAnsi="Times New Roman" w:cs="Times New Roman"/>
              <w:color w:val="000000"/>
            </w:rPr>
            <w:t>Hunjek</w:t>
          </w:r>
          <w:proofErr w:type="spellEnd"/>
          <w:r w:rsidRPr="003B0C52">
            <w:rPr>
              <w:rFonts w:ascii="Times New Roman" w:eastAsia="Times New Roman" w:hAnsi="Times New Roman" w:cs="Times New Roman"/>
              <w:color w:val="000000"/>
            </w:rPr>
            <w:t xml:space="preserve">, D., </w:t>
          </w:r>
          <w:proofErr w:type="spellStart"/>
          <w:r w:rsidRPr="003B0C52">
            <w:rPr>
              <w:rFonts w:ascii="Times New Roman" w:eastAsia="Times New Roman" w:hAnsi="Times New Roman" w:cs="Times New Roman"/>
              <w:color w:val="000000"/>
            </w:rPr>
            <w:t>Pedisić</w:t>
          </w:r>
          <w:proofErr w:type="spellEnd"/>
          <w:r w:rsidRPr="003B0C52">
            <w:rPr>
              <w:rFonts w:ascii="Times New Roman" w:eastAsia="Times New Roman" w:hAnsi="Times New Roman" w:cs="Times New Roman"/>
              <w:color w:val="000000"/>
            </w:rPr>
            <w:t xml:space="preserve">, S., </w:t>
          </w:r>
          <w:proofErr w:type="spellStart"/>
          <w:r w:rsidRPr="003B0C52">
            <w:rPr>
              <w:rFonts w:ascii="Times New Roman" w:eastAsia="Times New Roman" w:hAnsi="Times New Roman" w:cs="Times New Roman"/>
              <w:color w:val="000000"/>
            </w:rPr>
            <w:t>Balbino</w:t>
          </w:r>
          <w:proofErr w:type="spellEnd"/>
          <w:r w:rsidRPr="003B0C52">
            <w:rPr>
              <w:rFonts w:ascii="Times New Roman" w:eastAsia="Times New Roman" w:hAnsi="Times New Roman" w:cs="Times New Roman"/>
              <w:color w:val="000000"/>
            </w:rPr>
            <w:t xml:space="preserve">, S., </w:t>
          </w:r>
          <w:proofErr w:type="spellStart"/>
          <w:r w:rsidRPr="003B0C52">
            <w:rPr>
              <w:rFonts w:ascii="Times New Roman" w:eastAsia="Times New Roman" w:hAnsi="Times New Roman" w:cs="Times New Roman"/>
              <w:color w:val="000000"/>
            </w:rPr>
            <w:t>Čošić</w:t>
          </w:r>
          <w:proofErr w:type="spellEnd"/>
          <w:r w:rsidRPr="003B0C52">
            <w:rPr>
              <w:rFonts w:ascii="Times New Roman" w:eastAsia="Times New Roman" w:hAnsi="Times New Roman" w:cs="Times New Roman"/>
              <w:color w:val="000000"/>
            </w:rPr>
            <w:t xml:space="preserve">, Z., </w:t>
          </w:r>
          <w:proofErr w:type="spellStart"/>
          <w:r w:rsidRPr="003B0C52">
            <w:rPr>
              <w:rFonts w:ascii="Times New Roman" w:eastAsia="Times New Roman" w:hAnsi="Times New Roman" w:cs="Times New Roman"/>
              <w:color w:val="000000"/>
            </w:rPr>
            <w:t>Dujmić</w:t>
          </w:r>
          <w:proofErr w:type="spellEnd"/>
          <w:r w:rsidRPr="003B0C52">
            <w:rPr>
              <w:rFonts w:ascii="Times New Roman" w:eastAsia="Times New Roman" w:hAnsi="Times New Roman" w:cs="Times New Roman"/>
              <w:color w:val="000000"/>
            </w:rPr>
            <w:t xml:space="preserve">, F., &amp; </w:t>
          </w:r>
          <w:proofErr w:type="spellStart"/>
          <w:r w:rsidRPr="003B0C52">
            <w:rPr>
              <w:rFonts w:ascii="Times New Roman" w:eastAsia="Times New Roman" w:hAnsi="Times New Roman" w:cs="Times New Roman"/>
              <w:color w:val="000000"/>
            </w:rPr>
            <w:t>Repajić</w:t>
          </w:r>
          <w:proofErr w:type="spellEnd"/>
          <w:r w:rsidRPr="003B0C52">
            <w:rPr>
              <w:rFonts w:ascii="Times New Roman" w:eastAsia="Times New Roman" w:hAnsi="Times New Roman" w:cs="Times New Roman"/>
              <w:color w:val="000000"/>
            </w:rPr>
            <w:t xml:space="preserve">, M. (2023). Maintaining the Quality and Safety of Fresh-Cut Potatoes (Solanum tuberosum): Overview of Recent Findings and Approaches. In </w:t>
          </w:r>
          <w:r w:rsidRPr="003B0C52">
            <w:rPr>
              <w:rFonts w:ascii="Times New Roman" w:eastAsia="Times New Roman" w:hAnsi="Times New Roman" w:cs="Times New Roman"/>
              <w:i/>
              <w:iCs/>
              <w:color w:val="000000"/>
            </w:rPr>
            <w:t>Agronomy</w:t>
          </w:r>
          <w:r w:rsidRPr="003B0C52">
            <w:rPr>
              <w:rFonts w:ascii="Times New Roman" w:eastAsia="Times New Roman" w:hAnsi="Times New Roman" w:cs="Times New Roman"/>
              <w:color w:val="000000"/>
            </w:rPr>
            <w:t xml:space="preserve"> (Vol. 13, Number 8). Multidisciplinary Digital Publishing Institute (MDPI). https://doi.org/10.3390/agronomy13082002</w:t>
          </w:r>
        </w:p>
        <w:p w14:paraId="16E16276" w14:textId="77777777" w:rsidR="00F611F9" w:rsidRPr="003B0C52" w:rsidRDefault="00F611F9" w:rsidP="003B0C52">
          <w:pPr>
            <w:autoSpaceDE w:val="0"/>
            <w:autoSpaceDN w:val="0"/>
            <w:spacing w:line="240" w:lineRule="auto"/>
            <w:ind w:hanging="480"/>
            <w:divId w:val="1975790866"/>
            <w:rPr>
              <w:rFonts w:ascii="Times New Roman" w:eastAsia="Times New Roman" w:hAnsi="Times New Roman" w:cs="Times New Roman"/>
              <w:color w:val="000000"/>
            </w:rPr>
          </w:pPr>
          <w:r w:rsidRPr="003B0C52">
            <w:rPr>
              <w:rFonts w:ascii="Times New Roman" w:eastAsia="Times New Roman" w:hAnsi="Times New Roman" w:cs="Times New Roman"/>
              <w:color w:val="000000"/>
            </w:rPr>
            <w:t xml:space="preserve">Ma, Y., Sanchez, V., &amp; Guha, T. (2025). </w:t>
          </w:r>
          <w:r w:rsidRPr="003B0C52">
            <w:rPr>
              <w:rFonts w:ascii="Times New Roman" w:eastAsia="Times New Roman" w:hAnsi="Times New Roman" w:cs="Times New Roman"/>
              <w:i/>
              <w:iCs/>
              <w:color w:val="000000"/>
            </w:rPr>
            <w:t>ZIP: Scalable Crowd Counting via Zero-Inflated Poisson Modeling</w:t>
          </w:r>
          <w:r w:rsidRPr="003B0C52">
            <w:rPr>
              <w:rFonts w:ascii="Times New Roman" w:eastAsia="Times New Roman" w:hAnsi="Times New Roman" w:cs="Times New Roman"/>
              <w:color w:val="000000"/>
            </w:rPr>
            <w:t>. http://arxiv.org/abs/2506.19955</w:t>
          </w:r>
        </w:p>
        <w:p w14:paraId="5F8AF8F8" w14:textId="77777777" w:rsidR="00F611F9" w:rsidRPr="003B0C52" w:rsidRDefault="00F611F9" w:rsidP="003B0C52">
          <w:pPr>
            <w:autoSpaceDE w:val="0"/>
            <w:autoSpaceDN w:val="0"/>
            <w:spacing w:line="240" w:lineRule="auto"/>
            <w:ind w:hanging="480"/>
            <w:divId w:val="1435706415"/>
            <w:rPr>
              <w:rFonts w:ascii="Times New Roman" w:eastAsia="Times New Roman" w:hAnsi="Times New Roman" w:cs="Times New Roman"/>
              <w:color w:val="000000"/>
            </w:rPr>
          </w:pPr>
          <w:r w:rsidRPr="003B0C52">
            <w:rPr>
              <w:rFonts w:ascii="Times New Roman" w:eastAsia="Times New Roman" w:hAnsi="Times New Roman" w:cs="Times New Roman"/>
              <w:color w:val="000000"/>
            </w:rPr>
            <w:t xml:space="preserve">Marina Pare, B. A. (2025). Farmers’ groups and the intensity of cereal-based agroforestry practice in Burkina Faso. </w:t>
          </w:r>
          <w:r w:rsidRPr="003B0C52">
            <w:rPr>
              <w:rFonts w:ascii="Times New Roman" w:eastAsia="Times New Roman" w:hAnsi="Times New Roman" w:cs="Times New Roman"/>
              <w:i/>
              <w:iCs/>
              <w:color w:val="000000"/>
            </w:rPr>
            <w:t>Forests Trees and Livelihoods</w:t>
          </w:r>
          <w:r w:rsidRPr="003B0C52">
            <w:rPr>
              <w:rFonts w:ascii="Times New Roman" w:eastAsia="Times New Roman" w:hAnsi="Times New Roman" w:cs="Times New Roman"/>
              <w:color w:val="000000"/>
            </w:rPr>
            <w:t xml:space="preserve">, </w:t>
          </w:r>
          <w:r w:rsidRPr="003B0C52">
            <w:rPr>
              <w:rFonts w:ascii="Times New Roman" w:eastAsia="Times New Roman" w:hAnsi="Times New Roman" w:cs="Times New Roman"/>
              <w:i/>
              <w:iCs/>
              <w:color w:val="000000"/>
            </w:rPr>
            <w:t>34</w:t>
          </w:r>
          <w:r w:rsidRPr="003B0C52">
            <w:rPr>
              <w:rFonts w:ascii="Times New Roman" w:eastAsia="Times New Roman" w:hAnsi="Times New Roman" w:cs="Times New Roman"/>
              <w:color w:val="000000"/>
            </w:rPr>
            <w:t>(4), 301–314. https://doi.org/10.1080/14728028.2025.2526344</w:t>
          </w:r>
        </w:p>
        <w:p w14:paraId="717E3375" w14:textId="77777777" w:rsidR="00F611F9" w:rsidRPr="003B0C52" w:rsidRDefault="00F611F9" w:rsidP="003B0C52">
          <w:pPr>
            <w:autoSpaceDE w:val="0"/>
            <w:autoSpaceDN w:val="0"/>
            <w:spacing w:line="240" w:lineRule="auto"/>
            <w:ind w:hanging="480"/>
            <w:divId w:val="2002462269"/>
            <w:rPr>
              <w:rFonts w:ascii="Times New Roman" w:eastAsia="Times New Roman" w:hAnsi="Times New Roman" w:cs="Times New Roman"/>
              <w:color w:val="000000"/>
            </w:rPr>
          </w:pPr>
          <w:r w:rsidRPr="003B0C52">
            <w:rPr>
              <w:rFonts w:ascii="Times New Roman" w:eastAsia="Times New Roman" w:hAnsi="Times New Roman" w:cs="Times New Roman"/>
              <w:color w:val="000000"/>
            </w:rPr>
            <w:t xml:space="preserve">Mburu, J. M., </w:t>
          </w:r>
          <w:proofErr w:type="spellStart"/>
          <w:r w:rsidRPr="003B0C52">
            <w:rPr>
              <w:rFonts w:ascii="Times New Roman" w:eastAsia="Times New Roman" w:hAnsi="Times New Roman" w:cs="Times New Roman"/>
              <w:color w:val="000000"/>
            </w:rPr>
            <w:t>Oyugi</w:t>
          </w:r>
          <w:proofErr w:type="spellEnd"/>
          <w:r w:rsidRPr="003B0C52">
            <w:rPr>
              <w:rFonts w:ascii="Times New Roman" w:eastAsia="Times New Roman" w:hAnsi="Times New Roman" w:cs="Times New Roman"/>
              <w:color w:val="000000"/>
            </w:rPr>
            <w:t xml:space="preserve">, M. A., &amp; Makenzi, P. M. (2023). Influence of Access to Extension Services on Smallholder Farmers’ Use of Certified Seed Potatoes (CSPs) in </w:t>
          </w:r>
          <w:proofErr w:type="spellStart"/>
          <w:r w:rsidRPr="003B0C52">
            <w:rPr>
              <w:rFonts w:ascii="Times New Roman" w:eastAsia="Times New Roman" w:hAnsi="Times New Roman" w:cs="Times New Roman"/>
              <w:color w:val="000000"/>
            </w:rPr>
            <w:t>Kipipiri</w:t>
          </w:r>
          <w:proofErr w:type="spellEnd"/>
          <w:r w:rsidRPr="003B0C52">
            <w:rPr>
              <w:rFonts w:ascii="Times New Roman" w:eastAsia="Times New Roman" w:hAnsi="Times New Roman" w:cs="Times New Roman"/>
              <w:color w:val="000000"/>
            </w:rPr>
            <w:t xml:space="preserve"> Sub-County, Kenya. </w:t>
          </w:r>
          <w:r w:rsidRPr="003B0C52">
            <w:rPr>
              <w:rFonts w:ascii="Times New Roman" w:eastAsia="Times New Roman" w:hAnsi="Times New Roman" w:cs="Times New Roman"/>
              <w:i/>
              <w:iCs/>
              <w:color w:val="000000"/>
            </w:rPr>
            <w:t>Asian Journal of Agricultural Extension, Economics &amp; Sociology</w:t>
          </w:r>
          <w:r w:rsidRPr="003B0C52">
            <w:rPr>
              <w:rFonts w:ascii="Times New Roman" w:eastAsia="Times New Roman" w:hAnsi="Times New Roman" w:cs="Times New Roman"/>
              <w:color w:val="000000"/>
            </w:rPr>
            <w:t xml:space="preserve">, </w:t>
          </w:r>
          <w:r w:rsidRPr="003B0C52">
            <w:rPr>
              <w:rFonts w:ascii="Times New Roman" w:eastAsia="Times New Roman" w:hAnsi="Times New Roman" w:cs="Times New Roman"/>
              <w:i/>
              <w:iCs/>
              <w:color w:val="000000"/>
            </w:rPr>
            <w:t>41</w:t>
          </w:r>
          <w:r w:rsidRPr="003B0C52">
            <w:rPr>
              <w:rFonts w:ascii="Times New Roman" w:eastAsia="Times New Roman" w:hAnsi="Times New Roman" w:cs="Times New Roman"/>
              <w:color w:val="000000"/>
            </w:rPr>
            <w:t>(4), 169–177. https://doi.org/10.9734/ajaees/2023/v41i41891</w:t>
          </w:r>
        </w:p>
        <w:p w14:paraId="118908E4" w14:textId="77777777" w:rsidR="00F611F9" w:rsidRPr="003B0C52" w:rsidRDefault="00F611F9" w:rsidP="003B0C52">
          <w:pPr>
            <w:autoSpaceDE w:val="0"/>
            <w:autoSpaceDN w:val="0"/>
            <w:spacing w:line="240" w:lineRule="auto"/>
            <w:ind w:hanging="480"/>
            <w:divId w:val="812022748"/>
            <w:rPr>
              <w:rFonts w:ascii="Times New Roman" w:eastAsia="Times New Roman" w:hAnsi="Times New Roman" w:cs="Times New Roman"/>
              <w:color w:val="000000"/>
            </w:rPr>
          </w:pPr>
          <w:r w:rsidRPr="003B0C52">
            <w:rPr>
              <w:rFonts w:ascii="Times New Roman" w:eastAsia="Times New Roman" w:hAnsi="Times New Roman" w:cs="Times New Roman"/>
              <w:color w:val="000000"/>
            </w:rPr>
            <w:t xml:space="preserve">Morris, D. S., &amp; Sellers, K. F. (2022). A Flexible Mixed Model for Clustered Count Data. </w:t>
          </w:r>
          <w:r w:rsidRPr="003B0C52">
            <w:rPr>
              <w:rFonts w:ascii="Times New Roman" w:eastAsia="Times New Roman" w:hAnsi="Times New Roman" w:cs="Times New Roman"/>
              <w:i/>
              <w:iCs/>
              <w:color w:val="000000"/>
            </w:rPr>
            <w:t>Stats</w:t>
          </w:r>
          <w:r w:rsidRPr="003B0C52">
            <w:rPr>
              <w:rFonts w:ascii="Times New Roman" w:eastAsia="Times New Roman" w:hAnsi="Times New Roman" w:cs="Times New Roman"/>
              <w:color w:val="000000"/>
            </w:rPr>
            <w:t xml:space="preserve">, </w:t>
          </w:r>
          <w:r w:rsidRPr="003B0C52">
            <w:rPr>
              <w:rFonts w:ascii="Times New Roman" w:eastAsia="Times New Roman" w:hAnsi="Times New Roman" w:cs="Times New Roman"/>
              <w:i/>
              <w:iCs/>
              <w:color w:val="000000"/>
            </w:rPr>
            <w:t>5</w:t>
          </w:r>
          <w:r w:rsidRPr="003B0C52">
            <w:rPr>
              <w:rFonts w:ascii="Times New Roman" w:eastAsia="Times New Roman" w:hAnsi="Times New Roman" w:cs="Times New Roman"/>
              <w:color w:val="000000"/>
            </w:rPr>
            <w:t>(1), 52–69. https://doi.org/10.3390/stats5010004</w:t>
          </w:r>
        </w:p>
        <w:p w14:paraId="5126D032" w14:textId="77777777" w:rsidR="00F611F9" w:rsidRPr="003B0C52" w:rsidRDefault="00F611F9" w:rsidP="003B0C52">
          <w:pPr>
            <w:autoSpaceDE w:val="0"/>
            <w:autoSpaceDN w:val="0"/>
            <w:spacing w:line="240" w:lineRule="auto"/>
            <w:ind w:hanging="480"/>
            <w:divId w:val="783380686"/>
            <w:rPr>
              <w:rFonts w:ascii="Times New Roman" w:eastAsia="Times New Roman" w:hAnsi="Times New Roman" w:cs="Times New Roman"/>
              <w:color w:val="000000"/>
            </w:rPr>
          </w:pPr>
          <w:proofErr w:type="spellStart"/>
          <w:r w:rsidRPr="003B0C52">
            <w:rPr>
              <w:rFonts w:ascii="Times New Roman" w:eastAsia="Times New Roman" w:hAnsi="Times New Roman" w:cs="Times New Roman"/>
              <w:color w:val="000000"/>
            </w:rPr>
            <w:t>Mugo</w:t>
          </w:r>
          <w:proofErr w:type="spellEnd"/>
          <w:r w:rsidRPr="003B0C52">
            <w:rPr>
              <w:rFonts w:ascii="Times New Roman" w:eastAsia="Times New Roman" w:hAnsi="Times New Roman" w:cs="Times New Roman"/>
              <w:color w:val="000000"/>
            </w:rPr>
            <w:t xml:space="preserve">, J. N., Karanja, N. N., </w:t>
          </w:r>
          <w:proofErr w:type="spellStart"/>
          <w:r w:rsidRPr="003B0C52">
            <w:rPr>
              <w:rFonts w:ascii="Times New Roman" w:eastAsia="Times New Roman" w:hAnsi="Times New Roman" w:cs="Times New Roman"/>
              <w:color w:val="000000"/>
            </w:rPr>
            <w:t>Gachene</w:t>
          </w:r>
          <w:proofErr w:type="spellEnd"/>
          <w:r w:rsidRPr="003B0C52">
            <w:rPr>
              <w:rFonts w:ascii="Times New Roman" w:eastAsia="Times New Roman" w:hAnsi="Times New Roman" w:cs="Times New Roman"/>
              <w:color w:val="000000"/>
            </w:rPr>
            <w:t xml:space="preserve">, C. K., </w:t>
          </w:r>
          <w:proofErr w:type="spellStart"/>
          <w:r w:rsidRPr="003B0C52">
            <w:rPr>
              <w:rFonts w:ascii="Times New Roman" w:eastAsia="Times New Roman" w:hAnsi="Times New Roman" w:cs="Times New Roman"/>
              <w:color w:val="000000"/>
            </w:rPr>
            <w:t>Dittert</w:t>
          </w:r>
          <w:proofErr w:type="spellEnd"/>
          <w:r w:rsidRPr="003B0C52">
            <w:rPr>
              <w:rFonts w:ascii="Times New Roman" w:eastAsia="Times New Roman" w:hAnsi="Times New Roman" w:cs="Times New Roman"/>
              <w:color w:val="000000"/>
            </w:rPr>
            <w:t xml:space="preserve">, K., </w:t>
          </w:r>
          <w:proofErr w:type="spellStart"/>
          <w:r w:rsidRPr="003B0C52">
            <w:rPr>
              <w:rFonts w:ascii="Times New Roman" w:eastAsia="Times New Roman" w:hAnsi="Times New Roman" w:cs="Times New Roman"/>
              <w:color w:val="000000"/>
            </w:rPr>
            <w:t>Gitari</w:t>
          </w:r>
          <w:proofErr w:type="spellEnd"/>
          <w:r w:rsidRPr="003B0C52">
            <w:rPr>
              <w:rFonts w:ascii="Times New Roman" w:eastAsia="Times New Roman" w:hAnsi="Times New Roman" w:cs="Times New Roman"/>
              <w:color w:val="000000"/>
            </w:rPr>
            <w:t>, H. I., &amp; Schulte-</w:t>
          </w:r>
          <w:proofErr w:type="spellStart"/>
          <w:r w:rsidRPr="003B0C52">
            <w:rPr>
              <w:rFonts w:ascii="Times New Roman" w:eastAsia="Times New Roman" w:hAnsi="Times New Roman" w:cs="Times New Roman"/>
              <w:color w:val="000000"/>
            </w:rPr>
            <w:t>Geldermann</w:t>
          </w:r>
          <w:proofErr w:type="spellEnd"/>
          <w:r w:rsidRPr="003B0C52">
            <w:rPr>
              <w:rFonts w:ascii="Times New Roman" w:eastAsia="Times New Roman" w:hAnsi="Times New Roman" w:cs="Times New Roman"/>
              <w:color w:val="000000"/>
            </w:rPr>
            <w:t xml:space="preserve">, E. (2021). Response of potato crop to selected nutrients in central and eastern highlands of Kenya. </w:t>
          </w:r>
          <w:r w:rsidRPr="003B0C52">
            <w:rPr>
              <w:rFonts w:ascii="Times New Roman" w:eastAsia="Times New Roman" w:hAnsi="Times New Roman" w:cs="Times New Roman"/>
              <w:i/>
              <w:iCs/>
              <w:color w:val="000000"/>
            </w:rPr>
            <w:t>Cogent Food and Agriculture</w:t>
          </w:r>
          <w:r w:rsidRPr="003B0C52">
            <w:rPr>
              <w:rFonts w:ascii="Times New Roman" w:eastAsia="Times New Roman" w:hAnsi="Times New Roman" w:cs="Times New Roman"/>
              <w:color w:val="000000"/>
            </w:rPr>
            <w:t xml:space="preserve">, </w:t>
          </w:r>
          <w:r w:rsidRPr="003B0C52">
            <w:rPr>
              <w:rFonts w:ascii="Times New Roman" w:eastAsia="Times New Roman" w:hAnsi="Times New Roman" w:cs="Times New Roman"/>
              <w:i/>
              <w:iCs/>
              <w:color w:val="000000"/>
            </w:rPr>
            <w:t>7</w:t>
          </w:r>
          <w:r w:rsidRPr="003B0C52">
            <w:rPr>
              <w:rFonts w:ascii="Times New Roman" w:eastAsia="Times New Roman" w:hAnsi="Times New Roman" w:cs="Times New Roman"/>
              <w:color w:val="000000"/>
            </w:rPr>
            <w:t>(1). https://doi.org/10.1080/23311932.2021.1898762</w:t>
          </w:r>
        </w:p>
        <w:p w14:paraId="590DDEF0" w14:textId="77777777" w:rsidR="00F611F9" w:rsidRPr="003B0C52" w:rsidRDefault="00F611F9" w:rsidP="003B0C52">
          <w:pPr>
            <w:autoSpaceDE w:val="0"/>
            <w:autoSpaceDN w:val="0"/>
            <w:spacing w:line="240" w:lineRule="auto"/>
            <w:ind w:hanging="480"/>
            <w:divId w:val="1757051381"/>
            <w:rPr>
              <w:rFonts w:ascii="Times New Roman" w:eastAsia="Times New Roman" w:hAnsi="Times New Roman" w:cs="Times New Roman"/>
              <w:color w:val="000000"/>
            </w:rPr>
          </w:pPr>
          <w:proofErr w:type="spellStart"/>
          <w:r w:rsidRPr="003B0C52">
            <w:rPr>
              <w:rFonts w:ascii="Times New Roman" w:eastAsia="Times New Roman" w:hAnsi="Times New Roman" w:cs="Times New Roman"/>
              <w:color w:val="000000"/>
            </w:rPr>
            <w:t>Mwakidoshi</w:t>
          </w:r>
          <w:proofErr w:type="spellEnd"/>
          <w:r w:rsidRPr="003B0C52">
            <w:rPr>
              <w:rFonts w:ascii="Times New Roman" w:eastAsia="Times New Roman" w:hAnsi="Times New Roman" w:cs="Times New Roman"/>
              <w:color w:val="000000"/>
            </w:rPr>
            <w:t xml:space="preserve">, E. R. (2021). Economic Importance, Ecological Requirements and Production Constraints of Potato (Solanum tuberosum L.) in Kenya. </w:t>
          </w:r>
          <w:r w:rsidRPr="003B0C52">
            <w:rPr>
              <w:rFonts w:ascii="Times New Roman" w:eastAsia="Times New Roman" w:hAnsi="Times New Roman" w:cs="Times New Roman"/>
              <w:i/>
              <w:iCs/>
              <w:color w:val="000000"/>
            </w:rPr>
            <w:t>International Journal of Bioresource Science</w:t>
          </w:r>
          <w:r w:rsidRPr="003B0C52">
            <w:rPr>
              <w:rFonts w:ascii="Times New Roman" w:eastAsia="Times New Roman" w:hAnsi="Times New Roman" w:cs="Times New Roman"/>
              <w:color w:val="000000"/>
            </w:rPr>
            <w:t xml:space="preserve">, </w:t>
          </w:r>
          <w:r w:rsidRPr="003B0C52">
            <w:rPr>
              <w:rFonts w:ascii="Times New Roman" w:eastAsia="Times New Roman" w:hAnsi="Times New Roman" w:cs="Times New Roman"/>
              <w:i/>
              <w:iCs/>
              <w:color w:val="000000"/>
            </w:rPr>
            <w:t>8</w:t>
          </w:r>
          <w:r w:rsidRPr="003B0C52">
            <w:rPr>
              <w:rFonts w:ascii="Times New Roman" w:eastAsia="Times New Roman" w:hAnsi="Times New Roman" w:cs="Times New Roman"/>
              <w:color w:val="000000"/>
            </w:rPr>
            <w:t>(2). https://doi.org/10.30954/2347-9655.02.2021.1</w:t>
          </w:r>
        </w:p>
        <w:p w14:paraId="042E6FB0" w14:textId="77777777" w:rsidR="00F611F9" w:rsidRPr="003B0C52" w:rsidRDefault="00F611F9" w:rsidP="003B0C52">
          <w:pPr>
            <w:autoSpaceDE w:val="0"/>
            <w:autoSpaceDN w:val="0"/>
            <w:spacing w:line="240" w:lineRule="auto"/>
            <w:ind w:hanging="480"/>
            <w:divId w:val="2051570702"/>
            <w:rPr>
              <w:rFonts w:ascii="Times New Roman" w:eastAsia="Times New Roman" w:hAnsi="Times New Roman" w:cs="Times New Roman"/>
              <w:color w:val="000000"/>
            </w:rPr>
          </w:pPr>
          <w:proofErr w:type="spellStart"/>
          <w:r w:rsidRPr="003B0C52">
            <w:rPr>
              <w:rFonts w:ascii="Times New Roman" w:eastAsia="Times New Roman" w:hAnsi="Times New Roman" w:cs="Times New Roman"/>
              <w:color w:val="000000"/>
            </w:rPr>
            <w:t>Olakiumide</w:t>
          </w:r>
          <w:proofErr w:type="spellEnd"/>
          <w:r w:rsidRPr="003B0C52">
            <w:rPr>
              <w:rFonts w:ascii="Times New Roman" w:eastAsia="Times New Roman" w:hAnsi="Times New Roman" w:cs="Times New Roman"/>
              <w:color w:val="000000"/>
            </w:rPr>
            <w:t xml:space="preserve">, O. (2021). </w:t>
          </w:r>
          <w:r w:rsidRPr="003B0C52">
            <w:rPr>
              <w:rFonts w:ascii="Times New Roman" w:eastAsia="Times New Roman" w:hAnsi="Times New Roman" w:cs="Times New Roman"/>
              <w:i/>
              <w:iCs/>
              <w:color w:val="000000"/>
            </w:rPr>
            <w:t>Post-Harvest Loss Reduction: Enhancing Food Security and Economic Sustainability</w:t>
          </w:r>
          <w:r w:rsidRPr="003B0C52">
            <w:rPr>
              <w:rFonts w:ascii="Times New Roman" w:eastAsia="Times New Roman" w:hAnsi="Times New Roman" w:cs="Times New Roman"/>
              <w:color w:val="000000"/>
            </w:rPr>
            <w:t>. https://hdpublication.com/index.php/jss</w:t>
          </w:r>
        </w:p>
        <w:p w14:paraId="047F65E5" w14:textId="77777777" w:rsidR="00F611F9" w:rsidRPr="003B0C52" w:rsidRDefault="00F611F9" w:rsidP="003B0C52">
          <w:pPr>
            <w:autoSpaceDE w:val="0"/>
            <w:autoSpaceDN w:val="0"/>
            <w:spacing w:line="240" w:lineRule="auto"/>
            <w:ind w:hanging="480"/>
            <w:divId w:val="1094087995"/>
            <w:rPr>
              <w:rFonts w:ascii="Times New Roman" w:eastAsia="Times New Roman" w:hAnsi="Times New Roman" w:cs="Times New Roman"/>
              <w:color w:val="000000"/>
            </w:rPr>
          </w:pPr>
          <w:r w:rsidRPr="003B0C52">
            <w:rPr>
              <w:rFonts w:ascii="Times New Roman" w:eastAsia="Times New Roman" w:hAnsi="Times New Roman" w:cs="Times New Roman"/>
              <w:i/>
              <w:iCs/>
              <w:color w:val="000000"/>
            </w:rPr>
            <w:t>Post-Harvest-Losses-of-Cereals-in-Developing-Countries-A-Review</w:t>
          </w:r>
          <w:r w:rsidRPr="003B0C52">
            <w:rPr>
              <w:rFonts w:ascii="Times New Roman" w:eastAsia="Times New Roman" w:hAnsi="Times New Roman" w:cs="Times New Roman"/>
              <w:color w:val="000000"/>
            </w:rPr>
            <w:t>. (n.d.).</w:t>
          </w:r>
        </w:p>
        <w:p w14:paraId="2674A316" w14:textId="77777777" w:rsidR="00F611F9" w:rsidRPr="003B0C52" w:rsidRDefault="00F611F9" w:rsidP="003B0C52">
          <w:pPr>
            <w:autoSpaceDE w:val="0"/>
            <w:autoSpaceDN w:val="0"/>
            <w:spacing w:line="240" w:lineRule="auto"/>
            <w:ind w:hanging="480"/>
            <w:divId w:val="1822576478"/>
            <w:rPr>
              <w:rFonts w:ascii="Times New Roman" w:eastAsia="Times New Roman" w:hAnsi="Times New Roman" w:cs="Times New Roman"/>
              <w:color w:val="000000"/>
            </w:rPr>
          </w:pPr>
          <w:proofErr w:type="spellStart"/>
          <w:r w:rsidRPr="003B0C52">
            <w:rPr>
              <w:rFonts w:ascii="Times New Roman" w:eastAsia="Times New Roman" w:hAnsi="Times New Roman" w:cs="Times New Roman"/>
              <w:color w:val="000000"/>
            </w:rPr>
            <w:t>Saha</w:t>
          </w:r>
          <w:proofErr w:type="spellEnd"/>
          <w:r w:rsidRPr="003B0C52">
            <w:rPr>
              <w:rFonts w:ascii="Times New Roman" w:eastAsia="Times New Roman" w:hAnsi="Times New Roman" w:cs="Times New Roman"/>
              <w:color w:val="000000"/>
            </w:rPr>
            <w:t xml:space="preserve">, A., </w:t>
          </w:r>
          <w:proofErr w:type="spellStart"/>
          <w:r w:rsidRPr="003B0C52">
            <w:rPr>
              <w:rFonts w:ascii="Times New Roman" w:eastAsia="Times New Roman" w:hAnsi="Times New Roman" w:cs="Times New Roman"/>
              <w:color w:val="000000"/>
            </w:rPr>
            <w:t>Gandrakota</w:t>
          </w:r>
          <w:proofErr w:type="spellEnd"/>
          <w:r w:rsidRPr="003B0C52">
            <w:rPr>
              <w:rFonts w:ascii="Times New Roman" w:eastAsia="Times New Roman" w:hAnsi="Times New Roman" w:cs="Times New Roman"/>
              <w:color w:val="000000"/>
            </w:rPr>
            <w:t xml:space="preserve">, A., &amp; Morozov, A. V. (2026). </w:t>
          </w:r>
          <w:r w:rsidRPr="003B0C52">
            <w:rPr>
              <w:rFonts w:ascii="Times New Roman" w:eastAsia="Times New Roman" w:hAnsi="Times New Roman" w:cs="Times New Roman"/>
              <w:i/>
              <w:iCs/>
              <w:color w:val="000000"/>
            </w:rPr>
            <w:t>Poisson Log-Normal Process for Count Data Prediction</w:t>
          </w:r>
          <w:r w:rsidRPr="003B0C52">
            <w:rPr>
              <w:rFonts w:ascii="Times New Roman" w:eastAsia="Times New Roman" w:hAnsi="Times New Roman" w:cs="Times New Roman"/>
              <w:color w:val="000000"/>
            </w:rPr>
            <w:t>. http://arxiv.org/abs/2602.05926</w:t>
          </w:r>
        </w:p>
        <w:p w14:paraId="63A152DD" w14:textId="77777777" w:rsidR="00F611F9" w:rsidRPr="003B0C52" w:rsidRDefault="00F611F9" w:rsidP="003B0C52">
          <w:pPr>
            <w:autoSpaceDE w:val="0"/>
            <w:autoSpaceDN w:val="0"/>
            <w:spacing w:line="240" w:lineRule="auto"/>
            <w:ind w:hanging="480"/>
            <w:divId w:val="1419476251"/>
            <w:rPr>
              <w:rFonts w:ascii="Times New Roman" w:eastAsia="Times New Roman" w:hAnsi="Times New Roman" w:cs="Times New Roman"/>
              <w:color w:val="000000"/>
            </w:rPr>
          </w:pPr>
          <w:r w:rsidRPr="003B0C52">
            <w:rPr>
              <w:rFonts w:ascii="Times New Roman" w:eastAsia="Times New Roman" w:hAnsi="Times New Roman" w:cs="Times New Roman"/>
              <w:color w:val="000000"/>
            </w:rPr>
            <w:t xml:space="preserve">Yonas, M., </w:t>
          </w:r>
          <w:proofErr w:type="spellStart"/>
          <w:r w:rsidRPr="003B0C52">
            <w:rPr>
              <w:rFonts w:ascii="Times New Roman" w:eastAsia="Times New Roman" w:hAnsi="Times New Roman" w:cs="Times New Roman"/>
              <w:color w:val="000000"/>
            </w:rPr>
            <w:t>Ashenafi</w:t>
          </w:r>
          <w:proofErr w:type="spellEnd"/>
          <w:r w:rsidRPr="003B0C52">
            <w:rPr>
              <w:rFonts w:ascii="Times New Roman" w:eastAsia="Times New Roman" w:hAnsi="Times New Roman" w:cs="Times New Roman"/>
              <w:color w:val="000000"/>
            </w:rPr>
            <w:t xml:space="preserve">, F., Kidane, D., &amp; </w:t>
          </w:r>
          <w:proofErr w:type="spellStart"/>
          <w:r w:rsidRPr="003B0C52">
            <w:rPr>
              <w:rFonts w:ascii="Times New Roman" w:eastAsia="Times New Roman" w:hAnsi="Times New Roman" w:cs="Times New Roman"/>
              <w:color w:val="000000"/>
            </w:rPr>
            <w:t>Welegerima</w:t>
          </w:r>
          <w:proofErr w:type="spellEnd"/>
          <w:r w:rsidRPr="003B0C52">
            <w:rPr>
              <w:rFonts w:ascii="Times New Roman" w:eastAsia="Times New Roman" w:hAnsi="Times New Roman" w:cs="Times New Roman"/>
              <w:color w:val="000000"/>
            </w:rPr>
            <w:t xml:space="preserve">, K. (2021). Stored-grain losses and management practices among smallholder cereal farmers in Northern Ethiopia. </w:t>
          </w:r>
          <w:r w:rsidRPr="003B0C52">
            <w:rPr>
              <w:rFonts w:ascii="Times New Roman" w:eastAsia="Times New Roman" w:hAnsi="Times New Roman" w:cs="Times New Roman"/>
              <w:i/>
              <w:iCs/>
              <w:color w:val="000000"/>
            </w:rPr>
            <w:lastRenderedPageBreak/>
            <w:t>International Journal of Pest Management</w:t>
          </w:r>
          <w:r w:rsidRPr="003B0C52">
            <w:rPr>
              <w:rFonts w:ascii="Times New Roman" w:eastAsia="Times New Roman" w:hAnsi="Times New Roman" w:cs="Times New Roman"/>
              <w:color w:val="000000"/>
            </w:rPr>
            <w:t xml:space="preserve">, </w:t>
          </w:r>
          <w:r w:rsidRPr="003B0C52">
            <w:rPr>
              <w:rFonts w:ascii="Times New Roman" w:eastAsia="Times New Roman" w:hAnsi="Times New Roman" w:cs="Times New Roman"/>
              <w:i/>
              <w:iCs/>
              <w:color w:val="000000"/>
            </w:rPr>
            <w:t>68</w:t>
          </w:r>
          <w:r w:rsidRPr="003B0C52">
            <w:rPr>
              <w:rFonts w:ascii="Times New Roman" w:eastAsia="Times New Roman" w:hAnsi="Times New Roman" w:cs="Times New Roman"/>
              <w:color w:val="000000"/>
            </w:rPr>
            <w:t>(1), 59–68. https://doi.org/10.1080/09670874.2020.1795301</w:t>
          </w:r>
        </w:p>
        <w:p w14:paraId="3EF4DA40" w14:textId="77777777" w:rsidR="00F611F9" w:rsidRPr="003B0C52" w:rsidRDefault="00F611F9" w:rsidP="003B0C52">
          <w:pPr>
            <w:autoSpaceDE w:val="0"/>
            <w:autoSpaceDN w:val="0"/>
            <w:spacing w:line="240" w:lineRule="auto"/>
            <w:ind w:hanging="480"/>
            <w:divId w:val="1671130347"/>
            <w:rPr>
              <w:rFonts w:ascii="Times New Roman" w:eastAsia="Times New Roman" w:hAnsi="Times New Roman" w:cs="Times New Roman"/>
              <w:color w:val="000000"/>
            </w:rPr>
          </w:pPr>
          <w:proofErr w:type="spellStart"/>
          <w:r w:rsidRPr="003B0C52">
            <w:rPr>
              <w:rFonts w:ascii="Times New Roman" w:eastAsia="Times New Roman" w:hAnsi="Times New Roman" w:cs="Times New Roman"/>
              <w:color w:val="000000"/>
            </w:rPr>
            <w:t>Zsögön</w:t>
          </w:r>
          <w:proofErr w:type="spellEnd"/>
          <w:r w:rsidRPr="003B0C52">
            <w:rPr>
              <w:rFonts w:ascii="Times New Roman" w:eastAsia="Times New Roman" w:hAnsi="Times New Roman" w:cs="Times New Roman"/>
              <w:color w:val="000000"/>
            </w:rPr>
            <w:t xml:space="preserve">, A., Peres, L. E. P., Xiao, Y., Yan, J., &amp; </w:t>
          </w:r>
          <w:proofErr w:type="spellStart"/>
          <w:r w:rsidRPr="003B0C52">
            <w:rPr>
              <w:rFonts w:ascii="Times New Roman" w:eastAsia="Times New Roman" w:hAnsi="Times New Roman" w:cs="Times New Roman"/>
              <w:color w:val="000000"/>
            </w:rPr>
            <w:t>Fernie</w:t>
          </w:r>
          <w:proofErr w:type="spellEnd"/>
          <w:r w:rsidRPr="003B0C52">
            <w:rPr>
              <w:rFonts w:ascii="Times New Roman" w:eastAsia="Times New Roman" w:hAnsi="Times New Roman" w:cs="Times New Roman"/>
              <w:color w:val="000000"/>
            </w:rPr>
            <w:t xml:space="preserve">, A. R. (2022). Enhancing crop diversity for food security in the face of climate uncertainty. </w:t>
          </w:r>
          <w:r w:rsidRPr="003B0C52">
            <w:rPr>
              <w:rFonts w:ascii="Times New Roman" w:eastAsia="Times New Roman" w:hAnsi="Times New Roman" w:cs="Times New Roman"/>
              <w:i/>
              <w:iCs/>
              <w:color w:val="000000"/>
            </w:rPr>
            <w:t>Plant Journal</w:t>
          </w:r>
          <w:r w:rsidRPr="003B0C52">
            <w:rPr>
              <w:rFonts w:ascii="Times New Roman" w:eastAsia="Times New Roman" w:hAnsi="Times New Roman" w:cs="Times New Roman"/>
              <w:color w:val="000000"/>
            </w:rPr>
            <w:t xml:space="preserve">, </w:t>
          </w:r>
          <w:r w:rsidRPr="003B0C52">
            <w:rPr>
              <w:rFonts w:ascii="Times New Roman" w:eastAsia="Times New Roman" w:hAnsi="Times New Roman" w:cs="Times New Roman"/>
              <w:i/>
              <w:iCs/>
              <w:color w:val="000000"/>
            </w:rPr>
            <w:t>109</w:t>
          </w:r>
          <w:r w:rsidRPr="003B0C52">
            <w:rPr>
              <w:rFonts w:ascii="Times New Roman" w:eastAsia="Times New Roman" w:hAnsi="Times New Roman" w:cs="Times New Roman"/>
              <w:color w:val="000000"/>
            </w:rPr>
            <w:t>(2), 402–414. https://doi.org/10.1111/tpj.15626</w:t>
          </w:r>
        </w:p>
        <w:p w14:paraId="1E6A2EA7" w14:textId="27DAD7FF" w:rsidR="00F611F9" w:rsidRPr="003B0C52" w:rsidRDefault="00F611F9" w:rsidP="003B0C52">
          <w:pPr>
            <w:spacing w:line="240" w:lineRule="auto"/>
            <w:rPr>
              <w:rFonts w:ascii="Times New Roman" w:hAnsi="Times New Roman" w:cs="Times New Roman"/>
            </w:rPr>
          </w:pPr>
          <w:r w:rsidRPr="003B0C52">
            <w:rPr>
              <w:rFonts w:ascii="Times New Roman" w:eastAsia="Times New Roman" w:hAnsi="Times New Roman" w:cs="Times New Roman"/>
              <w:color w:val="000000"/>
            </w:rPr>
            <w:t> </w:t>
          </w:r>
        </w:p>
      </w:sdtContent>
    </w:sdt>
    <w:p w14:paraId="66DC4424" w14:textId="77777777" w:rsidR="00F611F9" w:rsidRPr="003B0C52" w:rsidRDefault="00F611F9" w:rsidP="003B0C52">
      <w:pPr>
        <w:pStyle w:val="NoSpacing"/>
        <w:jc w:val="both"/>
        <w:rPr>
          <w:rFonts w:ascii="Times New Roman" w:hAnsi="Times New Roman" w:cs="Times New Roman"/>
        </w:rPr>
      </w:pPr>
    </w:p>
    <w:sectPr w:rsidR="00F611F9" w:rsidRPr="003B0C52">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930F3" w14:textId="77777777" w:rsidR="008C3309" w:rsidRDefault="008C3309" w:rsidP="00EB2B80">
      <w:pPr>
        <w:spacing w:after="0" w:line="240" w:lineRule="auto"/>
      </w:pPr>
      <w:r>
        <w:separator/>
      </w:r>
    </w:p>
  </w:endnote>
  <w:endnote w:type="continuationSeparator" w:id="0">
    <w:p w14:paraId="22D11F40" w14:textId="77777777" w:rsidR="008C3309" w:rsidRDefault="008C3309" w:rsidP="00EB2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23472" w14:textId="77777777" w:rsidR="00EB2B80" w:rsidRDefault="00EB2B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82CEA" w14:textId="77777777" w:rsidR="00EB2B80" w:rsidRDefault="00EB2B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05B55" w14:textId="77777777" w:rsidR="00EB2B80" w:rsidRDefault="00EB2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C1DC2" w14:textId="77777777" w:rsidR="008C3309" w:rsidRDefault="008C3309" w:rsidP="00EB2B80">
      <w:pPr>
        <w:spacing w:after="0" w:line="240" w:lineRule="auto"/>
      </w:pPr>
      <w:r>
        <w:separator/>
      </w:r>
    </w:p>
  </w:footnote>
  <w:footnote w:type="continuationSeparator" w:id="0">
    <w:p w14:paraId="4ED35D27" w14:textId="77777777" w:rsidR="008C3309" w:rsidRDefault="008C3309" w:rsidP="00EB2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E5843" w14:textId="3679475F" w:rsidR="00EB2B80" w:rsidRDefault="00EB2B80">
    <w:pPr>
      <w:pStyle w:val="Header"/>
    </w:pPr>
    <w:r>
      <w:rPr>
        <w:noProof/>
      </w:rPr>
      <w:pict w14:anchorId="16AAEE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2511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1CDD5" w14:textId="1570F37D" w:rsidR="00EB2B80" w:rsidRDefault="00EB2B80">
    <w:pPr>
      <w:pStyle w:val="Header"/>
    </w:pPr>
    <w:r>
      <w:rPr>
        <w:noProof/>
      </w:rPr>
      <w:pict w14:anchorId="7A1BB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2511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E508A" w14:textId="79CE3DA7" w:rsidR="00EB2B80" w:rsidRDefault="00EB2B80">
    <w:pPr>
      <w:pStyle w:val="Header"/>
    </w:pPr>
    <w:r>
      <w:rPr>
        <w:noProof/>
      </w:rPr>
      <w:pict w14:anchorId="701F3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2511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52E5"/>
    <w:multiLevelType w:val="multilevel"/>
    <w:tmpl w:val="DBFE2F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D79"/>
    <w:rsid w:val="00072090"/>
    <w:rsid w:val="000D1E8C"/>
    <w:rsid w:val="000D7148"/>
    <w:rsid w:val="00166BBA"/>
    <w:rsid w:val="001A4066"/>
    <w:rsid w:val="001E3807"/>
    <w:rsid w:val="00270BED"/>
    <w:rsid w:val="002D26E1"/>
    <w:rsid w:val="002E4D15"/>
    <w:rsid w:val="003A3B00"/>
    <w:rsid w:val="003B0C52"/>
    <w:rsid w:val="00424364"/>
    <w:rsid w:val="00437DD0"/>
    <w:rsid w:val="004920B5"/>
    <w:rsid w:val="00502733"/>
    <w:rsid w:val="005A22AE"/>
    <w:rsid w:val="005A586F"/>
    <w:rsid w:val="00655197"/>
    <w:rsid w:val="006771D8"/>
    <w:rsid w:val="006F0D79"/>
    <w:rsid w:val="0075761C"/>
    <w:rsid w:val="00757F37"/>
    <w:rsid w:val="007C2009"/>
    <w:rsid w:val="007C2F14"/>
    <w:rsid w:val="007F0CE3"/>
    <w:rsid w:val="008358EF"/>
    <w:rsid w:val="008A59B2"/>
    <w:rsid w:val="008C3309"/>
    <w:rsid w:val="00914A31"/>
    <w:rsid w:val="009242DD"/>
    <w:rsid w:val="00AE4901"/>
    <w:rsid w:val="00AE5419"/>
    <w:rsid w:val="00B26F26"/>
    <w:rsid w:val="00B32DA8"/>
    <w:rsid w:val="00C71BD4"/>
    <w:rsid w:val="00D657FD"/>
    <w:rsid w:val="00EB2B80"/>
    <w:rsid w:val="00ED4CCF"/>
    <w:rsid w:val="00F61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43715E"/>
  <w15:chartTrackingRefBased/>
  <w15:docId w15:val="{01B5B30E-E16F-4A1F-B67F-274C2518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D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F0D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F0D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F0D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0D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0D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D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D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D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D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F0D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F0D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F0D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0D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0D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D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D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D79"/>
    <w:rPr>
      <w:rFonts w:eastAsiaTheme="majorEastAsia" w:cstheme="majorBidi"/>
      <w:color w:val="272727" w:themeColor="text1" w:themeTint="D8"/>
    </w:rPr>
  </w:style>
  <w:style w:type="paragraph" w:styleId="Title">
    <w:name w:val="Title"/>
    <w:basedOn w:val="Normal"/>
    <w:next w:val="Normal"/>
    <w:link w:val="TitleChar"/>
    <w:uiPriority w:val="10"/>
    <w:qFormat/>
    <w:rsid w:val="006F0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D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D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D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D79"/>
    <w:pPr>
      <w:spacing w:before="160"/>
      <w:jc w:val="center"/>
    </w:pPr>
    <w:rPr>
      <w:i/>
      <w:iCs/>
      <w:color w:val="404040" w:themeColor="text1" w:themeTint="BF"/>
    </w:rPr>
  </w:style>
  <w:style w:type="character" w:customStyle="1" w:styleId="QuoteChar">
    <w:name w:val="Quote Char"/>
    <w:basedOn w:val="DefaultParagraphFont"/>
    <w:link w:val="Quote"/>
    <w:uiPriority w:val="29"/>
    <w:rsid w:val="006F0D79"/>
    <w:rPr>
      <w:i/>
      <w:iCs/>
      <w:color w:val="404040" w:themeColor="text1" w:themeTint="BF"/>
    </w:rPr>
  </w:style>
  <w:style w:type="paragraph" w:styleId="ListParagraph">
    <w:name w:val="List Paragraph"/>
    <w:basedOn w:val="Normal"/>
    <w:uiPriority w:val="34"/>
    <w:qFormat/>
    <w:rsid w:val="006F0D79"/>
    <w:pPr>
      <w:ind w:left="720"/>
      <w:contextualSpacing/>
    </w:pPr>
  </w:style>
  <w:style w:type="character" w:styleId="IntenseEmphasis">
    <w:name w:val="Intense Emphasis"/>
    <w:basedOn w:val="DefaultParagraphFont"/>
    <w:uiPriority w:val="21"/>
    <w:qFormat/>
    <w:rsid w:val="006F0D79"/>
    <w:rPr>
      <w:i/>
      <w:iCs/>
      <w:color w:val="2F5496" w:themeColor="accent1" w:themeShade="BF"/>
    </w:rPr>
  </w:style>
  <w:style w:type="paragraph" w:styleId="IntenseQuote">
    <w:name w:val="Intense Quote"/>
    <w:basedOn w:val="Normal"/>
    <w:next w:val="Normal"/>
    <w:link w:val="IntenseQuoteChar"/>
    <w:uiPriority w:val="30"/>
    <w:qFormat/>
    <w:rsid w:val="006F0D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0D79"/>
    <w:rPr>
      <w:i/>
      <w:iCs/>
      <w:color w:val="2F5496" w:themeColor="accent1" w:themeShade="BF"/>
    </w:rPr>
  </w:style>
  <w:style w:type="character" w:styleId="IntenseReference">
    <w:name w:val="Intense Reference"/>
    <w:basedOn w:val="DefaultParagraphFont"/>
    <w:uiPriority w:val="32"/>
    <w:qFormat/>
    <w:rsid w:val="006F0D79"/>
    <w:rPr>
      <w:b/>
      <w:bCs/>
      <w:smallCaps/>
      <w:color w:val="2F5496" w:themeColor="accent1" w:themeShade="BF"/>
      <w:spacing w:val="5"/>
    </w:rPr>
  </w:style>
  <w:style w:type="character" w:styleId="Hyperlink">
    <w:name w:val="Hyperlink"/>
    <w:basedOn w:val="DefaultParagraphFont"/>
    <w:uiPriority w:val="99"/>
    <w:unhideWhenUsed/>
    <w:rsid w:val="006F0D79"/>
    <w:rPr>
      <w:color w:val="0563C1" w:themeColor="hyperlink"/>
      <w:u w:val="single"/>
    </w:rPr>
  </w:style>
  <w:style w:type="character" w:styleId="PlaceholderText">
    <w:name w:val="Placeholder Text"/>
    <w:basedOn w:val="DefaultParagraphFont"/>
    <w:uiPriority w:val="99"/>
    <w:semiHidden/>
    <w:rsid w:val="006F0D79"/>
    <w:rPr>
      <w:color w:val="666666"/>
    </w:rPr>
  </w:style>
  <w:style w:type="table" w:styleId="TableGrid">
    <w:name w:val="Table Grid"/>
    <w:basedOn w:val="TableNormal"/>
    <w:uiPriority w:val="39"/>
    <w:rsid w:val="006F0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0D79"/>
    <w:pPr>
      <w:spacing w:after="0" w:line="240" w:lineRule="auto"/>
    </w:pPr>
  </w:style>
  <w:style w:type="paragraph" w:styleId="TOCHeading">
    <w:name w:val="TOC Heading"/>
    <w:basedOn w:val="Heading1"/>
    <w:next w:val="Normal"/>
    <w:uiPriority w:val="39"/>
    <w:unhideWhenUsed/>
    <w:qFormat/>
    <w:rsid w:val="006F0D79"/>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6F0D79"/>
    <w:pPr>
      <w:spacing w:after="100"/>
    </w:pPr>
  </w:style>
  <w:style w:type="paragraph" w:styleId="TOC2">
    <w:name w:val="toc 2"/>
    <w:basedOn w:val="Normal"/>
    <w:next w:val="Normal"/>
    <w:autoRedefine/>
    <w:uiPriority w:val="39"/>
    <w:unhideWhenUsed/>
    <w:rsid w:val="006F0D79"/>
    <w:pPr>
      <w:spacing w:after="100"/>
      <w:ind w:left="240"/>
    </w:pPr>
  </w:style>
  <w:style w:type="paragraph" w:styleId="TOC3">
    <w:name w:val="toc 3"/>
    <w:basedOn w:val="Normal"/>
    <w:next w:val="Normal"/>
    <w:autoRedefine/>
    <w:uiPriority w:val="39"/>
    <w:unhideWhenUsed/>
    <w:rsid w:val="006F0D79"/>
    <w:pPr>
      <w:spacing w:after="100"/>
      <w:ind w:left="480"/>
    </w:pPr>
  </w:style>
  <w:style w:type="paragraph" w:styleId="Caption">
    <w:name w:val="caption"/>
    <w:basedOn w:val="Normal"/>
    <w:next w:val="Normal"/>
    <w:uiPriority w:val="35"/>
    <w:unhideWhenUsed/>
    <w:qFormat/>
    <w:rsid w:val="006F0D79"/>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6F0D79"/>
    <w:pPr>
      <w:spacing w:after="0"/>
    </w:pPr>
  </w:style>
  <w:style w:type="paragraph" w:styleId="Header">
    <w:name w:val="header"/>
    <w:basedOn w:val="Normal"/>
    <w:link w:val="HeaderChar"/>
    <w:uiPriority w:val="99"/>
    <w:unhideWhenUsed/>
    <w:rsid w:val="006F0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D79"/>
  </w:style>
  <w:style w:type="paragraph" w:styleId="Footer">
    <w:name w:val="footer"/>
    <w:basedOn w:val="Normal"/>
    <w:link w:val="FooterChar"/>
    <w:uiPriority w:val="99"/>
    <w:unhideWhenUsed/>
    <w:rsid w:val="006F0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D79"/>
  </w:style>
  <w:style w:type="character" w:styleId="UnresolvedMention">
    <w:name w:val="Unresolved Mention"/>
    <w:basedOn w:val="DefaultParagraphFont"/>
    <w:uiPriority w:val="99"/>
    <w:semiHidden/>
    <w:unhideWhenUsed/>
    <w:rsid w:val="007C2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9704">
      <w:marLeft w:val="480"/>
      <w:marRight w:val="0"/>
      <w:marTop w:val="0"/>
      <w:marBottom w:val="0"/>
      <w:divBdr>
        <w:top w:val="none" w:sz="0" w:space="0" w:color="auto"/>
        <w:left w:val="none" w:sz="0" w:space="0" w:color="auto"/>
        <w:bottom w:val="none" w:sz="0" w:space="0" w:color="auto"/>
        <w:right w:val="none" w:sz="0" w:space="0" w:color="auto"/>
      </w:divBdr>
    </w:div>
    <w:div w:id="181013382">
      <w:marLeft w:val="480"/>
      <w:marRight w:val="0"/>
      <w:marTop w:val="0"/>
      <w:marBottom w:val="0"/>
      <w:divBdr>
        <w:top w:val="none" w:sz="0" w:space="0" w:color="auto"/>
        <w:left w:val="none" w:sz="0" w:space="0" w:color="auto"/>
        <w:bottom w:val="none" w:sz="0" w:space="0" w:color="auto"/>
        <w:right w:val="none" w:sz="0" w:space="0" w:color="auto"/>
      </w:divBdr>
    </w:div>
    <w:div w:id="574095686">
      <w:marLeft w:val="480"/>
      <w:marRight w:val="0"/>
      <w:marTop w:val="0"/>
      <w:marBottom w:val="0"/>
      <w:divBdr>
        <w:top w:val="none" w:sz="0" w:space="0" w:color="auto"/>
        <w:left w:val="none" w:sz="0" w:space="0" w:color="auto"/>
        <w:bottom w:val="none" w:sz="0" w:space="0" w:color="auto"/>
        <w:right w:val="none" w:sz="0" w:space="0" w:color="auto"/>
      </w:divBdr>
    </w:div>
    <w:div w:id="698050902">
      <w:marLeft w:val="480"/>
      <w:marRight w:val="0"/>
      <w:marTop w:val="0"/>
      <w:marBottom w:val="0"/>
      <w:divBdr>
        <w:top w:val="none" w:sz="0" w:space="0" w:color="auto"/>
        <w:left w:val="none" w:sz="0" w:space="0" w:color="auto"/>
        <w:bottom w:val="none" w:sz="0" w:space="0" w:color="auto"/>
        <w:right w:val="none" w:sz="0" w:space="0" w:color="auto"/>
      </w:divBdr>
    </w:div>
    <w:div w:id="783380686">
      <w:marLeft w:val="480"/>
      <w:marRight w:val="0"/>
      <w:marTop w:val="0"/>
      <w:marBottom w:val="0"/>
      <w:divBdr>
        <w:top w:val="none" w:sz="0" w:space="0" w:color="auto"/>
        <w:left w:val="none" w:sz="0" w:space="0" w:color="auto"/>
        <w:bottom w:val="none" w:sz="0" w:space="0" w:color="auto"/>
        <w:right w:val="none" w:sz="0" w:space="0" w:color="auto"/>
      </w:divBdr>
    </w:div>
    <w:div w:id="812022748">
      <w:marLeft w:val="480"/>
      <w:marRight w:val="0"/>
      <w:marTop w:val="0"/>
      <w:marBottom w:val="0"/>
      <w:divBdr>
        <w:top w:val="none" w:sz="0" w:space="0" w:color="auto"/>
        <w:left w:val="none" w:sz="0" w:space="0" w:color="auto"/>
        <w:bottom w:val="none" w:sz="0" w:space="0" w:color="auto"/>
        <w:right w:val="none" w:sz="0" w:space="0" w:color="auto"/>
      </w:divBdr>
    </w:div>
    <w:div w:id="996108497">
      <w:marLeft w:val="480"/>
      <w:marRight w:val="0"/>
      <w:marTop w:val="0"/>
      <w:marBottom w:val="0"/>
      <w:divBdr>
        <w:top w:val="none" w:sz="0" w:space="0" w:color="auto"/>
        <w:left w:val="none" w:sz="0" w:space="0" w:color="auto"/>
        <w:bottom w:val="none" w:sz="0" w:space="0" w:color="auto"/>
        <w:right w:val="none" w:sz="0" w:space="0" w:color="auto"/>
      </w:divBdr>
    </w:div>
    <w:div w:id="1094087995">
      <w:marLeft w:val="480"/>
      <w:marRight w:val="0"/>
      <w:marTop w:val="0"/>
      <w:marBottom w:val="0"/>
      <w:divBdr>
        <w:top w:val="none" w:sz="0" w:space="0" w:color="auto"/>
        <w:left w:val="none" w:sz="0" w:space="0" w:color="auto"/>
        <w:bottom w:val="none" w:sz="0" w:space="0" w:color="auto"/>
        <w:right w:val="none" w:sz="0" w:space="0" w:color="auto"/>
      </w:divBdr>
    </w:div>
    <w:div w:id="1196308419">
      <w:marLeft w:val="480"/>
      <w:marRight w:val="0"/>
      <w:marTop w:val="0"/>
      <w:marBottom w:val="0"/>
      <w:divBdr>
        <w:top w:val="none" w:sz="0" w:space="0" w:color="auto"/>
        <w:left w:val="none" w:sz="0" w:space="0" w:color="auto"/>
        <w:bottom w:val="none" w:sz="0" w:space="0" w:color="auto"/>
        <w:right w:val="none" w:sz="0" w:space="0" w:color="auto"/>
      </w:divBdr>
    </w:div>
    <w:div w:id="1235899885">
      <w:marLeft w:val="480"/>
      <w:marRight w:val="0"/>
      <w:marTop w:val="0"/>
      <w:marBottom w:val="0"/>
      <w:divBdr>
        <w:top w:val="none" w:sz="0" w:space="0" w:color="auto"/>
        <w:left w:val="none" w:sz="0" w:space="0" w:color="auto"/>
        <w:bottom w:val="none" w:sz="0" w:space="0" w:color="auto"/>
        <w:right w:val="none" w:sz="0" w:space="0" w:color="auto"/>
      </w:divBdr>
    </w:div>
    <w:div w:id="1389182849">
      <w:marLeft w:val="480"/>
      <w:marRight w:val="0"/>
      <w:marTop w:val="0"/>
      <w:marBottom w:val="0"/>
      <w:divBdr>
        <w:top w:val="none" w:sz="0" w:space="0" w:color="auto"/>
        <w:left w:val="none" w:sz="0" w:space="0" w:color="auto"/>
        <w:bottom w:val="none" w:sz="0" w:space="0" w:color="auto"/>
        <w:right w:val="none" w:sz="0" w:space="0" w:color="auto"/>
      </w:divBdr>
    </w:div>
    <w:div w:id="1419476251">
      <w:marLeft w:val="480"/>
      <w:marRight w:val="0"/>
      <w:marTop w:val="0"/>
      <w:marBottom w:val="0"/>
      <w:divBdr>
        <w:top w:val="none" w:sz="0" w:space="0" w:color="auto"/>
        <w:left w:val="none" w:sz="0" w:space="0" w:color="auto"/>
        <w:bottom w:val="none" w:sz="0" w:space="0" w:color="auto"/>
        <w:right w:val="none" w:sz="0" w:space="0" w:color="auto"/>
      </w:divBdr>
    </w:div>
    <w:div w:id="1435706415">
      <w:marLeft w:val="480"/>
      <w:marRight w:val="0"/>
      <w:marTop w:val="0"/>
      <w:marBottom w:val="0"/>
      <w:divBdr>
        <w:top w:val="none" w:sz="0" w:space="0" w:color="auto"/>
        <w:left w:val="none" w:sz="0" w:space="0" w:color="auto"/>
        <w:bottom w:val="none" w:sz="0" w:space="0" w:color="auto"/>
        <w:right w:val="none" w:sz="0" w:space="0" w:color="auto"/>
      </w:divBdr>
    </w:div>
    <w:div w:id="1671130347">
      <w:marLeft w:val="480"/>
      <w:marRight w:val="0"/>
      <w:marTop w:val="0"/>
      <w:marBottom w:val="0"/>
      <w:divBdr>
        <w:top w:val="none" w:sz="0" w:space="0" w:color="auto"/>
        <w:left w:val="none" w:sz="0" w:space="0" w:color="auto"/>
        <w:bottom w:val="none" w:sz="0" w:space="0" w:color="auto"/>
        <w:right w:val="none" w:sz="0" w:space="0" w:color="auto"/>
      </w:divBdr>
    </w:div>
    <w:div w:id="1757051381">
      <w:marLeft w:val="480"/>
      <w:marRight w:val="0"/>
      <w:marTop w:val="0"/>
      <w:marBottom w:val="0"/>
      <w:divBdr>
        <w:top w:val="none" w:sz="0" w:space="0" w:color="auto"/>
        <w:left w:val="none" w:sz="0" w:space="0" w:color="auto"/>
        <w:bottom w:val="none" w:sz="0" w:space="0" w:color="auto"/>
        <w:right w:val="none" w:sz="0" w:space="0" w:color="auto"/>
      </w:divBdr>
    </w:div>
    <w:div w:id="1822576478">
      <w:marLeft w:val="480"/>
      <w:marRight w:val="0"/>
      <w:marTop w:val="0"/>
      <w:marBottom w:val="0"/>
      <w:divBdr>
        <w:top w:val="none" w:sz="0" w:space="0" w:color="auto"/>
        <w:left w:val="none" w:sz="0" w:space="0" w:color="auto"/>
        <w:bottom w:val="none" w:sz="0" w:space="0" w:color="auto"/>
        <w:right w:val="none" w:sz="0" w:space="0" w:color="auto"/>
      </w:divBdr>
    </w:div>
    <w:div w:id="1830977420">
      <w:marLeft w:val="480"/>
      <w:marRight w:val="0"/>
      <w:marTop w:val="0"/>
      <w:marBottom w:val="0"/>
      <w:divBdr>
        <w:top w:val="none" w:sz="0" w:space="0" w:color="auto"/>
        <w:left w:val="none" w:sz="0" w:space="0" w:color="auto"/>
        <w:bottom w:val="none" w:sz="0" w:space="0" w:color="auto"/>
        <w:right w:val="none" w:sz="0" w:space="0" w:color="auto"/>
      </w:divBdr>
    </w:div>
    <w:div w:id="1975790866">
      <w:marLeft w:val="480"/>
      <w:marRight w:val="0"/>
      <w:marTop w:val="0"/>
      <w:marBottom w:val="0"/>
      <w:divBdr>
        <w:top w:val="none" w:sz="0" w:space="0" w:color="auto"/>
        <w:left w:val="none" w:sz="0" w:space="0" w:color="auto"/>
        <w:bottom w:val="none" w:sz="0" w:space="0" w:color="auto"/>
        <w:right w:val="none" w:sz="0" w:space="0" w:color="auto"/>
      </w:divBdr>
    </w:div>
    <w:div w:id="2002462269">
      <w:marLeft w:val="480"/>
      <w:marRight w:val="0"/>
      <w:marTop w:val="0"/>
      <w:marBottom w:val="0"/>
      <w:divBdr>
        <w:top w:val="none" w:sz="0" w:space="0" w:color="auto"/>
        <w:left w:val="none" w:sz="0" w:space="0" w:color="auto"/>
        <w:bottom w:val="none" w:sz="0" w:space="0" w:color="auto"/>
        <w:right w:val="none" w:sz="0" w:space="0" w:color="auto"/>
      </w:divBdr>
    </w:div>
    <w:div w:id="2051570702">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FB3147C4C44538BC1BA27EBA71E0E8"/>
        <w:category>
          <w:name w:val="General"/>
          <w:gallery w:val="placeholder"/>
        </w:category>
        <w:types>
          <w:type w:val="bbPlcHdr"/>
        </w:types>
        <w:behaviors>
          <w:behavior w:val="content"/>
        </w:behaviors>
        <w:guid w:val="{BD9C9378-D895-4A5A-AF82-83B6EBC595C0}"/>
      </w:docPartPr>
      <w:docPartBody>
        <w:p w:rsidR="00A76DC0" w:rsidRDefault="005E4C15" w:rsidP="005E4C15">
          <w:pPr>
            <w:pStyle w:val="65FB3147C4C44538BC1BA27EBA71E0E8"/>
          </w:pPr>
          <w:r w:rsidRPr="00DF0A77">
            <w:rPr>
              <w:rStyle w:val="PlaceholderText"/>
            </w:rPr>
            <w:t>Click or tap here to enter text.</w:t>
          </w:r>
        </w:p>
      </w:docPartBody>
    </w:docPart>
    <w:docPart>
      <w:docPartPr>
        <w:name w:val="0951B184AB3745D6BCFAB56990B8B883"/>
        <w:category>
          <w:name w:val="General"/>
          <w:gallery w:val="placeholder"/>
        </w:category>
        <w:types>
          <w:type w:val="bbPlcHdr"/>
        </w:types>
        <w:behaviors>
          <w:behavior w:val="content"/>
        </w:behaviors>
        <w:guid w:val="{11F804DC-E544-4381-BA07-F20227FB66A3}"/>
      </w:docPartPr>
      <w:docPartBody>
        <w:p w:rsidR="00A76DC0" w:rsidRDefault="005E4C15" w:rsidP="005E4C15">
          <w:pPr>
            <w:pStyle w:val="0951B184AB3745D6BCFAB56990B8B883"/>
          </w:pPr>
          <w:r w:rsidRPr="00DF0A77">
            <w:rPr>
              <w:rStyle w:val="PlaceholderText"/>
            </w:rPr>
            <w:t>Click or tap here to enter text.</w:t>
          </w:r>
        </w:p>
      </w:docPartBody>
    </w:docPart>
    <w:docPart>
      <w:docPartPr>
        <w:name w:val="FEE97E92E78E469A9E42D0A329741840"/>
        <w:category>
          <w:name w:val="General"/>
          <w:gallery w:val="placeholder"/>
        </w:category>
        <w:types>
          <w:type w:val="bbPlcHdr"/>
        </w:types>
        <w:behaviors>
          <w:behavior w:val="content"/>
        </w:behaviors>
        <w:guid w:val="{DEC7FA18-A99A-4925-90DA-142F9942BBBC}"/>
      </w:docPartPr>
      <w:docPartBody>
        <w:p w:rsidR="00A76DC0" w:rsidRDefault="005E4C15" w:rsidP="005E4C15">
          <w:pPr>
            <w:pStyle w:val="FEE97E92E78E469A9E42D0A329741840"/>
          </w:pPr>
          <w:r w:rsidRPr="00DF0A77">
            <w:rPr>
              <w:rStyle w:val="PlaceholderText"/>
            </w:rPr>
            <w:t>Click or tap here to enter text.</w:t>
          </w:r>
        </w:p>
      </w:docPartBody>
    </w:docPart>
    <w:docPart>
      <w:docPartPr>
        <w:name w:val="E4F3727B80994DD3B06B933B054E4E69"/>
        <w:category>
          <w:name w:val="General"/>
          <w:gallery w:val="placeholder"/>
        </w:category>
        <w:types>
          <w:type w:val="bbPlcHdr"/>
        </w:types>
        <w:behaviors>
          <w:behavior w:val="content"/>
        </w:behaviors>
        <w:guid w:val="{E072C725-4DBD-4416-811C-5A11961945BD}"/>
      </w:docPartPr>
      <w:docPartBody>
        <w:p w:rsidR="00A76DC0" w:rsidRDefault="005E4C15" w:rsidP="005E4C15">
          <w:pPr>
            <w:pStyle w:val="E4F3727B80994DD3B06B933B054E4E69"/>
          </w:pPr>
          <w:r w:rsidRPr="00DF0A77">
            <w:rPr>
              <w:rStyle w:val="PlaceholderText"/>
            </w:rPr>
            <w:t>Click or tap here to enter text.</w:t>
          </w:r>
        </w:p>
      </w:docPartBody>
    </w:docPart>
    <w:docPart>
      <w:docPartPr>
        <w:name w:val="04FC6EF0E7C34A2FAB436D52F96F448F"/>
        <w:category>
          <w:name w:val="General"/>
          <w:gallery w:val="placeholder"/>
        </w:category>
        <w:types>
          <w:type w:val="bbPlcHdr"/>
        </w:types>
        <w:behaviors>
          <w:behavior w:val="content"/>
        </w:behaviors>
        <w:guid w:val="{57A6CFBA-7A90-4B81-8EBF-8098D73FC16B}"/>
      </w:docPartPr>
      <w:docPartBody>
        <w:p w:rsidR="00A76DC0" w:rsidRDefault="005E4C15" w:rsidP="005E4C15">
          <w:pPr>
            <w:pStyle w:val="04FC6EF0E7C34A2FAB436D52F96F448F"/>
          </w:pPr>
          <w:r w:rsidRPr="00DF0A77">
            <w:rPr>
              <w:rStyle w:val="PlaceholderText"/>
            </w:rPr>
            <w:t>Click or tap here to enter text.</w:t>
          </w:r>
        </w:p>
      </w:docPartBody>
    </w:docPart>
    <w:docPart>
      <w:docPartPr>
        <w:name w:val="C2671109D8E94522837BCAF42FCC5F9C"/>
        <w:category>
          <w:name w:val="General"/>
          <w:gallery w:val="placeholder"/>
        </w:category>
        <w:types>
          <w:type w:val="bbPlcHdr"/>
        </w:types>
        <w:behaviors>
          <w:behavior w:val="content"/>
        </w:behaviors>
        <w:guid w:val="{40A42F16-3577-493C-8630-BB3CA8E3616E}"/>
      </w:docPartPr>
      <w:docPartBody>
        <w:p w:rsidR="00A76DC0" w:rsidRDefault="005E4C15" w:rsidP="005E4C15">
          <w:pPr>
            <w:pStyle w:val="C2671109D8E94522837BCAF42FCC5F9C"/>
          </w:pPr>
          <w:r w:rsidRPr="00DF0A77">
            <w:rPr>
              <w:rStyle w:val="PlaceholderText"/>
            </w:rPr>
            <w:t>Click or tap here to enter text.</w:t>
          </w:r>
        </w:p>
      </w:docPartBody>
    </w:docPart>
    <w:docPart>
      <w:docPartPr>
        <w:name w:val="5BFD738DA0024DB4BEF01CA2847C5ECC"/>
        <w:category>
          <w:name w:val="General"/>
          <w:gallery w:val="placeholder"/>
        </w:category>
        <w:types>
          <w:type w:val="bbPlcHdr"/>
        </w:types>
        <w:behaviors>
          <w:behavior w:val="content"/>
        </w:behaviors>
        <w:guid w:val="{697CD60C-B608-41D8-B7D7-AA28C61C6297}"/>
      </w:docPartPr>
      <w:docPartBody>
        <w:p w:rsidR="00A76DC0" w:rsidRDefault="005E4C15" w:rsidP="005E4C15">
          <w:pPr>
            <w:pStyle w:val="5BFD738DA0024DB4BEF01CA2847C5ECC"/>
          </w:pPr>
          <w:r w:rsidRPr="00DF0A77">
            <w:rPr>
              <w:rStyle w:val="PlaceholderText"/>
            </w:rPr>
            <w:t>Click or tap here to enter text.</w:t>
          </w:r>
        </w:p>
      </w:docPartBody>
    </w:docPart>
    <w:docPart>
      <w:docPartPr>
        <w:name w:val="362633488D044C03B23899C367ABC14C"/>
        <w:category>
          <w:name w:val="General"/>
          <w:gallery w:val="placeholder"/>
        </w:category>
        <w:types>
          <w:type w:val="bbPlcHdr"/>
        </w:types>
        <w:behaviors>
          <w:behavior w:val="content"/>
        </w:behaviors>
        <w:guid w:val="{7AE64103-48C1-4052-A48A-0D067E433285}"/>
      </w:docPartPr>
      <w:docPartBody>
        <w:p w:rsidR="00A76DC0" w:rsidRDefault="005E4C15" w:rsidP="005E4C15">
          <w:pPr>
            <w:pStyle w:val="362633488D044C03B23899C367ABC14C"/>
          </w:pPr>
          <w:r w:rsidRPr="00DF0A77">
            <w:rPr>
              <w:rStyle w:val="PlaceholderText"/>
            </w:rPr>
            <w:t>Click or tap here to enter text.</w:t>
          </w:r>
        </w:p>
      </w:docPartBody>
    </w:docPart>
    <w:docPart>
      <w:docPartPr>
        <w:name w:val="4F199BB065CE4F8C99699CBC1E553FD8"/>
        <w:category>
          <w:name w:val="General"/>
          <w:gallery w:val="placeholder"/>
        </w:category>
        <w:types>
          <w:type w:val="bbPlcHdr"/>
        </w:types>
        <w:behaviors>
          <w:behavior w:val="content"/>
        </w:behaviors>
        <w:guid w:val="{8DFFE930-B7D0-4E2B-B18D-D57D19D94FD0}"/>
      </w:docPartPr>
      <w:docPartBody>
        <w:p w:rsidR="00A76DC0" w:rsidRDefault="005E4C15" w:rsidP="005E4C15">
          <w:pPr>
            <w:pStyle w:val="4F199BB065CE4F8C99699CBC1E553FD8"/>
          </w:pPr>
          <w:r w:rsidRPr="00DF0A77">
            <w:rPr>
              <w:rStyle w:val="PlaceholderText"/>
            </w:rPr>
            <w:t>Click or tap here to enter text.</w:t>
          </w:r>
        </w:p>
      </w:docPartBody>
    </w:docPart>
    <w:docPart>
      <w:docPartPr>
        <w:name w:val="119585E35D4644E38AF4B6BCA37672BB"/>
        <w:category>
          <w:name w:val="General"/>
          <w:gallery w:val="placeholder"/>
        </w:category>
        <w:types>
          <w:type w:val="bbPlcHdr"/>
        </w:types>
        <w:behaviors>
          <w:behavior w:val="content"/>
        </w:behaviors>
        <w:guid w:val="{6D92DB63-4E25-4D42-B1BE-F5BCC7D4C059}"/>
      </w:docPartPr>
      <w:docPartBody>
        <w:p w:rsidR="00A76DC0" w:rsidRDefault="005E4C15" w:rsidP="005E4C15">
          <w:pPr>
            <w:pStyle w:val="119585E35D4644E38AF4B6BCA37672BB"/>
          </w:pPr>
          <w:r w:rsidRPr="00DF0A77">
            <w:rPr>
              <w:rStyle w:val="PlaceholderText"/>
            </w:rPr>
            <w:t>Click or tap here to enter text.</w:t>
          </w:r>
        </w:p>
      </w:docPartBody>
    </w:docPart>
    <w:docPart>
      <w:docPartPr>
        <w:name w:val="C991004DF140497BAB0AD1B2D561FDFF"/>
        <w:category>
          <w:name w:val="General"/>
          <w:gallery w:val="placeholder"/>
        </w:category>
        <w:types>
          <w:type w:val="bbPlcHdr"/>
        </w:types>
        <w:behaviors>
          <w:behavior w:val="content"/>
        </w:behaviors>
        <w:guid w:val="{5205B88B-B3FC-453E-9719-E10BBD403A4C}"/>
      </w:docPartPr>
      <w:docPartBody>
        <w:p w:rsidR="00A76DC0" w:rsidRDefault="005E4C15" w:rsidP="005E4C15">
          <w:pPr>
            <w:pStyle w:val="C991004DF140497BAB0AD1B2D561FDFF"/>
          </w:pPr>
          <w:r w:rsidRPr="00DF0A77">
            <w:rPr>
              <w:rStyle w:val="PlaceholderText"/>
            </w:rPr>
            <w:t>Click or tap here to enter text.</w:t>
          </w:r>
        </w:p>
      </w:docPartBody>
    </w:docPart>
    <w:docPart>
      <w:docPartPr>
        <w:name w:val="2F4A68035A224B338AEC1DC0C90D0B2E"/>
        <w:category>
          <w:name w:val="General"/>
          <w:gallery w:val="placeholder"/>
        </w:category>
        <w:types>
          <w:type w:val="bbPlcHdr"/>
        </w:types>
        <w:behaviors>
          <w:behavior w:val="content"/>
        </w:behaviors>
        <w:guid w:val="{859732C9-19C8-41CF-8BB1-EC817DE55A98}"/>
      </w:docPartPr>
      <w:docPartBody>
        <w:p w:rsidR="00A76DC0" w:rsidRDefault="005E4C15" w:rsidP="005E4C15">
          <w:pPr>
            <w:pStyle w:val="2F4A68035A224B338AEC1DC0C90D0B2E"/>
          </w:pPr>
          <w:r w:rsidRPr="00DF0A77">
            <w:rPr>
              <w:rStyle w:val="PlaceholderText"/>
            </w:rPr>
            <w:t>Click or tap here to enter text.</w:t>
          </w:r>
        </w:p>
      </w:docPartBody>
    </w:docPart>
    <w:docPart>
      <w:docPartPr>
        <w:name w:val="D034066F733B47B0ABAAD3CA524F6E36"/>
        <w:category>
          <w:name w:val="General"/>
          <w:gallery w:val="placeholder"/>
        </w:category>
        <w:types>
          <w:type w:val="bbPlcHdr"/>
        </w:types>
        <w:behaviors>
          <w:behavior w:val="content"/>
        </w:behaviors>
        <w:guid w:val="{06AE08F6-A344-4C92-91CE-160560E9C295}"/>
      </w:docPartPr>
      <w:docPartBody>
        <w:p w:rsidR="00A76DC0" w:rsidRDefault="005E4C15" w:rsidP="005E4C15">
          <w:pPr>
            <w:pStyle w:val="D034066F733B47B0ABAAD3CA524F6E36"/>
          </w:pPr>
          <w:r w:rsidRPr="00DF0A77">
            <w:rPr>
              <w:rStyle w:val="PlaceholderText"/>
            </w:rPr>
            <w:t>Click or tap here to enter text.</w:t>
          </w:r>
        </w:p>
      </w:docPartBody>
    </w:docPart>
    <w:docPart>
      <w:docPartPr>
        <w:name w:val="57E36098D7C84ABE84886BD3C4889B06"/>
        <w:category>
          <w:name w:val="General"/>
          <w:gallery w:val="placeholder"/>
        </w:category>
        <w:types>
          <w:type w:val="bbPlcHdr"/>
        </w:types>
        <w:behaviors>
          <w:behavior w:val="content"/>
        </w:behaviors>
        <w:guid w:val="{90DDAE54-CFB7-47A4-9CF5-62075671BA15}"/>
      </w:docPartPr>
      <w:docPartBody>
        <w:p w:rsidR="00A76DC0" w:rsidRDefault="005E4C15" w:rsidP="005E4C15">
          <w:pPr>
            <w:pStyle w:val="57E36098D7C84ABE84886BD3C4889B06"/>
          </w:pPr>
          <w:r w:rsidRPr="00DF0A77">
            <w:rPr>
              <w:rStyle w:val="PlaceholderText"/>
            </w:rPr>
            <w:t>Click or tap here to enter text.</w:t>
          </w:r>
        </w:p>
      </w:docPartBody>
    </w:docPart>
    <w:docPart>
      <w:docPartPr>
        <w:name w:val="9DC98AA6C6AA473387ADD180482915EC"/>
        <w:category>
          <w:name w:val="General"/>
          <w:gallery w:val="placeholder"/>
        </w:category>
        <w:types>
          <w:type w:val="bbPlcHdr"/>
        </w:types>
        <w:behaviors>
          <w:behavior w:val="content"/>
        </w:behaviors>
        <w:guid w:val="{2A9012C2-B049-4422-812B-60D9A9CF6711}"/>
      </w:docPartPr>
      <w:docPartBody>
        <w:p w:rsidR="00A76DC0" w:rsidRDefault="005E4C15" w:rsidP="005E4C15">
          <w:pPr>
            <w:pStyle w:val="9DC98AA6C6AA473387ADD180482915EC"/>
          </w:pPr>
          <w:r w:rsidRPr="00DF0A7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86032B1-7245-4A76-AF1D-48E03D2D932E}"/>
      </w:docPartPr>
      <w:docPartBody>
        <w:p w:rsidR="00A76DC0" w:rsidRDefault="005E4C15">
          <w:r w:rsidRPr="003647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15"/>
    <w:rsid w:val="00072090"/>
    <w:rsid w:val="000D7148"/>
    <w:rsid w:val="005E4C15"/>
    <w:rsid w:val="00A76DC0"/>
    <w:rsid w:val="00A81ED5"/>
    <w:rsid w:val="00AC6451"/>
    <w:rsid w:val="00F92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4C15"/>
    <w:rPr>
      <w:color w:val="666666"/>
    </w:rPr>
  </w:style>
  <w:style w:type="paragraph" w:customStyle="1" w:styleId="65FB3147C4C44538BC1BA27EBA71E0E8">
    <w:name w:val="65FB3147C4C44538BC1BA27EBA71E0E8"/>
    <w:rsid w:val="005E4C15"/>
  </w:style>
  <w:style w:type="paragraph" w:customStyle="1" w:styleId="0951B184AB3745D6BCFAB56990B8B883">
    <w:name w:val="0951B184AB3745D6BCFAB56990B8B883"/>
    <w:rsid w:val="005E4C15"/>
  </w:style>
  <w:style w:type="paragraph" w:customStyle="1" w:styleId="FEE97E92E78E469A9E42D0A329741840">
    <w:name w:val="FEE97E92E78E469A9E42D0A329741840"/>
    <w:rsid w:val="005E4C15"/>
  </w:style>
  <w:style w:type="paragraph" w:customStyle="1" w:styleId="E4F3727B80994DD3B06B933B054E4E69">
    <w:name w:val="E4F3727B80994DD3B06B933B054E4E69"/>
    <w:rsid w:val="005E4C15"/>
  </w:style>
  <w:style w:type="paragraph" w:customStyle="1" w:styleId="04FC6EF0E7C34A2FAB436D52F96F448F">
    <w:name w:val="04FC6EF0E7C34A2FAB436D52F96F448F"/>
    <w:rsid w:val="005E4C15"/>
  </w:style>
  <w:style w:type="paragraph" w:customStyle="1" w:styleId="C2671109D8E94522837BCAF42FCC5F9C">
    <w:name w:val="C2671109D8E94522837BCAF42FCC5F9C"/>
    <w:rsid w:val="005E4C15"/>
  </w:style>
  <w:style w:type="paragraph" w:customStyle="1" w:styleId="5BFD738DA0024DB4BEF01CA2847C5ECC">
    <w:name w:val="5BFD738DA0024DB4BEF01CA2847C5ECC"/>
    <w:rsid w:val="005E4C15"/>
  </w:style>
  <w:style w:type="paragraph" w:customStyle="1" w:styleId="362633488D044C03B23899C367ABC14C">
    <w:name w:val="362633488D044C03B23899C367ABC14C"/>
    <w:rsid w:val="005E4C15"/>
  </w:style>
  <w:style w:type="paragraph" w:customStyle="1" w:styleId="4F199BB065CE4F8C99699CBC1E553FD8">
    <w:name w:val="4F199BB065CE4F8C99699CBC1E553FD8"/>
    <w:rsid w:val="005E4C15"/>
  </w:style>
  <w:style w:type="paragraph" w:customStyle="1" w:styleId="119585E35D4644E38AF4B6BCA37672BB">
    <w:name w:val="119585E35D4644E38AF4B6BCA37672BB"/>
    <w:rsid w:val="005E4C15"/>
  </w:style>
  <w:style w:type="paragraph" w:customStyle="1" w:styleId="C991004DF140497BAB0AD1B2D561FDFF">
    <w:name w:val="C991004DF140497BAB0AD1B2D561FDFF"/>
    <w:rsid w:val="005E4C15"/>
  </w:style>
  <w:style w:type="paragraph" w:customStyle="1" w:styleId="2F4A68035A224B338AEC1DC0C90D0B2E">
    <w:name w:val="2F4A68035A224B338AEC1DC0C90D0B2E"/>
    <w:rsid w:val="005E4C15"/>
  </w:style>
  <w:style w:type="paragraph" w:customStyle="1" w:styleId="D034066F733B47B0ABAAD3CA524F6E36">
    <w:name w:val="D034066F733B47B0ABAAD3CA524F6E36"/>
    <w:rsid w:val="005E4C15"/>
  </w:style>
  <w:style w:type="paragraph" w:customStyle="1" w:styleId="57E36098D7C84ABE84886BD3C4889B06">
    <w:name w:val="57E36098D7C84ABE84886BD3C4889B06"/>
    <w:rsid w:val="005E4C15"/>
  </w:style>
  <w:style w:type="paragraph" w:customStyle="1" w:styleId="9DC98AA6C6AA473387ADD180482915EC">
    <w:name w:val="9DC98AA6C6AA473387ADD180482915EC"/>
    <w:rsid w:val="005E4C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1840781-3A56-40B8-92F8-F96C817926D4}">
  <we:reference id="wa104382081" version="1.55.1.0" store="en-US" storeType="OMEX"/>
  <we:alternateReferences>
    <we:reference id="WA104382081" version="1.55.1.0" store="" storeType="OMEX"/>
  </we:alternateReferences>
  <we:properties>
    <we:property name="MENDELEY_CITATIONS" value="[{&quot;citationID&quot;:&quot;MENDELEY_CITATION_46bae927-7e51-4b26-9984-47bc83d8d4ad&quot;,&quot;properties&quot;:{&quot;noteIndex&quot;:0},&quot;isEdited&quot;:false,&quot;manualOverride&quot;:{&quot;isManuallyOverridden&quot;:false,&quot;citeprocText&quot;:&quot;(Olakiumide, 2021)&quot;,&quot;manualOverrideText&quot;:&quot;&quot;},&quot;citationTag&quot;:&quot;MENDELEY_CITATION_v3_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&quot;,&quot;citationItems&quot;:[{&quot;id&quot;:&quot;8870e5bf-a9cb-3adb-a7da-8627e5d1f048&quot;,&quot;itemData&quot;:{&quot;type&quot;:&quot;report&quot;,&quot;id&quot;:&quot;8870e5bf-a9cb-3adb-a7da-8627e5d1f048&quot;,&quot;title&quot;:&quot;Post-Harvest Loss Reduction: Enhancing Food Security and Economic Sustainability&quot;,&quot;author&quot;:[{&quot;family&quot;:&quot;Olakiumide&quot;,&quot;given&quot;:&quot;Oumiawunaumi&quot;,&quot;parse-names&quot;:false,&quot;dropping-particle&quot;:&quot;&quot;,&quot;non-dropping-particle&quot;:&quot;&quot;}],&quot;URL&quot;:&quot;https://hdpublication.com/index.php/jss&quot;,&quot;issued&quot;:{&quot;date-parts&quot;:[[2021]]},&quot;abstract&quot;:&quot;Post-harvest losses in agriculture are a significant global challenge, particularly pronounced in Africa, where they threaten food security, economic stability, and sustainable development. This paper comprehensively explores the causes, impacts, and potential solutions related to post-harvest losses in the African context. The causes encompass a range of factors, including inadequate infrastructure, poor handling practices, limited technology access, and socioeconomic challenges. Consequently, post-harvest losses have dire implications for both food security and economic prosperity, impacting stakeholders along the agricultural value chain. Modern post-harvest technologies, coupled with effective pest management practices, can extend the shelf life and quality of harvested crops. Policymakers, researchers, farmers, and the private sector must collaborate to implement these solutions. By addressing post-harvest losses, Africa can move towards achieving Sustainable Development Goals related to hunger eradication, economic growth, and improved livelihoods. Ultimately, this paper emphasizes that addressing post-harvest losses is not only a technical challenge but a moral imperative. By reducing losses, African nations can enhance food security, empower local economies, and contribute to a more sustainable and equitable global food system. This paper calls for collective action to combat post-harvest losses and create a brighter future for the continent and beyond.&quot;,&quot;container-title-short&quot;:&quot;&quot;},&quot;isTemporary&quot;:false}]},{&quot;citationID&quot;:&quot;MENDELEY_CITATION_bb1ff490-40f5-4df7-9f4c-d479e771a3bf&quot;,&quot;properties&quot;:{&quot;noteIndex&quot;:0},&quot;isEdited&quot;:false,&quot;manualOverride&quot;:{&quot;isManuallyOverridden&quot;:false,&quot;citeprocText&quot;:&quot;(Olakiumide, 2021)&quot;,&quot;manualOverrideText&quot;:&quot;&quot;},&quot;citationTag&quot;:&quot;MENDELEY_CITATION_v3_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&quot;,&quot;citationItems&quot;:[{&quot;id&quot;:&quot;8870e5bf-a9cb-3adb-a7da-8627e5d1f048&quot;,&quot;itemData&quot;:{&quot;type&quot;:&quot;report&quot;,&quot;id&quot;:&quot;8870e5bf-a9cb-3adb-a7da-8627e5d1f048&quot;,&quot;title&quot;:&quot;Post-Harvest Loss Reduction: Enhancing Food Security and Economic Sustainability&quot;,&quot;author&quot;:[{&quot;family&quot;:&quot;Olakiumide&quot;,&quot;given&quot;:&quot;Oumiawunaumi&quot;,&quot;parse-names&quot;:false,&quot;dropping-particle&quot;:&quot;&quot;,&quot;non-dropping-particle&quot;:&quot;&quot;}],&quot;URL&quot;:&quot;https://hdpublication.com/index.php/jss&quot;,&quot;issued&quot;:{&quot;date-parts&quot;:[[2021]]},&quot;abstract&quot;:&quot;Post-harvest losses in agriculture are a significant global challenge, particularly pronounced in Africa, where they threaten food security, economic stability, and sustainable development. This paper comprehensively explores the causes, impacts, and potential solutions related to post-harvest losses in the African context. The causes encompass a range of factors, including inadequate infrastructure, poor handling practices, limited technology access, and socioeconomic challenges. Consequently, post-harvest losses have dire implications for both food security and economic prosperity, impacting stakeholders along the agricultural value chain. Modern post-harvest technologies, coupled with effective pest management practices, can extend the shelf life and quality of harvested crops. Policymakers, researchers, farmers, and the private sector must collaborate to implement these solutions. By addressing post-harvest losses, Africa can move towards achieving Sustainable Development Goals related to hunger eradication, economic growth, and improved livelihoods. Ultimately, this paper emphasizes that addressing post-harvest losses is not only a technical challenge but a moral imperative. By reducing losses, African nations can enhance food security, empower local economies, and contribute to a more sustainable and equitable global food system. This paper calls for collective action to combat post-harvest losses and create a brighter future for the continent and beyond.&quot;,&quot;container-title-short&quot;:&quot;&quot;},&quot;isTemporary&quot;:false}]},{&quot;citationID&quot;:&quot;MENDELEY_CITATION_63597847-d854-47f3-ab25-ae5807640878&quot;,&quot;properties&quot;:{&quot;noteIndex&quot;:0},&quot;isEdited&quot;:false,&quot;manualOverride&quot;:{&quot;isManuallyOverridden&quot;:false,&quot;citeprocText&quot;:&quot;(Zsögön et al., 2022)&quot;,&quot;manualOverrideText&quot;:&quot;&quot;},&quot;citationTag&quot;:&quot;MENDELEY_CITATION_v3_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&quot;,&quot;citationItems&quot;:[{&quot;id&quot;:&quot;8edbf7e5-c42c-3efa-b421-6a54de9e623a&quot;,&quot;itemData&quot;:{&quot;type&quot;:&quot;article-journal&quot;,&quot;id&quot;:&quot;8edbf7e5-c42c-3efa-b421-6a54de9e623a&quot;,&quot;title&quot;:&quot;Enhancing crop diversity for food security in the face of climate uncertainty&quot;,&quot;author&quot;:[{&quot;family&quot;:&quot;Zsögön&quot;,&quot;given&quot;:&quot;Agustin&quot;,&quot;parse-names&quot;:false,&quot;dropping-particle&quot;:&quot;&quot;,&quot;non-dropping-particle&quot;:&quot;&quot;},{&quot;family&quot;:&quot;Peres&quot;,&quot;given&quot;:&quot;Lázaro E.P.&quot;,&quot;parse-names&quot;:false,&quot;dropping-particle&quot;:&quot;&quot;,&quot;non-dropping-particle&quot;:&quot;&quot;},{&quot;family&quot;:&quot;Xiao&quot;,&quot;given&quot;:&quot;Yingjie&quot;,&quot;parse-names&quot;:false,&quot;dropping-particle&quot;:&quot;&quot;,&quot;non-dropping-particle&quot;:&quot;&quot;},{&quot;family&quot;:&quot;Yan&quot;,&quot;given&quot;:&quot;Jianbing&quot;,&quot;parse-names&quot;:false,&quot;dropping-particle&quot;:&quot;&quot;,&quot;non-dropping-particle&quot;:&quot;&quot;},{&quot;family&quot;:&quot;Fernie&quot;,&quot;given&quot;:&quot;Alisdair R.&quot;,&quot;parse-names&quot;:false,&quot;dropping-particle&quot;:&quot;&quot;,&quot;non-dropping-particle&quot;:&quot;&quot;}],&quot;container-title&quot;:&quot;Plant Journal&quot;,&quot;DOI&quot;:&quot;10.1111/tpj.15626&quot;,&quot;ISSN&quot;:&quot;1365313X&quot;,&quot;PMID&quot;:&quot;34882870&quot;,&quot;issued&quot;:{&quot;date-parts&quot;:[[2022,1,1]]},&quot;page&quot;:&quot;402-414&quot;,&quot;abstract&quot;:&quot;Global agriculture is dominated by a handful of species that currently supply a huge proportion of our food and feed. It additionally faces the massive challenge of providing food for 10 billion people by 2050, despite increasing environmental deterioration. One way to better plan production in the face of current and continuing climate change is to better understand how our domestication of these crops included their adaptation to environments that were highly distinct from those of their centre of origin. There are many prominent examples of this, including the development of temperate Zea mays (maize) and the alteration of day-length requirements in Solanum tuberosum (potato). Despite the pre-eminence of some 15 crops, more than 50 000 species are edible, with 7000 of these considered semi-cultivated. Opportunities afforded by next-generation sequencing technologies alongside other methods, including metabolomics and high-throughput phenotyping, are starting to contribute to a better characterization of a handful of these species. Moreover, the first examples of de novo domestication have appeared, whereby key target genes are modified in a wild species in order to confer predictable traits of agronomic value. Here, we review the scale of the challenge, drawing extensively on the characterization of past agriculture to suggest informed strategies upon which the breeding of future climate-resilient crops can be based.&quot;,&quot;publisher&quot;:&quot;John Wiley and Sons Inc&quot;,&quot;issue&quot;:&quot;2&quot;,&quot;volume&quot;:&quot;109&quot;,&quot;container-title-short&quot;:&quot;&quot;},&quot;isTemporary&quot;:false}]},{&quot;citationID&quot;:&quot;MENDELEY_CITATION_d0ce8898-4aeb-48ac-a4f0-fee7aa821cc3&quot;,&quot;properties&quot;:{&quot;noteIndex&quot;:0},&quot;isEdited&quot;:false,&quot;manualOverride&quot;:{&quot;isManuallyOverridden&quot;:false,&quot;citeprocText&quot;:&quot;(Mburu et al., 2023; Mugo et al., 2021)&quot;,&quot;manualOverrideText&quot;:&quot;&quot;},&quot;citationTag&quot;:&quot;MENDELEY_CITATION_v3_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&quot;,&quot;citationItems&quot;:[{&quot;id&quot;:&quot;3b7e891a-789c-302e-9bc8-3ada171bda50&quot;,&quot;itemData&quot;:{&quot;type&quot;:&quot;article-journal&quot;,&quot;id&quot;:&quot;3b7e891a-789c-302e-9bc8-3ada171bda50&quot;,&quot;title&quot;:&quot;Influence of Access to Extension Services on Smallholder Farmers’ Use of Certified Seed Potatoes (CSPs) in Kipipiri Sub-County, Kenya&quot;,&quot;author&quot;:[{&quot;family&quot;:&quot;Mburu&quot;,&quot;given&quot;:&quot;J. M.&quot;,&quot;parse-names&quot;:false,&quot;dropping-particle&quot;:&quot;&quot;,&quot;non-dropping-particle&quot;:&quot;&quot;},{&quot;family&quot;:&quot;Oyugi&quot;,&quot;given&quot;:&quot;M. A.&quot;,&quot;parse-names&quot;:false,&quot;dropping-particle&quot;:&quot;&quot;,&quot;non-dropping-particle&quot;:&quot;&quot;},{&quot;family&quot;:&quot;Makenzi&quot;,&quot;given&quot;:&quot;P. M.&quot;,&quot;parse-names&quot;:false,&quot;dropping-particle&quot;:&quot;&quot;,&quot;non-dropping-particle&quot;:&quot;&quot;}],&quot;container-title&quot;:&quot;Asian Journal of Agricultural Extension, Economics &amp; Sociology&quot;,&quot;DOI&quot;:&quot;10.9734/ajaees/2023/v41i41891&quot;,&quot;issued&quot;:{&quot;date-parts&quot;:[[2023,4,7]]},&quot;page&quot;:&quot;169-177&quot;,&quot;abstract&quot;:&quot;Extension services delivery remains a key driver in farmers’ uptake and use of improved farming technologies in rural areas which are predominantly occupied by poor farmers. The use of certified seed potatoes (CSPs) increases yield and potato productivity. Most smallholder farmers lack knowledge of how to use CSPs while others are not even aware of their existence. This has given farmers an opportunity to use and re-use their own seeds saved from their local storage facilities. The paper sought to determine whether access to extension services influenced smallholder farmers’ use of CSPs in Kipipiri Sub-County, Kenya. A structured, researcher-administered, questionnaire was used in collecting data from one hundred and six smallholder potato farmers randomly selected from the area. Descriptive statistics and a binary logistic model were used for statistical analysis. The findings indicated that there was a significant relationship between access to extension services and the use of CSPs. 85 per cent of the respondents were found to have access to extension services while 21 % had no access. Additionally, on the frequency, the majority of the respondents (64%) rarely accessed the services and 36% reported accessing the extension services always. These findings suggest that extension services are a major component that drives farmers’ use of CSPs in the study area. Therefore, for farmers to benefit fully, extension agents need to increase their service delivery to smallholder potato farmers. County governments also need to improve the existing farmer training centers to assist farmers to acquire knowledge on the use of CSPs. This would increase potato productivity in the area.&quot;,&quot;publisher&quot;:&quot;Sciencedomain International&quot;,&quot;issue&quot;:&quot;4&quot;,&quot;volume&quot;:&quot;41&quot;,&quot;container-title-short&quot;:&quot;&quot;},&quot;isTemporary&quot;:false},{&quot;id&quot;:&quot;89958097-af4c-3f02-abd2-a961372dd74c&quot;,&quot;itemData&quot;:{&quot;type&quot;:&quot;article-journal&quot;,&quot;id&quot;:&quot;89958097-af4c-3f02-abd2-a961372dd74c&quot;,&quot;title&quot;:&quot;Response of potato crop to selected nutrients in central and eastern highlands of Kenya&quot;,&quot;author&quot;:[{&quot;family&quot;:&quot;Mugo&quot;,&quot;given&quot;:&quot;James N.&quot;,&quot;parse-names&quot;:false,&quot;dropping-particle&quot;:&quot;&quot;,&quot;non-dropping-particle&quot;:&quot;&quot;},{&quot;family&quot;:&quot;Karanja&quot;,&quot;given&quot;:&quot;Nancy N.&quot;,&quot;parse-names&quot;:false,&quot;dropping-particle&quot;:&quot;&quot;,&quot;non-dropping-particle&quot;:&quot;&quot;},{&quot;family&quot;:&quot;Gachene&quot;,&quot;given&quot;:&quot;Charles K.&quot;,&quot;parse-names&quot;:false,&quot;dropping-particle&quot;:&quot;&quot;,&quot;non-dropping-particle&quot;:&quot;&quot;},{&quot;family&quot;:&quot;Dittert&quot;,&quot;given&quot;:&quot;Klaus&quot;,&quot;parse-names&quot;:false,&quot;dropping-particle&quot;:&quot;&quot;,&quot;non-dropping-particle&quot;:&quot;&quot;},{&quot;family&quot;:&quot;Gitari&quot;,&quot;given&quot;:&quot;Harun I.&quot;,&quot;parse-names&quot;:false,&quot;dropping-particle&quot;:&quot;&quot;,&quot;non-dropping-particle&quot;:&quot;&quot;},{&quot;family&quot;:&quot;Schulte-Geldermann&quot;,&quot;given&quot;:&quot;Elmar&quot;,&quot;parse-names&quot;:false,&quot;dropping-particle&quot;:&quot;&quot;,&quot;non-dropping-particle&quot;:&quot;&quot;}],&quot;container-title&quot;:&quot;Cogent Food and Agriculture&quot;,&quot;container-title-short&quot;:&quot;Cogent Food Agric.&quot;,&quot;DOI&quot;:&quot;10.1080/23311932.2021.1898762&quot;,&quot;ISSN&quot;:&quot;23311932&quot;,&quot;issued&quot;:{&quot;date-parts&quot;:[[2021]]},&quot;abstract&quot;:&quot;Low nutrients have been reported in potato-growing areas of Kenya, prompting a need for nutrient management research. A study was designed to determine the effect of omitting nutrients on potato growth, yield and harvest index. On-farm nutrient omission trials were set during the long rains (LR) and short rains (SR) of 2016 in which the treatments involve the judicious omission of N, P, K, S and B. Additional two treatments were included with one receiving all the nutrients and a control where no nutrients were added. The treatment was laid in a randomized complete block design with three replications. Potato yields reduced by 6.6 and 11.2 t ha−1 in N-omitted treatments in LR and SR, respectively, when compared to the one receiving all the nutrients, while omitting P resulted in respective yield reductions of 3.8 and 2.0 t ha−1. Stability analysis revealed that omission of N was more stable with a regression coefficient of 0.5; it was followed by P with a value of 1. Potassium, S and B were limiting nutrients only in some farms. N and P should continue to be included in potato nutrient management, while K, S and B should be added based on soil test.&quot;,&quot;publisher&quot;:&quot;Informa Healthcare&quot;,&quot;issue&quot;:&quot;1&quot;,&quot;volume&quot;:&quot;7&quot;},&quot;isTemporary&quot;:false}]},{&quot;citationID&quot;:&quot;MENDELEY_CITATION_374cdffe-e838-4795-994e-1cfbe3d1d272&quot;,&quot;properties&quot;:{&quot;noteIndex&quot;:0},&quot;isEdited&quot;:false,&quot;manualOverride&quot;:{&quot;isManuallyOverridden&quot;:false,&quot;citeprocText&quot;:&quot;(Mwakidoshi, 2021)&quot;,&quot;manualOverrideText&quot;:&quot;&quot;},&quot;citationTag&quot;:&quot;MENDELEY_CITATION_v3_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&quot;,&quot;citationItems&quot;:[{&quot;id&quot;:&quot;0b007e72-3119-37e6-bde8-18e76de1adbd&quot;,&quot;itemData&quot;:{&quot;type&quot;:&quot;article-journal&quot;,&quot;id&quot;:&quot;0b007e72-3119-37e6-bde8-18e76de1adbd&quot;,&quot;title&quot;:&quot;Economic Importance, Ecological Requirements and Production Constraints of Potato (Solanum tuberosum L.) in Kenya&quot;,&quot;author&quot;:[{&quot;family&quot;:&quot;Mwakidoshi&quot;,&quot;given&quot;:&quot;Emmanuel R.&quot;,&quot;parse-names&quot;:false,&quot;dropping-particle&quot;:&quot;&quot;,&quot;non-dropping-particle&quot;:&quot;&quot;}],&quot;container-title&quot;:&quot;International Journal of Bioresource Science&quot;,&quot;DOI&quot;:&quot;10.30954/2347-9655.02.2021.1&quot;,&quot;ISSN&quot;:&quot;23479655&quot;,&quot;issued&quot;:{&quot;date-parts&quot;:[[2021,12,25]]},&quot;abstract&quot;:&quot;In Kenya, potato production is done mainly by smallholder farmers as a key food and cash crop. About 83% of the country's crop production is mainly in highland areas with an altitude of between 1,200 and 3,000 m above sea level. The country's average potato yield ranges from 8 to 15 t ha −1 , 2 to 3 times below the achievable yield of 40 t ha −1. The production is mainly limited by unavailability of certified seeds, increased pests, diseases, decreased soil fertility and erratic rainfall. The current work reviews the current status of potato production in Kenya with emphasis on its importance, ecological requirements and constraints. HIGHLIGHTS m Potatoes require a minimal of 750-1000 mm rainfall with altitude of 1500-4200 m.a.s.l and temperature range of 15-20°. m Potato plants have a higher nutrient requirement, for macronutrients for optimal growth and profitable production. m Factors affecting potato production include inadequate fertilization, seeds quality, pesticides and herbicides high pricing, pests and diseases and climatic variations.&quot;,&quot;publisher&quot;:&quot;New Delhi Publishers&quot;,&quot;issue&quot;:&quot;2&quot;,&quot;volume&quot;:&quot;8&quot;,&quot;container-title-short&quot;:&quot;&quot;},&quot;isTemporary&quot;:false}]},{&quot;citationID&quot;:&quot;MENDELEY_CITATION_8832a901-2a3d-43bc-8cb5-c10528bf4d42&quot;,&quot;properties&quot;:{&quot;noteIndex&quot;:0},&quot;isEdited&quot;:false,&quot;manualOverride&quot;:{&quot;isManuallyOverridden&quot;:false,&quot;citeprocText&quot;:&quot;(Mburu et al., 2023)&quot;,&quot;manualOverrideText&quot;:&quot;&quot;},&quot;citationTag&quot;:&quot;MENDELEY_CITATION_v3_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&quot;,&quot;citationItems&quot;:[{&quot;id&quot;:&quot;3b7e891a-789c-302e-9bc8-3ada171bda50&quot;,&quot;itemData&quot;:{&quot;type&quot;:&quot;article-journal&quot;,&quot;id&quot;:&quot;3b7e891a-789c-302e-9bc8-3ada171bda50&quot;,&quot;title&quot;:&quot;Influence of Access to Extension Services on Smallholder Farmers’ Use of Certified Seed Potatoes (CSPs) in Kipipiri Sub-County, Kenya&quot;,&quot;author&quot;:[{&quot;family&quot;:&quot;Mburu&quot;,&quot;given&quot;:&quot;J. M.&quot;,&quot;parse-names&quot;:false,&quot;dropping-particle&quot;:&quot;&quot;,&quot;non-dropping-particle&quot;:&quot;&quot;},{&quot;family&quot;:&quot;Oyugi&quot;,&quot;given&quot;:&quot;M. A.&quot;,&quot;parse-names&quot;:false,&quot;dropping-particle&quot;:&quot;&quot;,&quot;non-dropping-particle&quot;:&quot;&quot;},{&quot;family&quot;:&quot;Makenzi&quot;,&quot;given&quot;:&quot;P. M.&quot;,&quot;parse-names&quot;:false,&quot;dropping-particle&quot;:&quot;&quot;,&quot;non-dropping-particle&quot;:&quot;&quot;}],&quot;container-title&quot;:&quot;Asian Journal of Agricultural Extension, Economics &amp; Sociology&quot;,&quot;DOI&quot;:&quot;10.9734/ajaees/2023/v41i41891&quot;,&quot;issued&quot;:{&quot;date-parts&quot;:[[2023,4,7]]},&quot;page&quot;:&quot;169-177&quot;,&quot;abstract&quot;:&quot;Extension services delivery remains a key driver in farmers’ uptake and use of improved farming technologies in rural areas which are predominantly occupied by poor farmers. The use of certified seed potatoes (CSPs) increases yield and potato productivity. Most smallholder farmers lack knowledge of how to use CSPs while others are not even aware of their existence. This has given farmers an opportunity to use and re-use their own seeds saved from their local storage facilities. The paper sought to determine whether access to extension services influenced smallholder farmers’ use of CSPs in Kipipiri Sub-County, Kenya. A structured, researcher-administered, questionnaire was used in collecting data from one hundred and six smallholder potato farmers randomly selected from the area. Descriptive statistics and a binary logistic model were used for statistical analysis. The findings indicated that there was a significant relationship between access to extension services and the use of CSPs. 85 per cent of the respondents were found to have access to extension services while 21 % had no access. Additionally, on the frequency, the majority of the respondents (64%) rarely accessed the services and 36% reported accessing the extension services always. These findings suggest that extension services are a major component that drives farmers’ use of CSPs in the study area. Therefore, for farmers to benefit fully, extension agents need to increase their service delivery to smallholder potato farmers. County governments also need to improve the existing farmer training centers to assist farmers to acquire knowledge on the use of CSPs. This would increase potato productivity in the area.&quot;,&quot;publisher&quot;:&quot;Sciencedomain International&quot;,&quot;issue&quot;:&quot;4&quot;,&quot;volume&quot;:&quot;41&quot;,&quot;container-title-short&quot;:&quot;&quot;},&quot;isTemporary&quot;:false}]},{&quot;citationID&quot;:&quot;MENDELEY_CITATION_f7760981-8f5c-488e-adb9-e97ca7539c98&quot;,&quot;properties&quot;:{&quot;noteIndex&quot;:0},&quot;isEdited&quot;:false,&quot;manualOverride&quot;:{&quot;isManuallyOverridden&quot;:false,&quot;citeprocText&quot;:&quot;(Chen &amp;#38; Yang, 2024)&quot;,&quot;manualOverrideText&quot;:&quot;&quot;},&quot;citationTag&quot;:&quot;MENDELEY_CITATION_v3_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&quot;,&quot;citationItems&quot;:[{&quot;id&quot;:&quot;fbb019b4-1549-3f05-916c-0b1bc7db5f32&quot;,&quot;itemData&quot;:{&quot;type&quot;:&quot;article-journal&quot;,&quot;id&quot;:&quot;fbb019b4-1549-3f05-916c-0b1bc7db5f32&quot;,&quot;title&quot;:&quot;Geographically weighted regression analysis for nonnegative continuous outcomes: An application to Taiwan dengue data&quot;,&quot;author&quot;:[{&quot;family&quot;:&quot;Chen&quot;,&quot;given&quot;:&quot;Vivian Yi Ju&quot;,&quot;parse-names&quot;:false,&quot;dropping-particle&quot;:&quot;&quot;,&quot;non-dropping-particle&quot;:&quot;&quot;},{&quot;family&quot;:&quot;Yang&quot;,&quot;given&quot;:&quot;Yun Ciao&quot;,&quot;parse-names&quot;:false,&quot;dropping-particle&quot;:&quot;&quot;,&quot;non-dropping-particle&quot;:&quot;&quot;}],&quot;container-title&quot;:&quot;PLoS ONE&quot;,&quot;container-title-short&quot;:&quot;PLoS One&quot;,&quot;DOI&quot;:&quot;10.1371/journal.pone.0315327&quot;,&quot;ISSN&quot;:&quot;19326203&quot;,&quot;PMID&quot;:&quot;39666638&quot;,&quot;issued&quot;:{&quot;date-parts&quot;:[[2024,12,1]]},&quot;abstract&quot;:&quot;Geographically Weighted Regression (GWR) has gained widespread popularity across various disciplines for investigating spatial heterogeneity with respect to data relationships in georeferenced datasets. However, GWR is typically limited to the analysis of continuous dependent variables, which are assumed to follow a symmetric normal distribution. In many fields, nonnegative continuous data are often observed and may contain substantial amounts of zeros followed by a right-skewed distribution of positive values. When dealing with such type of outcomes, GWR may not provide adequate insights into spatially varying regression relationships. This study intends to extend the GWR based on a compound Poisson distribution. Such an extension not only allows for exploration of relationship heterogeneity but also accommodates nonnegative continuous response variables. We provide a detailed specification of the proposed model and discuss related modeling issues. Through simulation experiments, we assess the performance of this novel approach. Finally, we present an empirical case study using a dataset on dengue fever in Tainan, Taiwan, to demonstrate the practical applicability and utility of our proposed methodology.&quot;,&quot;publisher&quot;:&quot;Public Library of Science&quot;,&quot;issue&quot;:&quot;12 December&quot;,&quot;volume&quot;:&quot;19&quot;},&quot;isTemporary&quot;:false}]},{&quot;citationID&quot;:&quot;MENDELEY_CITATION_51213f6d-7e1e-4d21-bc8d-e70e5a51a6d4&quot;,&quot;properties&quot;:{&quot;noteIndex&quot;:0},&quot;isEdited&quot;:false,&quot;manualOverride&quot;:{&quot;isManuallyOverridden&quot;:true,&quot;citeprocText&quot;:&quot;(Geissinger et al., 2022)&quot;,&quot;manualOverrideText&quot;:&quot;(Geissinger et al., 2022a).&quot;},&quot;citationTag&quot;:&quot;MENDELEY_CITATION_v3_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&quot;,&quot;citationItems&quot;:[{&quot;id&quot;:&quot;48b75205-a2e8-35ee-9931-0871830be6c8&quot;,&quot;itemData&quot;:{&quot;type&quot;:&quot;article-journal&quot;,&quot;id&quot;:&quot;48b75205-a2e8-35ee-9931-0871830be6c8&quot;,&quot;title&quot;:&quot;A case for beta regression in the natural sciences&quot;,&quot;author&quot;:[{&quot;family&quot;:&quot;Geissinger&quot;,&quot;given&quot;:&quot;Emilie A.&quot;,&quot;parse-names&quot;:false,&quot;dropping-particle&quot;:&quot;&quot;,&quot;non-dropping-particle&quot;:&quot;&quot;},{&quot;family&quot;:&quot;Khoo&quot;,&quot;given&quot;:&quot;Celyn L.L.&quot;,&quot;parse-names&quot;:false,&quot;dropping-particle&quot;:&quot;&quot;,&quot;non-dropping-particle&quot;:&quot;&quot;},{&quot;family&quot;:&quot;Richmond&quot;,&quot;given&quot;:&quot;Isabella C.&quot;,&quot;parse-names&quot;:false,&quot;dropping-particle&quot;:&quot;&quot;,&quot;non-dropping-particle&quot;:&quot;&quot;},{&quot;family&quot;:&quot;Faulkner&quot;,&quot;given&quot;:&quot;Sally J.M.&quot;,&quot;parse-names&quot;:false,&quot;dropping-particle&quot;:&quot;&quot;,&quot;non-dropping-particle&quot;:&quot;&quot;},{&quot;family&quot;:&quot;Schneider&quot;,&quot;given&quot;:&quot;David C.&quot;,&quot;parse-names&quot;:false,&quot;dropping-particle&quot;:&quot;&quot;,&quot;non-dropping-particle&quot;:&quot;&quot;}],&quot;container-title&quot;:&quot;Ecosphere&quot;,&quot;DOI&quot;:&quot;10.1002/ecs2.3940&quot;,&quot;ISSN&quot;:&quot;21508925&quot;,&quot;issued&quot;:{&quot;date-parts&quot;:[[2022,2,1]]},&quot;abstract&quot;:&quot;Data in the natural sciences are often in the form of percentages or proportions that are continuous and bounded by 0 and 1. Statistical analysis assuming a normal error structure can produce biased and incorrect estimates when data are doubly bounded. Beta regression uses an error structure appropriate for such data. We conducted a literature review of percent and proportion data from 2004 to 2020 to determine the types of analyses used for (0, 1) bounded data. Our literature review showed that before 2012, angular transformations accounted for 93% of analyses of proportion or percent data. After 2012, angular transformation accounted for 52% of analyses and beta regression accounted for 14% of analyses. We compared a linear model with angular transformation with beta regression using data from two fields of the natural sciences that produce continuous, bounded data: biogeochemistry and ecological elemental composition. We found little difference in model diagnostics, likelihood ratios, and p-values between the two models. However, we found substantially different coefficient estimates from the back-calculated beta regression and angular transformation models. Beta regression provides reliable parameter estimates in natural science studies where effect sizes are considered as important as hypothesis testing.&quot;,&quot;publisher&quot;:&quot;John Wiley and Sons Inc&quot;,&quot;issue&quot;:&quot;2&quot;,&quot;volume&quot;:&quot;13&quot;,&quot;container-title-short&quot;:&quot;&quot;},&quot;isTemporary&quot;:false}]},{&quot;citationID&quot;:&quot;MENDELEY_CITATION_b2398e8f-5eb1-4a79-b003-9788c8c5737b&quot;,&quot;properties&quot;:{&quot;noteIndex&quot;:0},&quot;isEdited&quot;:false,&quot;manualOverride&quot;:{&quot;isManuallyOverridden&quot;:false,&quot;citeprocText&quot;:&quot;(Levaj et al., 2023)&quot;,&quot;manualOverrideText&quot;:&quot;&quot;},&quot;citationTag&quot;:&quot;MENDELEY_CITATION_v3_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&quot;,&quot;citationItems&quot;:[{&quot;id&quot;:&quot;47e4a74a-caa3-3de0-b36c-8daffb1b1aeb&quot;,&quot;itemData&quot;:{&quot;type&quot;:&quot;article&quot;,&quot;id&quot;:&quot;47e4a74a-caa3-3de0-b36c-8daffb1b1aeb&quot;,&quot;title&quot;:&quot;Maintaining the Quality and Safety of Fresh-Cut Potatoes (Solanum tuberosum): Overview of Recent Findings and Approaches&quot;,&quot;author&quot;:[{&quot;family&quot;:&quot;Levaj&quot;,&quot;given&quot;:&quot;Branka&quot;,&quot;parse-names&quot;:false,&quot;dropping-particle&quot;:&quot;&quot;,&quot;non-dropping-particle&quot;:&quot;&quot;},{&quot;family&quot;:&quot;Pelaić&quot;,&quot;given&quot;:&quot;Zdenka&quot;,&quot;parse-names&quot;:false,&quot;dropping-particle&quot;:&quot;&quot;,&quot;non-dropping-particle&quot;:&quot;&quot;},{&quot;family&quot;:&quot;Galić&quot;,&quot;given&quot;:&quot;Kata&quot;,&quot;parse-names&quot;:false,&quot;dropping-particle&quot;:&quot;&quot;,&quot;non-dropping-particle&quot;:&quot;&quot;},{&quot;family&quot;:&quot;Kurek&quot;,&quot;given&quot;:&quot;Mia&quot;,&quot;parse-names&quot;:false,&quot;dropping-particle&quot;:&quot;&quot;,&quot;non-dropping-particle&quot;:&quot;&quot;},{&quot;family&quot;:&quot;Ščetar&quot;,&quot;given&quot;:&quot;Mario&quot;,&quot;parse-names&quot;:false,&quot;dropping-particle&quot;:&quot;&quot;,&quot;non-dropping-particle&quot;:&quot;&quot;},{&quot;family&quot;:&quot;Poljak&quot;,&quot;given&quot;:&quot;Milan&quot;,&quot;parse-names&quot;:false,&quot;dropping-particle&quot;:&quot;&quot;,&quot;non-dropping-particle&quot;:&quot;&quot;},{&quot;family&quot;:&quot;Dite Hunjek&quot;,&quot;given&quot;:&quot;Draženka&quot;,&quot;parse-names&quot;:false,&quot;dropping-particle&quot;:&quot;&quot;,&quot;non-dropping-particle&quot;:&quot;&quot;},{&quot;family&quot;:&quot;Pedisić&quot;,&quot;given&quot;:&quot;Sandra&quot;,&quot;parse-names&quot;:false,&quot;dropping-particle&quot;:&quot;&quot;,&quot;non-dropping-particle&quot;:&quot;&quot;},{&quot;family&quot;:&quot;Balbino&quot;,&quot;given&quot;:&quot;Sandra&quot;,&quot;parse-names&quot;:false,&quot;dropping-particle&quot;:&quot;&quot;,&quot;non-dropping-particle&quot;:&quot;&quot;},{&quot;family&quot;:&quot;Čošić&quot;,&quot;given&quot;:&quot;Zrinka&quot;,&quot;parse-names&quot;:false,&quot;dropping-particle&quot;:&quot;&quot;,&quot;non-dropping-particle&quot;:&quot;&quot;},{&quot;family&quot;:&quot;Dujmić&quot;,&quot;given&quot;:&quot;Filip&quot;,&quot;parse-names&quot;:false,&quot;dropping-particle&quot;:&quot;&quot;,&quot;non-dropping-particle&quot;:&quot;&quot;},{&quot;family&quot;:&quot;Repajić&quot;,&quot;given&quot;:&quot;Maja&quot;,&quot;parse-names&quot;:false,&quot;dropping-particle&quot;:&quot;&quot;,&quot;non-dropping-particle&quot;:&quot;&quot;}],&quot;container-title&quot;:&quot;Agronomy&quot;,&quot;DOI&quot;:&quot;10.3390/agronomy13082002&quot;,&quot;ISSN&quot;:&quot;20734395&quot;,&quot;issued&quot;:{&quot;date-parts&quot;:[[2023,8,1]]},&quot;abstract&quot;:&quot;Fresh-cut potatoes (FCP), like other fresh-cut (minimally processed) vegetables, are a convenient but highly perishable product. Unlike most fresh-cut vegetables, which are “ready-to-eat”, FCP must be cooked before consumption. Therefore, in addition to the safety (chemical and microbiological), quality and sensory characteristics of raw FCP, the same requirements should be applied for cooked potatoes. It is known that many factors play a role in meeting all these requirements: (i) selection of cultivars less susceptible to browning; (ii) use of anti-browning and antimicrobial agents and/or certain physical methods against browning and microbial growth; (iii) packaging and cold storage conditions. In recent studies on FCP, scientists have attempted to deepen their knowledge of the mechanisms of browning prevention to better understand changes at the molecular level as well. The main objective of this review is to provide a comprehensive overview of recent research, which aimed at deepening knowledge of the various changes that occur in potatoes during processing, and to develop new approaches that could help improve quality and extend FCP shelf life. It also discusses the effects of subsequent cooking of FCP on sensory and other properties, as well as on chemical constituents.&quot;,&quot;publisher&quot;:&quot;Multidisciplinary Digital Publishing Institute (MDPI)&quot;,&quot;issue&quot;:&quot;8&quot;,&quot;volume&quot;:&quot;13&quot;,&quot;container-title-short&quot;:&quot;&quot;},&quot;isTemporary&quot;:false}]},{&quot;citationID&quot;:&quot;MENDELEY_CITATION_dabda28a-6ddf-4b9f-a11d-9faed0f0003b&quot;,&quot;properties&quot;:{&quot;noteIndex&quot;:0},&quot;isEdited&quot;:false,&quot;manualOverride&quot;:{&quot;isManuallyOverridden&quot;:false,&quot;citeprocText&quot;:&quot;(Mugo et al., 2021; Olakiumide, 2021)&quot;,&quot;manualOverrideText&quot;:&quot;&quot;},&quot;citationTag&quot;:&quot;MENDELEY_CITATION_v3_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&quot;,&quot;citationItems&quot;:[{&quot;id&quot;:&quot;8870e5bf-a9cb-3adb-a7da-8627e5d1f048&quot;,&quot;itemData&quot;:{&quot;type&quot;:&quot;report&quot;,&quot;id&quot;:&quot;8870e5bf-a9cb-3adb-a7da-8627e5d1f048&quot;,&quot;title&quot;:&quot;Post-Harvest Loss Reduction: Enhancing Food Security and Economic Sustainability&quot;,&quot;author&quot;:[{&quot;family&quot;:&quot;Olakiumide&quot;,&quot;given&quot;:&quot;Oumiawunaumi&quot;,&quot;parse-names&quot;:false,&quot;dropping-particle&quot;:&quot;&quot;,&quot;non-dropping-particle&quot;:&quot;&quot;}],&quot;URL&quot;:&quot;https://hdpublication.com/index.php/jss&quot;,&quot;issued&quot;:{&quot;date-parts&quot;:[[2021]]},&quot;abstract&quot;:&quot;Post-harvest losses in agriculture are a significant global challenge, particularly pronounced in Africa, where they threaten food security, economic stability, and sustainable development. This paper comprehensively explores the causes, impacts, and potential solutions related to post-harvest losses in the African context. The causes encompass a range of factors, including inadequate infrastructure, poor handling practices, limited technology access, and socioeconomic challenges. Consequently, post-harvest losses have dire implications for both food security and economic prosperity, impacting stakeholders along the agricultural value chain. Modern post-harvest technologies, coupled with effective pest management practices, can extend the shelf life and quality of harvested crops. Policymakers, researchers, farmers, and the private sector must collaborate to implement these solutions. By addressing post-harvest losses, Africa can move towards achieving Sustainable Development Goals related to hunger eradication, economic growth, and improved livelihoods. Ultimately, this paper emphasizes that addressing post-harvest losses is not only a technical challenge but a moral imperative. By reducing losses, African nations can enhance food security, empower local economies, and contribute to a more sustainable and equitable global food system. This paper calls for collective action to combat post-harvest losses and create a brighter future for the continent and beyond.&quot;,&quot;container-title-short&quot;:&quot;&quot;},&quot;isTemporary&quot;:false},{&quot;id&quot;:&quot;89958097-af4c-3f02-abd2-a961372dd74c&quot;,&quot;itemData&quot;:{&quot;type&quot;:&quot;article-journal&quot;,&quot;id&quot;:&quot;89958097-af4c-3f02-abd2-a961372dd74c&quot;,&quot;title&quot;:&quot;Response of potato crop to selected nutrients in central and eastern highlands of Kenya&quot;,&quot;author&quot;:[{&quot;family&quot;:&quot;Mugo&quot;,&quot;given&quot;:&quot;James N.&quot;,&quot;parse-names&quot;:false,&quot;dropping-particle&quot;:&quot;&quot;,&quot;non-dropping-particle&quot;:&quot;&quot;},{&quot;family&quot;:&quot;Karanja&quot;,&quot;given&quot;:&quot;Nancy N.&quot;,&quot;parse-names&quot;:false,&quot;dropping-particle&quot;:&quot;&quot;,&quot;non-dropping-particle&quot;:&quot;&quot;},{&quot;family&quot;:&quot;Gachene&quot;,&quot;given&quot;:&quot;Charles K.&quot;,&quot;parse-names&quot;:false,&quot;dropping-particle&quot;:&quot;&quot;,&quot;non-dropping-particle&quot;:&quot;&quot;},{&quot;family&quot;:&quot;Dittert&quot;,&quot;given&quot;:&quot;Klaus&quot;,&quot;parse-names&quot;:false,&quot;dropping-particle&quot;:&quot;&quot;,&quot;non-dropping-particle&quot;:&quot;&quot;},{&quot;family&quot;:&quot;Gitari&quot;,&quot;given&quot;:&quot;Harun I.&quot;,&quot;parse-names&quot;:false,&quot;dropping-particle&quot;:&quot;&quot;,&quot;non-dropping-particle&quot;:&quot;&quot;},{&quot;family&quot;:&quot;Schulte-Geldermann&quot;,&quot;given&quot;:&quot;Elmar&quot;,&quot;parse-names&quot;:false,&quot;dropping-particle&quot;:&quot;&quot;,&quot;non-dropping-particle&quot;:&quot;&quot;}],&quot;container-title&quot;:&quot;Cogent Food and Agriculture&quot;,&quot;container-title-short&quot;:&quot;Cogent Food Agric.&quot;,&quot;DOI&quot;:&quot;10.1080/23311932.2021.1898762&quot;,&quot;ISSN&quot;:&quot;23311932&quot;,&quot;issued&quot;:{&quot;date-parts&quot;:[[2021]]},&quot;abstract&quot;:&quot;Low nutrients have been reported in potato-growing areas of Kenya, prompting a need for nutrient management research. A study was designed to determine the effect of omitting nutrients on potato growth, yield and harvest index. On-farm nutrient omission trials were set during the long rains (LR) and short rains (SR) of 2016 in which the treatments involve the judicious omission of N, P, K, S and B. Additional two treatments were included with one receiving all the nutrients and a control where no nutrients were added. The treatment was laid in a randomized complete block design with three replications. Potato yields reduced by 6.6 and 11.2 t ha−1 in N-omitted treatments in LR and SR, respectively, when compared to the one receiving all the nutrients, while omitting P resulted in respective yield reductions of 3.8 and 2.0 t ha−1. Stability analysis revealed that omission of N was more stable with a regression coefficient of 0.5; it was followed by P with a value of 1. Potassium, S and B were limiting nutrients only in some farms. N and P should continue to be included in potato nutrient management, while K, S and B should be added based on soil test.&quot;,&quot;publisher&quot;:&quot;Informa Healthcare&quot;,&quot;issue&quot;:&quot;1&quot;,&quot;volume&quot;:&quot;7&quot;},&quot;isTemporary&quot;:false}]},{&quot;citationID&quot;:&quot;MENDELEY_CITATION_77486474-0710-4996-a7f8-8c28f454edeb&quot;,&quot;properties&quot;:{&quot;noteIndex&quot;:0},&quot;isEdited&quot;:false,&quot;manualOverride&quot;:{&quot;isManuallyOverridden&quot;:true,&quot;citeprocText&quot;:&quot;(Ariong et al., 2023; &lt;i&gt;Post-Harvest-Losses-of-Cereals-in-Developing-Countries-A-Review&lt;/i&gt;, n.d.; Yonas et al., 2021)&quot;,&quot;manualOverrideText&quot;:&quot;(Ariong et al., 2023; Yonas et al., 2021)&quot;},&quot;citationTag&quot;:&quot;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&quot;,&quot;citationItems&quot;:[{&quot;id&quot;:&quot;e1c09842-3cd0-31cc-98c6-c6c479ad0c7a&quot;,&quot;itemData&quot;:{&quot;type&quot;:&quot;article-journal&quot;,&quot;id&quot;:&quot;e1c09842-3cd0-31cc-98c6-c6c479ad0c7a&quot;,&quot;title&quot;:&quot;Post-Harvest-Losses-of-Cereals-in-Developing-Countries-A-Review&quot;,&quot;container-title-short&quot;:&quot;&quot;},&quot;isTemporary&quot;:false},{&quot;id&quot;:&quot;38b4c157-8dc0-33ed-90fe-44969134c148&quot;,&quot;itemData&quot;:{&quot;type&quot;:&quot;article-journal&quot;,&quot;id&quot;:&quot;38b4c157-8dc0-33ed-90fe-44969134c148&quot;,&quot;title&quot;:&quot;Stored-grain losses and management practices among smallholder cereal farmers in Northern Ethiopia&quot;,&quot;author&quot;:[{&quot;family&quot;:&quot;Yonas&quot;,&quot;given&quot;:&quot;Meheretu&quot;,&quot;parse-names&quot;:false,&quot;dropping-particle&quot;:&quot;&quot;,&quot;non-dropping-particle&quot;:&quot;&quot;},{&quot;family&quot;:&quot;Ashenafi&quot;,&quot;given&quot;:&quot;Fanos&quot;,&quot;parse-names&quot;:false,&quot;dropping-particle&quot;:&quot;&quot;,&quot;non-dropping-particle&quot;:&quot;&quot;},{&quot;family&quot;:&quot;Kidane&quot;,&quot;given&quot;:&quot;Dawit&quot;,&quot;parse-names&quot;:false,&quot;dropping-particle&quot;:&quot;&quot;,&quot;non-dropping-particle&quot;:&quot;&quot;},{&quot;family&quot;:&quot;Welegerima&quot;,&quot;given&quot;:&quot;Kiros&quot;,&quot;parse-names&quot;:false,&quot;dropping-particle&quot;:&quot;&quot;,&quot;non-dropping-particle&quot;:&quot;&quot;}],&quot;container-title&quot;:&quot;International Journal of Pest Management&quot;,&quot;container-title-short&quot;:&quot;Int. J. Pest Manag.&quot;,&quot;DOI&quot;:&quot;10.1080/09670874.2020.1795301&quot;,&quot;ISSN&quot;:&quot;13665863&quot;,&quot;issued&quot;:{&quot;date-parts&quot;:[[2021]]},&quot;page&quot;:&quot;59-68&quot;,&quot;abstract&quot;:&quot;Storage pests are a major concern to smallholder farmers in Africa south of the Sahara since their livelihoods heavily depend on subsistence agriculture. These farmers depend mainly on traditional grain storage materials and pest management methods, both of which are generally ineffective against pests. Here we provide insights into stored-grain losses suffered by highland and lowland farmers in northern Ethiopia using a survey conducted during the 2016/2017 cropping season. A total of 109 household heads were interviewed and about half were visited for observation of grain storage materials. Irrespective of agroecology, the predominant stored-grain pests were weevils, rats, and termites. Both highland and lowland farmers stored grains in woven polythene sacks and dung made barrels indoors, and in barns outdoors. Some lowland farmers stored grains in underground pits outdoors. While highland farmers suffered an 8.03% average annual grain loss to the storage pests, the lowland farmers suffered a 12.18% average annual grain loss, which was significant (p = 0.007). The multiple linear regression analysis indicated significantly higher stored-grain losses in (i) lowland than highland farmers, (ii) households with heads holding village administrative positions than households with heads not holding any village administrative position, (iii) households storing grains for an additional month than households that did not and (iv) households storing grains in other indoor storage materials than households storing grains in woven polythene bags with plastic liners inside (p &lt; 0.05). Households with one more family member working on the farm and household heads who had attended training on pest management suffered significantly lower losses (p &lt; 0.05). Innovative storage methods and environmentally benign management options are recommended.&quot;,&quot;publisher&quot;:&quot;Taylor and Francis Ltd.&quot;,&quot;issue&quot;:&quot;1&quot;,&quot;volume&quot;:&quot;68&quot;},&quot;isTemporary&quot;:false},{&quot;id&quot;:&quot;37a74396-1593-31a3-bd8e-da435ff09075&quot;,&quot;itemData&quot;:{&quot;type&quot;:&quot;article-journal&quot;,&quot;id&quot;:&quot;37a74396-1593-31a3-bd8e-da435ff09075&quot;,&quot;title&quot;:&quot;The cost of inadequate postharvest management of pulse grain: Farmer losses due to handling and storage practices in Uganda&quot;,&quot;author&quot;:[{&quot;family&quot;:&quot;Ariong&quot;,&quot;given&quot;:&quot;Richard M.&quot;,&quot;parse-names&quot;:false,&quot;dropping-particle&quot;:&quot;&quot;,&quot;non-dropping-particle&quot;:&quot;&quot;},{&quot;family&quot;:&quot;Okello&quot;,&quot;given&quot;:&quot;Daniel M.&quot;,&quot;parse-names&quot;:false,&quot;dropping-particle&quot;:&quot;&quot;,&quot;non-dropping-particle&quot;:&quot;&quot;},{&quot;family&quot;:&quot;Otim&quot;,&quot;given&quot;:&quot;Michael Hilary&quot;,&quot;parse-names&quot;:false,&quot;dropping-particle&quot;:&quot;&quot;,&quot;non-dropping-particle&quot;:&quot;&quot;},{&quot;family&quot;:&quot;Paparu&quot;,&quot;given&quot;:&quot;Pamela&quot;,&quot;parse-names&quot;:false,&quot;dropping-particle&quot;:&quot;&quot;,&quot;non-dropping-particle&quot;:&quot;&quot;}],&quot;container-title&quot;:&quot;Agriculture and Food Security&quot;,&quot;container-title-short&quot;:&quot;Agric. Food Secur.&quot;,&quot;DOI&quot;:&quot;10.1186/s40066-023-00423-7&quot;,&quot;ISSN&quot;:&quot;20487010&quot;,&quot;issued&quot;:{&quot;date-parts&quot;:[[2023,12,1]]},&quot;abstract&quot;:&quot;Background: Investing in postharvest technologies is one way of reducing food losses with the aim of achieving food security, but it is often overlooked. In this study, we assessed the losses and costs associated with the harvest and postharvest practices used by smallholder bean farmers in Uganda. We also estimated the grain Moisture Content (MC) associated with traditional storage practices. Results: Harvest and postharvest handling practices result in a loss of about 22% of the crop harvest. The cost associated with this loss is 17% of the output value. In addition, the common storage practices used by farmers are unable to maintain the required grain MC of ≤ 13%. As even a slight change in grain MC can significantly impact storage duration, we found that 74% of farmers fail to meet the required MC, resulting in a loss of anticipated price premiums over an average storage duration of 80 days. Our econometric estimates suggest that storing grain in bags placed above the floor surface could reduce MC by an additional 1.5%. Conclusions: Our predictions indicate that farmers who use traditional practices should store bean grains for less than 60 days, or they should adopt better storage practices to increase shelf life and ensure food safety. If more farmers had placed their grain above the floor surface, 48% rather than 26% would have met the required MC at 90 days. It is worth noting that poor postharvest handling has significant economic implications and can lead to food safety concerns due to quality failures in the grain. To address these issues, there is a need to scale up interventions that increase farmer access to postharvest technologies.&quot;,&quot;publisher&quot;:&quot;BioMed Central Ltd&quot;,&quot;issue&quot;:&quot;1&quot;,&quot;volume&quot;:&quot;12&quot;},&quot;isTemporary&quot;:false}]},{&quot;citationID&quot;:&quot;MENDELEY_CITATION_9bdcbebd-e0bf-4311-addb-7011c8fb469e&quot;,&quot;properties&quot;:{&quot;noteIndex&quot;:0},&quot;isEdited&quot;:false,&quot;manualOverride&quot;:{&quot;isManuallyOverridden&quot;:false,&quot;citeprocText&quot;:&quot;(Ma et al., 2025)&quot;,&quot;manualOverrideText&quot;:&quot;&quot;},&quot;citationTag&quot;:&quot;MENDELEY_CITATION_v3_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&quot;,&quot;citationItems&quot;:[{&quot;id&quot;:&quot;5778986c-d5c2-3302-b75f-27e36ab52f29&quot;,&quot;itemData&quot;:{&quot;type&quot;:&quot;article-journal&quot;,&quot;id&quot;:&quot;5778986c-d5c2-3302-b75f-27e36ab52f29&quot;,&quot;title&quot;:&quot;ZIP: Scalable Crowd Counting via Zero-Inflated Poisson Modeling&quot;,&quot;author&quot;:[{&quot;family&quot;:&quot;Ma&quot;,&quot;given&quot;:&quot;Yiming&quot;,&quot;parse-names&quot;:false,&quot;dropping-particle&quot;:&quot;&quot;,&quot;non-dropping-particle&quot;:&quot;&quot;},{&quot;family&quot;:&quot;Sanchez&quot;,&quot;given&quot;:&quot;Victor&quot;,&quot;parse-names&quot;:false,&quot;dropping-particle&quot;:&quot;&quot;,&quot;non-dropping-particle&quot;:&quot;&quot;},{&quot;family&quot;:&quot;Guha&quot;,&quot;given&quot;:&quot;Tanaya&quot;,&quot;parse-names&quot;:false,&quot;dropping-particle&quot;:&quot;&quot;,&quot;non-dropping-particle&quot;:&quot;&quot;}],&quot;URL&quot;:&quot;http://arxiv.org/abs/2506.19955&quot;,&quot;issued&quot;:{&quot;date-parts&quot;:[[2025,7,31]]},&quot;abstract&quot;:&quot;Most crowd counting methods directly regress blockwise density maps using Mean Squared Error (MSE) losses. This practice has two key limitations: (1) it fails to account for the extreme spatial sparsity of annotations - over 95% of 8x8 blocks are empty across standard benchmarks, so supervision signals in informative regions are diluted by the predominant zeros; (2) MSE corresponds to a Gaussian error model that poorly matches discrete, non-negative count data. To address these issues, we introduce ZIP, a scalable crowd counting framework that models blockwise counts with a Zero-Inflated Poisson likelihood: a zero-inflation term learns the probability a block is structurally empty (handling excess zeros), while the Poisson component captures expected counts when people are present (respecting discreteness). We provide a generalization analysis showing a tighter risk bound for ZIP than MSE-based losses and DMCount provided that the training resolution is moderately large. To assess the scalability of ZIP, we instantiate it on backbones spanning over 100x in parameters/compute. Experiments on ShanghaiTech A &amp; B, UCF-QNRF, and NWPU-Crowd demonstrate that ZIP consistently surpasses state-of-the-art methods across all model scales.&quot;,&quot;container-title-short&quot;:&quot;&quot;},&quot;isTemporary&quot;:false}]},{&quot;citationID&quot;:&quot;MENDELEY_CITATION_c996b160-7a9d-4de0-a759-0c8d6b2b96e2&quot;,&quot;properties&quot;:{&quot;noteIndex&quot;:0},&quot;isEdited&quot;:false,&quot;manualOverride&quot;:{&quot;isManuallyOverridden&quot;:false,&quot;citeprocText&quot;:&quot;(Saha et al., 2026)&quot;,&quot;manualOverrideText&quot;:&quot;&quot;},&quot;citationTag&quot;:&quot;MENDELEY_CITATION_v3_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&quot;,&quot;citationItems&quot;:[{&quot;id&quot;:&quot;8202511c-cfa8-3758-be81-56341170c488&quot;,&quot;itemData&quot;:{&quot;type&quot;:&quot;article-journal&quot;,&quot;id&quot;:&quot;8202511c-cfa8-3758-be81-56341170c488&quot;,&quot;title&quot;:&quot;Poisson Log-Normal Process for Count Data Prediction&quot;,&quot;author&quot;:[{&quot;family&quot;:&quot;Saha&quot;,&quot;given&quot;:&quot;Anushka&quot;,&quot;parse-names&quot;:false,&quot;dropping-particle&quot;:&quot;&quot;,&quot;non-dropping-particle&quot;:&quot;&quot;},{&quot;family&quot;:&quot;Gandrakota&quot;,&quot;given&quot;:&quot;Abhijith&quot;,&quot;parse-names&quot;:false,&quot;dropping-particle&quot;:&quot;&quot;,&quot;non-dropping-particle&quot;:&quot;&quot;},{&quot;family&quot;:&quot;Morozov&quot;,&quot;given&quot;:&quot;Alexandre&quot;,&quot;parse-names&quot;:false,&quot;dropping-particle&quot;:&quot;V.&quot;,&quot;non-dropping-particle&quot;:&quot;&quot;}],&quot;URL&quot;:&quot;http://arxiv.org/abs/2602.05926&quot;,&quot;issued&quot;:{&quot;date-parts&quot;:[[2026,2,5]]},&quot;abstract&quot;:&quot;Modeling count data is important in physics and other scientific disciplines, where measurements often involve discrete, non-negative quantities such as photon or neutrino detection events. Traditional parametric approaches can be trained to generate integer-count predictions but may struggle with capturing complex, non-linear dependencies often observed in the data. Gaussian process (GP) regression provides a robust non-parametric alternative to modeling continuous data; however, it cannot generate integer outputs. We propose the Poisson Log-Normal (PoLoN) process, a framework that employs GP to model Poisson log-rates. As in GP regression, our approach relies on the correlations between data points captured via GP kernel structure rather than explicit functional parameterizations. We demonstrate that the PoLoN predictive distribution is Poisson-LogNormal and provide an algorithm for optimizing kernel hyperparameters. Furthermore, we adapt the PoLoN approach to the problem of detecting weak localized signals superimposed on a smoothly varying background - a task of considerable interest in many areas of science and engineering. Our framework allows us to predict the strength, location and width of the detected signals. We evaluate PoLoN's performance using both synthetic and real-world datasets, including the open dataset from CERN which was used to detect the Higgs boson at the Large Hadron Collider. Our results indicate that the PoLoN process can be used as a non-parametric alternative for analyzing, predicting, and extracting signals from integer-valued data.&quot;,&quot;container-title-short&quot;:&quot;&quot;},&quot;isTemporary&quot;:false}]},{&quot;citationID&quot;:&quot;MENDELEY_CITATION_a4dcfdff-7253-4826-bf71-a158578eba55&quot;,&quot;properties&quot;:{&quot;noteIndex&quot;:0},&quot;isEdited&quot;:false,&quot;manualOverride&quot;:{&quot;isManuallyOverridden&quot;:false,&quot;citeprocText&quot;:&quot;(Morris &amp;#38; Sellers, 2022)&quot;,&quot;manualOverrideText&quot;:&quot;&quot;},&quot;citationTag&quot;:&quot;MENDELEY_CITATION_v3_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&quot;,&quot;citationItems&quot;:[{&quot;id&quot;:&quot;b4144a25-8b5e-3ef2-9bc5-9a93b3bd852d&quot;,&quot;itemData&quot;:{&quot;type&quot;:&quot;article-journal&quot;,&quot;id&quot;:&quot;b4144a25-8b5e-3ef2-9bc5-9a93b3bd852d&quot;,&quot;title&quot;:&quot;A Flexible Mixed Model for Clustered Count Data&quot;,&quot;author&quot;:[{&quot;family&quot;:&quot;Morris&quot;,&quot;given&quot;:&quot;Darcy Steeg&quot;,&quot;parse-names&quot;:false,&quot;dropping-particle&quot;:&quot;&quot;,&quot;non-dropping-particle&quot;:&quot;&quot;},{&quot;family&quot;:&quot;Sellers&quot;,&quot;given&quot;:&quot;Kimberly F.&quot;,&quot;parse-names&quot;:false,&quot;dropping-particle&quot;:&quot;&quot;,&quot;non-dropping-particle&quot;:&quot;&quot;}],&quot;container-title&quot;:&quot;Stats&quot;,&quot;container-title-short&quot;:&quot;Stats (Basel).&quot;,&quot;DOI&quot;:&quot;10.3390/stats5010004&quot;,&quot;ISSN&quot;:&quot;2571905X&quot;,&quot;issued&quot;:{&quot;date-parts&quot;:[[2022,3,1]]},&quot;page&quot;:&quot;52-69&quot;,&quot;abstract&quot;:&quot;Clustered count data are commonly modeled using Poisson regression with random effects to account for the correlation induced by clustering. The Poisson mixed model allows for overdispersion via the nature of the within-cluster correlation, however, departures from equi-dispersion may also exist due to the underlying count process mechanism. We study the cross-sectional COM-Poisson regression model—a generalized regression model for count data in light of data dispersion—together with random effects for analysis of clustered count data. We demonstrate model flexibility of the COM-Poisson random intercept model, including choice of the random effect distribution, via simulated and real data examples. We find that COM-Poisson mixed models provide comparable model fit to well-known mixed models for associated special cases of clustered discrete data, and result in improved model fit for data with intermediate levels of over- or underdispersion in the count mechanism. Accordingly, the proposed models are useful for capturing dispersion not consistent with commonly used statistical models, and also serve as a practical diagnostic tool.&quot;,&quot;publisher&quot;:&quot;MDPI&quot;,&quot;issue&quot;:&quot;1&quot;,&quot;volume&quot;:&quot;5&quot;},&quot;isTemporary&quot;:false}]},{&quot;citationID&quot;:&quot;MENDELEY_CITATION_ed33d0ce-d129-4f3b-ac4c-ddab4ed3fd8d&quot;,&quot;properties&quot;:{&quot;noteIndex&quot;:0},&quot;isEdited&quot;:false,&quot;manualOverride&quot;:{&quot;isManuallyOverridden&quot;:false,&quot;citeprocText&quot;:&quot;(Almasi et al., 2016; Khan &amp;#38; Hasan, 2022)&quot;,&quot;manualOverrideText&quot;:&quot;&quot;},&quot;citationTag&quot;:&quot;MENDELEY_CITATION_v3_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&quot;,&quot;citationItems&quot;:[{&quot;id&quot;:&quot;874b668b-77b1-3646-acf6-02fc7df62cd2&quot;,&quot;itemData&quot;:{&quot;type&quot;:&quot;article-journal&quot;,&quot;id&quot;:&quot;874b668b-77b1-3646-acf6-02fc7df62cd2&quot;,&quot;title&quot;:&quot;Multilevel zero-inflated Generalized Poisson regression modeling for dispersed correlated count data&quot;,&quot;author&quot;:[{&quot;family&quot;:&quot;Almasi&quot;,&quot;given&quot;:&quot;Afshin&quot;,&quot;parse-names&quot;:false,&quot;dropping-particle&quot;:&quot;&quot;,&quot;non-dropping-particle&quot;:&quot;&quot;},{&quot;family&quot;:&quot;Eshraghian&quot;,&quot;given&quot;:&quot;Mohammad Reza&quot;,&quot;parse-names&quot;:false,&quot;dropping-particle&quot;:&quot;&quot;,&quot;non-dropping-particle&quot;:&quot;&quot;},{&quot;family&quot;:&quot;Moghimbeigi&quot;,&quot;given&quot;:&quot;Abbas&quot;,&quot;parse-names&quot;:false,&quot;dropping-particle&quot;:&quot;&quot;,&quot;non-dropping-particle&quot;:&quot;&quot;},{&quot;family&quot;:&quot;Rahimi&quot;,&quot;given&quot;:&quot;Abbas&quot;,&quot;parse-names&quot;:false,&quot;dropping-particle&quot;:&quot;&quot;,&quot;non-dropping-particle&quot;:&quot;&quot;},{&quot;family&quot;:&quot;Mohammad&quot;,&quot;given&quot;:&quot;Kazem&quot;,&quot;parse-names&quot;:false,&quot;dropping-particle&quot;:&quot;&quot;,&quot;non-dropping-particle&quot;:&quot;&quot;},{&quot;family&quot;:&quot;Fallahigilan&quot;,&quot;given&quot;:&quot;Sadegh&quot;,&quot;parse-names&quot;:false,&quot;dropping-particle&quot;:&quot;&quot;,&quot;non-dropping-particle&quot;:&quot;&quot;}],&quot;container-title&quot;:&quot;Statistical Methodology&quot;,&quot;container-title-short&quot;:&quot;Stat. Methodol.&quot;,&quot;accessed&quot;:{&quot;date-parts&quot;:[[2026,3,23]]},&quot;DOI&quot;:&quot;10.1016/j.stamet.2015.11.001&quot;,&quot;ISSN&quot;:&quot;15723127&quot;,&quot;URL&quot;:&quot;https://www.sciencedirect.com/science/article/abs/pii/S1572312715000763&quot;,&quot;issued&quot;:{&quot;date-parts&quot;:[[2016,5,1]]},&quot;page&quot;:&quot;1-14&quot;,&quot;abstract&quot;:&quot;Poisson or zero-inflated Poisson models often fail to fit count data either because of over- or underdispersion relative to the Poisson distribution. Moreover, data may be correlated due to the hierarchical study design or the data collection methods. In this study, we propose a multilevel zero-inflated generalized Poisson regression model that can address both over- and underdispersed count data. Random effects are assumed to be independent and normally distributed. The method of parameter estimation is EM algorithm base on expectation and maximization which falls into the general framework of maximum-likelihood estimations. The performance of the approach was illustrated by data regarding an index of tooth caries on 9-year-old children. Using various dispersion parameters, through Monte Carlo simulations, the multilevel ZIGP yielded more accurate parameter estimates, especially for underdispersed data.&quot;,&quot;publisher&quot;:&quot;Elsevier&quot;,&quot;volume&quot;:&quot;30&quot;},&quot;isTemporary&quot;:false},{&quot;id&quot;:&quot;a5fbf48a-1aa9-31ed-a286-f52caac2faf9&quot;,&quot;itemData&quot;:{&quot;type&quot;:&quot;article-journal&quot;,&quot;id&quot;:&quot;a5fbf48a-1aa9-31ed-a286-f52caac2faf9&quot;,&quot;title&quot;:&quot;A POISSON REGRESSION APPROACH TO MODELING TRAFFIC ACCIDENT FREQUENCY IN URBAN AREAS&quot;,&quot;author&quot;:[{&quot;family&quot;:&quot;Khan&quot;,&quot;given&quot;:&quot;Md.Kamrul&quot;,&quot;parse-names&quot;:false,&quot;dropping-particle&quot;:&quot;&quot;,&quot;non-dropping-particle&quot;:&quot;&quot;},{&quot;family&quot;:&quot;Hasan&quot;,&quot;given&quot;:&quot;Md. Tarek&quot;,&quot;parse-names&quot;:false,&quot;dropping-particle&quot;:&quot;&quot;,&quot;non-dropping-particle&quot;:&quot;&quot;}],&quot;container-title&quot;:&quot;American Journal of Interdisciplinary Studies&quot;,&quot;DOI&quot;:&quot;10.63125/wqh7pd07&quot;,&quot;URL&quot;:&quot;https://ajisresearch.com/index.php/ajis/article/view/36&quot;,&quot;issued&quot;:{&quot;date-parts&quot;:[[2022,12,1]]},&quot;page&quot;:&quot;117-156&quot;,&quot;abstract&quot;:&quot;&lt;p&gt;Urban traffic safety research frequently models crash frequency using Poisson-family regression because it is interpretable, extensible, and policy relevant. This systematic review synthesizes how these models are specified, diagnosed, validated, and translated into practice for urban contexts. Following PRISMA protocols, we searched multidisciplinary and transportation databases from inception through 2022, applied dual-stage screening with explicit inclusion criteria, extracted standardized methodological and results fields, and appraised reporting quality; 110 studies met all criteria and were included. The modeling landscape shows a clear center of gravity around the Poisson family, with negative binomial as the most common primary specification at 40.0 percent, followed by canonical Poisson at 29.1 percent, zero-inflated or hurdle variants at 12.7 percent, Poisson-lognormal or multivariate forms at 7.3 percent, and mixed or spatial CAR/ICAR primaries at 5.5 percent each, while Poisson appears as a baseline in most studies. Practice quality is uneven. Offsets are specified in 83.6 percent of papers and are associated with stronger validation and more stable inference, yet only 35.5 percent report any out-of-sample validation and calibration plots appear infrequently. Across covariates, higher speeds, turning shares, and access density typically increase risk, whereas medians and coordinated signals are protective; pedestrian and cyclist volumes often exhibit safety-in-numbers curvature. Translation to policy commonly occurs through Safety Performance Functions paired with empirical-Bayes adjustment; among studies reporting re-ranking, median turnover in top-site lists is about 30 percent, underscoring the operational impact of correct EB use and calibration. Overall, the evidence supports a disciplined workflow: construct mechanism-matched offsets, diagnose dispersion, zeros, and dependence, escalate model complexity only when warranted, and pair likelihood-based selection with explicit predictive checks to ensure credible, auditable safety decisions in cities.&lt;/p&gt;&quot;,&quot;issue&quot;:&quot;04&quot;,&quot;volume&quot;:&quot;03&quot;,&quot;container-title-short&quot;:&quot;&quot;},&quot;isTemporary&quot;:false}]},{&quot;citationID&quot;:&quot;MENDELEY_CITATION_896ae226-594c-4291-be40-1afce13c7bea&quot;,&quot;properties&quot;:{&quot;noteIndex&quot;:0},&quot;isEdited&quot;:false,&quot;manualOverride&quot;:{&quot;isManuallyOverridden&quot;:false,&quot;citeprocText&quot;:&quot;(Chen &amp;#38; Yang, 2024)&quot;,&quot;manualOverrideText&quot;:&quot;&quot;},&quot;citationTag&quot;:&quot;MENDELEY_CITATION_v3_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&quot;,&quot;citationItems&quot;:[{&quot;id&quot;:&quot;fbb019b4-1549-3f05-916c-0b1bc7db5f32&quot;,&quot;itemData&quot;:{&quot;type&quot;:&quot;article-journal&quot;,&quot;id&quot;:&quot;fbb019b4-1549-3f05-916c-0b1bc7db5f32&quot;,&quot;title&quot;:&quot;Geographically weighted regression analysis for nonnegative continuous outcomes: An application to Taiwan dengue data&quot;,&quot;author&quot;:[{&quot;family&quot;:&quot;Chen&quot;,&quot;given&quot;:&quot;Vivian Yi Ju&quot;,&quot;parse-names&quot;:false,&quot;dropping-particle&quot;:&quot;&quot;,&quot;non-dropping-particle&quot;:&quot;&quot;},{&quot;family&quot;:&quot;Yang&quot;,&quot;given&quot;:&quot;Yun Ciao&quot;,&quot;parse-names&quot;:false,&quot;dropping-particle&quot;:&quot;&quot;,&quot;non-dropping-particle&quot;:&quot;&quot;}],&quot;container-title&quot;:&quot;PLoS ONE&quot;,&quot;container-title-short&quot;:&quot;PLoS One&quot;,&quot;DOI&quot;:&quot;10.1371/journal.pone.0315327&quot;,&quot;ISSN&quot;:&quot;19326203&quot;,&quot;PMID&quot;:&quot;39666638&quot;,&quot;issued&quot;:{&quot;date-parts&quot;:[[2024,12,1]]},&quot;abstract&quot;:&quot;Geographically Weighted Regression (GWR) has gained widespread popularity across various disciplines for investigating spatial heterogeneity with respect to data relationships in georeferenced datasets. However, GWR is typically limited to the analysis of continuous dependent variables, which are assumed to follow a symmetric normal distribution. In many fields, nonnegative continuous data are often observed and may contain substantial amounts of zeros followed by a right-skewed distribution of positive values. When dealing with such type of outcomes, GWR may not provide adequate insights into spatially varying regression relationships. This study intends to extend the GWR based on a compound Poisson distribution. Such an extension not only allows for exploration of relationship heterogeneity but also accommodates nonnegative continuous response variables. We provide a detailed specification of the proposed model and discuss related modeling issues. Through simulation experiments, we assess the performance of this novel approach. Finally, we present an empirical case study using a dataset on dengue fever in Tainan, Taiwan, to demonstrate the practical applicability and utility of our proposed methodology.&quot;,&quot;publisher&quot;:&quot;Public Library of Science&quot;,&quot;issue&quot;:&quot;12 December&quot;,&quot;volume&quot;:&quot;19&quot;},&quot;isTemporary&quot;:false}]},{&quot;citationID&quot;:&quot;MENDELEY_CITATION_c12c0aed-a479-4db2-8ec7-b792eb22de39&quot;,&quot;properties&quot;:{&quot;noteIndex&quot;:0},&quot;isEdited&quot;:false,&quot;manualOverride&quot;:{&quot;isManuallyOverridden&quot;:true,&quot;citeprocText&quot;:&quot;(Abonazel et al., 2022)&quot;,&quot;manualOverrideText&quot;:&quot;(Abonazel et al., 2022).&quot;},&quot;citationTag&quot;:&quot;MENDELEY_CITATION_v3_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&quot;,&quot;citationItems&quot;:[{&quot;id&quot;:&quot;ed4a3c8b-3d11-3cda-82d4-e51d3e0775d6&quot;,&quot;itemData&quot;:{&quot;type&quot;:&quot;article-journal&quot;,&quot;id&quot;:&quot;ed4a3c8b-3d11-3cda-82d4-e51d3e0775d6&quot;,&quot;title&quot;:&quot;A New Two-Parameter Estimator for Beta Regression Model: Method, Simulation, and Application&quot;,&quot;author&quot;:[{&quot;family&quot;:&quot;Abonazel&quot;,&quot;given&quot;:&quot;Mohamed R.&quot;,&quot;parse-names&quot;:false,&quot;dropping-particle&quot;:&quot;&quot;,&quot;non-dropping-particle&quot;:&quot;&quot;},{&quot;family&quot;:&quot;Algamal&quot;,&quot;given&quot;:&quot;Zakariya Yahya&quot;,&quot;parse-names&quot;:false,&quot;dropping-particle&quot;:&quot;&quot;,&quot;non-dropping-particle&quot;:&quot;&quot;},{&quot;family&quot;:&quot;Awwad&quot;,&quot;given&quot;:&quot;Fuad A.&quot;,&quot;parse-names&quot;:false,&quot;dropping-particle&quot;:&quot;&quot;,&quot;non-dropping-particle&quot;:&quot;&quot;},{&quot;family&quot;:&quot;Taha&quot;,&quot;given&quot;:&quot;Ibrahim M.&quot;,&quot;parse-names&quot;:false,&quot;dropping-particle&quot;:&quot;&quot;,&quot;non-dropping-particle&quot;:&quot;&quot;}],&quot;container-title&quot;:&quot;Frontiers in Applied Mathematics and Statistics&quot;,&quot;container-title-short&quot;:&quot;Front. Appl. Math. Stat.&quot;,&quot;DOI&quot;:&quot;10.3389/fams.2021.780322&quot;,&quot;ISSN&quot;:&quot;22974687&quot;,&quot;issued&quot;:{&quot;date-parts&quot;:[[2022,1,26]]},&quot;abstract&quot;:&quot;The beta regression is a widely known statistical model when the response (or the dependent) variable has the form of fractions or percentages. In most of the situations in beta regression, the explanatory variables are related to each other which is commonly known as the multicollinearity problem. It is well-known that the multicollinearity problem affects severely the variance of maximum likelihood (ML) estimates. In this article, we developed a new biased estimator (called a two-parameter estimator) for the beta regression model to handle this problem and decrease the variance of the estimation. The properties of the proposed estimator are derived. Furthermore, the performance of the proposed estimator is compared with the ML estimator and other common biased (ridge, Liu, and Liu-type) estimators depending on the mean squared error criterion by making a Monte Carlo simulation study and through two real data applications. The results of the simulation and applications indicated that the proposed estimator outperformed ML, ridge, Liu, and Liu-type estimators.&quot;,&quot;publisher&quot;:&quot;Frontiers Media S.A.&quot;,&quot;volume&quot;:&quot;7&quot;},&quot;isTemporary&quot;:false}]},{&quot;citationID&quot;:&quot;MENDELEY_CITATION_e3663c94-0489-41ee-a8cd-ac4aad8477c4&quot;,&quot;properties&quot;:{&quot;noteIndex&quot;:0},&quot;isEdited&quot;:false,&quot;manualOverride&quot;:{&quot;isManuallyOverridden&quot;:false,&quot;citeprocText&quot;:&quot;(Marina Pare, 2025)&quot;,&quot;manualOverrideText&quot;:&quot;&quot;},&quot;citationTag&quot;:&quot;MENDELEY_CITATION_v3_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&quot;,&quot;citationItems&quot;:[{&quot;id&quot;:&quot;18ef06c5-d503-308d-a203-4981e448c63a&quot;,&quot;itemData&quot;:{&quot;type&quot;:&quot;article-journal&quot;,&quot;id&quot;:&quot;18ef06c5-d503-308d-a203-4981e448c63a&quot;,&quot;title&quot;:&quot;Farmers’ groups and the intensity of cereal-based agroforestry practice in Burkina Faso&quot;,&quot;author&quot;:[{&quot;family&quot;:&quot;Marina Pare&quot;,&quot;given&quot;:&quot;Bienlo Annick&quot;,&quot;parse-names&quot;:false,&quot;dropping-particle&quot;:&quot;&quot;,&quot;non-dropping-particle&quot;:&quot;&quot;}],&quot;container-title&quot;:&quot;Forests Trees and Livelihoods&quot;,&quot;DOI&quot;:&quot;10.1080/14728028.2025.2526344&quot;,&quot;ISSN&quot;:&quot;14728028&quot;,&quot;issued&quot;:{&quot;date-parts&quot;:[[2025]]},&quot;page&quot;:&quot;301-314&quot;,&quot;abstract&quot;:&quot;This study examines the effect of farmers’ participation in agricultural organisations on the extent of cereal-based agroforestry practice in Burkina Faso. The analysis draws on data from 4,635 rural households, sourced from the 2019 Permanent Agricultural Survey. A fractional logit model, complemented by a control function approach, was employed to carry out the estimations. The findings reveal first the very large extent of cereal-based agroforestry, with 67% of the cereal cultivated land on average. They also reveal that membership in a farmers’ organisation is positively associated with an increased intensity of cereal-based agroforestry practice. This suggests that participation in farmers’ organisation serves as an effective conduit for the dissemination of agroforestry-related information and knowledge. Moreover, it enhances access to vital services, including credit and agricultural extension services, in rural areas. The results also underscore persistent gender disparities in the intensification of cereal-based agroforestry. Additionally, a positive relationship is observed between cereal-based agroforestry intensity and factors, such as farm size and traditional gathering practices. In light of these findings, policy interventions should enhance collaboration with farmers’ organisations, encourage participation in such groups, improve access to agricultural resources, and implement gender-sensitive agroforestry programmes that specifically support female-headed households in rural areas.&quot;,&quot;publisher&quot;:&quot;Taylor and Francis Ltd.&quot;,&quot;issue&quot;:&quot;4&quot;,&quot;volume&quot;:&quot;34&quot;,&quot;container-title-short&quot;:&quot;&quot;},&quot;isTemporary&quot;:false}]},{&quot;citationID&quot;:&quot;MENDELEY_CITATION_4c37929e-7bbc-427e-8e32-9075b56b3b84&quot;,&quot;properties&quot;:{&quot;noteIndex&quot;:0},&quot;isEdited&quot;:false,&quot;manualOverride&quot;:{&quot;isManuallyOverridden&quot;:false,&quot;citeprocText&quot;:&quot;(Olakiumide, 2021)&quot;,&quot;manualOverrideText&quot;:&quot;&quot;},&quot;citationTag&quot;:&quot;MENDELEY_CITATION_v3_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&quot;,&quot;citationItems&quot;:[{&quot;id&quot;:&quot;8870e5bf-a9cb-3adb-a7da-8627e5d1f048&quot;,&quot;itemData&quot;:{&quot;type&quot;:&quot;report&quot;,&quot;id&quot;:&quot;8870e5bf-a9cb-3adb-a7da-8627e5d1f048&quot;,&quot;title&quot;:&quot;Post-Harvest Loss Reduction: Enhancing Food Security and Economic Sustainability&quot;,&quot;author&quot;:[{&quot;family&quot;:&quot;Olakiumide&quot;,&quot;given&quot;:&quot;Oumiawunaumi&quot;,&quot;parse-names&quot;:false,&quot;dropping-particle&quot;:&quot;&quot;,&quot;non-dropping-particle&quot;:&quot;&quot;}],&quot;URL&quot;:&quot;https://hdpublication.com/index.php/jss&quot;,&quot;issued&quot;:{&quot;date-parts&quot;:[[2021]]},&quot;abstract&quot;:&quot;Post-harvest losses in agriculture are a significant global challenge, particularly pronounced in Africa, where they threaten food security, economic stability, and sustainable development. This paper comprehensively explores the causes, impacts, and potential solutions related to post-harvest losses in the African context. The causes encompass a range of factors, including inadequate infrastructure, poor handling practices, limited technology access, and socioeconomic challenges. Consequently, post-harvest losses have dire implications for both food security and economic prosperity, impacting stakeholders along the agricultural value chain. Modern post-harvest technologies, coupled with effective pest management practices, can extend the shelf life and quality of harvested crops. Policymakers, researchers, farmers, and the private sector must collaborate to implement these solutions. By addressing post-harvest losses, Africa can move towards achieving Sustainable Development Goals related to hunger eradication, economic growth, and improved livelihoods. Ultimately, this paper emphasizes that addressing post-harvest losses is not only a technical challenge but a moral imperative. By reducing losses, African nations can enhance food security, empower local economies, and contribute to a more sustainable and equitable global food system. This paper calls for collective action to combat post-harvest losses and create a brighter future for the continent and beyond.&quot;,&quot;container-title-short&quot;:&quot;&quot;},&quot;isTemporary&quot;:false}]},{&quot;citationID&quot;:&quot;MENDELEY_CITATION_33893078-2b52-4f9d-b35c-5bfd7dce92a7&quot;,&quot;properties&quot;:{&quot;noteIndex&quot;:0},&quot;isEdited&quot;:false,&quot;manualOverride&quot;:{&quot;isManuallyOverridden&quot;:false,&quot;citeprocText&quot;:&quot;(Ferrari &amp;#38; Cribari-Neto, 2004)&quot;,&quot;manualOverrideText&quot;:&quot;&quot;},&quot;citationTag&quot;:&quot;MENDELEY_CITATION_v3_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&quot;,&quot;citationItems&quot;:[{&quot;id&quot;:&quot;30a57831-15a0-32da-8c8f-6b76a94d4bd6&quot;,&quot;itemData&quot;:{&quot;type&quot;:&quot;article-journal&quot;,&quot;id&quot;:&quot;30a57831-15a0-32da-8c8f-6b76a94d4bd6&quot;,&quot;title&quot;:&quot;Beta regression for modelling rates and proportions&quot;,&quot;author&quot;:[{&quot;family&quot;:&quot;Ferrari&quot;,&quot;given&quot;:&quot;Silvia L.P.&quot;,&quot;parse-names&quot;:false,&quot;dropping-particle&quot;:&quot;&quot;,&quot;non-dropping-particle&quot;:&quot;&quot;},{&quot;family&quot;:&quot;Cribari-Neto&quot;,&quot;given&quot;:&quot;Francisco&quot;,&quot;parse-names&quot;:false,&quot;dropping-particle&quot;:&quot;&quot;,&quot;non-dropping-particle&quot;:&quot;&quot;}],&quot;container-title&quot;:&quot;Journal of Applied Statistics&quot;,&quot;container-title-short&quot;:&quot;J. Appl. Stat.&quot;,&quot;DOI&quot;:&quot;10.1080/0266476042000214501&quot;,&quot;ISSN&quot;:&quot;02664763&quot;,&quot;issued&quot;:{&quot;date-parts&quot;:[[2004,8]]},&quot;page&quot;:&quot;799-815&quot;,&quot;abstract&quot;:&quot;This paper proposes a regression model where the response is beta distributed using a parameterization of the beta law that is indexed by mean and dispersion parameters. The proposed model is useful for situations where the variable of interest is continuous and restricted to the interval (0, 1) and is related to other variables through a regression structure. The regression parameters of the beta regression model are interpretable in terms of the mean of the response and, when the logit link is used, of an odds ratio, unlike the parameters of a linear regression that employs a transformed response. Estimation is performed by maximum likelihood. We provide closed-form expressions for the score function, for Fisher's information matrix and its inverse. Hypothesis testing is performed using approximations obtained from the asymptotic normality of the maximum likelihood estimator. Some diagnostic measures are introduced. Finally, practical applications that employ real data are presented and discussed. © 2004 Taylor &amp; Francis Ltd.&quot;,&quot;issue&quot;:&quot;7&quot;,&quot;volume&quot;:&quot;31&quot;},&quot;isTemporary&quot;:false}]},{&quot;citationID&quot;:&quot;MENDELEY_CITATION_ca787bef-b6e2-48ed-b676-4c0ec508dbcc&quot;,&quot;properties&quot;:{&quot;noteIndex&quot;:0},&quot;isEdited&quot;:false,&quot;manualOverride&quot;:{&quot;isManuallyOverridden&quot;:false,&quot;citeprocText&quot;:&quot;(Devine et al., 2024)&quot;,&quot;manualOverrideText&quot;:&quot;&quot;},&quot;citationTag&quot;:&quot;MENDELEY_CITATION_v3_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&quot;,&quot;citationItems&quot;:[{&quot;id&quot;:&quot;8986bcea-a62b-3d76-94fa-bb64a1cdd30f&quot;,&quot;itemData&quot;:{&quot;type&quot;:&quot;article-journal&quot;,&quot;id&quot;:&quot;8986bcea-a62b-3d76-94fa-bb64a1cdd30f&quot;,&quot;title&quot;:&quot;Approaches for Quantifying the ICC in Multilevel Logistic Models: A Didactic Demonstration&quot;,&quot;author&quot;:[{&quot;family&quot;:&quot;Devine&quot;,&quot;given&quot;:&quot;Sean&quot;,&quot;parse-names&quot;:false,&quot;dropping-particle&quot;:&quot;&quot;,&quot;non-dropping-particle&quot;:&quot;&quot;},{&quot;family&quot;:&quot;Uanhoro&quot;,&quot;given&quot;:&quot;James O.&quot;,&quot;parse-names&quot;:false,&quot;dropping-particle&quot;:&quot;&quot;,&quot;non-dropping-particle&quot;:&quot;&quot;},{&quot;family&quot;:&quot;Otto&quot;,&quot;given&quot;:&quot;A. Ross&quot;,&quot;parse-names&quot;:false,&quot;dropping-particle&quot;:&quot;&quot;,&quot;non-dropping-particle&quot;:&quot;&quot;},{&quot;family&quot;:&quot;Flake&quot;,&quot;given&quot;:&quot;Jessica K.&quot;,&quot;parse-names&quot;:false,&quot;dropping-particle&quot;:&quot;&quot;,&quot;non-dropping-particle&quot;:&quot;&quot;}],&quot;container-title&quot;:&quot;Collabra: Psychology&quot;,&quot;container-title-short&quot;:&quot;Collabra Psychol.&quot;,&quot;DOI&quot;:&quot;10.1525/collabra.94263&quot;,&quot;ISSN&quot;:&quot;24747394&quot;,&quot;issued&quot;:{&quot;date-parts&quot;:[[2024,3,14]]},&quot;page&quot;:&quot;3175-3199&quot;,&quot;abstract&quot;:&quot;Multilevel modeling techniques have gained traction among experimental psychologists for their ability to account for dependencies in nested data structures. Increasingly, these techniques are extended to the analysis of binary data (e.g., correct or incorrect responses). Despite their popularity, the information in logistic multilevel models is often underutilized when researchers focus solely on fixed effects and ignore important heterogeneity that exists between participants. In this tutorial, we review four techniques for estimating and quantifying the relative degree of between-person variability in logistic multilevel models in an accessible manner using real data. First, we introduce logistic multilevel modeling, including the interpretation of fixed and random effects. Second, we review the challenges associated with the estimation and interpretation of within- and between-participant variation in logistic multilevel models, particularly computing the intraclass correlation coefficient (ICC), which is usually a first, simple step in a linear MLM. Third, we demonstrate four existing methods of quantifying the ICC in logistic multilevel models and discuss their relative advantages and disadvantages. Fourth, we present bootstrapping methods to make statistical inference about these ICC estimates. To facilitate reuse, we developed R code to implement the discussed techniques, which is provided throughout the text and as supplemental materials.&quot;,&quot;publisher&quot;:&quot;University of California Press&quot;,&quot;issue&quot;:&quot;1&quot;,&quot;volume&quot;:&quot;10&quot;},&quot;isTemporary&quot;:false}]}]"/>
    <we:property name="MENDELEY_CITATIONS_STYLE" value="{&quot;id&quot;:&quot;https://www.zotero.org/styles/apa&quot;,&quot;title&quot;:&quot;APA Style 7th edition&quot;,&quot;format&quot;:&quot;author-date&quot;,&quot;defaultLocale&quot;:null,&quot;isLocaleCodeValid&quot;:true}"/>
    <we:property name="MENDELEY_BIBLIOGRAPHY_IS_DIRTY" value="false"/>
    <we:property name="MENDELEY_BIBLIOGRAPHY_LAST_MODIFIED" value="1775060024850"/>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47165-44D7-48D6-8D43-BA88AAD91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2125</TotalTime>
  <Pages>19</Pages>
  <Words>5934</Words>
  <Characters>33830</Characters>
  <Application>Microsoft Office Word</Application>
  <DocSecurity>0</DocSecurity>
  <Lines>281</Lines>
  <Paragraphs>79</Paragraphs>
  <ScaleCrop>false</ScaleCrop>
  <Company/>
  <LinksUpToDate>false</LinksUpToDate>
  <CharactersWithSpaces>39685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KIRUI</dc:creator>
  <cp:keywords/>
  <dc:description/>
  <cp:lastModifiedBy>SDI 1084</cp:lastModifiedBy>
  <cp:revision>36</cp:revision>
  <dcterms:created xsi:type="dcterms:W3CDTF">2026-03-31T18:51:00Z</dcterms:created>
  <dcterms:modified xsi:type="dcterms:W3CDTF">2026-04-04T10:36:00Z</dcterms:modified>
</cp:coreProperties>
</file>