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C350" w14:textId="69AFAD65" w:rsidR="00A258C3" w:rsidRPr="000D271B" w:rsidRDefault="008D540D" w:rsidP="00540909">
      <w:pPr>
        <w:pStyle w:val="Author"/>
        <w:spacing w:line="240" w:lineRule="auto"/>
        <w:jc w:val="center"/>
        <w:rPr>
          <w:rFonts w:ascii="Arial" w:hAnsi="Arial" w:cs="Arial"/>
          <w:bCs/>
          <w:szCs w:val="24"/>
        </w:rPr>
      </w:pPr>
      <w:r w:rsidRPr="000D271B">
        <w:rPr>
          <w:rFonts w:ascii="Arial" w:hAnsi="Arial" w:cs="Arial"/>
          <w:bCs/>
          <w:szCs w:val="24"/>
        </w:rPr>
        <w:t>Assessment and Quantification of Maternal Morbidity and Postpartum Complications, Childbirth in Ghana</w:t>
      </w:r>
    </w:p>
    <w:p w14:paraId="750CC72B" w14:textId="77777777" w:rsidR="00024B55" w:rsidRPr="000D271B" w:rsidRDefault="00024B55" w:rsidP="00441B6F">
      <w:pPr>
        <w:pStyle w:val="Author"/>
        <w:spacing w:line="240" w:lineRule="auto"/>
        <w:jc w:val="both"/>
        <w:rPr>
          <w:rFonts w:ascii="Arial" w:hAnsi="Arial" w:cs="Arial"/>
          <w:sz w:val="36"/>
        </w:rPr>
      </w:pPr>
    </w:p>
    <w:p w14:paraId="13F4E3E1" w14:textId="3600D581" w:rsidR="006A7B13" w:rsidRDefault="006A7B13" w:rsidP="006A7B13">
      <w:pPr>
        <w:jc w:val="center"/>
        <w:rPr>
          <w:rFonts w:ascii="Arial" w:hAnsi="Arial" w:cs="Arial"/>
          <w:b/>
          <w:bCs/>
          <w:sz w:val="24"/>
          <w:szCs w:val="24"/>
        </w:rPr>
      </w:pPr>
    </w:p>
    <w:p w14:paraId="590B97F1" w14:textId="2CD0EFD7" w:rsidR="004A4F0C" w:rsidRDefault="004A4F0C" w:rsidP="006A7B13">
      <w:pPr>
        <w:jc w:val="center"/>
        <w:rPr>
          <w:rFonts w:ascii="Arial" w:hAnsi="Arial" w:cs="Arial"/>
          <w:sz w:val="24"/>
          <w:szCs w:val="24"/>
        </w:rPr>
      </w:pPr>
    </w:p>
    <w:p w14:paraId="668DC52C" w14:textId="77777777" w:rsidR="004A4F0C" w:rsidRPr="000D271B" w:rsidRDefault="004A4F0C" w:rsidP="006A7B13">
      <w:pPr>
        <w:jc w:val="center"/>
        <w:rPr>
          <w:rFonts w:ascii="Arial" w:hAnsi="Arial" w:cs="Arial"/>
          <w:sz w:val="24"/>
          <w:szCs w:val="24"/>
        </w:rPr>
      </w:pPr>
    </w:p>
    <w:p w14:paraId="6A48545D" w14:textId="77777777" w:rsidR="008D540D" w:rsidRPr="000D271B" w:rsidRDefault="008D540D" w:rsidP="00441B6F">
      <w:pPr>
        <w:pStyle w:val="Affiliation"/>
        <w:spacing w:after="0" w:line="240" w:lineRule="auto"/>
        <w:jc w:val="both"/>
        <w:rPr>
          <w:rFonts w:ascii="Arial" w:hAnsi="Arial" w:cs="Arial"/>
        </w:rPr>
      </w:pPr>
    </w:p>
    <w:p w14:paraId="1B0F79DC" w14:textId="77777777" w:rsidR="008D540D" w:rsidRPr="000D271B" w:rsidRDefault="008D540D" w:rsidP="00441B6F">
      <w:pPr>
        <w:pStyle w:val="Affiliation"/>
        <w:spacing w:after="0" w:line="240" w:lineRule="auto"/>
        <w:jc w:val="both"/>
        <w:rPr>
          <w:rFonts w:ascii="Arial" w:hAnsi="Arial" w:cs="Arial"/>
        </w:rPr>
      </w:pPr>
    </w:p>
    <w:p w14:paraId="3D7ECAF6" w14:textId="689A953A" w:rsidR="00B01FCD" w:rsidRPr="000D271B" w:rsidRDefault="00F81E2C" w:rsidP="00441B6F">
      <w:pPr>
        <w:pStyle w:val="Copyright"/>
        <w:spacing w:after="0" w:line="240" w:lineRule="auto"/>
        <w:jc w:val="both"/>
        <w:rPr>
          <w:rFonts w:ascii="Arial" w:hAnsi="Arial" w:cs="Arial"/>
        </w:rPr>
        <w:sectPr w:rsidR="00B01FCD" w:rsidRPr="000D271B" w:rsidSect="008614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B9F9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8026C27" w14:textId="4B00F43A" w:rsidR="00790ADA" w:rsidRPr="000D271B" w:rsidRDefault="006A7B13"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67810" w:rsidRPr="000D271B" w14:paraId="11EE4FE1" w14:textId="77777777" w:rsidTr="00F67810">
        <w:tc>
          <w:tcPr>
            <w:tcW w:w="8424" w:type="dxa"/>
            <w:shd w:val="clear" w:color="auto" w:fill="F2F2F2"/>
          </w:tcPr>
          <w:p w14:paraId="1C9B6E97" w14:textId="18E09AC9" w:rsidR="00F67810" w:rsidRPr="000D271B" w:rsidRDefault="00F67810" w:rsidP="00F67810">
            <w:pPr>
              <w:pStyle w:val="Body"/>
              <w:spacing w:after="0"/>
              <w:rPr>
                <w:rFonts w:ascii="Arial" w:eastAsia="Calibri" w:hAnsi="Arial" w:cs="Arial"/>
                <w:sz w:val="22"/>
                <w:szCs w:val="22"/>
              </w:rPr>
            </w:pPr>
            <w:r w:rsidRPr="000D271B">
              <w:rPr>
                <w:rFonts w:ascii="Arial" w:hAnsi="Arial" w:cs="Arial"/>
                <w:sz w:val="22"/>
                <w:szCs w:val="22"/>
              </w:rPr>
              <w:t xml:space="preserve">This study develops an integrated statistical and machine-learning framework to identify predictors of childbirth-related complications and post-surgical sequelae. Using demographic, obstetric, clinical, laboratory, economic, dietary, and functional-status variables, we constructed a synthetic Ghana-specific cohort of 10,000 women of reproductive age. Logistic regression and Cox proportional hazards models were applied alongside decision trees, random forests, k-nearest </w:t>
            </w:r>
            <w:proofErr w:type="spellStart"/>
            <w:r w:rsidRPr="000D271B">
              <w:rPr>
                <w:rFonts w:ascii="Arial" w:hAnsi="Arial" w:cs="Arial"/>
                <w:sz w:val="22"/>
                <w:szCs w:val="22"/>
              </w:rPr>
              <w:t>neighbours</w:t>
            </w:r>
            <w:proofErr w:type="spellEnd"/>
            <w:r w:rsidRPr="000D271B">
              <w:rPr>
                <w:rFonts w:ascii="Arial" w:hAnsi="Arial" w:cs="Arial"/>
                <w:sz w:val="22"/>
                <w:szCs w:val="22"/>
              </w:rPr>
              <w:t>, naïve Bayes, and neural networks to assess the consistency and relative importance of predictors. Across models, salient factors included maternal age, antenatal care attendance, prior obstetric complications, postpartum hemorrhage, pre-eclampsia, gestational diabetes, infections, hemoglobin levels, National Health Insurance Scheme (NHIS) status, delivery and transport costs, food expenditure, and limitations in activities of daily living. Women with a history of complications or postpartum hemorrhage exhibited markedly higher odds of experiencing adverse outcomes during childbirth. Overall, logistic regression performed robustly and offers interpretable, policy-relevant insights to support maternal health planning and resource allocation in Ghana.</w:t>
            </w:r>
          </w:p>
        </w:tc>
      </w:tr>
    </w:tbl>
    <w:p w14:paraId="7E7B26FA" w14:textId="77777777" w:rsidR="00636EB2" w:rsidRPr="000D271B" w:rsidRDefault="00636EB2" w:rsidP="00441B6F">
      <w:pPr>
        <w:pStyle w:val="Body"/>
        <w:spacing w:after="0"/>
        <w:rPr>
          <w:rFonts w:ascii="Arial" w:hAnsi="Arial" w:cs="Arial"/>
          <w:i/>
        </w:rPr>
      </w:pPr>
    </w:p>
    <w:p w14:paraId="55934685" w14:textId="750D3156" w:rsidR="00A24E7E" w:rsidRPr="000D271B" w:rsidRDefault="00A24E7E" w:rsidP="00441B6F">
      <w:pPr>
        <w:pStyle w:val="Body"/>
        <w:spacing w:after="0"/>
        <w:rPr>
          <w:rFonts w:ascii="Arial" w:hAnsi="Arial" w:cs="Arial"/>
          <w:i/>
        </w:rPr>
      </w:pPr>
      <w:r w:rsidRPr="000D271B">
        <w:rPr>
          <w:rFonts w:ascii="Arial" w:hAnsi="Arial" w:cs="Arial"/>
          <w:i/>
        </w:rPr>
        <w:t>Keywords: [</w:t>
      </w:r>
      <w:r w:rsidR="00F67810" w:rsidRPr="000D271B">
        <w:rPr>
          <w:rFonts w:ascii="Arial" w:hAnsi="Arial" w:cs="Arial"/>
        </w:rPr>
        <w:t>Childbirth, postpartum hemorrhage, side-effects, pre-eclampsia, logistic regression</w:t>
      </w:r>
      <w:r w:rsidRPr="000D271B">
        <w:rPr>
          <w:rFonts w:ascii="Arial" w:hAnsi="Arial" w:cs="Arial"/>
          <w:i/>
        </w:rPr>
        <w:t>}</w:t>
      </w:r>
    </w:p>
    <w:p w14:paraId="0E054658" w14:textId="77777777" w:rsidR="00790ADA" w:rsidRPr="000D271B" w:rsidRDefault="00790ADA" w:rsidP="00441B6F">
      <w:pPr>
        <w:pStyle w:val="Body"/>
        <w:spacing w:after="0"/>
        <w:rPr>
          <w:rFonts w:ascii="Arial" w:hAnsi="Arial" w:cs="Arial"/>
          <w:i/>
        </w:rPr>
      </w:pPr>
    </w:p>
    <w:p w14:paraId="27B635AA" w14:textId="77777777" w:rsidR="00505F06" w:rsidRPr="000D271B" w:rsidRDefault="00505F06" w:rsidP="00441B6F">
      <w:pPr>
        <w:pStyle w:val="Body"/>
        <w:spacing w:after="0"/>
        <w:rPr>
          <w:rFonts w:ascii="Arial" w:hAnsi="Arial" w:cs="Arial"/>
          <w:i/>
        </w:rPr>
      </w:pPr>
    </w:p>
    <w:p w14:paraId="14358D7B" w14:textId="743E20F8" w:rsidR="007F7B32" w:rsidRPr="000D271B" w:rsidRDefault="00902823" w:rsidP="00441B6F">
      <w:pPr>
        <w:pStyle w:val="AbstHead"/>
        <w:spacing w:after="0"/>
        <w:jc w:val="both"/>
        <w:rPr>
          <w:rFonts w:ascii="Arial" w:hAnsi="Arial" w:cs="Arial"/>
        </w:rPr>
      </w:pPr>
      <w:r w:rsidRPr="000D271B">
        <w:rPr>
          <w:rFonts w:ascii="Arial" w:hAnsi="Arial" w:cs="Arial"/>
        </w:rPr>
        <w:t xml:space="preserve">1. </w:t>
      </w:r>
      <w:r w:rsidR="00B01FCD" w:rsidRPr="000D271B">
        <w:rPr>
          <w:rFonts w:ascii="Arial" w:hAnsi="Arial" w:cs="Arial"/>
        </w:rPr>
        <w:t>INTRODUCTION</w:t>
      </w:r>
    </w:p>
    <w:p w14:paraId="65816F8A" w14:textId="77777777" w:rsidR="00790ADA" w:rsidRPr="000D271B" w:rsidRDefault="00790ADA" w:rsidP="00441B6F">
      <w:pPr>
        <w:pStyle w:val="AbstHead"/>
        <w:spacing w:after="0"/>
        <w:jc w:val="both"/>
        <w:rPr>
          <w:rFonts w:ascii="Arial" w:hAnsi="Arial" w:cs="Arial"/>
        </w:rPr>
      </w:pPr>
    </w:p>
    <w:p w14:paraId="4E249935"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The complications and risks of childbirth are enormous and irreversible in some instances. According to Wang et al. 2025, estimated that about 45% of new mothers report experiencing psychological birth trauma, making it a serious global public health concern. The causes of psychological birth trauma have received little attention from researchers, who primarily concentrate on the effects of postpartum mental health conditions like postpartum PTSD (Mohammed et al,2025, Budiarti et al, 2025). These complications directly or indirectly may trigger heart related issues if not manage with care (Frederick, 2025)</w:t>
      </w:r>
    </w:p>
    <w:p w14:paraId="6D167811"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Maternal mortality was rated high in 2023 by WHO where it is estimated that about 260,00 women directly died during pregnancy and childbirth with 92% of these maternal deaths occurred in underdeveloped and developing countries where with current advancement in physician’ knowledge, skills and improved information, science and technology could avert this decade canker. Again, Sub-Saharan Africa and Southern Asia contributed nearly 87% of the global maternal deaths in 2023 and these factors are severe bleeding after childbirth, complications from delivery, </w:t>
      </w:r>
      <w:r w:rsidRPr="000D271B">
        <w:rPr>
          <w:rFonts w:ascii="Arial" w:hAnsi="Arial" w:cs="Arial"/>
          <w:sz w:val="22"/>
          <w:szCs w:val="22"/>
        </w:rPr>
        <w:lastRenderedPageBreak/>
        <w:t>unsafe abortion, infections, and high blood pressure during pregnancy (WHO, 2025, Gayatri et al. 2021, and Geremew et al, 2025).</w:t>
      </w:r>
    </w:p>
    <w:p w14:paraId="1209210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 xml:space="preserve">According to Gerald et al 2024, majority of maternal deaths (77.2%) are caused by sepsis (23.7%) and hemorrhage (27.8%). This result is consistent with worldwide trends and emphasizes how vital it is to enhance emergency obstetric care, especially in the management of postpartum hemorrhage and the prevention and treatment of infections. This result is consistent with findings from the 2017 Ghana Maternal Health Survey (GMHS), which found that direct obstetric causes accounted for nearly 75% of maternal deaths in Ghana, as well as findings from </w:t>
      </w:r>
      <w:proofErr w:type="spellStart"/>
      <w:r w:rsidRPr="000D271B">
        <w:rPr>
          <w:rFonts w:ascii="Arial" w:hAnsi="Arial" w:cs="Arial"/>
          <w:sz w:val="22"/>
          <w:szCs w:val="22"/>
        </w:rPr>
        <w:t>Ngonzi</w:t>
      </w:r>
      <w:proofErr w:type="spellEnd"/>
      <w:r w:rsidRPr="000D271B">
        <w:rPr>
          <w:rFonts w:ascii="Arial" w:hAnsi="Arial" w:cs="Arial"/>
          <w:sz w:val="22"/>
          <w:szCs w:val="22"/>
        </w:rPr>
        <w:t xml:space="preserve"> et al. 2016. Significant local differences in healthcare quality or access are indicated by the significantly higher mortality risk in the </w:t>
      </w:r>
      <w:proofErr w:type="spellStart"/>
      <w:r w:rsidRPr="000D271B">
        <w:rPr>
          <w:rFonts w:ascii="Arial" w:hAnsi="Arial" w:cs="Arial"/>
          <w:sz w:val="22"/>
          <w:szCs w:val="22"/>
        </w:rPr>
        <w:t>Oforikrom</w:t>
      </w:r>
      <w:proofErr w:type="spellEnd"/>
      <w:r w:rsidRPr="000D271B">
        <w:rPr>
          <w:rFonts w:ascii="Arial" w:hAnsi="Arial" w:cs="Arial"/>
          <w:sz w:val="22"/>
          <w:szCs w:val="22"/>
        </w:rPr>
        <w:t xml:space="preserve"> sub-metro than in </w:t>
      </w:r>
      <w:proofErr w:type="spellStart"/>
      <w:r w:rsidRPr="000D271B">
        <w:rPr>
          <w:rFonts w:ascii="Arial" w:hAnsi="Arial" w:cs="Arial"/>
          <w:sz w:val="22"/>
          <w:szCs w:val="22"/>
        </w:rPr>
        <w:t>Tafo</w:t>
      </w:r>
      <w:proofErr w:type="spellEnd"/>
      <w:r w:rsidRPr="000D271B">
        <w:rPr>
          <w:rFonts w:ascii="Arial" w:hAnsi="Arial" w:cs="Arial"/>
          <w:sz w:val="22"/>
          <w:szCs w:val="22"/>
        </w:rPr>
        <w:t xml:space="preserve"> (OR: 4.1495, p = 0.0219). According to this finding, </w:t>
      </w:r>
      <w:proofErr w:type="spellStart"/>
      <w:r w:rsidRPr="000D271B">
        <w:rPr>
          <w:rFonts w:ascii="Arial" w:hAnsi="Arial" w:cs="Arial"/>
          <w:sz w:val="22"/>
          <w:szCs w:val="22"/>
        </w:rPr>
        <w:t>Oforikrom</w:t>
      </w:r>
      <w:proofErr w:type="spellEnd"/>
      <w:r w:rsidRPr="000D271B">
        <w:rPr>
          <w:rFonts w:ascii="Arial" w:hAnsi="Arial" w:cs="Arial"/>
          <w:sz w:val="22"/>
          <w:szCs w:val="22"/>
        </w:rPr>
        <w:t xml:space="preserve"> needs focused resources and interventions to deal with its unique problems (Osborne et al. 2025 and Bearak et al. 2022).</w:t>
      </w:r>
    </w:p>
    <w:p w14:paraId="034414E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Women who had primary education [</w:t>
      </w:r>
      <w:proofErr w:type="spellStart"/>
      <w:r w:rsidRPr="000D271B">
        <w:rPr>
          <w:rFonts w:ascii="Arial" w:hAnsi="Arial" w:cs="Arial"/>
          <w:sz w:val="22"/>
          <w:szCs w:val="22"/>
        </w:rPr>
        <w:t>aOR</w:t>
      </w:r>
      <w:proofErr w:type="spellEnd"/>
      <w:r w:rsidRPr="000D271B">
        <w:rPr>
          <w:rFonts w:ascii="Arial" w:hAnsi="Arial" w:cs="Arial"/>
          <w:sz w:val="22"/>
          <w:szCs w:val="22"/>
        </w:rPr>
        <w:t> = 1.41; 95% CI: 1.05, 1.90] and those with secondary education [</w:t>
      </w:r>
      <w:proofErr w:type="spellStart"/>
      <w:r w:rsidRPr="000D271B">
        <w:rPr>
          <w:rFonts w:ascii="Arial" w:hAnsi="Arial" w:cs="Arial"/>
          <w:sz w:val="22"/>
          <w:szCs w:val="22"/>
        </w:rPr>
        <w:t>aOR</w:t>
      </w:r>
      <w:proofErr w:type="spellEnd"/>
      <w:r w:rsidRPr="000D271B">
        <w:rPr>
          <w:rFonts w:ascii="Arial" w:hAnsi="Arial" w:cs="Arial"/>
          <w:sz w:val="22"/>
          <w:szCs w:val="22"/>
        </w:rPr>
        <w:t> = 1.46; 95% CI: 1.09, 1.97] had higher odds of experiencing unintended pregnancy than women with no education. Women with 3–4 children [</w:t>
      </w:r>
      <w:proofErr w:type="spellStart"/>
      <w:r w:rsidRPr="000D271B">
        <w:rPr>
          <w:rFonts w:ascii="Arial" w:hAnsi="Arial" w:cs="Arial"/>
          <w:sz w:val="22"/>
          <w:szCs w:val="22"/>
        </w:rPr>
        <w:t>aOR</w:t>
      </w:r>
      <w:proofErr w:type="spellEnd"/>
      <w:r w:rsidRPr="000D271B">
        <w:rPr>
          <w:rFonts w:ascii="Arial" w:hAnsi="Arial" w:cs="Arial"/>
          <w:sz w:val="22"/>
          <w:szCs w:val="22"/>
        </w:rPr>
        <w:t> = 2.02; 95% CI: 1.48, 2.77] and 5 or more children [</w:t>
      </w:r>
      <w:proofErr w:type="spellStart"/>
      <w:r w:rsidRPr="000D271B">
        <w:rPr>
          <w:rFonts w:ascii="Arial" w:hAnsi="Arial" w:cs="Arial"/>
          <w:sz w:val="22"/>
          <w:szCs w:val="22"/>
        </w:rPr>
        <w:t>aOR</w:t>
      </w:r>
      <w:proofErr w:type="spellEnd"/>
      <w:r w:rsidRPr="000D271B">
        <w:rPr>
          <w:rFonts w:ascii="Arial" w:hAnsi="Arial" w:cs="Arial"/>
          <w:sz w:val="22"/>
          <w:szCs w:val="22"/>
        </w:rPr>
        <w:t> = 4.34; 95% CI: 2.79, 6.74] were more likely to have unintended pregnancy than women with 1–2 children. Women with a household size of six or more [</w:t>
      </w:r>
      <w:proofErr w:type="spellStart"/>
      <w:r w:rsidRPr="000D271B">
        <w:rPr>
          <w:rFonts w:ascii="Arial" w:hAnsi="Arial" w:cs="Arial"/>
          <w:sz w:val="22"/>
          <w:szCs w:val="22"/>
        </w:rPr>
        <w:t>aOR</w:t>
      </w:r>
      <w:proofErr w:type="spellEnd"/>
      <w:r w:rsidRPr="000D271B">
        <w:rPr>
          <w:rFonts w:ascii="Arial" w:hAnsi="Arial" w:cs="Arial"/>
          <w:sz w:val="22"/>
          <w:szCs w:val="22"/>
        </w:rPr>
        <w:t> = 1.53; 95% CI: 1.20, 1.94] were more likely to have unintended pregnancy than those with five or fewer. Women with female household heads [</w:t>
      </w:r>
      <w:proofErr w:type="spellStart"/>
      <w:r w:rsidRPr="000D271B">
        <w:rPr>
          <w:rFonts w:ascii="Arial" w:hAnsi="Arial" w:cs="Arial"/>
          <w:sz w:val="22"/>
          <w:szCs w:val="22"/>
        </w:rPr>
        <w:t>aOR</w:t>
      </w:r>
      <w:proofErr w:type="spellEnd"/>
      <w:r w:rsidRPr="000D271B">
        <w:rPr>
          <w:rFonts w:ascii="Arial" w:hAnsi="Arial" w:cs="Arial"/>
          <w:sz w:val="22"/>
          <w:szCs w:val="22"/>
        </w:rPr>
        <w:t xml:space="preserve"> = 1.47; 95% CI: 1.15; 1.87] were more likely to have unintended pregnancy compared to those with male household heads (Augustus et al, 2025, </w:t>
      </w:r>
      <w:proofErr w:type="spellStart"/>
      <w:r w:rsidRPr="000D271B">
        <w:rPr>
          <w:rFonts w:ascii="Arial" w:hAnsi="Arial" w:cs="Arial"/>
          <w:sz w:val="22"/>
          <w:szCs w:val="22"/>
        </w:rPr>
        <w:t>Oladebo</w:t>
      </w:r>
      <w:proofErr w:type="spellEnd"/>
      <w:r w:rsidRPr="000D271B">
        <w:rPr>
          <w:rFonts w:ascii="Arial" w:hAnsi="Arial" w:cs="Arial"/>
          <w:sz w:val="22"/>
          <w:szCs w:val="22"/>
        </w:rPr>
        <w:t xml:space="preserve"> et al, 2025, and Wahyuni et al, 2025).</w:t>
      </w:r>
    </w:p>
    <w:p w14:paraId="65E1DCB2"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In Majella et al 2019 it was revealed that 569 antenatal case records analyzed, 315 (55.3%) were aged between 20-25 years and most (463, 81.4%) were classified as below the poverty line. From the study sample, 410 (74.3%) registered their current pregnancy within the first trimester. The proportion of high-risk pregnancy among participants was 18.3% (95% confidence interval: 15.3%-21.7%). Most (81.9%) had term delivery. Concerning obstetric and neonatal outcomes, most delivered spontaneously (73.9%); around 10.4% had low-birth weight babies, and only 1.7% experienced stillbirth (Al-Hindi et al. 2020). With high-risk pregnancy, parity, socio-economic status and unfavorable outcomes such as, low-birth weight, preterm and post term delivery was associated (</w:t>
      </w:r>
      <w:proofErr w:type="spellStart"/>
      <w:r w:rsidRPr="000D271B">
        <w:rPr>
          <w:rFonts w:ascii="Arial" w:hAnsi="Arial" w:cs="Arial"/>
          <w:sz w:val="22"/>
          <w:szCs w:val="22"/>
        </w:rPr>
        <w:t>Jusmawati</w:t>
      </w:r>
      <w:proofErr w:type="spellEnd"/>
      <w:r w:rsidRPr="000D271B">
        <w:rPr>
          <w:rFonts w:ascii="Arial" w:hAnsi="Arial" w:cs="Arial"/>
          <w:sz w:val="22"/>
          <w:szCs w:val="22"/>
        </w:rPr>
        <w:t xml:space="preserve"> et al, 2025 and Contreras et al, 2025.</w:t>
      </w:r>
    </w:p>
    <w:p w14:paraId="67220E89" w14:textId="77777777" w:rsidR="00790ADA" w:rsidRPr="000D271B" w:rsidRDefault="00790ADA" w:rsidP="00441B6F">
      <w:pPr>
        <w:pStyle w:val="Body"/>
        <w:spacing w:after="0"/>
        <w:rPr>
          <w:rFonts w:ascii="Arial" w:hAnsi="Arial" w:cs="Arial"/>
        </w:rPr>
      </w:pPr>
    </w:p>
    <w:p w14:paraId="20948C97" w14:textId="5E67D491" w:rsidR="007F7B32" w:rsidRPr="000D271B" w:rsidRDefault="00902823" w:rsidP="00441B6F">
      <w:pPr>
        <w:pStyle w:val="AbstHead"/>
        <w:spacing w:after="0"/>
        <w:jc w:val="both"/>
        <w:rPr>
          <w:rFonts w:ascii="Arial" w:hAnsi="Arial" w:cs="Arial"/>
        </w:rPr>
      </w:pPr>
      <w:r w:rsidRPr="000D271B">
        <w:rPr>
          <w:rFonts w:ascii="Arial" w:hAnsi="Arial" w:cs="Arial"/>
        </w:rPr>
        <w:t>2</w:t>
      </w:r>
      <w:r w:rsidR="000D271B">
        <w:rPr>
          <w:rFonts w:ascii="Arial" w:hAnsi="Arial" w:cs="Arial"/>
        </w:rPr>
        <w:t xml:space="preserve">.0 </w:t>
      </w:r>
      <w:r w:rsidR="006B57D0" w:rsidRPr="000D271B">
        <w:rPr>
          <w:rFonts w:ascii="Arial" w:hAnsi="Arial" w:cs="Arial"/>
        </w:rPr>
        <w:t>methodology</w:t>
      </w:r>
    </w:p>
    <w:p w14:paraId="18D58715" w14:textId="77777777" w:rsidR="00F67810" w:rsidRPr="000D271B" w:rsidRDefault="00F67810" w:rsidP="00F67810">
      <w:pPr>
        <w:jc w:val="both"/>
        <w:rPr>
          <w:rFonts w:ascii="Arial" w:hAnsi="Arial" w:cs="Arial"/>
          <w:sz w:val="22"/>
          <w:szCs w:val="22"/>
        </w:rPr>
      </w:pPr>
      <w:r w:rsidRPr="000D271B">
        <w:rPr>
          <w:rFonts w:ascii="Arial" w:hAnsi="Arial" w:cs="Arial"/>
          <w:sz w:val="22"/>
          <w:szCs w:val="22"/>
        </w:rPr>
        <w:t>A retrospective cohort study with synthetic data (n=10,000) having outcomes that included a binary indicator of side effects and time-to-postpartum complication (Armero et al. 2022). Predicting variables included demography, obstetric history, clinical/labs, access, costs, diet, and disability. The artificial Intelligent models included: logistics, random forest, decision tree, k-Nearest Neighbor, neural network. Evaluation included: AUC, C-index, calibration, KM curves; internal split validation using their algorithms (</w:t>
      </w:r>
      <w:proofErr w:type="spellStart"/>
      <w:r w:rsidRPr="000D271B">
        <w:rPr>
          <w:rFonts w:ascii="Arial" w:hAnsi="Arial" w:cs="Arial"/>
          <w:sz w:val="22"/>
          <w:szCs w:val="22"/>
        </w:rPr>
        <w:t>Abuelezz</w:t>
      </w:r>
      <w:proofErr w:type="spellEnd"/>
      <w:r w:rsidRPr="000D271B">
        <w:rPr>
          <w:rFonts w:ascii="Arial" w:hAnsi="Arial" w:cs="Arial"/>
          <w:sz w:val="22"/>
          <w:szCs w:val="22"/>
        </w:rPr>
        <w:t xml:space="preserve"> et al. 202 and </w:t>
      </w:r>
      <w:proofErr w:type="spellStart"/>
      <w:r w:rsidRPr="000D271B">
        <w:rPr>
          <w:rFonts w:ascii="Arial" w:hAnsi="Arial" w:cs="Arial"/>
          <w:sz w:val="22"/>
          <w:szCs w:val="22"/>
        </w:rPr>
        <w:t>Kilicarslan</w:t>
      </w:r>
      <w:proofErr w:type="spellEnd"/>
      <w:r w:rsidRPr="000D271B">
        <w:rPr>
          <w:rFonts w:ascii="Arial" w:hAnsi="Arial" w:cs="Arial"/>
          <w:sz w:val="22"/>
          <w:szCs w:val="22"/>
        </w:rPr>
        <w:t xml:space="preserve"> et al. 2021).</w:t>
      </w:r>
    </w:p>
    <w:p w14:paraId="52ABE334" w14:textId="77777777" w:rsidR="00F67810" w:rsidRPr="000D271B" w:rsidRDefault="00F67810" w:rsidP="00F67810">
      <w:pPr>
        <w:pStyle w:val="Heading1"/>
        <w:rPr>
          <w:rFonts w:cs="Arial"/>
          <w:b w:val="0"/>
          <w:bCs/>
          <w:sz w:val="24"/>
          <w:szCs w:val="24"/>
        </w:rPr>
      </w:pPr>
      <w:r w:rsidRPr="000D271B">
        <w:rPr>
          <w:rFonts w:cs="Arial"/>
          <w:bCs/>
          <w:sz w:val="24"/>
          <w:szCs w:val="24"/>
        </w:rPr>
        <w:t>2.1 Ethical considerations</w:t>
      </w:r>
    </w:p>
    <w:p w14:paraId="27383309" w14:textId="77777777" w:rsidR="00F67810" w:rsidRPr="000D271B" w:rsidRDefault="00F67810" w:rsidP="00F67810">
      <w:pPr>
        <w:pStyle w:val="BodyText"/>
        <w:jc w:val="both"/>
        <w:rPr>
          <w:rFonts w:ascii="Arial" w:hAnsi="Arial" w:cs="Arial"/>
          <w:sz w:val="22"/>
          <w:szCs w:val="22"/>
        </w:rPr>
      </w:pPr>
      <w:r w:rsidRPr="000D271B">
        <w:rPr>
          <w:rFonts w:ascii="Arial" w:hAnsi="Arial" w:cs="Arial"/>
          <w:sz w:val="22"/>
          <w:szCs w:val="22"/>
        </w:rPr>
        <w:t xml:space="preserve">The data solicited from the Integrated Health Management System; data obtained on cardiovascular diseases. Data obtained from the system were anonymity and </w:t>
      </w:r>
      <w:r w:rsidRPr="000D271B">
        <w:rPr>
          <w:rFonts w:ascii="Arial" w:hAnsi="Arial" w:cs="Arial"/>
          <w:sz w:val="22"/>
          <w:szCs w:val="22"/>
        </w:rPr>
        <w:lastRenderedPageBreak/>
        <w:t xml:space="preserve">confidentiality of their information and the information provided will solely be use for this research to help improve the treatment of cardiovascular diseases in Ghana, and Africa. </w:t>
      </w:r>
    </w:p>
    <w:p w14:paraId="320A9E63" w14:textId="77777777" w:rsidR="00F67810" w:rsidRPr="000D271B" w:rsidRDefault="00F67810" w:rsidP="00F67810">
      <w:pPr>
        <w:pStyle w:val="BodyText"/>
        <w:jc w:val="both"/>
        <w:rPr>
          <w:rFonts w:ascii="Arial" w:hAnsi="Arial" w:cs="Arial"/>
          <w:b/>
          <w:bCs/>
          <w:sz w:val="24"/>
          <w:szCs w:val="24"/>
        </w:rPr>
      </w:pPr>
      <w:r w:rsidRPr="000D271B">
        <w:rPr>
          <w:rFonts w:ascii="Arial" w:hAnsi="Arial" w:cs="Arial"/>
          <w:b/>
          <w:bCs/>
          <w:sz w:val="24"/>
          <w:szCs w:val="24"/>
        </w:rPr>
        <w:t>2.2 Model of binary logistic regression model</w:t>
      </w:r>
    </w:p>
    <w:p w14:paraId="5C6B05B1" w14:textId="77777777" w:rsidR="00F67810" w:rsidRPr="000D271B" w:rsidRDefault="00F67810" w:rsidP="00F67810">
      <w:pPr>
        <w:pStyle w:val="BodyText"/>
        <w:jc w:val="both"/>
        <w:rPr>
          <w:rFonts w:ascii="Arial" w:hAnsi="Arial" w:cs="Arial"/>
          <w:sz w:val="22"/>
          <w:szCs w:val="22"/>
        </w:rPr>
      </w:pPr>
      <w:r w:rsidRPr="000D271B">
        <w:rPr>
          <w:rFonts w:ascii="Arial" w:hAnsi="Arial" w:cs="Arial"/>
          <w:sz w:val="22"/>
          <w:szCs w:val="22"/>
        </w:rPr>
        <w:t xml:space="preserve">The labeled in logistic regression is usually binary that is the labelled can take the value 1 with a probability of success, or the value 0 with probability of failure </w:t>
      </w:r>
      <m:oMath>
        <m:r>
          <w:rPr>
            <w:rFonts w:ascii="Cambria Math" w:hAnsi="Cambria Math" w:cs="Arial"/>
            <w:sz w:val="22"/>
            <w:szCs w:val="22"/>
          </w:rPr>
          <m:t>1-π</m:t>
        </m:r>
      </m:oMath>
      <w:r w:rsidRPr="000D271B">
        <w:rPr>
          <w:rFonts w:ascii="Arial" w:hAnsi="Arial" w:cs="Arial"/>
          <w:sz w:val="22"/>
          <w:szCs w:val="22"/>
        </w:rPr>
        <w:t xml:space="preserve">. This type of labeled is called a Bernoulli (binary) labeled. The relationship between the features/instances and labeled is not a linear function in logistic regression instead log it transformation of </w:t>
      </w:r>
      <m:oMath>
        <m:r>
          <w:rPr>
            <w:rFonts w:ascii="Cambria Math" w:hAnsi="Cambria Math" w:cs="Arial"/>
            <w:sz w:val="22"/>
            <w:szCs w:val="22"/>
          </w:rPr>
          <m:t>π</m:t>
        </m:r>
      </m:oMath>
      <w:r w:rsidRPr="000D271B">
        <w:rPr>
          <w:rFonts w:ascii="Arial" w:hAnsi="Arial" w:cs="Arial"/>
          <w:sz w:val="22"/>
          <w:szCs w:val="22"/>
        </w:rPr>
        <w:t xml:space="preserve"> is used. Consider a collection of P features that the instance is present to denote by:</w:t>
      </w:r>
    </w:p>
    <w:p w14:paraId="10C64D51" w14:textId="77777777" w:rsidR="00F67810" w:rsidRPr="000D271B" w:rsidRDefault="00F67810" w:rsidP="00F67810">
      <w:pPr>
        <w:pStyle w:val="BodyText"/>
        <w:jc w:val="both"/>
        <w:rPr>
          <w:rFonts w:ascii="Arial" w:hAnsi="Arial" w:cs="Arial"/>
          <w:sz w:val="22"/>
          <w:szCs w:val="22"/>
        </w:rPr>
      </w:pPr>
      <w:r w:rsidRPr="000D271B">
        <w:rPr>
          <w:rFonts w:ascii="Arial" w:hAnsi="Arial" w:cs="Arial"/>
          <w:sz w:val="22"/>
          <w:szCs w:val="22"/>
        </w:rPr>
        <w:t>Probability of success/event occurrence is.</w:t>
      </w:r>
    </w:p>
    <w:p w14:paraId="2290D320" w14:textId="50D3DF83"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oMath>
      <w:r w:rsidRPr="000D271B">
        <w:rPr>
          <w:rFonts w:ascii="Arial" w:eastAsiaTheme="minorEastAsia" w:hAnsi="Arial" w:cs="Arial"/>
          <w:sz w:val="22"/>
          <w:szCs w:val="22"/>
        </w:rPr>
        <w:tab/>
      </w:r>
      <w:r w:rsidR="00814F47"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(1)</w:t>
      </w:r>
    </w:p>
    <w:p w14:paraId="29003D08"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Probability of failure/event not occurring and simplified form, Sum of the probability success rate and failure rate equals to 1,</w:t>
      </w:r>
    </w:p>
    <w:p w14:paraId="09321D8C" w14:textId="45F15D7F" w:rsidR="00F67810" w:rsidRPr="000D271B" w:rsidRDefault="00F67810" w:rsidP="00F67810">
      <w:pPr>
        <w:pStyle w:val="BodyText"/>
        <w:jc w:val="both"/>
        <w:rPr>
          <w:rFonts w:ascii="Arial"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r>
          <w:rPr>
            <w:rFonts w:ascii="Cambria Math" w:hAnsi="Cambria Math" w:cs="Arial"/>
            <w:sz w:val="22"/>
            <w:szCs w:val="22"/>
          </w:rPr>
          <m:t>=1-</m:t>
        </m:r>
        <m:f>
          <m:fPr>
            <m:ctrlPr>
              <w:rPr>
                <w:rFonts w:ascii="Cambria Math" w:hAnsi="Cambria Math" w:cs="Arial"/>
                <w:i/>
                <w:sz w:val="22"/>
                <w:szCs w:val="22"/>
              </w:rPr>
            </m:ctrlPr>
          </m:fPr>
          <m:num>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(2)</w:t>
      </w:r>
    </w:p>
    <w:p w14:paraId="62A43BD4" w14:textId="4D9B0242" w:rsidR="00F67810" w:rsidRPr="000D271B" w:rsidRDefault="00F67810" w:rsidP="00F67810">
      <w:pPr>
        <w:pStyle w:val="BodyText"/>
        <w:jc w:val="both"/>
        <w:rPr>
          <w:rFonts w:ascii="Arial"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r>
          <w:rPr>
            <w:rFonts w:ascii="Cambria Math" w:hAnsi="Cambria Math" w:cs="Arial"/>
            <w:sz w:val="22"/>
            <w:szCs w:val="22"/>
          </w:rPr>
          <m:t>=</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(3)</w:t>
      </w:r>
    </w:p>
    <w:p w14:paraId="51982827" w14:textId="3548CD56"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P</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num>
          <m:den>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(4)</w:t>
      </w:r>
    </w:p>
    <w:p w14:paraId="55494ED6"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 xml:space="preserve">For ratio </w:t>
      </w:r>
      <m:oMath>
        <m:r>
          <w:rPr>
            <w:rFonts w:ascii="Cambria Math" w:eastAsiaTheme="minorEastAsia" w:hAnsi="Cambria Math" w:cs="Arial"/>
            <w:sz w:val="22"/>
            <w:szCs w:val="22"/>
          </w:rPr>
          <m:t>(</m:t>
        </m:r>
        <m:r>
          <w:rPr>
            <w:rFonts w:ascii="Cambria Math" w:hAnsi="Cambria Math" w:cs="Arial"/>
            <w:sz w:val="22"/>
            <w:szCs w:val="22"/>
          </w:rPr>
          <m:t>φ</m:t>
        </m:r>
      </m:oMath>
      <w:r w:rsidRPr="000D271B">
        <w:rPr>
          <w:rFonts w:ascii="Arial" w:eastAsiaTheme="minorEastAsia" w:hAnsi="Arial" w:cs="Arial"/>
          <w:sz w:val="22"/>
          <w:szCs w:val="22"/>
        </w:rPr>
        <w:t xml:space="preserve">) of the probabilities, </w:t>
      </w:r>
      <m:oMath>
        <m:r>
          <w:rPr>
            <w:rFonts w:ascii="Cambria Math" w:eastAsiaTheme="minorEastAsia" w:hAnsi="Cambria Math" w:cs="Arial"/>
            <w:sz w:val="22"/>
            <w:szCs w:val="22"/>
          </w:rPr>
          <m:t>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π</m:t>
            </m:r>
          </m:e>
        </m:d>
        <m:r>
          <w:rPr>
            <w:rFonts w:ascii="Cambria Math" w:eastAsiaTheme="minorEastAsia" w:hAnsi="Cambria Math" w:cs="Arial"/>
            <w:sz w:val="22"/>
            <w:szCs w:val="22"/>
          </w:rPr>
          <m:t xml:space="preserve"> and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1-π</m:t>
            </m:r>
          </m:e>
        </m:d>
        <m:r>
          <w:rPr>
            <w:rFonts w:ascii="Cambria Math" w:eastAsiaTheme="minorEastAsia" w:hAnsi="Cambria Math" w:cs="Arial"/>
            <w:sz w:val="22"/>
            <w:szCs w:val="22"/>
          </w:rPr>
          <m:t>=P(q)</m:t>
        </m:r>
      </m:oMath>
      <w:r w:rsidRPr="000D271B">
        <w:rPr>
          <w:rFonts w:ascii="Arial" w:eastAsiaTheme="minorEastAsia" w:hAnsi="Arial" w:cs="Arial"/>
          <w:sz w:val="22"/>
          <w:szCs w:val="22"/>
        </w:rPr>
        <w:t xml:space="preserve">. </w:t>
      </w:r>
    </w:p>
    <w:p w14:paraId="78624C71" w14:textId="29FB02B5"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φ</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num>
              <m:den>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den>
            </m:f>
          </m:e>
        </m:d>
        <m:r>
          <w:rPr>
            <w:rFonts w:ascii="Cambria Math" w:hAnsi="Cambria Math" w:cs="Arial"/>
            <w:sz w:val="22"/>
            <w:szCs w:val="22"/>
          </w:rPr>
          <m:t>=</m:t>
        </m:r>
        <m:f>
          <m:fPr>
            <m:ctrlPr>
              <w:rPr>
                <w:rFonts w:ascii="Cambria Math" w:hAnsi="Cambria Math" w:cs="Arial"/>
                <w:i/>
                <w:sz w:val="22"/>
                <w:szCs w:val="22"/>
              </w:rPr>
            </m:ctrlPr>
          </m:fPr>
          <m:num>
            <m:f>
              <m:fPr>
                <m:ctrlPr>
                  <w:rPr>
                    <w:rFonts w:ascii="Cambria Math" w:hAnsi="Cambria Math" w:cs="Arial"/>
                    <w:i/>
                    <w:sz w:val="22"/>
                    <w:szCs w:val="22"/>
                  </w:rPr>
                </m:ctrlPr>
              </m:fPr>
              <m:num>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num>
          <m:den>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den>
            </m:f>
          </m:den>
        </m:f>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(5)</w:t>
      </w:r>
    </w:p>
    <w:p w14:paraId="6E1B900C"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Simplifying this equation leads to.</w:t>
      </w:r>
    </w:p>
    <w:p w14:paraId="32720616" w14:textId="3EA67991"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φ</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π</m:t>
                    </m:r>
                  </m:e>
                </m:d>
              </m:num>
              <m:den>
                <m:r>
                  <w:rPr>
                    <w:rFonts w:ascii="Cambria Math" w:hAnsi="Cambria Math" w:cs="Arial"/>
                    <w:sz w:val="22"/>
                    <w:szCs w:val="22"/>
                  </w:rPr>
                  <m:t>P</m:t>
                </m:r>
                <m:d>
                  <m:dPr>
                    <m:ctrlPr>
                      <w:rPr>
                        <w:rFonts w:ascii="Cambria Math" w:hAnsi="Cambria Math" w:cs="Arial"/>
                        <w:i/>
                        <w:sz w:val="22"/>
                        <w:szCs w:val="22"/>
                      </w:rPr>
                    </m:ctrlPr>
                  </m:dPr>
                  <m:e>
                    <m:r>
                      <w:rPr>
                        <w:rFonts w:ascii="Cambria Math" w:hAnsi="Cambria Math" w:cs="Arial"/>
                        <w:sz w:val="22"/>
                        <w:szCs w:val="22"/>
                      </w:rPr>
                      <m:t>1-π</m:t>
                    </m:r>
                  </m:e>
                </m:d>
              </m:den>
            </m:f>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exp</m:t>
            </m:r>
          </m:e>
          <m: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m:t>
            </m:r>
          </m:sup>
        </m:sSup>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(6)</w:t>
      </w:r>
    </w:p>
    <w:p w14:paraId="5B6038DB" w14:textId="77777777" w:rsidR="00F67810" w:rsidRPr="000D271B" w:rsidRDefault="00F67810" w:rsidP="00F67810">
      <w:pPr>
        <w:pStyle w:val="BodyText"/>
        <w:jc w:val="both"/>
        <w:rPr>
          <w:rFonts w:ascii="Arial" w:eastAsiaTheme="minorEastAsia" w:hAnsi="Arial" w:cs="Arial"/>
          <w:sz w:val="22"/>
          <w:szCs w:val="22"/>
        </w:rPr>
      </w:pPr>
      <w:r w:rsidRPr="000D271B">
        <w:rPr>
          <w:rFonts w:ascii="Arial" w:hAnsi="Arial" w:cs="Arial"/>
          <w:sz w:val="22"/>
          <w:szCs w:val="22"/>
        </w:rPr>
        <w:t xml:space="preserve">The log-odds of experiencing heart failure </w:t>
      </w:r>
      <m:oMath>
        <m:r>
          <w:rPr>
            <w:rFonts w:ascii="Cambria Math" w:hAnsi="Cambria Math" w:cs="Arial"/>
            <w:sz w:val="22"/>
            <w:szCs w:val="22"/>
          </w:rPr>
          <m:t>y=1</m:t>
        </m:r>
      </m:oMath>
      <w:r w:rsidRPr="000D271B">
        <w:rPr>
          <w:rFonts w:ascii="Arial" w:eastAsiaTheme="minorEastAsia" w:hAnsi="Arial" w:cs="Arial"/>
          <w:sz w:val="22"/>
          <w:szCs w:val="22"/>
        </w:rPr>
        <w:t xml:space="preserve"> is modeled as a linear function of the features such as:</w:t>
      </w:r>
    </w:p>
    <w:p w14:paraId="1572129C" w14:textId="3C2CBDF7" w:rsidR="00F67810" w:rsidRPr="000D271B" w:rsidRDefault="00F67810" w:rsidP="00F67810">
      <w:pPr>
        <w:pStyle w:val="BodyText"/>
        <w:jc w:val="both"/>
        <w:rPr>
          <w:rFonts w:ascii="Arial" w:eastAsiaTheme="minorEastAsia" w:hAnsi="Arial" w:cs="Arial"/>
          <w:sz w:val="22"/>
          <w:szCs w:val="22"/>
        </w:rPr>
      </w:pPr>
      <m:oMath>
        <m:r>
          <w:rPr>
            <w:rFonts w:ascii="Cambria Math" w:hAnsi="Cambria Math" w:cs="Arial"/>
            <w:sz w:val="22"/>
            <w:szCs w:val="22"/>
          </w:rPr>
          <m:t>ln</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1-π</m:t>
                </m:r>
              </m:den>
            </m:f>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p</m:t>
            </m:r>
          </m:sub>
        </m:sSub>
        <m:r>
          <w:rPr>
            <w:rFonts w:ascii="Cambria Math" w:hAnsi="Cambria Math" w:cs="Arial"/>
            <w:sz w:val="22"/>
            <w:szCs w:val="22"/>
          </w:rPr>
          <m:t xml:space="preserve"> :0≤π≤1)</m:t>
        </m:r>
      </m:oMath>
      <w:r w:rsidRPr="000D271B">
        <w:rPr>
          <w:rFonts w:ascii="Arial" w:eastAsiaTheme="minorEastAsia" w:hAnsi="Arial" w:cs="Arial"/>
          <w:sz w:val="22"/>
          <w:szCs w:val="22"/>
        </w:rPr>
        <w:t xml:space="preserve"> </w:t>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(7)</w:t>
      </w:r>
    </w:p>
    <w:p w14:paraId="5440B779" w14:textId="77777777" w:rsidR="00F67810" w:rsidRDefault="00F67810" w:rsidP="00F67810">
      <w:pPr>
        <w:pStyle w:val="BodyText"/>
        <w:jc w:val="both"/>
        <w:rPr>
          <w:rFonts w:ascii="Arial" w:eastAsiaTheme="minorEastAsia" w:hAnsi="Arial" w:cs="Arial"/>
          <w:sz w:val="22"/>
          <w:szCs w:val="22"/>
        </w:rPr>
      </w:pPr>
      <w:r w:rsidRPr="000D271B">
        <w:rPr>
          <w:rFonts w:ascii="Arial" w:eastAsiaTheme="minorEastAsia" w:hAnsi="Arial" w:cs="Arial"/>
          <w:sz w:val="22"/>
          <w:szCs w:val="22"/>
        </w:rPr>
        <w:t xml:space="preserve">Where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0</m:t>
            </m:r>
          </m:sub>
        </m:sSub>
      </m:oMath>
      <w:r w:rsidRPr="000D271B">
        <w:rPr>
          <w:rFonts w:ascii="Arial" w:eastAsiaTheme="minorEastAsia" w:hAnsi="Arial" w:cs="Arial"/>
          <w:sz w:val="22"/>
          <w:szCs w:val="22"/>
        </w:rPr>
        <w:t xml:space="preserve"> is the intercept and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 xml:space="preserve">2 </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3</m:t>
            </m:r>
          </m:sub>
        </m:sSub>
        <m:r>
          <w:rPr>
            <w:rFonts w:ascii="Cambria Math" w:hAnsi="Cambria Math" w:cs="Arial"/>
            <w:sz w:val="22"/>
            <w:szCs w:val="22"/>
          </w:rPr>
          <m:t xml:space="preserve">, …,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p</m:t>
            </m:r>
          </m:sub>
        </m:sSub>
      </m:oMath>
      <w:r w:rsidRPr="000D271B">
        <w:rPr>
          <w:rFonts w:ascii="Arial" w:eastAsiaTheme="minorEastAsia" w:hAnsi="Arial" w:cs="Arial"/>
          <w:sz w:val="22"/>
          <w:szCs w:val="22"/>
        </w:rPr>
        <w:t xml:space="preserve"> is the regression coefficients of the features in the model. In situations where the dependent variable assumed dichotomous, then binomial logistic regression technique is the best to used, using the binomial logistic link. Other similar types of modeling include probability modeling. (Dobson, 2001), (McCullagh and Nelder, 1989). Addressing the response variable as categories in the basic model, it is to permit binary categories of response data of binomial logistic analysis in the design or if the labeled is ordinal data set which also warrant the modeling to be performed in its raw state. (Agresti, 2007)). An introduction to categorical data analysis, 2017. The only alternative readily available is to recode the labeled into just two categories and do a binary </w:t>
      </w:r>
      <w:r w:rsidRPr="000D271B">
        <w:rPr>
          <w:rFonts w:ascii="Arial" w:eastAsiaTheme="minorEastAsia" w:hAnsi="Arial" w:cs="Arial"/>
          <w:sz w:val="22"/>
          <w:szCs w:val="22"/>
        </w:rPr>
        <w:lastRenderedPageBreak/>
        <w:t>logistic regression analysis (or to several logistic regression models to different pairs of categories in the labeled, although this is not as statistically efficient as doing a true binomial logistic analysis.</w:t>
      </w:r>
    </w:p>
    <w:p w14:paraId="5A478B3E" w14:textId="77777777" w:rsidR="000D271B" w:rsidRPr="000D271B" w:rsidRDefault="000D271B" w:rsidP="00F67810">
      <w:pPr>
        <w:pStyle w:val="BodyText"/>
        <w:jc w:val="both"/>
        <w:rPr>
          <w:rFonts w:ascii="Arial" w:eastAsiaTheme="minorEastAsia" w:hAnsi="Arial" w:cs="Arial"/>
          <w:sz w:val="22"/>
          <w:szCs w:val="22"/>
        </w:rPr>
      </w:pPr>
    </w:p>
    <w:p w14:paraId="28FEC519" w14:textId="77777777" w:rsidR="00902823" w:rsidRPr="000D271B" w:rsidRDefault="00000F8F" w:rsidP="00441B6F">
      <w:pPr>
        <w:pStyle w:val="Head1"/>
        <w:spacing w:after="0"/>
        <w:jc w:val="both"/>
        <w:rPr>
          <w:rFonts w:ascii="Arial" w:hAnsi="Arial" w:cs="Arial"/>
        </w:rPr>
      </w:pPr>
      <w:r w:rsidRPr="000D271B">
        <w:rPr>
          <w:rFonts w:ascii="Arial" w:hAnsi="Arial" w:cs="Arial"/>
        </w:rPr>
        <w:t>3</w:t>
      </w:r>
      <w:r w:rsidR="00902823" w:rsidRPr="000D271B">
        <w:rPr>
          <w:rFonts w:ascii="Arial" w:hAnsi="Arial" w:cs="Arial"/>
        </w:rPr>
        <w:t xml:space="preserve">. </w:t>
      </w:r>
      <w:r w:rsidRPr="000D271B">
        <w:rPr>
          <w:rFonts w:ascii="Arial" w:hAnsi="Arial" w:cs="Arial"/>
        </w:rPr>
        <w:t>results and discussion</w:t>
      </w:r>
    </w:p>
    <w:p w14:paraId="50DC21FA" w14:textId="77777777" w:rsidR="00790ADA" w:rsidRPr="000D271B" w:rsidRDefault="00790ADA" w:rsidP="00441B6F">
      <w:pPr>
        <w:pStyle w:val="Head1"/>
        <w:spacing w:after="0"/>
        <w:jc w:val="both"/>
        <w:rPr>
          <w:rFonts w:ascii="Arial" w:hAnsi="Arial" w:cs="Arial"/>
        </w:rPr>
      </w:pPr>
    </w:p>
    <w:p w14:paraId="78D5D877" w14:textId="77777777" w:rsidR="00290A78" w:rsidRPr="000D271B" w:rsidRDefault="00290A78" w:rsidP="00290A78">
      <w:pPr>
        <w:jc w:val="both"/>
        <w:rPr>
          <w:rFonts w:ascii="Arial" w:hAnsi="Arial" w:cs="Arial"/>
          <w:b/>
          <w:bCs/>
          <w:sz w:val="18"/>
          <w:szCs w:val="18"/>
        </w:rPr>
      </w:pPr>
      <w:r w:rsidRPr="000D271B">
        <w:rPr>
          <w:rFonts w:ascii="Arial" w:hAnsi="Arial" w:cs="Arial"/>
          <w:b/>
          <w:bCs/>
          <w:sz w:val="18"/>
          <w:szCs w:val="18"/>
        </w:rPr>
        <w:t>Table 1 Descriptive results</w:t>
      </w:r>
    </w:p>
    <w:tbl>
      <w:tblPr>
        <w:tblW w:w="9323" w:type="dxa"/>
        <w:tblLook w:val="04A0" w:firstRow="1" w:lastRow="0" w:firstColumn="1" w:lastColumn="0" w:noHBand="0" w:noVBand="1"/>
      </w:tblPr>
      <w:tblGrid>
        <w:gridCol w:w="2237"/>
        <w:gridCol w:w="867"/>
        <w:gridCol w:w="767"/>
        <w:gridCol w:w="977"/>
        <w:gridCol w:w="767"/>
        <w:gridCol w:w="526"/>
        <w:gridCol w:w="767"/>
        <w:gridCol w:w="767"/>
        <w:gridCol w:w="767"/>
        <w:gridCol w:w="947"/>
        <w:gridCol w:w="767"/>
      </w:tblGrid>
      <w:tr w:rsidR="000D271B" w:rsidRPr="000D271B" w14:paraId="0DB03DD1" w14:textId="77777777" w:rsidTr="000D271B">
        <w:trPr>
          <w:trHeight w:val="286"/>
        </w:trPr>
        <w:tc>
          <w:tcPr>
            <w:tcW w:w="2054" w:type="dxa"/>
            <w:tcBorders>
              <w:top w:val="single" w:sz="4" w:space="0" w:color="auto"/>
              <w:left w:val="nil"/>
              <w:bottom w:val="double" w:sz="6" w:space="0" w:color="auto"/>
              <w:right w:val="nil"/>
            </w:tcBorders>
            <w:noWrap/>
            <w:vAlign w:val="bottom"/>
            <w:hideMark/>
          </w:tcPr>
          <w:p w14:paraId="3EDE33E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Features</w:t>
            </w:r>
          </w:p>
        </w:tc>
        <w:tc>
          <w:tcPr>
            <w:tcW w:w="796" w:type="dxa"/>
            <w:tcBorders>
              <w:top w:val="single" w:sz="4" w:space="0" w:color="auto"/>
              <w:left w:val="nil"/>
              <w:bottom w:val="double" w:sz="6" w:space="0" w:color="auto"/>
              <w:right w:val="nil"/>
            </w:tcBorders>
            <w:noWrap/>
            <w:vAlign w:val="bottom"/>
            <w:hideMark/>
          </w:tcPr>
          <w:p w14:paraId="6D79393E"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Mean</w:t>
            </w:r>
          </w:p>
        </w:tc>
        <w:tc>
          <w:tcPr>
            <w:tcW w:w="704" w:type="dxa"/>
            <w:tcBorders>
              <w:top w:val="single" w:sz="4" w:space="0" w:color="auto"/>
              <w:left w:val="nil"/>
              <w:bottom w:val="double" w:sz="6" w:space="0" w:color="auto"/>
              <w:right w:val="nil"/>
            </w:tcBorders>
            <w:noWrap/>
            <w:vAlign w:val="bottom"/>
            <w:hideMark/>
          </w:tcPr>
          <w:p w14:paraId="5E95FF0D"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Sd</w:t>
            </w:r>
          </w:p>
        </w:tc>
        <w:tc>
          <w:tcPr>
            <w:tcW w:w="897" w:type="dxa"/>
            <w:tcBorders>
              <w:top w:val="single" w:sz="4" w:space="0" w:color="auto"/>
              <w:left w:val="nil"/>
              <w:bottom w:val="double" w:sz="6" w:space="0" w:color="auto"/>
              <w:right w:val="nil"/>
            </w:tcBorders>
            <w:noWrap/>
            <w:vAlign w:val="bottom"/>
            <w:hideMark/>
          </w:tcPr>
          <w:p w14:paraId="3B66758E"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Trimmed</w:t>
            </w:r>
          </w:p>
        </w:tc>
        <w:tc>
          <w:tcPr>
            <w:tcW w:w="704" w:type="dxa"/>
            <w:tcBorders>
              <w:top w:val="single" w:sz="4" w:space="0" w:color="auto"/>
              <w:left w:val="nil"/>
              <w:bottom w:val="double" w:sz="6" w:space="0" w:color="auto"/>
              <w:right w:val="nil"/>
            </w:tcBorders>
            <w:noWrap/>
            <w:vAlign w:val="bottom"/>
            <w:hideMark/>
          </w:tcPr>
          <w:p w14:paraId="64B8AEA3"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Mad</w:t>
            </w:r>
          </w:p>
        </w:tc>
        <w:tc>
          <w:tcPr>
            <w:tcW w:w="483" w:type="dxa"/>
            <w:tcBorders>
              <w:top w:val="single" w:sz="4" w:space="0" w:color="auto"/>
              <w:left w:val="nil"/>
              <w:bottom w:val="double" w:sz="6" w:space="0" w:color="auto"/>
              <w:right w:val="nil"/>
            </w:tcBorders>
            <w:noWrap/>
            <w:vAlign w:val="bottom"/>
            <w:hideMark/>
          </w:tcPr>
          <w:p w14:paraId="1C108C31"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Min</w:t>
            </w:r>
          </w:p>
        </w:tc>
        <w:tc>
          <w:tcPr>
            <w:tcW w:w="704" w:type="dxa"/>
            <w:tcBorders>
              <w:top w:val="single" w:sz="4" w:space="0" w:color="auto"/>
              <w:left w:val="nil"/>
              <w:bottom w:val="double" w:sz="6" w:space="0" w:color="auto"/>
              <w:right w:val="nil"/>
            </w:tcBorders>
            <w:noWrap/>
            <w:vAlign w:val="bottom"/>
            <w:hideMark/>
          </w:tcPr>
          <w:p w14:paraId="41DEF9A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Max</w:t>
            </w:r>
          </w:p>
        </w:tc>
        <w:tc>
          <w:tcPr>
            <w:tcW w:w="704" w:type="dxa"/>
            <w:tcBorders>
              <w:top w:val="single" w:sz="4" w:space="0" w:color="auto"/>
              <w:left w:val="nil"/>
              <w:bottom w:val="double" w:sz="6" w:space="0" w:color="auto"/>
              <w:right w:val="nil"/>
            </w:tcBorders>
            <w:noWrap/>
            <w:vAlign w:val="bottom"/>
            <w:hideMark/>
          </w:tcPr>
          <w:p w14:paraId="221BA0C8"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Range</w:t>
            </w:r>
          </w:p>
        </w:tc>
        <w:tc>
          <w:tcPr>
            <w:tcW w:w="704" w:type="dxa"/>
            <w:tcBorders>
              <w:top w:val="single" w:sz="4" w:space="0" w:color="auto"/>
              <w:left w:val="nil"/>
              <w:bottom w:val="double" w:sz="6" w:space="0" w:color="auto"/>
              <w:right w:val="nil"/>
            </w:tcBorders>
            <w:noWrap/>
            <w:vAlign w:val="bottom"/>
            <w:hideMark/>
          </w:tcPr>
          <w:p w14:paraId="18F3E5D6"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Skew</w:t>
            </w:r>
          </w:p>
        </w:tc>
        <w:tc>
          <w:tcPr>
            <w:tcW w:w="869" w:type="dxa"/>
            <w:tcBorders>
              <w:top w:val="single" w:sz="4" w:space="0" w:color="auto"/>
              <w:left w:val="nil"/>
              <w:bottom w:val="double" w:sz="6" w:space="0" w:color="auto"/>
              <w:right w:val="nil"/>
            </w:tcBorders>
            <w:noWrap/>
            <w:vAlign w:val="bottom"/>
            <w:hideMark/>
          </w:tcPr>
          <w:p w14:paraId="5FC4F9AA"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Kurtosis</w:t>
            </w:r>
          </w:p>
        </w:tc>
        <w:tc>
          <w:tcPr>
            <w:tcW w:w="704" w:type="dxa"/>
            <w:tcBorders>
              <w:top w:val="single" w:sz="4" w:space="0" w:color="auto"/>
              <w:left w:val="nil"/>
              <w:bottom w:val="double" w:sz="6" w:space="0" w:color="auto"/>
              <w:right w:val="nil"/>
            </w:tcBorders>
            <w:noWrap/>
            <w:vAlign w:val="bottom"/>
            <w:hideMark/>
          </w:tcPr>
          <w:p w14:paraId="22AACE12" w14:textId="77777777" w:rsidR="00290A78" w:rsidRPr="000D271B" w:rsidRDefault="00290A78" w:rsidP="00501858">
            <w:pPr>
              <w:jc w:val="center"/>
              <w:rPr>
                <w:rFonts w:ascii="Arial" w:hAnsi="Arial" w:cs="Arial"/>
                <w:b/>
                <w:bCs/>
                <w:color w:val="000000"/>
                <w:sz w:val="18"/>
                <w:szCs w:val="18"/>
              </w:rPr>
            </w:pPr>
            <w:r w:rsidRPr="000D271B">
              <w:rPr>
                <w:rFonts w:ascii="Arial" w:hAnsi="Arial" w:cs="Arial"/>
                <w:b/>
                <w:bCs/>
                <w:color w:val="000000"/>
                <w:sz w:val="18"/>
                <w:szCs w:val="18"/>
              </w:rPr>
              <w:t>Se</w:t>
            </w:r>
          </w:p>
        </w:tc>
      </w:tr>
      <w:tr w:rsidR="000D271B" w:rsidRPr="000D271B" w14:paraId="1CD45009" w14:textId="77777777" w:rsidTr="000D271B">
        <w:trPr>
          <w:trHeight w:val="286"/>
        </w:trPr>
        <w:tc>
          <w:tcPr>
            <w:tcW w:w="2054" w:type="dxa"/>
            <w:tcBorders>
              <w:top w:val="nil"/>
              <w:left w:val="nil"/>
              <w:bottom w:val="nil"/>
              <w:right w:val="nil"/>
            </w:tcBorders>
            <w:noWrap/>
            <w:vAlign w:val="bottom"/>
            <w:hideMark/>
          </w:tcPr>
          <w:p w14:paraId="3D403406"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Age</w:t>
            </w:r>
          </w:p>
        </w:tc>
        <w:tc>
          <w:tcPr>
            <w:tcW w:w="796" w:type="dxa"/>
            <w:tcBorders>
              <w:top w:val="nil"/>
              <w:left w:val="nil"/>
              <w:bottom w:val="nil"/>
              <w:right w:val="nil"/>
            </w:tcBorders>
            <w:noWrap/>
            <w:vAlign w:val="bottom"/>
            <w:hideMark/>
          </w:tcPr>
          <w:p w14:paraId="63188D6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27.5203</w:t>
            </w:r>
          </w:p>
        </w:tc>
        <w:tc>
          <w:tcPr>
            <w:tcW w:w="704" w:type="dxa"/>
            <w:tcBorders>
              <w:top w:val="nil"/>
              <w:left w:val="nil"/>
              <w:bottom w:val="nil"/>
              <w:right w:val="nil"/>
            </w:tcBorders>
            <w:noWrap/>
            <w:vAlign w:val="bottom"/>
            <w:hideMark/>
          </w:tcPr>
          <w:p w14:paraId="3FF50C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5.7351</w:t>
            </w:r>
          </w:p>
        </w:tc>
        <w:tc>
          <w:tcPr>
            <w:tcW w:w="897" w:type="dxa"/>
            <w:tcBorders>
              <w:top w:val="nil"/>
              <w:left w:val="nil"/>
              <w:bottom w:val="nil"/>
              <w:right w:val="nil"/>
            </w:tcBorders>
            <w:noWrap/>
            <w:vAlign w:val="bottom"/>
            <w:hideMark/>
          </w:tcPr>
          <w:p w14:paraId="36EF1AD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27.4865</w:t>
            </w:r>
          </w:p>
        </w:tc>
        <w:tc>
          <w:tcPr>
            <w:tcW w:w="704" w:type="dxa"/>
            <w:tcBorders>
              <w:top w:val="nil"/>
              <w:left w:val="nil"/>
              <w:bottom w:val="nil"/>
              <w:right w:val="nil"/>
            </w:tcBorders>
            <w:noWrap/>
            <w:vAlign w:val="bottom"/>
            <w:hideMark/>
          </w:tcPr>
          <w:p w14:paraId="0DE4BA7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5.7821</w:t>
            </w:r>
          </w:p>
        </w:tc>
        <w:tc>
          <w:tcPr>
            <w:tcW w:w="483" w:type="dxa"/>
            <w:tcBorders>
              <w:top w:val="nil"/>
              <w:left w:val="nil"/>
              <w:bottom w:val="nil"/>
              <w:right w:val="nil"/>
            </w:tcBorders>
            <w:noWrap/>
            <w:vAlign w:val="bottom"/>
            <w:hideMark/>
          </w:tcPr>
          <w:p w14:paraId="1AD2285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15</w:t>
            </w:r>
          </w:p>
        </w:tc>
        <w:tc>
          <w:tcPr>
            <w:tcW w:w="704" w:type="dxa"/>
            <w:tcBorders>
              <w:top w:val="nil"/>
              <w:left w:val="nil"/>
              <w:bottom w:val="nil"/>
              <w:right w:val="nil"/>
            </w:tcBorders>
            <w:noWrap/>
            <w:vAlign w:val="bottom"/>
            <w:hideMark/>
          </w:tcPr>
          <w:p w14:paraId="0B628BE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49</w:t>
            </w:r>
          </w:p>
        </w:tc>
        <w:tc>
          <w:tcPr>
            <w:tcW w:w="704" w:type="dxa"/>
            <w:tcBorders>
              <w:top w:val="nil"/>
              <w:left w:val="nil"/>
              <w:bottom w:val="nil"/>
              <w:right w:val="nil"/>
            </w:tcBorders>
            <w:noWrap/>
            <w:vAlign w:val="bottom"/>
            <w:hideMark/>
          </w:tcPr>
          <w:p w14:paraId="5E9D6E1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34.00</w:t>
            </w:r>
          </w:p>
        </w:tc>
        <w:tc>
          <w:tcPr>
            <w:tcW w:w="704" w:type="dxa"/>
            <w:tcBorders>
              <w:top w:val="nil"/>
              <w:left w:val="nil"/>
              <w:bottom w:val="nil"/>
              <w:right w:val="nil"/>
            </w:tcBorders>
            <w:noWrap/>
            <w:vAlign w:val="bottom"/>
            <w:hideMark/>
          </w:tcPr>
          <w:p w14:paraId="58952E0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0.0965</w:t>
            </w:r>
          </w:p>
        </w:tc>
        <w:tc>
          <w:tcPr>
            <w:tcW w:w="869" w:type="dxa"/>
            <w:tcBorders>
              <w:top w:val="nil"/>
              <w:left w:val="nil"/>
              <w:bottom w:val="nil"/>
              <w:right w:val="nil"/>
            </w:tcBorders>
            <w:noWrap/>
            <w:vAlign w:val="bottom"/>
            <w:hideMark/>
          </w:tcPr>
          <w:p w14:paraId="6E140C9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-0.1976</w:t>
            </w:r>
          </w:p>
        </w:tc>
        <w:tc>
          <w:tcPr>
            <w:tcW w:w="704" w:type="dxa"/>
            <w:tcBorders>
              <w:top w:val="nil"/>
              <w:left w:val="nil"/>
              <w:bottom w:val="nil"/>
              <w:right w:val="nil"/>
            </w:tcBorders>
            <w:noWrap/>
            <w:vAlign w:val="bottom"/>
            <w:hideMark/>
          </w:tcPr>
          <w:p w14:paraId="12352B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0.0574</w:t>
            </w:r>
          </w:p>
        </w:tc>
      </w:tr>
      <w:tr w:rsidR="000D271B" w:rsidRPr="000D271B" w14:paraId="6A87C00F" w14:textId="77777777" w:rsidTr="000D271B">
        <w:trPr>
          <w:trHeight w:val="271"/>
        </w:trPr>
        <w:tc>
          <w:tcPr>
            <w:tcW w:w="2054" w:type="dxa"/>
            <w:tcBorders>
              <w:top w:val="nil"/>
              <w:left w:val="nil"/>
              <w:bottom w:val="nil"/>
              <w:right w:val="nil"/>
            </w:tcBorders>
            <w:noWrap/>
            <w:vAlign w:val="bottom"/>
            <w:hideMark/>
          </w:tcPr>
          <w:p w14:paraId="180F2943"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Anc_visits</w:t>
            </w:r>
            <w:proofErr w:type="spellEnd"/>
          </w:p>
        </w:tc>
        <w:tc>
          <w:tcPr>
            <w:tcW w:w="796" w:type="dxa"/>
            <w:tcBorders>
              <w:top w:val="nil"/>
              <w:left w:val="nil"/>
              <w:bottom w:val="nil"/>
              <w:right w:val="nil"/>
            </w:tcBorders>
            <w:noWrap/>
            <w:vAlign w:val="bottom"/>
            <w:hideMark/>
          </w:tcPr>
          <w:p w14:paraId="18AEA77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5.2211</w:t>
            </w:r>
          </w:p>
        </w:tc>
        <w:tc>
          <w:tcPr>
            <w:tcW w:w="704" w:type="dxa"/>
            <w:tcBorders>
              <w:top w:val="nil"/>
              <w:left w:val="nil"/>
              <w:bottom w:val="nil"/>
              <w:right w:val="nil"/>
            </w:tcBorders>
            <w:noWrap/>
            <w:vAlign w:val="bottom"/>
            <w:hideMark/>
          </w:tcPr>
          <w:p w14:paraId="7F5B359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2.2862</w:t>
            </w:r>
          </w:p>
        </w:tc>
        <w:tc>
          <w:tcPr>
            <w:tcW w:w="897" w:type="dxa"/>
            <w:tcBorders>
              <w:top w:val="nil"/>
              <w:left w:val="nil"/>
              <w:bottom w:val="nil"/>
              <w:right w:val="nil"/>
            </w:tcBorders>
            <w:noWrap/>
            <w:vAlign w:val="bottom"/>
            <w:hideMark/>
          </w:tcPr>
          <w:p w14:paraId="6923553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5.2164</w:t>
            </w:r>
          </w:p>
        </w:tc>
        <w:tc>
          <w:tcPr>
            <w:tcW w:w="704" w:type="dxa"/>
            <w:tcBorders>
              <w:top w:val="nil"/>
              <w:left w:val="nil"/>
              <w:bottom w:val="nil"/>
              <w:right w:val="nil"/>
            </w:tcBorders>
            <w:noWrap/>
            <w:vAlign w:val="bottom"/>
            <w:hideMark/>
          </w:tcPr>
          <w:p w14:paraId="0B881E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2.9652</w:t>
            </w:r>
          </w:p>
        </w:tc>
        <w:tc>
          <w:tcPr>
            <w:tcW w:w="483" w:type="dxa"/>
            <w:tcBorders>
              <w:top w:val="nil"/>
              <w:left w:val="nil"/>
              <w:bottom w:val="nil"/>
              <w:right w:val="nil"/>
            </w:tcBorders>
            <w:noWrap/>
            <w:vAlign w:val="bottom"/>
            <w:hideMark/>
          </w:tcPr>
          <w:p w14:paraId="00005B1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28B2CA9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w:t>
            </w:r>
          </w:p>
        </w:tc>
        <w:tc>
          <w:tcPr>
            <w:tcW w:w="704" w:type="dxa"/>
            <w:tcBorders>
              <w:top w:val="nil"/>
              <w:left w:val="nil"/>
              <w:bottom w:val="nil"/>
              <w:right w:val="nil"/>
            </w:tcBorders>
            <w:noWrap/>
            <w:vAlign w:val="bottom"/>
            <w:hideMark/>
          </w:tcPr>
          <w:p w14:paraId="6E12986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12.00</w:t>
            </w:r>
          </w:p>
        </w:tc>
        <w:tc>
          <w:tcPr>
            <w:tcW w:w="704" w:type="dxa"/>
            <w:tcBorders>
              <w:top w:val="nil"/>
              <w:left w:val="nil"/>
              <w:bottom w:val="nil"/>
              <w:right w:val="nil"/>
            </w:tcBorders>
            <w:noWrap/>
            <w:vAlign w:val="bottom"/>
            <w:hideMark/>
          </w:tcPr>
          <w:p w14:paraId="5A6ECDF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0.0578</w:t>
            </w:r>
          </w:p>
        </w:tc>
        <w:tc>
          <w:tcPr>
            <w:tcW w:w="869" w:type="dxa"/>
            <w:tcBorders>
              <w:top w:val="nil"/>
              <w:left w:val="nil"/>
              <w:bottom w:val="nil"/>
              <w:right w:val="nil"/>
            </w:tcBorders>
            <w:noWrap/>
            <w:vAlign w:val="bottom"/>
            <w:hideMark/>
          </w:tcPr>
          <w:p w14:paraId="67DF548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-0.2758</w:t>
            </w:r>
          </w:p>
        </w:tc>
        <w:tc>
          <w:tcPr>
            <w:tcW w:w="704" w:type="dxa"/>
            <w:tcBorders>
              <w:top w:val="nil"/>
              <w:left w:val="nil"/>
              <w:bottom w:val="nil"/>
              <w:right w:val="nil"/>
            </w:tcBorders>
            <w:noWrap/>
            <w:vAlign w:val="bottom"/>
            <w:hideMark/>
          </w:tcPr>
          <w:p w14:paraId="7DBA2E1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0.0229</w:t>
            </w:r>
          </w:p>
        </w:tc>
      </w:tr>
      <w:tr w:rsidR="000D271B" w:rsidRPr="000D271B" w14:paraId="2565085A" w14:textId="77777777" w:rsidTr="000D271B">
        <w:trPr>
          <w:trHeight w:val="271"/>
        </w:trPr>
        <w:tc>
          <w:tcPr>
            <w:tcW w:w="2054" w:type="dxa"/>
            <w:tcBorders>
              <w:top w:val="nil"/>
              <w:left w:val="nil"/>
              <w:bottom w:val="nil"/>
              <w:right w:val="nil"/>
            </w:tcBorders>
            <w:noWrap/>
            <w:vAlign w:val="bottom"/>
            <w:hideMark/>
          </w:tcPr>
          <w:p w14:paraId="74E00232"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Previous_c_section</w:t>
            </w:r>
            <w:proofErr w:type="spellEnd"/>
          </w:p>
        </w:tc>
        <w:tc>
          <w:tcPr>
            <w:tcW w:w="796" w:type="dxa"/>
            <w:tcBorders>
              <w:top w:val="nil"/>
              <w:left w:val="nil"/>
              <w:bottom w:val="nil"/>
              <w:right w:val="nil"/>
            </w:tcBorders>
            <w:noWrap/>
            <w:vAlign w:val="bottom"/>
            <w:hideMark/>
          </w:tcPr>
          <w:p w14:paraId="50C136F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0.1767</w:t>
            </w:r>
          </w:p>
        </w:tc>
        <w:tc>
          <w:tcPr>
            <w:tcW w:w="704" w:type="dxa"/>
            <w:tcBorders>
              <w:top w:val="nil"/>
              <w:left w:val="nil"/>
              <w:bottom w:val="nil"/>
              <w:right w:val="nil"/>
            </w:tcBorders>
            <w:noWrap/>
            <w:vAlign w:val="bottom"/>
            <w:hideMark/>
          </w:tcPr>
          <w:p w14:paraId="1F65A24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0.3814</w:t>
            </w:r>
          </w:p>
        </w:tc>
        <w:tc>
          <w:tcPr>
            <w:tcW w:w="897" w:type="dxa"/>
            <w:tcBorders>
              <w:top w:val="nil"/>
              <w:left w:val="nil"/>
              <w:bottom w:val="nil"/>
              <w:right w:val="nil"/>
            </w:tcBorders>
            <w:noWrap/>
            <w:vAlign w:val="bottom"/>
            <w:hideMark/>
          </w:tcPr>
          <w:p w14:paraId="190F58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0.0959</w:t>
            </w:r>
          </w:p>
        </w:tc>
        <w:tc>
          <w:tcPr>
            <w:tcW w:w="704" w:type="dxa"/>
            <w:tcBorders>
              <w:top w:val="nil"/>
              <w:left w:val="nil"/>
              <w:bottom w:val="nil"/>
              <w:right w:val="nil"/>
            </w:tcBorders>
            <w:noWrap/>
            <w:vAlign w:val="bottom"/>
            <w:hideMark/>
          </w:tcPr>
          <w:p w14:paraId="7CCCD19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5891296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53EF34C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1AC9A67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4504F9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1.6950</w:t>
            </w:r>
          </w:p>
        </w:tc>
        <w:tc>
          <w:tcPr>
            <w:tcW w:w="869" w:type="dxa"/>
            <w:tcBorders>
              <w:top w:val="nil"/>
              <w:left w:val="nil"/>
              <w:bottom w:val="nil"/>
              <w:right w:val="nil"/>
            </w:tcBorders>
            <w:noWrap/>
            <w:vAlign w:val="bottom"/>
            <w:hideMark/>
          </w:tcPr>
          <w:p w14:paraId="6AE7796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0.8732</w:t>
            </w:r>
          </w:p>
        </w:tc>
        <w:tc>
          <w:tcPr>
            <w:tcW w:w="704" w:type="dxa"/>
            <w:tcBorders>
              <w:top w:val="nil"/>
              <w:left w:val="nil"/>
              <w:bottom w:val="nil"/>
              <w:right w:val="nil"/>
            </w:tcBorders>
            <w:noWrap/>
            <w:vAlign w:val="bottom"/>
            <w:hideMark/>
          </w:tcPr>
          <w:p w14:paraId="4D287D8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0.0038</w:t>
            </w:r>
          </w:p>
        </w:tc>
      </w:tr>
      <w:tr w:rsidR="000D271B" w:rsidRPr="000D271B" w14:paraId="7F793B44" w14:textId="77777777" w:rsidTr="000D271B">
        <w:trPr>
          <w:trHeight w:val="271"/>
        </w:trPr>
        <w:tc>
          <w:tcPr>
            <w:tcW w:w="2054" w:type="dxa"/>
            <w:tcBorders>
              <w:top w:val="nil"/>
              <w:left w:val="nil"/>
              <w:bottom w:val="nil"/>
              <w:right w:val="nil"/>
            </w:tcBorders>
            <w:noWrap/>
            <w:vAlign w:val="bottom"/>
            <w:hideMark/>
          </w:tcPr>
          <w:p w14:paraId="2FFE29C8"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Previous_complication</w:t>
            </w:r>
            <w:proofErr w:type="spellEnd"/>
          </w:p>
        </w:tc>
        <w:tc>
          <w:tcPr>
            <w:tcW w:w="796" w:type="dxa"/>
            <w:tcBorders>
              <w:top w:val="nil"/>
              <w:left w:val="nil"/>
              <w:bottom w:val="nil"/>
              <w:right w:val="nil"/>
            </w:tcBorders>
            <w:noWrap/>
            <w:vAlign w:val="bottom"/>
            <w:hideMark/>
          </w:tcPr>
          <w:p w14:paraId="4495A34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0.2195</w:t>
            </w:r>
          </w:p>
        </w:tc>
        <w:tc>
          <w:tcPr>
            <w:tcW w:w="704" w:type="dxa"/>
            <w:tcBorders>
              <w:top w:val="nil"/>
              <w:left w:val="nil"/>
              <w:bottom w:val="nil"/>
              <w:right w:val="nil"/>
            </w:tcBorders>
            <w:noWrap/>
            <w:vAlign w:val="bottom"/>
            <w:hideMark/>
          </w:tcPr>
          <w:p w14:paraId="3BA537B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0.4139</w:t>
            </w:r>
          </w:p>
        </w:tc>
        <w:tc>
          <w:tcPr>
            <w:tcW w:w="897" w:type="dxa"/>
            <w:tcBorders>
              <w:top w:val="nil"/>
              <w:left w:val="nil"/>
              <w:bottom w:val="nil"/>
              <w:right w:val="nil"/>
            </w:tcBorders>
            <w:noWrap/>
            <w:vAlign w:val="bottom"/>
            <w:hideMark/>
          </w:tcPr>
          <w:p w14:paraId="4C57B41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0.1494</w:t>
            </w:r>
          </w:p>
        </w:tc>
        <w:tc>
          <w:tcPr>
            <w:tcW w:w="704" w:type="dxa"/>
            <w:tcBorders>
              <w:top w:val="nil"/>
              <w:left w:val="nil"/>
              <w:bottom w:val="nil"/>
              <w:right w:val="nil"/>
            </w:tcBorders>
            <w:noWrap/>
            <w:vAlign w:val="bottom"/>
            <w:hideMark/>
          </w:tcPr>
          <w:p w14:paraId="5BA572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52010C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6A2F88D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3CA179F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9D00A9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1.3552</w:t>
            </w:r>
          </w:p>
        </w:tc>
        <w:tc>
          <w:tcPr>
            <w:tcW w:w="869" w:type="dxa"/>
            <w:tcBorders>
              <w:top w:val="nil"/>
              <w:left w:val="nil"/>
              <w:bottom w:val="nil"/>
              <w:right w:val="nil"/>
            </w:tcBorders>
            <w:noWrap/>
            <w:vAlign w:val="bottom"/>
            <w:hideMark/>
          </w:tcPr>
          <w:p w14:paraId="5D32F5E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-0.1635</w:t>
            </w:r>
          </w:p>
        </w:tc>
        <w:tc>
          <w:tcPr>
            <w:tcW w:w="704" w:type="dxa"/>
            <w:tcBorders>
              <w:top w:val="nil"/>
              <w:left w:val="nil"/>
              <w:bottom w:val="nil"/>
              <w:right w:val="nil"/>
            </w:tcBorders>
            <w:noWrap/>
            <w:vAlign w:val="bottom"/>
            <w:hideMark/>
          </w:tcPr>
          <w:p w14:paraId="070FAD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0.0041</w:t>
            </w:r>
          </w:p>
        </w:tc>
      </w:tr>
      <w:tr w:rsidR="000D271B" w:rsidRPr="000D271B" w14:paraId="58DF71FF" w14:textId="77777777" w:rsidTr="000D271B">
        <w:trPr>
          <w:trHeight w:val="271"/>
        </w:trPr>
        <w:tc>
          <w:tcPr>
            <w:tcW w:w="2054" w:type="dxa"/>
            <w:tcBorders>
              <w:top w:val="nil"/>
              <w:left w:val="nil"/>
              <w:bottom w:val="nil"/>
              <w:right w:val="nil"/>
            </w:tcBorders>
            <w:noWrap/>
            <w:vAlign w:val="bottom"/>
            <w:hideMark/>
          </w:tcPr>
          <w:p w14:paraId="68E3920B"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Postpartum_hemorrhage</w:t>
            </w:r>
            <w:proofErr w:type="spellEnd"/>
          </w:p>
        </w:tc>
        <w:tc>
          <w:tcPr>
            <w:tcW w:w="796" w:type="dxa"/>
            <w:tcBorders>
              <w:top w:val="nil"/>
              <w:left w:val="nil"/>
              <w:bottom w:val="nil"/>
              <w:right w:val="nil"/>
            </w:tcBorders>
            <w:noWrap/>
            <w:vAlign w:val="bottom"/>
            <w:hideMark/>
          </w:tcPr>
          <w:p w14:paraId="7D66910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0.1039</w:t>
            </w:r>
          </w:p>
        </w:tc>
        <w:tc>
          <w:tcPr>
            <w:tcW w:w="704" w:type="dxa"/>
            <w:tcBorders>
              <w:top w:val="nil"/>
              <w:left w:val="nil"/>
              <w:bottom w:val="nil"/>
              <w:right w:val="nil"/>
            </w:tcBorders>
            <w:noWrap/>
            <w:vAlign w:val="bottom"/>
            <w:hideMark/>
          </w:tcPr>
          <w:p w14:paraId="62D69BF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0.3051</w:t>
            </w:r>
          </w:p>
        </w:tc>
        <w:tc>
          <w:tcPr>
            <w:tcW w:w="897" w:type="dxa"/>
            <w:tcBorders>
              <w:top w:val="nil"/>
              <w:left w:val="nil"/>
              <w:bottom w:val="nil"/>
              <w:right w:val="nil"/>
            </w:tcBorders>
            <w:noWrap/>
            <w:vAlign w:val="bottom"/>
            <w:hideMark/>
          </w:tcPr>
          <w:p w14:paraId="5E2B798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0.0049</w:t>
            </w:r>
          </w:p>
        </w:tc>
        <w:tc>
          <w:tcPr>
            <w:tcW w:w="704" w:type="dxa"/>
            <w:tcBorders>
              <w:top w:val="nil"/>
              <w:left w:val="nil"/>
              <w:bottom w:val="nil"/>
              <w:right w:val="nil"/>
            </w:tcBorders>
            <w:noWrap/>
            <w:vAlign w:val="bottom"/>
            <w:hideMark/>
          </w:tcPr>
          <w:p w14:paraId="44E2EFF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511D879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74E86F8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140C1BB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2F8FE47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2.5959</w:t>
            </w:r>
          </w:p>
        </w:tc>
        <w:tc>
          <w:tcPr>
            <w:tcW w:w="869" w:type="dxa"/>
            <w:tcBorders>
              <w:top w:val="nil"/>
              <w:left w:val="nil"/>
              <w:bottom w:val="nil"/>
              <w:right w:val="nil"/>
            </w:tcBorders>
            <w:noWrap/>
            <w:vAlign w:val="bottom"/>
            <w:hideMark/>
          </w:tcPr>
          <w:p w14:paraId="3E3C90C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4.7390</w:t>
            </w:r>
          </w:p>
        </w:tc>
        <w:tc>
          <w:tcPr>
            <w:tcW w:w="704" w:type="dxa"/>
            <w:tcBorders>
              <w:top w:val="nil"/>
              <w:left w:val="nil"/>
              <w:bottom w:val="nil"/>
              <w:right w:val="nil"/>
            </w:tcBorders>
            <w:noWrap/>
            <w:vAlign w:val="bottom"/>
            <w:hideMark/>
          </w:tcPr>
          <w:p w14:paraId="348B23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0.0031</w:t>
            </w:r>
          </w:p>
        </w:tc>
      </w:tr>
      <w:tr w:rsidR="000D271B" w:rsidRPr="000D271B" w14:paraId="30A94AAB" w14:textId="77777777" w:rsidTr="000D271B">
        <w:trPr>
          <w:trHeight w:val="271"/>
        </w:trPr>
        <w:tc>
          <w:tcPr>
            <w:tcW w:w="2054" w:type="dxa"/>
            <w:tcBorders>
              <w:top w:val="nil"/>
              <w:left w:val="nil"/>
              <w:bottom w:val="nil"/>
              <w:right w:val="nil"/>
            </w:tcBorders>
            <w:noWrap/>
            <w:vAlign w:val="bottom"/>
            <w:hideMark/>
          </w:tcPr>
          <w:p w14:paraId="0F253010"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Preeclampsia</w:t>
            </w:r>
          </w:p>
        </w:tc>
        <w:tc>
          <w:tcPr>
            <w:tcW w:w="796" w:type="dxa"/>
            <w:tcBorders>
              <w:top w:val="nil"/>
              <w:left w:val="nil"/>
              <w:bottom w:val="nil"/>
              <w:right w:val="nil"/>
            </w:tcBorders>
            <w:noWrap/>
            <w:vAlign w:val="bottom"/>
            <w:hideMark/>
          </w:tcPr>
          <w:p w14:paraId="20B182E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0.0767</w:t>
            </w:r>
          </w:p>
        </w:tc>
        <w:tc>
          <w:tcPr>
            <w:tcW w:w="704" w:type="dxa"/>
            <w:tcBorders>
              <w:top w:val="nil"/>
              <w:left w:val="nil"/>
              <w:bottom w:val="nil"/>
              <w:right w:val="nil"/>
            </w:tcBorders>
            <w:noWrap/>
            <w:vAlign w:val="bottom"/>
            <w:hideMark/>
          </w:tcPr>
          <w:p w14:paraId="54F858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0.2661</w:t>
            </w:r>
          </w:p>
        </w:tc>
        <w:tc>
          <w:tcPr>
            <w:tcW w:w="897" w:type="dxa"/>
            <w:tcBorders>
              <w:top w:val="nil"/>
              <w:left w:val="nil"/>
              <w:bottom w:val="nil"/>
              <w:right w:val="nil"/>
            </w:tcBorders>
            <w:noWrap/>
            <w:vAlign w:val="bottom"/>
            <w:hideMark/>
          </w:tcPr>
          <w:p w14:paraId="5669D14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348E18D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4A5AA7B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12E22F7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0A43C35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64A9DC0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3.1809</w:t>
            </w:r>
          </w:p>
        </w:tc>
        <w:tc>
          <w:tcPr>
            <w:tcW w:w="869" w:type="dxa"/>
            <w:tcBorders>
              <w:top w:val="nil"/>
              <w:left w:val="nil"/>
              <w:bottom w:val="nil"/>
              <w:right w:val="nil"/>
            </w:tcBorders>
            <w:noWrap/>
            <w:vAlign w:val="bottom"/>
            <w:hideMark/>
          </w:tcPr>
          <w:p w14:paraId="636A3F2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8.1187</w:t>
            </w:r>
          </w:p>
        </w:tc>
        <w:tc>
          <w:tcPr>
            <w:tcW w:w="704" w:type="dxa"/>
            <w:tcBorders>
              <w:top w:val="nil"/>
              <w:left w:val="nil"/>
              <w:bottom w:val="nil"/>
              <w:right w:val="nil"/>
            </w:tcBorders>
            <w:noWrap/>
            <w:vAlign w:val="bottom"/>
            <w:hideMark/>
          </w:tcPr>
          <w:p w14:paraId="7E05696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0.0027</w:t>
            </w:r>
          </w:p>
        </w:tc>
      </w:tr>
      <w:tr w:rsidR="000D271B" w:rsidRPr="000D271B" w14:paraId="455DCB96" w14:textId="77777777" w:rsidTr="000D271B">
        <w:trPr>
          <w:trHeight w:val="271"/>
        </w:trPr>
        <w:tc>
          <w:tcPr>
            <w:tcW w:w="2054" w:type="dxa"/>
            <w:tcBorders>
              <w:top w:val="nil"/>
              <w:left w:val="nil"/>
              <w:bottom w:val="nil"/>
              <w:right w:val="nil"/>
            </w:tcBorders>
            <w:noWrap/>
            <w:vAlign w:val="bottom"/>
            <w:hideMark/>
          </w:tcPr>
          <w:p w14:paraId="69A24913" w14:textId="77777777" w:rsidR="00290A78" w:rsidRPr="000D271B" w:rsidRDefault="00290A78" w:rsidP="00501858">
            <w:pPr>
              <w:rPr>
                <w:rFonts w:ascii="Arial" w:hAnsi="Arial" w:cs="Arial"/>
                <w:color w:val="000000"/>
                <w:sz w:val="18"/>
                <w:szCs w:val="18"/>
              </w:rPr>
            </w:pPr>
            <w:r w:rsidRPr="000D271B">
              <w:rPr>
                <w:rFonts w:ascii="Arial" w:hAnsi="Arial" w:cs="Arial"/>
                <w:color w:val="000000"/>
                <w:sz w:val="18"/>
                <w:szCs w:val="18"/>
              </w:rPr>
              <w:t>Infection</w:t>
            </w:r>
          </w:p>
        </w:tc>
        <w:tc>
          <w:tcPr>
            <w:tcW w:w="796" w:type="dxa"/>
            <w:tcBorders>
              <w:top w:val="nil"/>
              <w:left w:val="nil"/>
              <w:bottom w:val="nil"/>
              <w:right w:val="nil"/>
            </w:tcBorders>
            <w:noWrap/>
            <w:vAlign w:val="bottom"/>
            <w:hideMark/>
          </w:tcPr>
          <w:p w14:paraId="11DA5EA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0.0846</w:t>
            </w:r>
          </w:p>
        </w:tc>
        <w:tc>
          <w:tcPr>
            <w:tcW w:w="704" w:type="dxa"/>
            <w:tcBorders>
              <w:top w:val="nil"/>
              <w:left w:val="nil"/>
              <w:bottom w:val="nil"/>
              <w:right w:val="nil"/>
            </w:tcBorders>
            <w:noWrap/>
            <w:vAlign w:val="bottom"/>
            <w:hideMark/>
          </w:tcPr>
          <w:p w14:paraId="016D22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0.2783</w:t>
            </w:r>
          </w:p>
        </w:tc>
        <w:tc>
          <w:tcPr>
            <w:tcW w:w="897" w:type="dxa"/>
            <w:tcBorders>
              <w:top w:val="nil"/>
              <w:left w:val="nil"/>
              <w:bottom w:val="nil"/>
              <w:right w:val="nil"/>
            </w:tcBorders>
            <w:noWrap/>
            <w:vAlign w:val="bottom"/>
            <w:hideMark/>
          </w:tcPr>
          <w:p w14:paraId="52D4444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344D5B8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16BDEEC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0F7E8890"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w:t>
            </w:r>
          </w:p>
        </w:tc>
        <w:tc>
          <w:tcPr>
            <w:tcW w:w="704" w:type="dxa"/>
            <w:tcBorders>
              <w:top w:val="nil"/>
              <w:left w:val="nil"/>
              <w:bottom w:val="nil"/>
              <w:right w:val="nil"/>
            </w:tcBorders>
            <w:noWrap/>
            <w:vAlign w:val="bottom"/>
            <w:hideMark/>
          </w:tcPr>
          <w:p w14:paraId="0449B33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A6DE41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2.9850</w:t>
            </w:r>
          </w:p>
        </w:tc>
        <w:tc>
          <w:tcPr>
            <w:tcW w:w="869" w:type="dxa"/>
            <w:tcBorders>
              <w:top w:val="nil"/>
              <w:left w:val="nil"/>
              <w:bottom w:val="nil"/>
              <w:right w:val="nil"/>
            </w:tcBorders>
            <w:noWrap/>
            <w:vAlign w:val="bottom"/>
            <w:hideMark/>
          </w:tcPr>
          <w:p w14:paraId="04D4BB7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6.9108</w:t>
            </w:r>
          </w:p>
        </w:tc>
        <w:tc>
          <w:tcPr>
            <w:tcW w:w="704" w:type="dxa"/>
            <w:tcBorders>
              <w:top w:val="nil"/>
              <w:left w:val="nil"/>
              <w:bottom w:val="nil"/>
              <w:right w:val="nil"/>
            </w:tcBorders>
            <w:noWrap/>
            <w:vAlign w:val="bottom"/>
            <w:hideMark/>
          </w:tcPr>
          <w:p w14:paraId="7027E3D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0.0028</w:t>
            </w:r>
          </w:p>
        </w:tc>
      </w:tr>
      <w:tr w:rsidR="000D271B" w:rsidRPr="000D271B" w14:paraId="701C50EC" w14:textId="77777777" w:rsidTr="000D271B">
        <w:trPr>
          <w:trHeight w:val="271"/>
        </w:trPr>
        <w:tc>
          <w:tcPr>
            <w:tcW w:w="2054" w:type="dxa"/>
            <w:tcBorders>
              <w:top w:val="nil"/>
              <w:left w:val="nil"/>
              <w:bottom w:val="nil"/>
              <w:right w:val="nil"/>
            </w:tcBorders>
            <w:noWrap/>
            <w:vAlign w:val="bottom"/>
            <w:hideMark/>
          </w:tcPr>
          <w:p w14:paraId="3A5810C9"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Distance_to_facility_km</w:t>
            </w:r>
            <w:proofErr w:type="spellEnd"/>
          </w:p>
        </w:tc>
        <w:tc>
          <w:tcPr>
            <w:tcW w:w="796" w:type="dxa"/>
            <w:tcBorders>
              <w:top w:val="nil"/>
              <w:left w:val="nil"/>
              <w:bottom w:val="nil"/>
              <w:right w:val="nil"/>
            </w:tcBorders>
            <w:noWrap/>
            <w:vAlign w:val="bottom"/>
            <w:hideMark/>
          </w:tcPr>
          <w:p w14:paraId="5F88B9F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11.9737</w:t>
            </w:r>
          </w:p>
        </w:tc>
        <w:tc>
          <w:tcPr>
            <w:tcW w:w="704" w:type="dxa"/>
            <w:tcBorders>
              <w:top w:val="nil"/>
              <w:left w:val="nil"/>
              <w:bottom w:val="nil"/>
              <w:right w:val="nil"/>
            </w:tcBorders>
            <w:noWrap/>
            <w:vAlign w:val="bottom"/>
            <w:hideMark/>
          </w:tcPr>
          <w:p w14:paraId="1B526B5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8.4952</w:t>
            </w:r>
          </w:p>
        </w:tc>
        <w:tc>
          <w:tcPr>
            <w:tcW w:w="897" w:type="dxa"/>
            <w:tcBorders>
              <w:top w:val="nil"/>
              <w:left w:val="nil"/>
              <w:bottom w:val="nil"/>
              <w:right w:val="nil"/>
            </w:tcBorders>
            <w:noWrap/>
            <w:vAlign w:val="bottom"/>
            <w:hideMark/>
          </w:tcPr>
          <w:p w14:paraId="43EC5D5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10.9120</w:t>
            </w:r>
          </w:p>
        </w:tc>
        <w:tc>
          <w:tcPr>
            <w:tcW w:w="704" w:type="dxa"/>
            <w:tcBorders>
              <w:top w:val="nil"/>
              <w:left w:val="nil"/>
              <w:bottom w:val="nil"/>
              <w:right w:val="nil"/>
            </w:tcBorders>
            <w:noWrap/>
            <w:vAlign w:val="bottom"/>
            <w:hideMark/>
          </w:tcPr>
          <w:p w14:paraId="5DC6AF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7.4130</w:t>
            </w:r>
          </w:p>
        </w:tc>
        <w:tc>
          <w:tcPr>
            <w:tcW w:w="483" w:type="dxa"/>
            <w:tcBorders>
              <w:top w:val="nil"/>
              <w:left w:val="nil"/>
              <w:bottom w:val="nil"/>
              <w:right w:val="nil"/>
            </w:tcBorders>
            <w:noWrap/>
            <w:vAlign w:val="bottom"/>
            <w:hideMark/>
          </w:tcPr>
          <w:p w14:paraId="2A4963E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0.1</w:t>
            </w:r>
          </w:p>
        </w:tc>
        <w:tc>
          <w:tcPr>
            <w:tcW w:w="704" w:type="dxa"/>
            <w:tcBorders>
              <w:top w:val="nil"/>
              <w:left w:val="nil"/>
              <w:bottom w:val="nil"/>
              <w:right w:val="nil"/>
            </w:tcBorders>
            <w:noWrap/>
            <w:vAlign w:val="bottom"/>
            <w:hideMark/>
          </w:tcPr>
          <w:p w14:paraId="5C89764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73.30</w:t>
            </w:r>
          </w:p>
        </w:tc>
        <w:tc>
          <w:tcPr>
            <w:tcW w:w="704" w:type="dxa"/>
            <w:tcBorders>
              <w:top w:val="nil"/>
              <w:left w:val="nil"/>
              <w:bottom w:val="nil"/>
              <w:right w:val="nil"/>
            </w:tcBorders>
            <w:noWrap/>
            <w:vAlign w:val="bottom"/>
            <w:hideMark/>
          </w:tcPr>
          <w:p w14:paraId="208C06F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73.20</w:t>
            </w:r>
          </w:p>
        </w:tc>
        <w:tc>
          <w:tcPr>
            <w:tcW w:w="704" w:type="dxa"/>
            <w:tcBorders>
              <w:top w:val="nil"/>
              <w:left w:val="nil"/>
              <w:bottom w:val="nil"/>
              <w:right w:val="nil"/>
            </w:tcBorders>
            <w:noWrap/>
            <w:vAlign w:val="bottom"/>
            <w:hideMark/>
          </w:tcPr>
          <w:p w14:paraId="36F51F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1.4420</w:t>
            </w:r>
          </w:p>
        </w:tc>
        <w:tc>
          <w:tcPr>
            <w:tcW w:w="869" w:type="dxa"/>
            <w:tcBorders>
              <w:top w:val="nil"/>
              <w:left w:val="nil"/>
              <w:bottom w:val="nil"/>
              <w:right w:val="nil"/>
            </w:tcBorders>
            <w:noWrap/>
            <w:vAlign w:val="bottom"/>
            <w:hideMark/>
          </w:tcPr>
          <w:p w14:paraId="74D01503"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3.3581</w:t>
            </w:r>
          </w:p>
        </w:tc>
        <w:tc>
          <w:tcPr>
            <w:tcW w:w="704" w:type="dxa"/>
            <w:tcBorders>
              <w:top w:val="nil"/>
              <w:left w:val="nil"/>
              <w:bottom w:val="nil"/>
              <w:right w:val="nil"/>
            </w:tcBorders>
            <w:noWrap/>
            <w:vAlign w:val="bottom"/>
            <w:hideMark/>
          </w:tcPr>
          <w:p w14:paraId="6DC3157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0.0850</w:t>
            </w:r>
          </w:p>
        </w:tc>
      </w:tr>
      <w:tr w:rsidR="000D271B" w:rsidRPr="000D271B" w14:paraId="0D272B53" w14:textId="77777777" w:rsidTr="000D271B">
        <w:trPr>
          <w:trHeight w:val="271"/>
        </w:trPr>
        <w:tc>
          <w:tcPr>
            <w:tcW w:w="2054" w:type="dxa"/>
            <w:tcBorders>
              <w:top w:val="nil"/>
              <w:left w:val="nil"/>
              <w:bottom w:val="nil"/>
              <w:right w:val="nil"/>
            </w:tcBorders>
            <w:noWrap/>
            <w:vAlign w:val="bottom"/>
            <w:hideMark/>
          </w:tcPr>
          <w:p w14:paraId="095958F6"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Insurance_nhis</w:t>
            </w:r>
            <w:proofErr w:type="spellEnd"/>
          </w:p>
        </w:tc>
        <w:tc>
          <w:tcPr>
            <w:tcW w:w="796" w:type="dxa"/>
            <w:tcBorders>
              <w:top w:val="nil"/>
              <w:left w:val="nil"/>
              <w:bottom w:val="nil"/>
              <w:right w:val="nil"/>
            </w:tcBorders>
            <w:noWrap/>
            <w:vAlign w:val="bottom"/>
            <w:hideMark/>
          </w:tcPr>
          <w:p w14:paraId="43B6862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0.7493</w:t>
            </w:r>
          </w:p>
        </w:tc>
        <w:tc>
          <w:tcPr>
            <w:tcW w:w="704" w:type="dxa"/>
            <w:tcBorders>
              <w:top w:val="nil"/>
              <w:left w:val="nil"/>
              <w:bottom w:val="nil"/>
              <w:right w:val="nil"/>
            </w:tcBorders>
            <w:noWrap/>
            <w:vAlign w:val="bottom"/>
            <w:hideMark/>
          </w:tcPr>
          <w:p w14:paraId="4C451CC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0.4334</w:t>
            </w:r>
          </w:p>
        </w:tc>
        <w:tc>
          <w:tcPr>
            <w:tcW w:w="897" w:type="dxa"/>
            <w:tcBorders>
              <w:top w:val="nil"/>
              <w:left w:val="nil"/>
              <w:bottom w:val="nil"/>
              <w:right w:val="nil"/>
            </w:tcBorders>
            <w:noWrap/>
            <w:vAlign w:val="bottom"/>
            <w:hideMark/>
          </w:tcPr>
          <w:p w14:paraId="126E926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0.8116</w:t>
            </w:r>
          </w:p>
        </w:tc>
        <w:tc>
          <w:tcPr>
            <w:tcW w:w="704" w:type="dxa"/>
            <w:tcBorders>
              <w:top w:val="nil"/>
              <w:left w:val="nil"/>
              <w:bottom w:val="nil"/>
              <w:right w:val="nil"/>
            </w:tcBorders>
            <w:noWrap/>
            <w:vAlign w:val="bottom"/>
            <w:hideMark/>
          </w:tcPr>
          <w:p w14:paraId="36F3608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31CAA5C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4645DC5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0122DFC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1EFBDE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1.1502</w:t>
            </w:r>
          </w:p>
        </w:tc>
        <w:tc>
          <w:tcPr>
            <w:tcW w:w="869" w:type="dxa"/>
            <w:tcBorders>
              <w:top w:val="nil"/>
              <w:left w:val="nil"/>
              <w:bottom w:val="nil"/>
              <w:right w:val="nil"/>
            </w:tcBorders>
            <w:noWrap/>
            <w:vAlign w:val="bottom"/>
            <w:hideMark/>
          </w:tcPr>
          <w:p w14:paraId="5554C38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-0.6771</w:t>
            </w:r>
          </w:p>
        </w:tc>
        <w:tc>
          <w:tcPr>
            <w:tcW w:w="704" w:type="dxa"/>
            <w:tcBorders>
              <w:top w:val="nil"/>
              <w:left w:val="nil"/>
              <w:bottom w:val="nil"/>
              <w:right w:val="nil"/>
            </w:tcBorders>
            <w:noWrap/>
            <w:vAlign w:val="bottom"/>
            <w:hideMark/>
          </w:tcPr>
          <w:p w14:paraId="2FDEB08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0.0043</w:t>
            </w:r>
          </w:p>
        </w:tc>
      </w:tr>
      <w:tr w:rsidR="000D271B" w:rsidRPr="000D271B" w14:paraId="73F43C36" w14:textId="77777777" w:rsidTr="000D271B">
        <w:trPr>
          <w:trHeight w:val="271"/>
        </w:trPr>
        <w:tc>
          <w:tcPr>
            <w:tcW w:w="2054" w:type="dxa"/>
            <w:tcBorders>
              <w:top w:val="nil"/>
              <w:left w:val="nil"/>
              <w:bottom w:val="nil"/>
              <w:right w:val="nil"/>
            </w:tcBorders>
            <w:noWrap/>
            <w:vAlign w:val="bottom"/>
            <w:hideMark/>
          </w:tcPr>
          <w:p w14:paraId="32B5C16E"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Delivery_cost_ghs</w:t>
            </w:r>
            <w:proofErr w:type="spellEnd"/>
          </w:p>
        </w:tc>
        <w:tc>
          <w:tcPr>
            <w:tcW w:w="796" w:type="dxa"/>
            <w:tcBorders>
              <w:top w:val="nil"/>
              <w:left w:val="nil"/>
              <w:bottom w:val="nil"/>
              <w:right w:val="nil"/>
            </w:tcBorders>
            <w:noWrap/>
            <w:vAlign w:val="bottom"/>
            <w:hideMark/>
          </w:tcPr>
          <w:p w14:paraId="01CA6E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51.4931</w:t>
            </w:r>
          </w:p>
        </w:tc>
        <w:tc>
          <w:tcPr>
            <w:tcW w:w="704" w:type="dxa"/>
            <w:tcBorders>
              <w:top w:val="nil"/>
              <w:left w:val="nil"/>
              <w:bottom w:val="nil"/>
              <w:right w:val="nil"/>
            </w:tcBorders>
            <w:noWrap/>
            <w:vAlign w:val="bottom"/>
            <w:hideMark/>
          </w:tcPr>
          <w:p w14:paraId="4DF39C0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7.5110</w:t>
            </w:r>
          </w:p>
        </w:tc>
        <w:tc>
          <w:tcPr>
            <w:tcW w:w="897" w:type="dxa"/>
            <w:tcBorders>
              <w:top w:val="nil"/>
              <w:left w:val="nil"/>
              <w:bottom w:val="nil"/>
              <w:right w:val="nil"/>
            </w:tcBorders>
            <w:noWrap/>
            <w:vAlign w:val="bottom"/>
            <w:hideMark/>
          </w:tcPr>
          <w:p w14:paraId="15B5CD8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50.0000</w:t>
            </w:r>
          </w:p>
        </w:tc>
        <w:tc>
          <w:tcPr>
            <w:tcW w:w="704" w:type="dxa"/>
            <w:tcBorders>
              <w:top w:val="nil"/>
              <w:left w:val="nil"/>
              <w:bottom w:val="nil"/>
              <w:right w:val="nil"/>
            </w:tcBorders>
            <w:noWrap/>
            <w:vAlign w:val="bottom"/>
            <w:hideMark/>
          </w:tcPr>
          <w:p w14:paraId="7A999C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20BA9D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50</w:t>
            </w:r>
          </w:p>
        </w:tc>
        <w:tc>
          <w:tcPr>
            <w:tcW w:w="704" w:type="dxa"/>
            <w:tcBorders>
              <w:top w:val="nil"/>
              <w:left w:val="nil"/>
              <w:bottom w:val="nil"/>
              <w:right w:val="nil"/>
            </w:tcBorders>
            <w:noWrap/>
            <w:vAlign w:val="bottom"/>
            <w:hideMark/>
          </w:tcPr>
          <w:p w14:paraId="447FD40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203.01</w:t>
            </w:r>
          </w:p>
        </w:tc>
        <w:tc>
          <w:tcPr>
            <w:tcW w:w="704" w:type="dxa"/>
            <w:tcBorders>
              <w:top w:val="nil"/>
              <w:left w:val="nil"/>
              <w:bottom w:val="nil"/>
              <w:right w:val="nil"/>
            </w:tcBorders>
            <w:noWrap/>
            <w:vAlign w:val="bottom"/>
            <w:hideMark/>
          </w:tcPr>
          <w:p w14:paraId="76F5130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153.01</w:t>
            </w:r>
          </w:p>
        </w:tc>
        <w:tc>
          <w:tcPr>
            <w:tcW w:w="704" w:type="dxa"/>
            <w:tcBorders>
              <w:top w:val="nil"/>
              <w:left w:val="nil"/>
              <w:bottom w:val="nil"/>
              <w:right w:val="nil"/>
            </w:tcBorders>
            <w:noWrap/>
            <w:vAlign w:val="bottom"/>
            <w:hideMark/>
          </w:tcPr>
          <w:p w14:paraId="32E836F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8.1296</w:t>
            </w:r>
          </w:p>
        </w:tc>
        <w:tc>
          <w:tcPr>
            <w:tcW w:w="869" w:type="dxa"/>
            <w:tcBorders>
              <w:top w:val="nil"/>
              <w:left w:val="nil"/>
              <w:bottom w:val="nil"/>
              <w:right w:val="nil"/>
            </w:tcBorders>
            <w:noWrap/>
            <w:vAlign w:val="bottom"/>
            <w:hideMark/>
          </w:tcPr>
          <w:p w14:paraId="1191240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92.2678</w:t>
            </w:r>
          </w:p>
        </w:tc>
        <w:tc>
          <w:tcPr>
            <w:tcW w:w="704" w:type="dxa"/>
            <w:tcBorders>
              <w:top w:val="nil"/>
              <w:left w:val="nil"/>
              <w:bottom w:val="nil"/>
              <w:right w:val="nil"/>
            </w:tcBorders>
            <w:noWrap/>
            <w:vAlign w:val="bottom"/>
            <w:hideMark/>
          </w:tcPr>
          <w:p w14:paraId="0820F8C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0.0751</w:t>
            </w:r>
          </w:p>
        </w:tc>
      </w:tr>
      <w:tr w:rsidR="000D271B" w:rsidRPr="000D271B" w14:paraId="0F47F503" w14:textId="77777777" w:rsidTr="000D271B">
        <w:trPr>
          <w:trHeight w:val="271"/>
        </w:trPr>
        <w:tc>
          <w:tcPr>
            <w:tcW w:w="2054" w:type="dxa"/>
            <w:tcBorders>
              <w:top w:val="nil"/>
              <w:left w:val="nil"/>
              <w:bottom w:val="nil"/>
              <w:right w:val="nil"/>
            </w:tcBorders>
            <w:noWrap/>
            <w:vAlign w:val="bottom"/>
            <w:hideMark/>
          </w:tcPr>
          <w:p w14:paraId="7BB6C89E"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Transport_cost_ghs</w:t>
            </w:r>
            <w:proofErr w:type="spellEnd"/>
          </w:p>
        </w:tc>
        <w:tc>
          <w:tcPr>
            <w:tcW w:w="796" w:type="dxa"/>
            <w:tcBorders>
              <w:top w:val="nil"/>
              <w:left w:val="nil"/>
              <w:bottom w:val="nil"/>
              <w:right w:val="nil"/>
            </w:tcBorders>
            <w:noWrap/>
            <w:vAlign w:val="bottom"/>
            <w:hideMark/>
          </w:tcPr>
          <w:p w14:paraId="2E3B4FE8"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12.7470</w:t>
            </w:r>
          </w:p>
        </w:tc>
        <w:tc>
          <w:tcPr>
            <w:tcW w:w="704" w:type="dxa"/>
            <w:tcBorders>
              <w:top w:val="nil"/>
              <w:left w:val="nil"/>
              <w:bottom w:val="nil"/>
              <w:right w:val="nil"/>
            </w:tcBorders>
            <w:noWrap/>
            <w:vAlign w:val="bottom"/>
            <w:hideMark/>
          </w:tcPr>
          <w:p w14:paraId="3475508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9.8940</w:t>
            </w:r>
          </w:p>
        </w:tc>
        <w:tc>
          <w:tcPr>
            <w:tcW w:w="897" w:type="dxa"/>
            <w:tcBorders>
              <w:top w:val="nil"/>
              <w:left w:val="nil"/>
              <w:bottom w:val="nil"/>
              <w:right w:val="nil"/>
            </w:tcBorders>
            <w:noWrap/>
            <w:vAlign w:val="bottom"/>
            <w:hideMark/>
          </w:tcPr>
          <w:p w14:paraId="139EE4F9"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10.9312</w:t>
            </w:r>
          </w:p>
        </w:tc>
        <w:tc>
          <w:tcPr>
            <w:tcW w:w="704" w:type="dxa"/>
            <w:tcBorders>
              <w:top w:val="nil"/>
              <w:left w:val="nil"/>
              <w:bottom w:val="nil"/>
              <w:right w:val="nil"/>
            </w:tcBorders>
            <w:noWrap/>
            <w:vAlign w:val="bottom"/>
            <w:hideMark/>
          </w:tcPr>
          <w:p w14:paraId="51C2D21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6.4048</w:t>
            </w:r>
          </w:p>
        </w:tc>
        <w:tc>
          <w:tcPr>
            <w:tcW w:w="483" w:type="dxa"/>
            <w:tcBorders>
              <w:top w:val="nil"/>
              <w:left w:val="nil"/>
              <w:bottom w:val="nil"/>
              <w:right w:val="nil"/>
            </w:tcBorders>
            <w:noWrap/>
            <w:vAlign w:val="bottom"/>
            <w:hideMark/>
          </w:tcPr>
          <w:p w14:paraId="3A02879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5</w:t>
            </w:r>
          </w:p>
        </w:tc>
        <w:tc>
          <w:tcPr>
            <w:tcW w:w="704" w:type="dxa"/>
            <w:tcBorders>
              <w:top w:val="nil"/>
              <w:left w:val="nil"/>
              <w:bottom w:val="nil"/>
              <w:right w:val="nil"/>
            </w:tcBorders>
            <w:noWrap/>
            <w:vAlign w:val="bottom"/>
            <w:hideMark/>
          </w:tcPr>
          <w:p w14:paraId="0E18470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249.56</w:t>
            </w:r>
          </w:p>
        </w:tc>
        <w:tc>
          <w:tcPr>
            <w:tcW w:w="704" w:type="dxa"/>
            <w:tcBorders>
              <w:top w:val="nil"/>
              <w:left w:val="nil"/>
              <w:bottom w:val="nil"/>
              <w:right w:val="nil"/>
            </w:tcBorders>
            <w:noWrap/>
            <w:vAlign w:val="bottom"/>
            <w:hideMark/>
          </w:tcPr>
          <w:p w14:paraId="546ABB7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244.56</w:t>
            </w:r>
          </w:p>
        </w:tc>
        <w:tc>
          <w:tcPr>
            <w:tcW w:w="704" w:type="dxa"/>
            <w:tcBorders>
              <w:top w:val="nil"/>
              <w:left w:val="nil"/>
              <w:bottom w:val="nil"/>
              <w:right w:val="nil"/>
            </w:tcBorders>
            <w:noWrap/>
            <w:vAlign w:val="bottom"/>
            <w:hideMark/>
          </w:tcPr>
          <w:p w14:paraId="1DA6230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4.1228</w:t>
            </w:r>
          </w:p>
        </w:tc>
        <w:tc>
          <w:tcPr>
            <w:tcW w:w="869" w:type="dxa"/>
            <w:tcBorders>
              <w:top w:val="nil"/>
              <w:left w:val="nil"/>
              <w:bottom w:val="nil"/>
              <w:right w:val="nil"/>
            </w:tcBorders>
            <w:noWrap/>
            <w:vAlign w:val="bottom"/>
            <w:hideMark/>
          </w:tcPr>
          <w:p w14:paraId="099AFE91"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47.8955</w:t>
            </w:r>
          </w:p>
        </w:tc>
        <w:tc>
          <w:tcPr>
            <w:tcW w:w="704" w:type="dxa"/>
            <w:tcBorders>
              <w:top w:val="nil"/>
              <w:left w:val="nil"/>
              <w:bottom w:val="nil"/>
              <w:right w:val="nil"/>
            </w:tcBorders>
            <w:noWrap/>
            <w:vAlign w:val="bottom"/>
            <w:hideMark/>
          </w:tcPr>
          <w:p w14:paraId="1A24C28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0.0989</w:t>
            </w:r>
          </w:p>
        </w:tc>
      </w:tr>
      <w:tr w:rsidR="000D271B" w:rsidRPr="000D271B" w14:paraId="0E30048A" w14:textId="77777777" w:rsidTr="000D271B">
        <w:trPr>
          <w:trHeight w:val="271"/>
        </w:trPr>
        <w:tc>
          <w:tcPr>
            <w:tcW w:w="2054" w:type="dxa"/>
            <w:tcBorders>
              <w:top w:val="nil"/>
              <w:left w:val="nil"/>
              <w:bottom w:val="nil"/>
              <w:right w:val="nil"/>
            </w:tcBorders>
            <w:noWrap/>
            <w:vAlign w:val="bottom"/>
            <w:hideMark/>
          </w:tcPr>
          <w:p w14:paraId="568F3580"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Adl_limitations</w:t>
            </w:r>
            <w:proofErr w:type="spellEnd"/>
          </w:p>
        </w:tc>
        <w:tc>
          <w:tcPr>
            <w:tcW w:w="796" w:type="dxa"/>
            <w:tcBorders>
              <w:top w:val="nil"/>
              <w:left w:val="nil"/>
              <w:bottom w:val="nil"/>
              <w:right w:val="nil"/>
            </w:tcBorders>
            <w:noWrap/>
            <w:vAlign w:val="bottom"/>
            <w:hideMark/>
          </w:tcPr>
          <w:p w14:paraId="4F045F4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0.0889</w:t>
            </w:r>
          </w:p>
        </w:tc>
        <w:tc>
          <w:tcPr>
            <w:tcW w:w="704" w:type="dxa"/>
            <w:tcBorders>
              <w:top w:val="nil"/>
              <w:left w:val="nil"/>
              <w:bottom w:val="nil"/>
              <w:right w:val="nil"/>
            </w:tcBorders>
            <w:noWrap/>
            <w:vAlign w:val="bottom"/>
            <w:hideMark/>
          </w:tcPr>
          <w:p w14:paraId="75C89A62"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0.2846</w:t>
            </w:r>
          </w:p>
        </w:tc>
        <w:tc>
          <w:tcPr>
            <w:tcW w:w="897" w:type="dxa"/>
            <w:tcBorders>
              <w:top w:val="nil"/>
              <w:left w:val="nil"/>
              <w:bottom w:val="nil"/>
              <w:right w:val="nil"/>
            </w:tcBorders>
            <w:noWrap/>
            <w:vAlign w:val="bottom"/>
            <w:hideMark/>
          </w:tcPr>
          <w:p w14:paraId="2BD78F2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704" w:type="dxa"/>
            <w:tcBorders>
              <w:top w:val="nil"/>
              <w:left w:val="nil"/>
              <w:bottom w:val="nil"/>
              <w:right w:val="nil"/>
            </w:tcBorders>
            <w:noWrap/>
            <w:vAlign w:val="bottom"/>
            <w:hideMark/>
          </w:tcPr>
          <w:p w14:paraId="079B6DDD"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70D26E94"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53E925EA"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2606F7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38A1839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2.8885</w:t>
            </w:r>
          </w:p>
        </w:tc>
        <w:tc>
          <w:tcPr>
            <w:tcW w:w="869" w:type="dxa"/>
            <w:tcBorders>
              <w:top w:val="nil"/>
              <w:left w:val="nil"/>
              <w:bottom w:val="nil"/>
              <w:right w:val="nil"/>
            </w:tcBorders>
            <w:noWrap/>
            <w:vAlign w:val="bottom"/>
            <w:hideMark/>
          </w:tcPr>
          <w:p w14:paraId="27433E9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6.3443</w:t>
            </w:r>
          </w:p>
        </w:tc>
        <w:tc>
          <w:tcPr>
            <w:tcW w:w="704" w:type="dxa"/>
            <w:tcBorders>
              <w:top w:val="nil"/>
              <w:left w:val="nil"/>
              <w:bottom w:val="nil"/>
              <w:right w:val="nil"/>
            </w:tcBorders>
            <w:noWrap/>
            <w:vAlign w:val="bottom"/>
            <w:hideMark/>
          </w:tcPr>
          <w:p w14:paraId="59C5A3F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0.0028</w:t>
            </w:r>
          </w:p>
        </w:tc>
      </w:tr>
      <w:tr w:rsidR="000D271B" w:rsidRPr="000D271B" w14:paraId="77B3BDA1" w14:textId="77777777" w:rsidTr="000D271B">
        <w:trPr>
          <w:trHeight w:val="271"/>
        </w:trPr>
        <w:tc>
          <w:tcPr>
            <w:tcW w:w="2054" w:type="dxa"/>
            <w:tcBorders>
              <w:top w:val="nil"/>
              <w:left w:val="nil"/>
              <w:bottom w:val="nil"/>
              <w:right w:val="nil"/>
            </w:tcBorders>
            <w:noWrap/>
            <w:vAlign w:val="bottom"/>
            <w:hideMark/>
          </w:tcPr>
          <w:p w14:paraId="632AD263" w14:textId="77777777" w:rsidR="00290A78" w:rsidRPr="000D271B" w:rsidRDefault="00290A78" w:rsidP="00501858">
            <w:pPr>
              <w:rPr>
                <w:rFonts w:ascii="Arial" w:hAnsi="Arial" w:cs="Arial"/>
                <w:color w:val="000000"/>
                <w:sz w:val="18"/>
                <w:szCs w:val="18"/>
              </w:rPr>
            </w:pPr>
            <w:proofErr w:type="spellStart"/>
            <w:r w:rsidRPr="000D271B">
              <w:rPr>
                <w:rFonts w:ascii="Arial" w:hAnsi="Arial" w:cs="Arial"/>
                <w:color w:val="000000"/>
                <w:sz w:val="18"/>
                <w:szCs w:val="18"/>
              </w:rPr>
              <w:t>Postpartum_complication</w:t>
            </w:r>
            <w:proofErr w:type="spellEnd"/>
          </w:p>
        </w:tc>
        <w:tc>
          <w:tcPr>
            <w:tcW w:w="796" w:type="dxa"/>
            <w:tcBorders>
              <w:top w:val="nil"/>
              <w:left w:val="nil"/>
              <w:bottom w:val="nil"/>
              <w:right w:val="nil"/>
            </w:tcBorders>
            <w:noWrap/>
            <w:vAlign w:val="bottom"/>
            <w:hideMark/>
          </w:tcPr>
          <w:p w14:paraId="7CD5F8E7"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0.2782</w:t>
            </w:r>
          </w:p>
        </w:tc>
        <w:tc>
          <w:tcPr>
            <w:tcW w:w="704" w:type="dxa"/>
            <w:tcBorders>
              <w:top w:val="nil"/>
              <w:left w:val="nil"/>
              <w:bottom w:val="nil"/>
              <w:right w:val="nil"/>
            </w:tcBorders>
            <w:noWrap/>
            <w:vAlign w:val="bottom"/>
            <w:hideMark/>
          </w:tcPr>
          <w:p w14:paraId="37BAA70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0.4481</w:t>
            </w:r>
          </w:p>
        </w:tc>
        <w:tc>
          <w:tcPr>
            <w:tcW w:w="897" w:type="dxa"/>
            <w:tcBorders>
              <w:top w:val="nil"/>
              <w:left w:val="nil"/>
              <w:bottom w:val="nil"/>
              <w:right w:val="nil"/>
            </w:tcBorders>
            <w:noWrap/>
            <w:vAlign w:val="bottom"/>
            <w:hideMark/>
          </w:tcPr>
          <w:p w14:paraId="0EA7CF15"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0.2228</w:t>
            </w:r>
          </w:p>
        </w:tc>
        <w:tc>
          <w:tcPr>
            <w:tcW w:w="704" w:type="dxa"/>
            <w:tcBorders>
              <w:top w:val="nil"/>
              <w:left w:val="nil"/>
              <w:bottom w:val="nil"/>
              <w:right w:val="nil"/>
            </w:tcBorders>
            <w:noWrap/>
            <w:vAlign w:val="bottom"/>
            <w:hideMark/>
          </w:tcPr>
          <w:p w14:paraId="56C009E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0.0000</w:t>
            </w:r>
          </w:p>
        </w:tc>
        <w:tc>
          <w:tcPr>
            <w:tcW w:w="483" w:type="dxa"/>
            <w:tcBorders>
              <w:top w:val="nil"/>
              <w:left w:val="nil"/>
              <w:bottom w:val="nil"/>
              <w:right w:val="nil"/>
            </w:tcBorders>
            <w:noWrap/>
            <w:vAlign w:val="bottom"/>
            <w:hideMark/>
          </w:tcPr>
          <w:p w14:paraId="2049DD3C"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w:t>
            </w:r>
          </w:p>
        </w:tc>
        <w:tc>
          <w:tcPr>
            <w:tcW w:w="704" w:type="dxa"/>
            <w:tcBorders>
              <w:top w:val="nil"/>
              <w:left w:val="nil"/>
              <w:bottom w:val="nil"/>
              <w:right w:val="nil"/>
            </w:tcBorders>
            <w:noWrap/>
            <w:vAlign w:val="bottom"/>
            <w:hideMark/>
          </w:tcPr>
          <w:p w14:paraId="4CB8FE3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6FFE7A3F"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1.00</w:t>
            </w:r>
          </w:p>
        </w:tc>
        <w:tc>
          <w:tcPr>
            <w:tcW w:w="704" w:type="dxa"/>
            <w:tcBorders>
              <w:top w:val="nil"/>
              <w:left w:val="nil"/>
              <w:bottom w:val="nil"/>
              <w:right w:val="nil"/>
            </w:tcBorders>
            <w:noWrap/>
            <w:vAlign w:val="bottom"/>
            <w:hideMark/>
          </w:tcPr>
          <w:p w14:paraId="10A4A80B"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0.9898</w:t>
            </w:r>
          </w:p>
        </w:tc>
        <w:tc>
          <w:tcPr>
            <w:tcW w:w="869" w:type="dxa"/>
            <w:tcBorders>
              <w:top w:val="nil"/>
              <w:left w:val="nil"/>
              <w:bottom w:val="nil"/>
              <w:right w:val="nil"/>
            </w:tcBorders>
            <w:noWrap/>
            <w:vAlign w:val="bottom"/>
            <w:hideMark/>
          </w:tcPr>
          <w:p w14:paraId="17CF69DE"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-1.0204</w:t>
            </w:r>
          </w:p>
        </w:tc>
        <w:tc>
          <w:tcPr>
            <w:tcW w:w="704" w:type="dxa"/>
            <w:tcBorders>
              <w:top w:val="nil"/>
              <w:left w:val="nil"/>
              <w:bottom w:val="nil"/>
              <w:right w:val="nil"/>
            </w:tcBorders>
            <w:noWrap/>
            <w:vAlign w:val="bottom"/>
            <w:hideMark/>
          </w:tcPr>
          <w:p w14:paraId="0B1D2226" w14:textId="77777777" w:rsidR="00290A78" w:rsidRPr="000D271B" w:rsidRDefault="00290A78" w:rsidP="00501858">
            <w:pPr>
              <w:jc w:val="right"/>
              <w:rPr>
                <w:rFonts w:ascii="Arial" w:hAnsi="Arial" w:cs="Arial"/>
                <w:color w:val="000000"/>
                <w:sz w:val="18"/>
                <w:szCs w:val="18"/>
              </w:rPr>
            </w:pPr>
            <w:r w:rsidRPr="000D271B">
              <w:rPr>
                <w:rFonts w:ascii="Arial" w:hAnsi="Arial" w:cs="Arial"/>
                <w:color w:val="000000"/>
                <w:sz w:val="18"/>
                <w:szCs w:val="18"/>
              </w:rPr>
              <w:t>0.0045</w:t>
            </w:r>
          </w:p>
        </w:tc>
      </w:tr>
      <w:tr w:rsidR="000D271B" w:rsidRPr="000D271B" w14:paraId="79A42FDA" w14:textId="77777777" w:rsidTr="000D271B">
        <w:trPr>
          <w:trHeight w:val="286"/>
        </w:trPr>
        <w:tc>
          <w:tcPr>
            <w:tcW w:w="2054" w:type="dxa"/>
            <w:tcBorders>
              <w:top w:val="nil"/>
              <w:left w:val="nil"/>
              <w:bottom w:val="double" w:sz="6" w:space="0" w:color="auto"/>
              <w:right w:val="nil"/>
            </w:tcBorders>
            <w:noWrap/>
            <w:vAlign w:val="bottom"/>
          </w:tcPr>
          <w:p w14:paraId="457EC1AC" w14:textId="77777777" w:rsidR="00290A78" w:rsidRPr="000D271B" w:rsidRDefault="00290A78" w:rsidP="00501858">
            <w:pPr>
              <w:rPr>
                <w:rFonts w:ascii="Arial" w:hAnsi="Arial" w:cs="Arial"/>
                <w:color w:val="000000"/>
                <w:sz w:val="18"/>
                <w:szCs w:val="18"/>
              </w:rPr>
            </w:pPr>
          </w:p>
        </w:tc>
        <w:tc>
          <w:tcPr>
            <w:tcW w:w="796" w:type="dxa"/>
            <w:tcBorders>
              <w:top w:val="nil"/>
              <w:left w:val="nil"/>
              <w:bottom w:val="double" w:sz="6" w:space="0" w:color="auto"/>
              <w:right w:val="nil"/>
            </w:tcBorders>
            <w:noWrap/>
            <w:vAlign w:val="bottom"/>
          </w:tcPr>
          <w:p w14:paraId="2AD8CAD0"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59E9538B" w14:textId="77777777" w:rsidR="00290A78" w:rsidRPr="000D271B" w:rsidRDefault="00290A78" w:rsidP="00501858">
            <w:pPr>
              <w:jc w:val="right"/>
              <w:rPr>
                <w:rFonts w:ascii="Arial" w:hAnsi="Arial" w:cs="Arial"/>
                <w:color w:val="000000"/>
                <w:sz w:val="18"/>
                <w:szCs w:val="18"/>
              </w:rPr>
            </w:pPr>
          </w:p>
        </w:tc>
        <w:tc>
          <w:tcPr>
            <w:tcW w:w="897" w:type="dxa"/>
            <w:tcBorders>
              <w:top w:val="nil"/>
              <w:left w:val="nil"/>
              <w:bottom w:val="double" w:sz="6" w:space="0" w:color="auto"/>
              <w:right w:val="nil"/>
            </w:tcBorders>
            <w:noWrap/>
            <w:vAlign w:val="bottom"/>
          </w:tcPr>
          <w:p w14:paraId="6736EE5C"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41632AB8" w14:textId="77777777" w:rsidR="00290A78" w:rsidRPr="000D271B" w:rsidRDefault="00290A78" w:rsidP="00501858">
            <w:pPr>
              <w:jc w:val="right"/>
              <w:rPr>
                <w:rFonts w:ascii="Arial" w:hAnsi="Arial" w:cs="Arial"/>
                <w:color w:val="000000"/>
                <w:sz w:val="18"/>
                <w:szCs w:val="18"/>
              </w:rPr>
            </w:pPr>
          </w:p>
        </w:tc>
        <w:tc>
          <w:tcPr>
            <w:tcW w:w="483" w:type="dxa"/>
            <w:tcBorders>
              <w:top w:val="nil"/>
              <w:left w:val="nil"/>
              <w:bottom w:val="double" w:sz="6" w:space="0" w:color="auto"/>
              <w:right w:val="nil"/>
            </w:tcBorders>
            <w:noWrap/>
            <w:vAlign w:val="bottom"/>
          </w:tcPr>
          <w:p w14:paraId="146AB2E2"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5C5D3A01"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7F871126"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7BA9E85F" w14:textId="77777777" w:rsidR="00290A78" w:rsidRPr="000D271B" w:rsidRDefault="00290A78" w:rsidP="00501858">
            <w:pPr>
              <w:jc w:val="right"/>
              <w:rPr>
                <w:rFonts w:ascii="Arial" w:hAnsi="Arial" w:cs="Arial"/>
                <w:color w:val="000000"/>
                <w:sz w:val="18"/>
                <w:szCs w:val="18"/>
              </w:rPr>
            </w:pPr>
          </w:p>
        </w:tc>
        <w:tc>
          <w:tcPr>
            <w:tcW w:w="869" w:type="dxa"/>
            <w:tcBorders>
              <w:top w:val="nil"/>
              <w:left w:val="nil"/>
              <w:bottom w:val="double" w:sz="6" w:space="0" w:color="auto"/>
              <w:right w:val="nil"/>
            </w:tcBorders>
            <w:noWrap/>
            <w:vAlign w:val="bottom"/>
          </w:tcPr>
          <w:p w14:paraId="4044713C" w14:textId="77777777" w:rsidR="00290A78" w:rsidRPr="000D271B" w:rsidRDefault="00290A78" w:rsidP="00501858">
            <w:pPr>
              <w:jc w:val="right"/>
              <w:rPr>
                <w:rFonts w:ascii="Arial" w:hAnsi="Arial" w:cs="Arial"/>
                <w:color w:val="000000"/>
                <w:sz w:val="18"/>
                <w:szCs w:val="18"/>
              </w:rPr>
            </w:pPr>
          </w:p>
        </w:tc>
        <w:tc>
          <w:tcPr>
            <w:tcW w:w="704" w:type="dxa"/>
            <w:tcBorders>
              <w:top w:val="nil"/>
              <w:left w:val="nil"/>
              <w:bottom w:val="double" w:sz="6" w:space="0" w:color="auto"/>
              <w:right w:val="nil"/>
            </w:tcBorders>
            <w:noWrap/>
            <w:vAlign w:val="bottom"/>
          </w:tcPr>
          <w:p w14:paraId="1CB8D3DB" w14:textId="77777777" w:rsidR="00290A78" w:rsidRPr="000D271B" w:rsidRDefault="00290A78" w:rsidP="00501858">
            <w:pPr>
              <w:jc w:val="right"/>
              <w:rPr>
                <w:rFonts w:ascii="Arial" w:hAnsi="Arial" w:cs="Arial"/>
                <w:color w:val="000000"/>
                <w:sz w:val="18"/>
                <w:szCs w:val="18"/>
              </w:rPr>
            </w:pPr>
          </w:p>
        </w:tc>
      </w:tr>
    </w:tbl>
    <w:p w14:paraId="2ACCC059"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From table 1 above, the average age of childbirth is 28 years with minimum age of 15 years given that all other resilient factors like education and life prospects and building career goals. Ideal, it is required that pregnant women visit the antenatal care unit 5 times on average or more. On average, pregnant women travel about 12km to health facility for antenatal care and delivery and traveling cost of 13 Ghana Cedis and a minimum of cost 5 Ghana Cedis per visit.</w:t>
      </w:r>
    </w:p>
    <w:p w14:paraId="0BFBDD71" w14:textId="77777777" w:rsidR="00290A78" w:rsidRPr="000D271B" w:rsidRDefault="00290A78" w:rsidP="00290A78">
      <w:pPr>
        <w:jc w:val="both"/>
        <w:rPr>
          <w:rFonts w:ascii="Arial" w:hAnsi="Arial" w:cs="Arial"/>
          <w:b/>
          <w:bCs/>
          <w:sz w:val="24"/>
          <w:szCs w:val="24"/>
        </w:rPr>
      </w:pPr>
    </w:p>
    <w:p w14:paraId="586AF9FD"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3.1 Reduced logistic regression for childbirth dataset</w:t>
      </w:r>
    </w:p>
    <w:p w14:paraId="1B0532C2"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 xml:space="preserve">From table 2 below shows the significant features for modeling the logistic regression model. The intercept coefficient is of 1.5707 units and its p-value of 0.147 is greater than 0.05 alpha value, hence the intercept is insignificant, so we fail to include it in the model formulation. Features that contribute to side-effects in childbirth are age, number of antenatal care visits, previous complication, postpartum hemorrhage, preeclampsia, gestational diabetes, infection, hemoglobin, insurance (NHIS), delivery cost, transportation cost, cost of food, and activities of daily living (ADL) limitations. For one additional unit of age, there is 0.035-unit increase of side-effects holding other features constant, also with one absenteeism of antenatal care will lead to 0.0267 unit of side-effects of childbirth holding other attributes constant. With a previous complication of childbirth, there is 0.429 units of side-effects with other attributes constant, one additional postpartum hemorrhage, there will be 0.3538 units of side-effects holding other factors constant. With pre-eclampsia, gestational diabetes, infection, hemoglobin, delivery cost, transportation cost, and activities of daily living limitations will increase side-effect in childbirth if there is an additional unit of these respective features with various magnitudes. With </w:t>
      </w:r>
      <w:r w:rsidRPr="000D271B">
        <w:rPr>
          <w:rFonts w:ascii="Arial" w:hAnsi="Arial" w:cs="Arial"/>
          <w:sz w:val="22"/>
          <w:szCs w:val="22"/>
        </w:rPr>
        <w:lastRenderedPageBreak/>
        <w:t>insurance and cost of food, if there is no additional cost of food there will be a decrease of 0.088 units of side-effects holding other features constant. When there is one additional improvement in health insurance, there will be 2.9931 units decrease in side-effects of childbirth in Ghana.</w:t>
      </w:r>
    </w:p>
    <w:p w14:paraId="3178F9C5"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Table 2 the reduced logistic regression coefficients </w:t>
      </w:r>
    </w:p>
    <w:tbl>
      <w:tblPr>
        <w:tblW w:w="8617" w:type="dxa"/>
        <w:tblLook w:val="04A0" w:firstRow="1" w:lastRow="0" w:firstColumn="1" w:lastColumn="0" w:noHBand="0" w:noVBand="1"/>
      </w:tblPr>
      <w:tblGrid>
        <w:gridCol w:w="2761"/>
        <w:gridCol w:w="1299"/>
        <w:gridCol w:w="1134"/>
        <w:gridCol w:w="1147"/>
        <w:gridCol w:w="1138"/>
        <w:gridCol w:w="1138"/>
      </w:tblGrid>
      <w:tr w:rsidR="000D271B" w:rsidRPr="000D271B" w14:paraId="04ED2466" w14:textId="77777777" w:rsidTr="000D271B">
        <w:trPr>
          <w:trHeight w:val="315"/>
        </w:trPr>
        <w:tc>
          <w:tcPr>
            <w:tcW w:w="2761" w:type="dxa"/>
            <w:tcBorders>
              <w:top w:val="single" w:sz="4" w:space="0" w:color="auto"/>
              <w:left w:val="nil"/>
              <w:bottom w:val="double" w:sz="6" w:space="0" w:color="auto"/>
              <w:right w:val="nil"/>
            </w:tcBorders>
            <w:noWrap/>
            <w:vAlign w:val="center"/>
            <w:hideMark/>
          </w:tcPr>
          <w:p w14:paraId="0912C46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Features</w:t>
            </w:r>
          </w:p>
        </w:tc>
        <w:tc>
          <w:tcPr>
            <w:tcW w:w="1299" w:type="dxa"/>
            <w:tcBorders>
              <w:top w:val="single" w:sz="4" w:space="0" w:color="auto"/>
              <w:left w:val="nil"/>
              <w:bottom w:val="double" w:sz="6" w:space="0" w:color="auto"/>
              <w:right w:val="nil"/>
            </w:tcBorders>
            <w:noWrap/>
            <w:vAlign w:val="bottom"/>
            <w:hideMark/>
          </w:tcPr>
          <w:p w14:paraId="3004472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Coefficient</w:t>
            </w:r>
          </w:p>
        </w:tc>
        <w:tc>
          <w:tcPr>
            <w:tcW w:w="1134" w:type="dxa"/>
            <w:tcBorders>
              <w:top w:val="single" w:sz="4" w:space="0" w:color="auto"/>
              <w:left w:val="nil"/>
              <w:bottom w:val="double" w:sz="6" w:space="0" w:color="auto"/>
              <w:right w:val="nil"/>
            </w:tcBorders>
            <w:noWrap/>
            <w:vAlign w:val="bottom"/>
            <w:hideMark/>
          </w:tcPr>
          <w:p w14:paraId="2F2995E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Std. Error</w:t>
            </w:r>
          </w:p>
        </w:tc>
        <w:tc>
          <w:tcPr>
            <w:tcW w:w="1147" w:type="dxa"/>
            <w:tcBorders>
              <w:top w:val="single" w:sz="4" w:space="0" w:color="auto"/>
              <w:left w:val="nil"/>
              <w:bottom w:val="double" w:sz="6" w:space="0" w:color="auto"/>
              <w:right w:val="nil"/>
            </w:tcBorders>
            <w:noWrap/>
            <w:vAlign w:val="bottom"/>
            <w:hideMark/>
          </w:tcPr>
          <w:p w14:paraId="6969963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Z-Value</w:t>
            </w:r>
          </w:p>
        </w:tc>
        <w:tc>
          <w:tcPr>
            <w:tcW w:w="1138" w:type="dxa"/>
            <w:tcBorders>
              <w:top w:val="single" w:sz="4" w:space="0" w:color="auto"/>
              <w:left w:val="nil"/>
              <w:bottom w:val="double" w:sz="6" w:space="0" w:color="auto"/>
              <w:right w:val="nil"/>
            </w:tcBorders>
            <w:noWrap/>
            <w:vAlign w:val="bottom"/>
            <w:hideMark/>
          </w:tcPr>
          <w:p w14:paraId="12B586A4"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Pr</w:t>
            </w:r>
            <w:proofErr w:type="spellEnd"/>
            <w:r w:rsidRPr="000D271B">
              <w:rPr>
                <w:rFonts w:ascii="Arial" w:hAnsi="Arial" w:cs="Arial"/>
                <w:color w:val="000000"/>
                <w:sz w:val="22"/>
                <w:szCs w:val="22"/>
              </w:rPr>
              <w:t>(&gt;|Z|)</w:t>
            </w:r>
          </w:p>
        </w:tc>
        <w:tc>
          <w:tcPr>
            <w:tcW w:w="1138" w:type="dxa"/>
            <w:tcBorders>
              <w:top w:val="single" w:sz="4" w:space="0" w:color="auto"/>
              <w:left w:val="nil"/>
              <w:bottom w:val="double" w:sz="6" w:space="0" w:color="auto"/>
              <w:right w:val="nil"/>
            </w:tcBorders>
            <w:noWrap/>
            <w:vAlign w:val="bottom"/>
            <w:hideMark/>
          </w:tcPr>
          <w:p w14:paraId="58FB0B4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Odds ratio</w:t>
            </w:r>
          </w:p>
        </w:tc>
      </w:tr>
      <w:tr w:rsidR="000D271B" w:rsidRPr="000D271B" w14:paraId="0F105A68" w14:textId="77777777" w:rsidTr="000D271B">
        <w:trPr>
          <w:trHeight w:val="315"/>
        </w:trPr>
        <w:tc>
          <w:tcPr>
            <w:tcW w:w="2761" w:type="dxa"/>
            <w:tcBorders>
              <w:top w:val="nil"/>
              <w:left w:val="nil"/>
              <w:bottom w:val="nil"/>
              <w:right w:val="nil"/>
            </w:tcBorders>
            <w:noWrap/>
            <w:vAlign w:val="center"/>
            <w:hideMark/>
          </w:tcPr>
          <w:p w14:paraId="189A011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(Intercept)</w:t>
            </w:r>
          </w:p>
        </w:tc>
        <w:tc>
          <w:tcPr>
            <w:tcW w:w="1299" w:type="dxa"/>
            <w:tcBorders>
              <w:top w:val="nil"/>
              <w:left w:val="nil"/>
              <w:bottom w:val="nil"/>
              <w:right w:val="nil"/>
            </w:tcBorders>
            <w:noWrap/>
            <w:vAlign w:val="bottom"/>
            <w:hideMark/>
          </w:tcPr>
          <w:p w14:paraId="6728DDB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-1.570682</w:t>
            </w:r>
          </w:p>
        </w:tc>
        <w:tc>
          <w:tcPr>
            <w:tcW w:w="1134" w:type="dxa"/>
            <w:tcBorders>
              <w:top w:val="nil"/>
              <w:left w:val="nil"/>
              <w:bottom w:val="nil"/>
              <w:right w:val="nil"/>
            </w:tcBorders>
            <w:noWrap/>
            <w:vAlign w:val="bottom"/>
            <w:hideMark/>
          </w:tcPr>
          <w:p w14:paraId="25CEBA2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1.081738</w:t>
            </w:r>
          </w:p>
        </w:tc>
        <w:tc>
          <w:tcPr>
            <w:tcW w:w="1147" w:type="dxa"/>
            <w:tcBorders>
              <w:top w:val="nil"/>
              <w:left w:val="nil"/>
              <w:bottom w:val="nil"/>
              <w:right w:val="nil"/>
            </w:tcBorders>
            <w:noWrap/>
            <w:vAlign w:val="bottom"/>
            <w:hideMark/>
          </w:tcPr>
          <w:p w14:paraId="06C9447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-1.452</w:t>
            </w:r>
          </w:p>
        </w:tc>
        <w:tc>
          <w:tcPr>
            <w:tcW w:w="1138" w:type="dxa"/>
            <w:tcBorders>
              <w:top w:val="nil"/>
              <w:left w:val="nil"/>
              <w:bottom w:val="nil"/>
              <w:right w:val="nil"/>
            </w:tcBorders>
            <w:noWrap/>
            <w:vAlign w:val="bottom"/>
            <w:hideMark/>
          </w:tcPr>
          <w:p w14:paraId="725537B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0.146502</w:t>
            </w:r>
          </w:p>
        </w:tc>
        <w:tc>
          <w:tcPr>
            <w:tcW w:w="1138" w:type="dxa"/>
            <w:tcBorders>
              <w:top w:val="nil"/>
              <w:left w:val="nil"/>
              <w:bottom w:val="nil"/>
              <w:right w:val="nil"/>
            </w:tcBorders>
            <w:noWrap/>
            <w:vAlign w:val="center"/>
            <w:hideMark/>
          </w:tcPr>
          <w:p w14:paraId="4A474C2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0.207903</w:t>
            </w:r>
          </w:p>
        </w:tc>
      </w:tr>
      <w:tr w:rsidR="000D271B" w:rsidRPr="000D271B" w14:paraId="4237AD72" w14:textId="77777777" w:rsidTr="000D271B">
        <w:trPr>
          <w:trHeight w:val="303"/>
        </w:trPr>
        <w:tc>
          <w:tcPr>
            <w:tcW w:w="2761" w:type="dxa"/>
            <w:tcBorders>
              <w:top w:val="nil"/>
              <w:left w:val="nil"/>
              <w:bottom w:val="nil"/>
              <w:right w:val="nil"/>
            </w:tcBorders>
            <w:noWrap/>
            <w:vAlign w:val="center"/>
            <w:hideMark/>
          </w:tcPr>
          <w:p w14:paraId="0168FF9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Age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34229D2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0.035198</w:t>
            </w:r>
          </w:p>
        </w:tc>
        <w:tc>
          <w:tcPr>
            <w:tcW w:w="1134" w:type="dxa"/>
            <w:tcBorders>
              <w:top w:val="nil"/>
              <w:left w:val="nil"/>
              <w:bottom w:val="nil"/>
              <w:right w:val="nil"/>
            </w:tcBorders>
            <w:noWrap/>
            <w:vAlign w:val="bottom"/>
            <w:hideMark/>
          </w:tcPr>
          <w:p w14:paraId="2EF38B5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0.006062</w:t>
            </w:r>
          </w:p>
        </w:tc>
        <w:tc>
          <w:tcPr>
            <w:tcW w:w="1147" w:type="dxa"/>
            <w:tcBorders>
              <w:top w:val="nil"/>
              <w:left w:val="nil"/>
              <w:bottom w:val="nil"/>
              <w:right w:val="nil"/>
            </w:tcBorders>
            <w:noWrap/>
            <w:vAlign w:val="bottom"/>
            <w:hideMark/>
          </w:tcPr>
          <w:p w14:paraId="5035EB2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5.806</w:t>
            </w:r>
          </w:p>
        </w:tc>
        <w:tc>
          <w:tcPr>
            <w:tcW w:w="1138" w:type="dxa"/>
            <w:tcBorders>
              <w:top w:val="nil"/>
              <w:left w:val="nil"/>
              <w:bottom w:val="nil"/>
              <w:right w:val="nil"/>
            </w:tcBorders>
            <w:noWrap/>
            <w:vAlign w:val="bottom"/>
            <w:hideMark/>
          </w:tcPr>
          <w:p w14:paraId="3F8B052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6.39E-09</w:t>
            </w:r>
          </w:p>
        </w:tc>
        <w:tc>
          <w:tcPr>
            <w:tcW w:w="1138" w:type="dxa"/>
            <w:tcBorders>
              <w:top w:val="nil"/>
              <w:left w:val="nil"/>
              <w:bottom w:val="nil"/>
              <w:right w:val="nil"/>
            </w:tcBorders>
            <w:noWrap/>
            <w:vAlign w:val="center"/>
            <w:hideMark/>
          </w:tcPr>
          <w:p w14:paraId="5350AFE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1.035825</w:t>
            </w:r>
          </w:p>
        </w:tc>
      </w:tr>
      <w:tr w:rsidR="000D271B" w:rsidRPr="000D271B" w14:paraId="5463082B" w14:textId="77777777" w:rsidTr="000D271B">
        <w:trPr>
          <w:trHeight w:val="303"/>
        </w:trPr>
        <w:tc>
          <w:tcPr>
            <w:tcW w:w="2761" w:type="dxa"/>
            <w:tcBorders>
              <w:top w:val="nil"/>
              <w:left w:val="nil"/>
              <w:bottom w:val="nil"/>
              <w:right w:val="nil"/>
            </w:tcBorders>
            <w:noWrap/>
            <w:vAlign w:val="center"/>
            <w:hideMark/>
          </w:tcPr>
          <w:p w14:paraId="6D05CF72"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Anc_visits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2</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2F42AD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0.026741</w:t>
            </w:r>
          </w:p>
        </w:tc>
        <w:tc>
          <w:tcPr>
            <w:tcW w:w="1134" w:type="dxa"/>
            <w:tcBorders>
              <w:top w:val="nil"/>
              <w:left w:val="nil"/>
              <w:bottom w:val="nil"/>
              <w:right w:val="nil"/>
            </w:tcBorders>
            <w:noWrap/>
            <w:vAlign w:val="bottom"/>
            <w:hideMark/>
          </w:tcPr>
          <w:p w14:paraId="3C1D7A9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0.015337</w:t>
            </w:r>
          </w:p>
        </w:tc>
        <w:tc>
          <w:tcPr>
            <w:tcW w:w="1147" w:type="dxa"/>
            <w:tcBorders>
              <w:top w:val="nil"/>
              <w:left w:val="nil"/>
              <w:bottom w:val="nil"/>
              <w:right w:val="nil"/>
            </w:tcBorders>
            <w:noWrap/>
            <w:vAlign w:val="bottom"/>
            <w:hideMark/>
          </w:tcPr>
          <w:p w14:paraId="51F3C01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1.744</w:t>
            </w:r>
          </w:p>
        </w:tc>
        <w:tc>
          <w:tcPr>
            <w:tcW w:w="1138" w:type="dxa"/>
            <w:tcBorders>
              <w:top w:val="nil"/>
              <w:left w:val="nil"/>
              <w:bottom w:val="nil"/>
              <w:right w:val="nil"/>
            </w:tcBorders>
            <w:noWrap/>
            <w:vAlign w:val="bottom"/>
            <w:hideMark/>
          </w:tcPr>
          <w:p w14:paraId="0F1C89F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0.081224</w:t>
            </w:r>
          </w:p>
        </w:tc>
        <w:tc>
          <w:tcPr>
            <w:tcW w:w="1138" w:type="dxa"/>
            <w:tcBorders>
              <w:top w:val="nil"/>
              <w:left w:val="nil"/>
              <w:bottom w:val="nil"/>
              <w:right w:val="nil"/>
            </w:tcBorders>
            <w:noWrap/>
            <w:vAlign w:val="center"/>
            <w:hideMark/>
          </w:tcPr>
          <w:p w14:paraId="54E5CC9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1.027102</w:t>
            </w:r>
          </w:p>
        </w:tc>
      </w:tr>
      <w:tr w:rsidR="000D271B" w:rsidRPr="000D271B" w14:paraId="74599B29" w14:textId="77777777" w:rsidTr="000D271B">
        <w:trPr>
          <w:trHeight w:val="303"/>
        </w:trPr>
        <w:tc>
          <w:tcPr>
            <w:tcW w:w="2761" w:type="dxa"/>
            <w:tcBorders>
              <w:top w:val="nil"/>
              <w:left w:val="nil"/>
              <w:bottom w:val="nil"/>
              <w:right w:val="nil"/>
            </w:tcBorders>
            <w:noWrap/>
            <w:vAlign w:val="center"/>
            <w:hideMark/>
          </w:tcPr>
          <w:p w14:paraId="763D3A33"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Previous_complication</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3</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25EEBBE7"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0.429063</w:t>
            </w:r>
          </w:p>
        </w:tc>
        <w:tc>
          <w:tcPr>
            <w:tcW w:w="1134" w:type="dxa"/>
            <w:tcBorders>
              <w:top w:val="nil"/>
              <w:left w:val="nil"/>
              <w:bottom w:val="nil"/>
              <w:right w:val="nil"/>
            </w:tcBorders>
            <w:noWrap/>
            <w:vAlign w:val="bottom"/>
            <w:hideMark/>
          </w:tcPr>
          <w:p w14:paraId="52AB4CA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0.077954</w:t>
            </w:r>
          </w:p>
        </w:tc>
        <w:tc>
          <w:tcPr>
            <w:tcW w:w="1147" w:type="dxa"/>
            <w:tcBorders>
              <w:top w:val="nil"/>
              <w:left w:val="nil"/>
              <w:bottom w:val="nil"/>
              <w:right w:val="nil"/>
            </w:tcBorders>
            <w:noWrap/>
            <w:vAlign w:val="bottom"/>
            <w:hideMark/>
          </w:tcPr>
          <w:p w14:paraId="10A99F2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5.504</w:t>
            </w:r>
          </w:p>
        </w:tc>
        <w:tc>
          <w:tcPr>
            <w:tcW w:w="1138" w:type="dxa"/>
            <w:tcBorders>
              <w:top w:val="nil"/>
              <w:left w:val="nil"/>
              <w:bottom w:val="nil"/>
              <w:right w:val="nil"/>
            </w:tcBorders>
            <w:noWrap/>
            <w:vAlign w:val="bottom"/>
            <w:hideMark/>
          </w:tcPr>
          <w:p w14:paraId="564B833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3.71E-08</w:t>
            </w:r>
          </w:p>
        </w:tc>
        <w:tc>
          <w:tcPr>
            <w:tcW w:w="1138" w:type="dxa"/>
            <w:tcBorders>
              <w:top w:val="nil"/>
              <w:left w:val="nil"/>
              <w:bottom w:val="nil"/>
              <w:right w:val="nil"/>
            </w:tcBorders>
            <w:noWrap/>
            <w:vAlign w:val="center"/>
            <w:hideMark/>
          </w:tcPr>
          <w:p w14:paraId="29F6C6D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1.535818</w:t>
            </w:r>
          </w:p>
        </w:tc>
      </w:tr>
      <w:tr w:rsidR="000D271B" w:rsidRPr="000D271B" w14:paraId="41DFB08A" w14:textId="77777777" w:rsidTr="000D271B">
        <w:trPr>
          <w:trHeight w:val="303"/>
        </w:trPr>
        <w:tc>
          <w:tcPr>
            <w:tcW w:w="2761" w:type="dxa"/>
            <w:tcBorders>
              <w:top w:val="nil"/>
              <w:left w:val="nil"/>
              <w:bottom w:val="nil"/>
              <w:right w:val="nil"/>
            </w:tcBorders>
            <w:noWrap/>
            <w:vAlign w:val="center"/>
            <w:hideMark/>
          </w:tcPr>
          <w:p w14:paraId="2CA27B97"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Postpartum_hemorrhage</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4</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706C27E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0.353765</w:t>
            </w:r>
          </w:p>
        </w:tc>
        <w:tc>
          <w:tcPr>
            <w:tcW w:w="1134" w:type="dxa"/>
            <w:tcBorders>
              <w:top w:val="nil"/>
              <w:left w:val="nil"/>
              <w:bottom w:val="nil"/>
              <w:right w:val="nil"/>
            </w:tcBorders>
            <w:noWrap/>
            <w:vAlign w:val="bottom"/>
            <w:hideMark/>
          </w:tcPr>
          <w:p w14:paraId="0043667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0.10481</w:t>
            </w:r>
          </w:p>
        </w:tc>
        <w:tc>
          <w:tcPr>
            <w:tcW w:w="1147" w:type="dxa"/>
            <w:tcBorders>
              <w:top w:val="nil"/>
              <w:left w:val="nil"/>
              <w:bottom w:val="nil"/>
              <w:right w:val="nil"/>
            </w:tcBorders>
            <w:noWrap/>
            <w:vAlign w:val="bottom"/>
            <w:hideMark/>
          </w:tcPr>
          <w:p w14:paraId="34BDC66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3.375</w:t>
            </w:r>
          </w:p>
        </w:tc>
        <w:tc>
          <w:tcPr>
            <w:tcW w:w="1138" w:type="dxa"/>
            <w:tcBorders>
              <w:top w:val="nil"/>
              <w:left w:val="nil"/>
              <w:bottom w:val="nil"/>
              <w:right w:val="nil"/>
            </w:tcBorders>
            <w:noWrap/>
            <w:vAlign w:val="bottom"/>
            <w:hideMark/>
          </w:tcPr>
          <w:p w14:paraId="6F7156F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0.000737</w:t>
            </w:r>
          </w:p>
        </w:tc>
        <w:tc>
          <w:tcPr>
            <w:tcW w:w="1138" w:type="dxa"/>
            <w:tcBorders>
              <w:top w:val="nil"/>
              <w:left w:val="nil"/>
              <w:bottom w:val="nil"/>
              <w:right w:val="nil"/>
            </w:tcBorders>
            <w:noWrap/>
            <w:vAlign w:val="center"/>
            <w:hideMark/>
          </w:tcPr>
          <w:p w14:paraId="6A21A85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1.42442</w:t>
            </w:r>
          </w:p>
        </w:tc>
      </w:tr>
      <w:tr w:rsidR="000D271B" w:rsidRPr="000D271B" w14:paraId="22DB40C0" w14:textId="77777777" w:rsidTr="000D271B">
        <w:trPr>
          <w:trHeight w:val="303"/>
        </w:trPr>
        <w:tc>
          <w:tcPr>
            <w:tcW w:w="2761" w:type="dxa"/>
            <w:tcBorders>
              <w:top w:val="nil"/>
              <w:left w:val="nil"/>
              <w:bottom w:val="nil"/>
              <w:right w:val="nil"/>
            </w:tcBorders>
            <w:noWrap/>
            <w:vAlign w:val="center"/>
            <w:hideMark/>
          </w:tcPr>
          <w:p w14:paraId="3D84677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Preeclampsia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5</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B82F99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0.214901</w:t>
            </w:r>
          </w:p>
        </w:tc>
        <w:tc>
          <w:tcPr>
            <w:tcW w:w="1134" w:type="dxa"/>
            <w:tcBorders>
              <w:top w:val="nil"/>
              <w:left w:val="nil"/>
              <w:bottom w:val="nil"/>
              <w:right w:val="nil"/>
            </w:tcBorders>
            <w:noWrap/>
            <w:vAlign w:val="bottom"/>
            <w:hideMark/>
          </w:tcPr>
          <w:p w14:paraId="0AAD946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0.122365</w:t>
            </w:r>
          </w:p>
        </w:tc>
        <w:tc>
          <w:tcPr>
            <w:tcW w:w="1147" w:type="dxa"/>
            <w:tcBorders>
              <w:top w:val="nil"/>
              <w:left w:val="nil"/>
              <w:bottom w:val="nil"/>
              <w:right w:val="nil"/>
            </w:tcBorders>
            <w:noWrap/>
            <w:vAlign w:val="bottom"/>
            <w:hideMark/>
          </w:tcPr>
          <w:p w14:paraId="40242ED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1.756</w:t>
            </w:r>
          </w:p>
        </w:tc>
        <w:tc>
          <w:tcPr>
            <w:tcW w:w="1138" w:type="dxa"/>
            <w:tcBorders>
              <w:top w:val="nil"/>
              <w:left w:val="nil"/>
              <w:bottom w:val="nil"/>
              <w:right w:val="nil"/>
            </w:tcBorders>
            <w:noWrap/>
            <w:vAlign w:val="bottom"/>
            <w:hideMark/>
          </w:tcPr>
          <w:p w14:paraId="47265AC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0.07905</w:t>
            </w:r>
          </w:p>
        </w:tc>
        <w:tc>
          <w:tcPr>
            <w:tcW w:w="1138" w:type="dxa"/>
            <w:tcBorders>
              <w:top w:val="nil"/>
              <w:left w:val="nil"/>
              <w:bottom w:val="nil"/>
              <w:right w:val="nil"/>
            </w:tcBorders>
            <w:noWrap/>
            <w:vAlign w:val="center"/>
            <w:hideMark/>
          </w:tcPr>
          <w:p w14:paraId="2576631C"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1.239739</w:t>
            </w:r>
          </w:p>
        </w:tc>
      </w:tr>
      <w:tr w:rsidR="000D271B" w:rsidRPr="000D271B" w14:paraId="2BED252D" w14:textId="77777777" w:rsidTr="000D271B">
        <w:trPr>
          <w:trHeight w:val="303"/>
        </w:trPr>
        <w:tc>
          <w:tcPr>
            <w:tcW w:w="2761" w:type="dxa"/>
            <w:tcBorders>
              <w:top w:val="nil"/>
              <w:left w:val="nil"/>
              <w:bottom w:val="nil"/>
              <w:right w:val="nil"/>
            </w:tcBorders>
            <w:noWrap/>
            <w:vAlign w:val="center"/>
            <w:hideMark/>
          </w:tcPr>
          <w:p w14:paraId="504FD480"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Gestational_diabetes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6</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219808A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0.320746</w:t>
            </w:r>
          </w:p>
        </w:tc>
        <w:tc>
          <w:tcPr>
            <w:tcW w:w="1134" w:type="dxa"/>
            <w:tcBorders>
              <w:top w:val="nil"/>
              <w:left w:val="nil"/>
              <w:bottom w:val="nil"/>
              <w:right w:val="nil"/>
            </w:tcBorders>
            <w:noWrap/>
            <w:vAlign w:val="bottom"/>
            <w:hideMark/>
          </w:tcPr>
          <w:p w14:paraId="60915D9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0.130382</w:t>
            </w:r>
          </w:p>
        </w:tc>
        <w:tc>
          <w:tcPr>
            <w:tcW w:w="1147" w:type="dxa"/>
            <w:tcBorders>
              <w:top w:val="nil"/>
              <w:left w:val="nil"/>
              <w:bottom w:val="nil"/>
              <w:right w:val="nil"/>
            </w:tcBorders>
            <w:noWrap/>
            <w:vAlign w:val="bottom"/>
            <w:hideMark/>
          </w:tcPr>
          <w:p w14:paraId="43C1338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2.460</w:t>
            </w:r>
          </w:p>
        </w:tc>
        <w:tc>
          <w:tcPr>
            <w:tcW w:w="1138" w:type="dxa"/>
            <w:tcBorders>
              <w:top w:val="nil"/>
              <w:left w:val="nil"/>
              <w:bottom w:val="nil"/>
              <w:right w:val="nil"/>
            </w:tcBorders>
            <w:noWrap/>
            <w:vAlign w:val="bottom"/>
            <w:hideMark/>
          </w:tcPr>
          <w:p w14:paraId="65E3175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0.013892</w:t>
            </w:r>
          </w:p>
        </w:tc>
        <w:tc>
          <w:tcPr>
            <w:tcW w:w="1138" w:type="dxa"/>
            <w:tcBorders>
              <w:top w:val="nil"/>
              <w:left w:val="nil"/>
              <w:bottom w:val="nil"/>
              <w:right w:val="nil"/>
            </w:tcBorders>
            <w:noWrap/>
            <w:vAlign w:val="center"/>
            <w:hideMark/>
          </w:tcPr>
          <w:p w14:paraId="540429A5"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1.378156</w:t>
            </w:r>
          </w:p>
        </w:tc>
      </w:tr>
      <w:tr w:rsidR="000D271B" w:rsidRPr="000D271B" w14:paraId="739B7DE7" w14:textId="77777777" w:rsidTr="000D271B">
        <w:trPr>
          <w:trHeight w:val="303"/>
        </w:trPr>
        <w:tc>
          <w:tcPr>
            <w:tcW w:w="2761" w:type="dxa"/>
            <w:tcBorders>
              <w:top w:val="nil"/>
              <w:left w:val="nil"/>
              <w:bottom w:val="nil"/>
              <w:right w:val="nil"/>
            </w:tcBorders>
            <w:noWrap/>
            <w:vAlign w:val="center"/>
            <w:hideMark/>
          </w:tcPr>
          <w:p w14:paraId="43B7F05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Infection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7</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028AF30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0.307420</w:t>
            </w:r>
          </w:p>
        </w:tc>
        <w:tc>
          <w:tcPr>
            <w:tcW w:w="1134" w:type="dxa"/>
            <w:tcBorders>
              <w:top w:val="nil"/>
              <w:left w:val="nil"/>
              <w:bottom w:val="nil"/>
              <w:right w:val="nil"/>
            </w:tcBorders>
            <w:noWrap/>
            <w:vAlign w:val="bottom"/>
            <w:hideMark/>
          </w:tcPr>
          <w:p w14:paraId="279ADFD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0.113305</w:t>
            </w:r>
          </w:p>
        </w:tc>
        <w:tc>
          <w:tcPr>
            <w:tcW w:w="1147" w:type="dxa"/>
            <w:tcBorders>
              <w:top w:val="nil"/>
              <w:left w:val="nil"/>
              <w:bottom w:val="nil"/>
              <w:right w:val="nil"/>
            </w:tcBorders>
            <w:noWrap/>
            <w:vAlign w:val="bottom"/>
            <w:hideMark/>
          </w:tcPr>
          <w:p w14:paraId="7B8AE63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2.713</w:t>
            </w:r>
          </w:p>
        </w:tc>
        <w:tc>
          <w:tcPr>
            <w:tcW w:w="1138" w:type="dxa"/>
            <w:tcBorders>
              <w:top w:val="nil"/>
              <w:left w:val="nil"/>
              <w:bottom w:val="nil"/>
              <w:right w:val="nil"/>
            </w:tcBorders>
            <w:noWrap/>
            <w:vAlign w:val="bottom"/>
            <w:hideMark/>
          </w:tcPr>
          <w:p w14:paraId="1AAEE76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0.006664</w:t>
            </w:r>
          </w:p>
        </w:tc>
        <w:tc>
          <w:tcPr>
            <w:tcW w:w="1138" w:type="dxa"/>
            <w:tcBorders>
              <w:top w:val="nil"/>
              <w:left w:val="nil"/>
              <w:bottom w:val="nil"/>
              <w:right w:val="nil"/>
            </w:tcBorders>
            <w:noWrap/>
            <w:vAlign w:val="center"/>
            <w:hideMark/>
          </w:tcPr>
          <w:p w14:paraId="42EF69F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1.359912</w:t>
            </w:r>
          </w:p>
        </w:tc>
      </w:tr>
      <w:tr w:rsidR="000D271B" w:rsidRPr="000D271B" w14:paraId="3915E42F" w14:textId="77777777" w:rsidTr="000D271B">
        <w:trPr>
          <w:trHeight w:val="303"/>
        </w:trPr>
        <w:tc>
          <w:tcPr>
            <w:tcW w:w="2761" w:type="dxa"/>
            <w:tcBorders>
              <w:top w:val="nil"/>
              <w:left w:val="nil"/>
              <w:bottom w:val="nil"/>
              <w:right w:val="nil"/>
            </w:tcBorders>
            <w:noWrap/>
            <w:vAlign w:val="center"/>
            <w:hideMark/>
          </w:tcPr>
          <w:p w14:paraId="2F39ED7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Hemoglobin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8</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5C58EE3D"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0.041031</w:t>
            </w:r>
          </w:p>
        </w:tc>
        <w:tc>
          <w:tcPr>
            <w:tcW w:w="1134" w:type="dxa"/>
            <w:tcBorders>
              <w:top w:val="nil"/>
              <w:left w:val="nil"/>
              <w:bottom w:val="nil"/>
              <w:right w:val="nil"/>
            </w:tcBorders>
            <w:noWrap/>
            <w:vAlign w:val="bottom"/>
            <w:hideMark/>
          </w:tcPr>
          <w:p w14:paraId="5AB8707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0.022073</w:t>
            </w:r>
          </w:p>
        </w:tc>
        <w:tc>
          <w:tcPr>
            <w:tcW w:w="1147" w:type="dxa"/>
            <w:tcBorders>
              <w:top w:val="nil"/>
              <w:left w:val="nil"/>
              <w:bottom w:val="nil"/>
              <w:right w:val="nil"/>
            </w:tcBorders>
            <w:noWrap/>
            <w:vAlign w:val="bottom"/>
            <w:hideMark/>
          </w:tcPr>
          <w:p w14:paraId="70BFDBBF"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1.859</w:t>
            </w:r>
          </w:p>
        </w:tc>
        <w:tc>
          <w:tcPr>
            <w:tcW w:w="1138" w:type="dxa"/>
            <w:tcBorders>
              <w:top w:val="nil"/>
              <w:left w:val="nil"/>
              <w:bottom w:val="nil"/>
              <w:right w:val="nil"/>
            </w:tcBorders>
            <w:noWrap/>
            <w:vAlign w:val="bottom"/>
            <w:hideMark/>
          </w:tcPr>
          <w:p w14:paraId="0B5E3004"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0.063045</w:t>
            </w:r>
          </w:p>
        </w:tc>
        <w:tc>
          <w:tcPr>
            <w:tcW w:w="1138" w:type="dxa"/>
            <w:tcBorders>
              <w:top w:val="nil"/>
              <w:left w:val="nil"/>
              <w:bottom w:val="nil"/>
              <w:right w:val="nil"/>
            </w:tcBorders>
            <w:noWrap/>
            <w:vAlign w:val="center"/>
            <w:hideMark/>
          </w:tcPr>
          <w:p w14:paraId="3764C63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1.041884</w:t>
            </w:r>
          </w:p>
        </w:tc>
      </w:tr>
      <w:tr w:rsidR="000D271B" w:rsidRPr="000D271B" w14:paraId="0DBE5DE7" w14:textId="77777777" w:rsidTr="000D271B">
        <w:trPr>
          <w:trHeight w:val="303"/>
        </w:trPr>
        <w:tc>
          <w:tcPr>
            <w:tcW w:w="2761" w:type="dxa"/>
            <w:tcBorders>
              <w:top w:val="nil"/>
              <w:left w:val="nil"/>
              <w:bottom w:val="nil"/>
              <w:right w:val="nil"/>
            </w:tcBorders>
            <w:noWrap/>
            <w:vAlign w:val="center"/>
            <w:hideMark/>
          </w:tcPr>
          <w:p w14:paraId="17DFB565"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Insurance_nhis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9</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7C3EA0C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-2.993132</w:t>
            </w:r>
          </w:p>
        </w:tc>
        <w:tc>
          <w:tcPr>
            <w:tcW w:w="1134" w:type="dxa"/>
            <w:tcBorders>
              <w:top w:val="nil"/>
              <w:left w:val="nil"/>
              <w:bottom w:val="nil"/>
              <w:right w:val="nil"/>
            </w:tcBorders>
            <w:noWrap/>
            <w:vAlign w:val="bottom"/>
            <w:hideMark/>
          </w:tcPr>
          <w:p w14:paraId="09AA0DB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1.063361</w:t>
            </w:r>
          </w:p>
        </w:tc>
        <w:tc>
          <w:tcPr>
            <w:tcW w:w="1147" w:type="dxa"/>
            <w:tcBorders>
              <w:top w:val="nil"/>
              <w:left w:val="nil"/>
              <w:bottom w:val="nil"/>
              <w:right w:val="nil"/>
            </w:tcBorders>
            <w:noWrap/>
            <w:vAlign w:val="bottom"/>
            <w:hideMark/>
          </w:tcPr>
          <w:p w14:paraId="5BDDEEC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-2.815</w:t>
            </w:r>
          </w:p>
        </w:tc>
        <w:tc>
          <w:tcPr>
            <w:tcW w:w="1138" w:type="dxa"/>
            <w:tcBorders>
              <w:top w:val="nil"/>
              <w:left w:val="nil"/>
              <w:bottom w:val="nil"/>
              <w:right w:val="nil"/>
            </w:tcBorders>
            <w:noWrap/>
            <w:vAlign w:val="bottom"/>
            <w:hideMark/>
          </w:tcPr>
          <w:p w14:paraId="6C1EA12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0.004881</w:t>
            </w:r>
          </w:p>
        </w:tc>
        <w:tc>
          <w:tcPr>
            <w:tcW w:w="1138" w:type="dxa"/>
            <w:tcBorders>
              <w:top w:val="nil"/>
              <w:left w:val="nil"/>
              <w:bottom w:val="nil"/>
              <w:right w:val="nil"/>
            </w:tcBorders>
            <w:noWrap/>
            <w:vAlign w:val="center"/>
            <w:hideMark/>
          </w:tcPr>
          <w:p w14:paraId="6E1888D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0.05013</w:t>
            </w:r>
          </w:p>
        </w:tc>
      </w:tr>
      <w:tr w:rsidR="000D271B" w:rsidRPr="000D271B" w14:paraId="1B8EFFBE" w14:textId="77777777" w:rsidTr="000D271B">
        <w:trPr>
          <w:trHeight w:val="303"/>
        </w:trPr>
        <w:tc>
          <w:tcPr>
            <w:tcW w:w="2761" w:type="dxa"/>
            <w:tcBorders>
              <w:top w:val="nil"/>
              <w:left w:val="nil"/>
              <w:bottom w:val="nil"/>
              <w:right w:val="nil"/>
            </w:tcBorders>
            <w:noWrap/>
            <w:vAlign w:val="center"/>
            <w:hideMark/>
          </w:tcPr>
          <w:p w14:paraId="5B251EAA"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Delivery_cost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10</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3A163EF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0.042183</w:t>
            </w:r>
          </w:p>
        </w:tc>
        <w:tc>
          <w:tcPr>
            <w:tcW w:w="1134" w:type="dxa"/>
            <w:tcBorders>
              <w:top w:val="nil"/>
              <w:left w:val="nil"/>
              <w:bottom w:val="nil"/>
              <w:right w:val="nil"/>
            </w:tcBorders>
            <w:noWrap/>
            <w:vAlign w:val="bottom"/>
            <w:hideMark/>
          </w:tcPr>
          <w:p w14:paraId="027B6AF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0.01557</w:t>
            </w:r>
          </w:p>
        </w:tc>
        <w:tc>
          <w:tcPr>
            <w:tcW w:w="1147" w:type="dxa"/>
            <w:tcBorders>
              <w:top w:val="nil"/>
              <w:left w:val="nil"/>
              <w:bottom w:val="nil"/>
              <w:right w:val="nil"/>
            </w:tcBorders>
            <w:noWrap/>
            <w:vAlign w:val="bottom"/>
            <w:hideMark/>
          </w:tcPr>
          <w:p w14:paraId="53C2832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2.709</w:t>
            </w:r>
          </w:p>
        </w:tc>
        <w:tc>
          <w:tcPr>
            <w:tcW w:w="1138" w:type="dxa"/>
            <w:tcBorders>
              <w:top w:val="nil"/>
              <w:left w:val="nil"/>
              <w:bottom w:val="nil"/>
              <w:right w:val="nil"/>
            </w:tcBorders>
            <w:noWrap/>
            <w:vAlign w:val="bottom"/>
            <w:hideMark/>
          </w:tcPr>
          <w:p w14:paraId="682D723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0.006743</w:t>
            </w:r>
          </w:p>
        </w:tc>
        <w:tc>
          <w:tcPr>
            <w:tcW w:w="1138" w:type="dxa"/>
            <w:tcBorders>
              <w:top w:val="nil"/>
              <w:left w:val="nil"/>
              <w:bottom w:val="nil"/>
              <w:right w:val="nil"/>
            </w:tcBorders>
            <w:noWrap/>
            <w:vAlign w:val="center"/>
            <w:hideMark/>
          </w:tcPr>
          <w:p w14:paraId="32828D2E"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1.043086</w:t>
            </w:r>
          </w:p>
        </w:tc>
      </w:tr>
      <w:tr w:rsidR="000D271B" w:rsidRPr="000D271B" w14:paraId="13E21CF6" w14:textId="77777777" w:rsidTr="000D271B">
        <w:trPr>
          <w:trHeight w:val="303"/>
        </w:trPr>
        <w:tc>
          <w:tcPr>
            <w:tcW w:w="2761" w:type="dxa"/>
            <w:tcBorders>
              <w:top w:val="nil"/>
              <w:left w:val="nil"/>
              <w:bottom w:val="nil"/>
              <w:right w:val="nil"/>
            </w:tcBorders>
            <w:noWrap/>
            <w:vAlign w:val="center"/>
            <w:hideMark/>
          </w:tcPr>
          <w:p w14:paraId="57F5EEAB"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Transport_cost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11</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10D1FD60"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0.085949</w:t>
            </w:r>
          </w:p>
        </w:tc>
        <w:tc>
          <w:tcPr>
            <w:tcW w:w="1134" w:type="dxa"/>
            <w:tcBorders>
              <w:top w:val="nil"/>
              <w:left w:val="nil"/>
              <w:bottom w:val="nil"/>
              <w:right w:val="nil"/>
            </w:tcBorders>
            <w:noWrap/>
            <w:vAlign w:val="bottom"/>
            <w:hideMark/>
          </w:tcPr>
          <w:p w14:paraId="62F20AE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0.035153</w:t>
            </w:r>
          </w:p>
        </w:tc>
        <w:tc>
          <w:tcPr>
            <w:tcW w:w="1147" w:type="dxa"/>
            <w:tcBorders>
              <w:top w:val="nil"/>
              <w:left w:val="nil"/>
              <w:bottom w:val="nil"/>
              <w:right w:val="nil"/>
            </w:tcBorders>
            <w:noWrap/>
            <w:vAlign w:val="bottom"/>
            <w:hideMark/>
          </w:tcPr>
          <w:p w14:paraId="7A989D7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2.445</w:t>
            </w:r>
          </w:p>
        </w:tc>
        <w:tc>
          <w:tcPr>
            <w:tcW w:w="1138" w:type="dxa"/>
            <w:tcBorders>
              <w:top w:val="nil"/>
              <w:left w:val="nil"/>
              <w:bottom w:val="nil"/>
              <w:right w:val="nil"/>
            </w:tcBorders>
            <w:noWrap/>
            <w:vAlign w:val="bottom"/>
            <w:hideMark/>
          </w:tcPr>
          <w:p w14:paraId="4BDD2FB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0.014485</w:t>
            </w:r>
          </w:p>
        </w:tc>
        <w:tc>
          <w:tcPr>
            <w:tcW w:w="1138" w:type="dxa"/>
            <w:tcBorders>
              <w:top w:val="nil"/>
              <w:left w:val="nil"/>
              <w:bottom w:val="nil"/>
              <w:right w:val="nil"/>
            </w:tcBorders>
            <w:noWrap/>
            <w:vAlign w:val="center"/>
            <w:hideMark/>
          </w:tcPr>
          <w:p w14:paraId="7F7BC7A8"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1.08975</w:t>
            </w:r>
          </w:p>
        </w:tc>
      </w:tr>
      <w:tr w:rsidR="000D271B" w:rsidRPr="000D271B" w14:paraId="5C36FB67" w14:textId="77777777" w:rsidTr="000D271B">
        <w:trPr>
          <w:trHeight w:val="303"/>
        </w:trPr>
        <w:tc>
          <w:tcPr>
            <w:tcW w:w="2761" w:type="dxa"/>
            <w:tcBorders>
              <w:top w:val="nil"/>
              <w:left w:val="nil"/>
              <w:bottom w:val="nil"/>
              <w:right w:val="nil"/>
            </w:tcBorders>
            <w:noWrap/>
            <w:vAlign w:val="center"/>
            <w:hideMark/>
          </w:tcPr>
          <w:p w14:paraId="647DBFC3"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Food_cost</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12</m:t>
                  </m:r>
                </m:sub>
              </m:sSub>
            </m:oMath>
            <w:r w:rsidRPr="000D271B">
              <w:rPr>
                <w:rFonts w:ascii="Arial" w:hAnsi="Arial" w:cs="Arial"/>
                <w:color w:val="000000"/>
                <w:sz w:val="22"/>
                <w:szCs w:val="22"/>
              </w:rPr>
              <w:t>)</w:t>
            </w:r>
          </w:p>
        </w:tc>
        <w:tc>
          <w:tcPr>
            <w:tcW w:w="1299" w:type="dxa"/>
            <w:tcBorders>
              <w:top w:val="nil"/>
              <w:left w:val="nil"/>
              <w:bottom w:val="nil"/>
              <w:right w:val="nil"/>
            </w:tcBorders>
            <w:noWrap/>
            <w:vAlign w:val="bottom"/>
            <w:hideMark/>
          </w:tcPr>
          <w:p w14:paraId="47329719"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-0.087567</w:t>
            </w:r>
          </w:p>
        </w:tc>
        <w:tc>
          <w:tcPr>
            <w:tcW w:w="1134" w:type="dxa"/>
            <w:tcBorders>
              <w:top w:val="nil"/>
              <w:left w:val="nil"/>
              <w:bottom w:val="nil"/>
              <w:right w:val="nil"/>
            </w:tcBorders>
            <w:noWrap/>
            <w:vAlign w:val="bottom"/>
            <w:hideMark/>
          </w:tcPr>
          <w:p w14:paraId="7ADB6C3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0.034946</w:t>
            </w:r>
          </w:p>
        </w:tc>
        <w:tc>
          <w:tcPr>
            <w:tcW w:w="1147" w:type="dxa"/>
            <w:tcBorders>
              <w:top w:val="nil"/>
              <w:left w:val="nil"/>
              <w:bottom w:val="nil"/>
              <w:right w:val="nil"/>
            </w:tcBorders>
            <w:noWrap/>
            <w:vAlign w:val="bottom"/>
            <w:hideMark/>
          </w:tcPr>
          <w:p w14:paraId="4ED2E3BA"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-2.506</w:t>
            </w:r>
          </w:p>
        </w:tc>
        <w:tc>
          <w:tcPr>
            <w:tcW w:w="1138" w:type="dxa"/>
            <w:tcBorders>
              <w:top w:val="nil"/>
              <w:left w:val="nil"/>
              <w:bottom w:val="nil"/>
              <w:right w:val="nil"/>
            </w:tcBorders>
            <w:noWrap/>
            <w:vAlign w:val="bottom"/>
            <w:hideMark/>
          </w:tcPr>
          <w:p w14:paraId="0B773283"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0.012219</w:t>
            </w:r>
          </w:p>
        </w:tc>
        <w:tc>
          <w:tcPr>
            <w:tcW w:w="1138" w:type="dxa"/>
            <w:tcBorders>
              <w:top w:val="nil"/>
              <w:left w:val="nil"/>
              <w:bottom w:val="nil"/>
              <w:right w:val="nil"/>
            </w:tcBorders>
            <w:noWrap/>
            <w:vAlign w:val="center"/>
            <w:hideMark/>
          </w:tcPr>
          <w:p w14:paraId="76D97A3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0.916157</w:t>
            </w:r>
          </w:p>
        </w:tc>
      </w:tr>
      <w:tr w:rsidR="000D271B" w:rsidRPr="000D271B" w14:paraId="5D6ED726" w14:textId="77777777" w:rsidTr="000D271B">
        <w:trPr>
          <w:trHeight w:val="315"/>
        </w:trPr>
        <w:tc>
          <w:tcPr>
            <w:tcW w:w="2761" w:type="dxa"/>
            <w:tcBorders>
              <w:top w:val="nil"/>
              <w:left w:val="nil"/>
              <w:bottom w:val="double" w:sz="6" w:space="0" w:color="auto"/>
              <w:right w:val="nil"/>
            </w:tcBorders>
            <w:shd w:val="clear" w:color="000000" w:fill="FFFFFF"/>
            <w:noWrap/>
            <w:vAlign w:val="center"/>
            <w:hideMark/>
          </w:tcPr>
          <w:p w14:paraId="445781A0" w14:textId="77777777" w:rsidR="000D271B" w:rsidRPr="000D271B" w:rsidRDefault="000D271B" w:rsidP="00501858">
            <w:pPr>
              <w:rPr>
                <w:rFonts w:ascii="Arial" w:hAnsi="Arial" w:cs="Arial"/>
                <w:color w:val="000000"/>
                <w:sz w:val="22"/>
                <w:szCs w:val="22"/>
              </w:rPr>
            </w:pPr>
            <w:proofErr w:type="spellStart"/>
            <w:r w:rsidRPr="000D271B">
              <w:rPr>
                <w:rFonts w:ascii="Arial" w:hAnsi="Arial" w:cs="Arial"/>
                <w:color w:val="000000"/>
                <w:sz w:val="22"/>
                <w:szCs w:val="22"/>
              </w:rPr>
              <w:t>ADL_limitations</w:t>
            </w:r>
            <w:proofErr w:type="spellEnd"/>
            <w:r w:rsidRPr="000D271B">
              <w:rPr>
                <w:rFonts w:ascii="Arial" w:hAnsi="Arial" w:cs="Arial"/>
                <w:color w:val="000000"/>
                <w:sz w:val="22"/>
                <w:szCs w:val="22"/>
              </w:rPr>
              <w:t xml:space="preserve"> (</w:t>
            </w:r>
            <m:oMath>
              <m:sSub>
                <m:sSubPr>
                  <m:ctrlPr>
                    <w:rPr>
                      <w:rFonts w:ascii="Cambria Math" w:hAnsi="Cambria Math" w:cs="Arial"/>
                      <w:i/>
                      <w:color w:val="000000"/>
                      <w:sz w:val="22"/>
                      <w:szCs w:val="22"/>
                    </w:rPr>
                  </m:ctrlPr>
                </m:sSubPr>
                <m:e>
                  <m:r>
                    <w:rPr>
                      <w:rFonts w:ascii="Cambria Math" w:hAnsi="Cambria Math" w:cs="Arial"/>
                      <w:color w:val="000000"/>
                      <w:sz w:val="22"/>
                      <w:szCs w:val="22"/>
                    </w:rPr>
                    <m:t>x</m:t>
                  </m:r>
                </m:e>
                <m:sub>
                  <m:r>
                    <w:rPr>
                      <w:rFonts w:ascii="Cambria Math" w:hAnsi="Cambria Math" w:cs="Arial"/>
                      <w:color w:val="000000"/>
                      <w:sz w:val="22"/>
                      <w:szCs w:val="22"/>
                    </w:rPr>
                    <m:t>13</m:t>
                  </m:r>
                </m:sub>
              </m:sSub>
            </m:oMath>
            <w:r w:rsidRPr="000D271B">
              <w:rPr>
                <w:rFonts w:ascii="Arial" w:hAnsi="Arial" w:cs="Arial"/>
                <w:color w:val="000000"/>
                <w:sz w:val="22"/>
                <w:szCs w:val="22"/>
              </w:rPr>
              <w:t>)</w:t>
            </w:r>
          </w:p>
        </w:tc>
        <w:tc>
          <w:tcPr>
            <w:tcW w:w="1299" w:type="dxa"/>
            <w:tcBorders>
              <w:top w:val="nil"/>
              <w:left w:val="nil"/>
              <w:bottom w:val="double" w:sz="6" w:space="0" w:color="auto"/>
              <w:right w:val="nil"/>
            </w:tcBorders>
            <w:noWrap/>
            <w:vAlign w:val="bottom"/>
            <w:hideMark/>
          </w:tcPr>
          <w:p w14:paraId="6C149D7B"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0.229167</w:t>
            </w:r>
          </w:p>
        </w:tc>
        <w:tc>
          <w:tcPr>
            <w:tcW w:w="1134" w:type="dxa"/>
            <w:tcBorders>
              <w:top w:val="nil"/>
              <w:left w:val="nil"/>
              <w:bottom w:val="double" w:sz="6" w:space="0" w:color="auto"/>
              <w:right w:val="nil"/>
            </w:tcBorders>
            <w:noWrap/>
            <w:vAlign w:val="bottom"/>
            <w:hideMark/>
          </w:tcPr>
          <w:p w14:paraId="6DEA670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0.113851</w:t>
            </w:r>
          </w:p>
        </w:tc>
        <w:tc>
          <w:tcPr>
            <w:tcW w:w="1147" w:type="dxa"/>
            <w:tcBorders>
              <w:top w:val="nil"/>
              <w:left w:val="nil"/>
              <w:bottom w:val="double" w:sz="6" w:space="0" w:color="auto"/>
              <w:right w:val="nil"/>
            </w:tcBorders>
            <w:noWrap/>
            <w:vAlign w:val="bottom"/>
            <w:hideMark/>
          </w:tcPr>
          <w:p w14:paraId="547F4E62"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2.013</w:t>
            </w:r>
          </w:p>
        </w:tc>
        <w:tc>
          <w:tcPr>
            <w:tcW w:w="1138" w:type="dxa"/>
            <w:tcBorders>
              <w:top w:val="nil"/>
              <w:left w:val="nil"/>
              <w:bottom w:val="double" w:sz="6" w:space="0" w:color="auto"/>
              <w:right w:val="nil"/>
            </w:tcBorders>
            <w:noWrap/>
            <w:vAlign w:val="bottom"/>
            <w:hideMark/>
          </w:tcPr>
          <w:p w14:paraId="32EEF386"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0.044128</w:t>
            </w:r>
          </w:p>
        </w:tc>
        <w:tc>
          <w:tcPr>
            <w:tcW w:w="1138" w:type="dxa"/>
            <w:tcBorders>
              <w:top w:val="nil"/>
              <w:left w:val="nil"/>
              <w:bottom w:val="double" w:sz="6" w:space="0" w:color="auto"/>
              <w:right w:val="nil"/>
            </w:tcBorders>
            <w:noWrap/>
            <w:vAlign w:val="center"/>
            <w:hideMark/>
          </w:tcPr>
          <w:p w14:paraId="14012111" w14:textId="77777777" w:rsidR="000D271B" w:rsidRPr="000D271B" w:rsidRDefault="000D271B" w:rsidP="00501858">
            <w:pPr>
              <w:rPr>
                <w:rFonts w:ascii="Arial" w:hAnsi="Arial" w:cs="Arial"/>
                <w:color w:val="000000"/>
                <w:sz w:val="22"/>
                <w:szCs w:val="22"/>
              </w:rPr>
            </w:pPr>
            <w:r w:rsidRPr="000D271B">
              <w:rPr>
                <w:rFonts w:ascii="Arial" w:hAnsi="Arial" w:cs="Arial"/>
                <w:color w:val="000000"/>
                <w:sz w:val="22"/>
                <w:szCs w:val="22"/>
              </w:rPr>
              <w:t>1.257553</w:t>
            </w:r>
          </w:p>
        </w:tc>
      </w:tr>
    </w:tbl>
    <w:p w14:paraId="0040A7D9"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From table 2 above, the odds ratio for mothers with advance in age experienced 3.6% side-effects than those less and 2.7% more of antenatal care. For women with previous complications and postpartum hemorrhage experienced odds ratio of 53.58% and 42.44% side-effects during childbirth than women without previous complications and postpartum hemorrhage. Again, with women who exhibited pre-eclampsia, gestational diabetes, infections, and hemoglobin loss are likely to experience side-effect of 23.97%, 37.82%, 35.99% and 4.19% correspondingly odds ratio than those without these features. Also, the odds ratio of delivery cost, transportation cost and activities daily living limitations are 4.31%, 8.98%, and 25.76% of side-effects congruently than their fellow women who without these features. The logistic regression model is.</w:t>
      </w:r>
    </w:p>
    <w:p w14:paraId="4B73D78B" w14:textId="77777777" w:rsidR="00290A78" w:rsidRPr="000D271B" w:rsidRDefault="00290A78" w:rsidP="00290A78">
      <w:pPr>
        <w:pStyle w:val="ListContinue"/>
        <w:spacing w:line="480" w:lineRule="auto"/>
        <w:ind w:left="0"/>
        <w:jc w:val="both"/>
        <w:rPr>
          <w:rFonts w:ascii="Arial" w:eastAsiaTheme="minorEastAsia" w:hAnsi="Arial" w:cs="Arial"/>
          <w:sz w:val="22"/>
          <w:szCs w:val="22"/>
        </w:rPr>
      </w:pPr>
      <w:r w:rsidRPr="000D271B">
        <w:rPr>
          <w:rFonts w:ascii="Arial" w:eastAsiaTheme="minorEastAsia" w:hAnsi="Arial" w:cs="Arial"/>
          <w:sz w:val="22"/>
          <w:szCs w:val="22"/>
        </w:rPr>
        <w:t>Therefore, the reduced model is</w:t>
      </w:r>
    </w:p>
    <w:p w14:paraId="3620D3AD" w14:textId="77777777" w:rsidR="00290A78" w:rsidRPr="000D271B" w:rsidRDefault="00290A78" w:rsidP="00290A78">
      <w:pPr>
        <w:pStyle w:val="ListContinue"/>
        <w:spacing w:line="480" w:lineRule="auto"/>
        <w:ind w:left="0"/>
        <w:jc w:val="both"/>
        <w:rPr>
          <w:rFonts w:ascii="Arial" w:eastAsiaTheme="minorEastAsia" w:hAnsi="Arial" w:cs="Arial"/>
          <w:b/>
          <w:bCs/>
          <w:sz w:val="22"/>
          <w:szCs w:val="22"/>
        </w:rPr>
      </w:pPr>
      <m:oMath>
        <m:r>
          <w:rPr>
            <w:rFonts w:ascii="Cambria Math" w:eastAsiaTheme="minorEastAsia" w:hAnsi="Cambria Math" w:cs="Arial"/>
            <w:sz w:val="22"/>
            <w:szCs w:val="22"/>
          </w:rPr>
          <m:t>logit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acc>
                  <m:accPr>
                    <m:chr m:val="̃"/>
                    <m:ctrlPr>
                      <w:rPr>
                        <w:rFonts w:ascii="Cambria Math" w:eastAsiaTheme="minorEastAsia" w:hAnsi="Cambria Math" w:cs="Arial"/>
                        <w:i/>
                        <w:sz w:val="22"/>
                        <w:szCs w:val="22"/>
                      </w:rPr>
                    </m:ctrlPr>
                  </m:accPr>
                  <m:e>
                    <m:r>
                      <w:rPr>
                        <w:rFonts w:ascii="Cambria Math" w:eastAsiaTheme="minorEastAsia" w:hAnsi="Cambria Math" w:cs="Arial"/>
                        <w:sz w:val="22"/>
                        <w:szCs w:val="22"/>
                      </w:rPr>
                      <m:t>y</m:t>
                    </m:r>
                  </m:e>
                </m:acc>
              </m:e>
              <m:sub>
                <m:r>
                  <w:rPr>
                    <w:rFonts w:ascii="Cambria Math" w:eastAsiaTheme="minorEastAsia" w:hAnsi="Cambria Math" w:cs="Arial"/>
                    <w:sz w:val="22"/>
                    <w:szCs w:val="22"/>
                  </w:rPr>
                  <m:t>childbirth</m:t>
                </m:r>
              </m:sub>
            </m:sSub>
          </m:e>
        </m:d>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0</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1</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2</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 xml:space="preserve">+ </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4</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4</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5</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5</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6</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6</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7</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7</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8</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8</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13</m:t>
            </m:r>
          </m:sub>
        </m:sSub>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13</m:t>
            </m:r>
          </m:sub>
        </m:sSub>
      </m:oMath>
      <w:r w:rsidRPr="000D271B">
        <w:rPr>
          <w:rFonts w:ascii="Arial" w:eastAsiaTheme="minorEastAsia" w:hAnsi="Arial" w:cs="Arial"/>
          <w:sz w:val="22"/>
          <w:szCs w:val="22"/>
        </w:rPr>
        <w:t xml:space="preserve"> (8)</w:t>
      </w:r>
    </w:p>
    <w:p w14:paraId="24657675" w14:textId="77777777" w:rsidR="00290A78" w:rsidRPr="000D271B" w:rsidRDefault="00290A78" w:rsidP="00290A78">
      <w:pPr>
        <w:pStyle w:val="ListContinue"/>
        <w:spacing w:line="480" w:lineRule="auto"/>
        <w:ind w:left="0"/>
        <w:jc w:val="both"/>
        <w:rPr>
          <w:rFonts w:ascii="Arial" w:eastAsiaTheme="minorEastAsia" w:hAnsi="Arial" w:cs="Arial"/>
          <w:sz w:val="22"/>
          <w:szCs w:val="22"/>
        </w:rPr>
      </w:pPr>
      <w:r w:rsidRPr="000D271B">
        <w:rPr>
          <w:rFonts w:ascii="Arial" w:eastAsiaTheme="minorEastAsia" w:hAnsi="Arial" w:cs="Arial"/>
          <w:sz w:val="22"/>
          <w:szCs w:val="22"/>
        </w:rPr>
        <w:t>The reduced logistic regression model for childbirth side-effect is,</w:t>
      </w:r>
    </w:p>
    <w:p w14:paraId="637E1B7A" w14:textId="77777777" w:rsidR="00290A78" w:rsidRPr="000D271B" w:rsidRDefault="00290A78" w:rsidP="00290A78">
      <w:pPr>
        <w:jc w:val="both"/>
        <w:rPr>
          <w:rFonts w:ascii="Arial" w:hAnsi="Arial" w:cs="Arial"/>
          <w:sz w:val="22"/>
          <w:szCs w:val="22"/>
        </w:rPr>
      </w:pPr>
      <m:oMath>
        <m:r>
          <w:rPr>
            <w:rFonts w:ascii="Cambria Math" w:eastAsiaTheme="minorEastAsia" w:hAnsi="Cambria Math" w:cs="Arial"/>
            <w:sz w:val="22"/>
            <w:szCs w:val="22"/>
          </w:rPr>
          <m:t>logit</m:t>
        </m:r>
        <m:d>
          <m:dPr>
            <m:ctrlPr>
              <w:rPr>
                <w:rFonts w:ascii="Cambria Math" w:eastAsiaTheme="minorEastAsia" w:hAnsi="Cambria Math" w:cs="Arial"/>
                <w:i/>
                <w:sz w:val="22"/>
                <w:szCs w:val="22"/>
              </w:rPr>
            </m:ctrlPr>
          </m:dPr>
          <m:e>
            <m:sSub>
              <m:sSubPr>
                <m:ctrlPr>
                  <w:rPr>
                    <w:rFonts w:ascii="Cambria Math" w:eastAsiaTheme="minorEastAsia" w:hAnsi="Cambria Math" w:cs="Arial"/>
                    <w:i/>
                    <w:sz w:val="22"/>
                    <w:szCs w:val="22"/>
                  </w:rPr>
                </m:ctrlPr>
              </m:sSubPr>
              <m:e>
                <m:acc>
                  <m:accPr>
                    <m:chr m:val="̃"/>
                    <m:ctrlPr>
                      <w:rPr>
                        <w:rFonts w:ascii="Cambria Math" w:eastAsiaTheme="minorEastAsia" w:hAnsi="Cambria Math" w:cs="Arial"/>
                        <w:i/>
                        <w:sz w:val="22"/>
                        <w:szCs w:val="22"/>
                      </w:rPr>
                    </m:ctrlPr>
                  </m:accPr>
                  <m:e>
                    <m:r>
                      <w:rPr>
                        <w:rFonts w:ascii="Cambria Math" w:eastAsiaTheme="minorEastAsia" w:hAnsi="Cambria Math" w:cs="Arial"/>
                        <w:sz w:val="22"/>
                        <w:szCs w:val="22"/>
                      </w:rPr>
                      <m:t>y</m:t>
                    </m:r>
                  </m:e>
                </m:acc>
              </m:e>
              <m:sub>
                <m:r>
                  <w:rPr>
                    <w:rFonts w:ascii="Cambria Math" w:eastAsiaTheme="minorEastAsia" w:hAnsi="Cambria Math" w:cs="Arial"/>
                    <w:sz w:val="22"/>
                    <w:szCs w:val="22"/>
                  </w:rPr>
                  <m:t>cb</m:t>
                </m:r>
              </m:sub>
            </m:sSub>
          </m:e>
        </m:d>
        <m:r>
          <w:rPr>
            <w:rFonts w:ascii="Cambria Math" w:eastAsiaTheme="minorEastAsia" w:hAnsi="Cambria Math" w:cs="Arial"/>
            <w:sz w:val="22"/>
            <w:szCs w:val="22"/>
          </w:rPr>
          <m:t>=0.035</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m:t>
            </m:r>
          </m:sub>
        </m:sSub>
        <m:r>
          <w:rPr>
            <w:rFonts w:ascii="Cambria Math" w:eastAsiaTheme="minorEastAsia" w:hAnsi="Cambria Math" w:cs="Arial"/>
            <w:sz w:val="22"/>
            <w:szCs w:val="22"/>
          </w:rPr>
          <m:t>+0.027</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m:t>
            </m:r>
          </m:sub>
        </m:sSub>
        <m:r>
          <w:rPr>
            <w:rFonts w:ascii="Cambria Math" w:eastAsiaTheme="minorEastAsia" w:hAnsi="Cambria Math" w:cs="Arial"/>
            <w:sz w:val="22"/>
            <w:szCs w:val="22"/>
          </w:rPr>
          <m:t>+0.429</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3</m:t>
            </m:r>
          </m:sub>
        </m:sSub>
        <m:r>
          <w:rPr>
            <w:rFonts w:ascii="Cambria Math" w:eastAsiaTheme="minorEastAsia" w:hAnsi="Cambria Math" w:cs="Arial"/>
            <w:sz w:val="22"/>
            <w:szCs w:val="22"/>
          </w:rPr>
          <m:t>+0.354</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4</m:t>
            </m:r>
          </m:sub>
        </m:sSub>
        <m:r>
          <w:rPr>
            <w:rFonts w:ascii="Cambria Math" w:eastAsiaTheme="minorEastAsia" w:hAnsi="Cambria Math" w:cs="Arial"/>
            <w:sz w:val="22"/>
            <w:szCs w:val="22"/>
          </w:rPr>
          <m:t>+0.215</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5</m:t>
            </m:r>
          </m:sub>
        </m:sSub>
        <m:r>
          <w:rPr>
            <w:rFonts w:ascii="Cambria Math" w:eastAsiaTheme="minorEastAsia" w:hAnsi="Cambria Math" w:cs="Arial"/>
            <w:sz w:val="22"/>
            <w:szCs w:val="22"/>
          </w:rPr>
          <m:t>+ 0.321</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6</m:t>
            </m:r>
          </m:sub>
        </m:sSub>
        <m:r>
          <w:rPr>
            <w:rFonts w:ascii="Cambria Math" w:eastAsiaTheme="minorEastAsia" w:hAnsi="Cambria Math" w:cs="Arial"/>
            <w:sz w:val="22"/>
            <w:szCs w:val="22"/>
          </w:rPr>
          <m:t>+0.307</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7</m:t>
            </m:r>
          </m:sub>
        </m:sSub>
        <m:r>
          <w:rPr>
            <w:rFonts w:ascii="Cambria Math" w:eastAsiaTheme="minorEastAsia" w:hAnsi="Cambria Math" w:cs="Arial"/>
            <w:sz w:val="22"/>
            <w:szCs w:val="22"/>
          </w:rPr>
          <m:t>+0.041</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8</m:t>
            </m:r>
          </m:sub>
        </m:sSub>
        <m:r>
          <w:rPr>
            <w:rFonts w:ascii="Cambria Math" w:eastAsiaTheme="minorEastAsia" w:hAnsi="Cambria Math" w:cs="Arial"/>
            <w:sz w:val="22"/>
            <w:szCs w:val="22"/>
          </w:rPr>
          <m:t>-2.993</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9</m:t>
            </m:r>
          </m:sub>
        </m:sSub>
        <m:r>
          <w:rPr>
            <w:rFonts w:ascii="Cambria Math" w:eastAsiaTheme="minorEastAsia" w:hAnsi="Cambria Math" w:cs="Arial"/>
            <w:sz w:val="22"/>
            <w:szCs w:val="22"/>
          </w:rPr>
          <m:t>+0.042</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10</m:t>
            </m:r>
          </m:sub>
        </m:sSub>
        <m:r>
          <w:rPr>
            <w:rFonts w:ascii="Cambria Math" w:eastAsiaTheme="minorEastAsia" w:hAnsi="Cambria Math" w:cs="Arial"/>
            <w:sz w:val="22"/>
            <w:szCs w:val="22"/>
          </w:rPr>
          <m:t>+0.086</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11</m:t>
            </m:r>
          </m:sub>
        </m:sSub>
        <m:r>
          <w:rPr>
            <w:rFonts w:ascii="Cambria Math" w:eastAsiaTheme="minorEastAsia" w:hAnsi="Cambria Math" w:cs="Arial"/>
            <w:sz w:val="22"/>
            <w:szCs w:val="22"/>
          </w:rPr>
          <m:t>-0.088</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12</m:t>
            </m:r>
          </m:sub>
        </m:sSub>
        <m:r>
          <w:rPr>
            <w:rFonts w:ascii="Cambria Math" w:eastAsiaTheme="minorEastAsia" w:hAnsi="Cambria Math" w:cs="Arial"/>
            <w:sz w:val="22"/>
            <w:szCs w:val="22"/>
          </w:rPr>
          <m:t>+0.229</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13</m:t>
            </m:r>
          </m:sub>
        </m:sSub>
      </m:oMath>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r>
      <w:r w:rsidRPr="000D271B">
        <w:rPr>
          <w:rFonts w:ascii="Arial" w:eastAsiaTheme="minorEastAsia" w:hAnsi="Arial" w:cs="Arial"/>
          <w:sz w:val="22"/>
          <w:szCs w:val="22"/>
        </w:rPr>
        <w:tab/>
        <w:t>(9)</w:t>
      </w:r>
    </w:p>
    <w:p w14:paraId="77F10144" w14:textId="77777777" w:rsidR="00290A78" w:rsidRPr="000D271B" w:rsidRDefault="00290A78" w:rsidP="00290A78">
      <w:pPr>
        <w:jc w:val="both"/>
        <w:rPr>
          <w:rFonts w:ascii="Arial" w:hAnsi="Arial" w:cs="Arial"/>
          <w:sz w:val="24"/>
          <w:szCs w:val="24"/>
        </w:rPr>
      </w:pPr>
    </w:p>
    <w:p w14:paraId="73CA87C2"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3.2 Logistic model prediction of childbirth</w:t>
      </w:r>
    </w:p>
    <w:p w14:paraId="3BC719A2" w14:textId="77777777" w:rsidR="00290A78" w:rsidRPr="000D271B" w:rsidRDefault="00290A78" w:rsidP="00290A78">
      <w:pPr>
        <w:jc w:val="both"/>
        <w:rPr>
          <w:rFonts w:ascii="Arial" w:hAnsi="Arial" w:cs="Arial"/>
          <w:sz w:val="22"/>
          <w:szCs w:val="22"/>
        </w:rPr>
      </w:pPr>
      <w:r w:rsidRPr="000D271B">
        <w:rPr>
          <w:rFonts w:ascii="Arial" w:hAnsi="Arial" w:cs="Arial"/>
          <w:sz w:val="22"/>
          <w:szCs w:val="22"/>
        </w:rPr>
        <w:t>From figure 1, the prediction of childbirth with side effects against age is shown with its predicted probability. The predicted probability of side-effects at early stages of women is low (less than 10%) and it steadily progress as they grow. Ladies between the ages of 15 to 30 years have 6% to 10% chance of experiencing side-effects and between 31 to 45 years have 10.01% to 15% chance of experiencing side-effects and it has been supported by the odds ratio.</w:t>
      </w:r>
    </w:p>
    <w:p w14:paraId="602F34F1"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5683C64C" wp14:editId="39C3E8A7">
            <wp:extent cx="5255260" cy="2542949"/>
            <wp:effectExtent l="0" t="0" r="0" b="0"/>
            <wp:docPr id="1413920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1403" cy="2555599"/>
                    </a:xfrm>
                    <a:prstGeom prst="rect">
                      <a:avLst/>
                    </a:prstGeom>
                    <a:noFill/>
                  </pic:spPr>
                </pic:pic>
              </a:graphicData>
            </a:graphic>
          </wp:inline>
        </w:drawing>
      </w:r>
    </w:p>
    <w:p w14:paraId="0E0EDA45" w14:textId="77777777" w:rsidR="00290A78" w:rsidRPr="000D271B" w:rsidRDefault="00290A78" w:rsidP="00290A78">
      <w:pPr>
        <w:jc w:val="both"/>
        <w:rPr>
          <w:rFonts w:ascii="Arial" w:hAnsi="Arial" w:cs="Arial"/>
          <w:i/>
          <w:iCs/>
        </w:rPr>
      </w:pPr>
      <w:r w:rsidRPr="000D271B">
        <w:rPr>
          <w:rFonts w:ascii="Arial" w:hAnsi="Arial" w:cs="Arial"/>
          <w:sz w:val="24"/>
          <w:szCs w:val="24"/>
        </w:rPr>
        <w:tab/>
      </w:r>
      <w:r w:rsidRPr="000D271B">
        <w:rPr>
          <w:rFonts w:ascii="Arial" w:hAnsi="Arial" w:cs="Arial"/>
          <w:sz w:val="24"/>
          <w:szCs w:val="24"/>
        </w:rPr>
        <w:tab/>
      </w:r>
      <w:r w:rsidRPr="000D271B">
        <w:rPr>
          <w:rFonts w:ascii="Arial" w:hAnsi="Arial" w:cs="Arial"/>
          <w:i/>
          <w:iCs/>
        </w:rPr>
        <w:t>Figure 1 logistic model prediction</w:t>
      </w:r>
    </w:p>
    <w:p w14:paraId="6AD83EF0" w14:textId="77777777" w:rsidR="00290A78" w:rsidRPr="000D271B" w:rsidRDefault="00290A78" w:rsidP="00290A78">
      <w:pPr>
        <w:jc w:val="both"/>
        <w:rPr>
          <w:rFonts w:ascii="Arial" w:hAnsi="Arial" w:cs="Arial"/>
          <w:sz w:val="24"/>
          <w:szCs w:val="24"/>
        </w:rPr>
      </w:pPr>
    </w:p>
    <w:p w14:paraId="04F36E09"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3.3 Neural network</w:t>
      </w:r>
    </w:p>
    <w:p w14:paraId="09D0F1AA"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 xml:space="preserve">From figure 2 below, the model performance 90.89% in predicting side-effects during childbirth. The bias term of the model is </w:t>
      </w: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=g</m:t>
        </m:r>
        <m:d>
          <m:dPr>
            <m:ctrlPr>
              <w:rPr>
                <w:rFonts w:ascii="Cambria Math" w:hAnsi="Cambria Math" w:cs="Arial"/>
                <w:i/>
                <w:noProof/>
                <w:sz w:val="22"/>
                <w:szCs w:val="22"/>
              </w:rPr>
            </m:ctrlPr>
          </m:dPr>
          <m:e>
            <m:r>
              <w:rPr>
                <w:rFonts w:ascii="Cambria Math" w:hAnsi="Cambria Math" w:cs="Arial"/>
                <w:noProof/>
                <w:sz w:val="22"/>
                <w:szCs w:val="22"/>
              </w:rPr>
              <m:t>wx+b</m:t>
            </m:r>
          </m:e>
        </m:d>
        <m:r>
          <w:rPr>
            <w:rFonts w:ascii="Cambria Math" w:hAnsi="Cambria Math" w:cs="Arial"/>
            <w:noProof/>
            <w:sz w:val="22"/>
            <w:szCs w:val="22"/>
          </w:rPr>
          <m:t xml:space="preserve">, </m:t>
        </m:r>
      </m:oMath>
      <w:r w:rsidRPr="000D271B">
        <w:rPr>
          <w:rFonts w:ascii="Arial" w:hAnsi="Arial" w:cs="Arial"/>
          <w:noProof/>
          <w:sz w:val="22"/>
          <w:szCs w:val="22"/>
        </w:rPr>
        <w:t xml:space="preserve">where the activition </w:t>
      </w:r>
      <m:oMath>
        <m:d>
          <m:dPr>
            <m:ctrlPr>
              <w:rPr>
                <w:rFonts w:ascii="Cambria Math" w:hAnsi="Cambria Math" w:cs="Arial"/>
                <w:i/>
                <w:noProof/>
                <w:sz w:val="22"/>
                <w:szCs w:val="22"/>
              </w:rPr>
            </m:ctrlPr>
          </m:dPr>
          <m:e>
            <m:r>
              <w:rPr>
                <w:rFonts w:ascii="Cambria Math" w:hAnsi="Cambria Math" w:cs="Arial"/>
                <w:noProof/>
                <w:sz w:val="22"/>
                <w:szCs w:val="22"/>
              </w:rPr>
              <m:t>g</m:t>
            </m:r>
          </m:e>
        </m:d>
      </m:oMath>
      <w:r w:rsidRPr="000D271B">
        <w:rPr>
          <w:rFonts w:ascii="Arial" w:eastAsiaTheme="minorEastAsia" w:hAnsi="Arial" w:cs="Arial"/>
          <w:noProof/>
          <w:sz w:val="22"/>
          <w:szCs w:val="22"/>
        </w:rPr>
        <w:t xml:space="preserve"> is 0.3118, the bias term </w:t>
      </w:r>
      <m:oMath>
        <m:d>
          <m:dPr>
            <m:ctrlPr>
              <w:rPr>
                <w:rFonts w:ascii="Cambria Math" w:hAnsi="Cambria Math" w:cs="Arial"/>
                <w:i/>
                <w:noProof/>
                <w:sz w:val="22"/>
                <w:szCs w:val="22"/>
              </w:rPr>
            </m:ctrlPr>
          </m:dPr>
          <m:e>
            <m:r>
              <w:rPr>
                <w:rFonts w:ascii="Cambria Math" w:hAnsi="Cambria Math" w:cs="Arial"/>
                <w:noProof/>
                <w:sz w:val="22"/>
                <w:szCs w:val="22"/>
              </w:rPr>
              <m:t>b</m:t>
            </m:r>
          </m:e>
        </m:d>
      </m:oMath>
      <w:r w:rsidRPr="000D271B">
        <w:rPr>
          <w:rFonts w:ascii="Arial" w:eastAsiaTheme="minorEastAsia" w:hAnsi="Arial" w:cs="Arial"/>
          <w:noProof/>
          <w:sz w:val="22"/>
          <w:szCs w:val="22"/>
        </w:rPr>
        <w:t xml:space="preserve"> is -0.22077 and weighted average </w:t>
      </w:r>
      <m:oMath>
        <m:r>
          <w:rPr>
            <w:rFonts w:ascii="Cambria Math" w:eastAsiaTheme="minorEastAsia" w:hAnsi="Cambria Math" w:cs="Arial"/>
            <w:noProof/>
            <w:sz w:val="22"/>
            <w:szCs w:val="22"/>
          </w:rPr>
          <m:t>(</m:t>
        </m:r>
        <m:r>
          <w:rPr>
            <w:rFonts w:ascii="Cambria Math" w:hAnsi="Cambria Math" w:cs="Arial"/>
            <w:noProof/>
            <w:sz w:val="22"/>
            <w:szCs w:val="22"/>
          </w:rPr>
          <m:t>w)</m:t>
        </m:r>
      </m:oMath>
      <w:r w:rsidRPr="000D271B">
        <w:rPr>
          <w:rFonts w:ascii="Arial" w:eastAsiaTheme="minorEastAsia" w:hAnsi="Arial" w:cs="Arial"/>
          <w:noProof/>
          <w:sz w:val="22"/>
          <w:szCs w:val="22"/>
        </w:rPr>
        <w:t xml:space="preserve"> is -1.02523. </w:t>
      </w:r>
    </w:p>
    <w:p w14:paraId="2FD3C88C"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The neural network model is,</w:t>
      </w:r>
    </w:p>
    <w:p w14:paraId="6AC168C4" w14:textId="77777777" w:rsidR="00290A78" w:rsidRPr="000D271B" w:rsidRDefault="00F81E2C" w:rsidP="00290A78">
      <w:pPr>
        <w:jc w:val="both"/>
        <w:rPr>
          <w:rFonts w:ascii="Arial" w:eastAsiaTheme="minorEastAsia" w:hAnsi="Arial" w:cs="Arial"/>
          <w:noProof/>
          <w:sz w:val="22"/>
          <w:szCs w:val="22"/>
        </w:rPr>
      </w:pP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=0.3118</m:t>
        </m:r>
        <m:d>
          <m:dPr>
            <m:ctrlPr>
              <w:rPr>
                <w:rFonts w:ascii="Cambria Math" w:hAnsi="Cambria Math" w:cs="Arial"/>
                <w:i/>
                <w:noProof/>
                <w:sz w:val="22"/>
                <w:szCs w:val="22"/>
              </w:rPr>
            </m:ctrlPr>
          </m:dPr>
          <m:e>
            <m:r>
              <w:rPr>
                <w:rFonts w:ascii="Cambria Math" w:hAnsi="Cambria Math" w:cs="Arial"/>
                <w:noProof/>
                <w:sz w:val="22"/>
                <w:szCs w:val="22"/>
              </w:rPr>
              <m:t>-</m:t>
            </m:r>
            <m:r>
              <w:rPr>
                <w:rFonts w:ascii="Cambria Math" w:hAnsi="Cambria Math" w:cs="Arial"/>
                <w:noProof/>
                <w:sz w:val="22"/>
                <w:szCs w:val="22"/>
              </w:rPr>
              <m:t>1.02523</m:t>
            </m:r>
            <m:r>
              <w:rPr>
                <w:rFonts w:ascii="Cambria Math" w:hAnsi="Cambria Math" w:cs="Arial"/>
                <w:noProof/>
                <w:sz w:val="22"/>
                <w:szCs w:val="22"/>
              </w:rPr>
              <m:t>x</m:t>
            </m:r>
            <m:r>
              <w:rPr>
                <w:rFonts w:ascii="Cambria Math" w:hAnsi="Cambria Math" w:cs="Arial"/>
                <w:noProof/>
                <w:sz w:val="22"/>
                <w:szCs w:val="22"/>
              </w:rPr>
              <m:t>-0.22077</m:t>
            </m:r>
          </m:e>
        </m:d>
      </m:oMath>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t>(10)</w:t>
      </w:r>
    </w:p>
    <w:p w14:paraId="18DD131A" w14:textId="5E00A96D" w:rsidR="00290A78" w:rsidRPr="000D271B" w:rsidRDefault="00F81E2C" w:rsidP="00290A78">
      <w:pPr>
        <w:jc w:val="both"/>
        <w:rPr>
          <w:rFonts w:ascii="Arial" w:hAnsi="Arial" w:cs="Arial"/>
          <w:noProof/>
          <w:sz w:val="22"/>
          <w:szCs w:val="22"/>
        </w:rPr>
      </w:pPr>
      <m:oMath>
        <m:acc>
          <m:accPr>
            <m:ctrlPr>
              <w:rPr>
                <w:rFonts w:ascii="Cambria Math" w:hAnsi="Cambria Math" w:cs="Arial"/>
                <w:i/>
                <w:noProof/>
                <w:sz w:val="22"/>
                <w:szCs w:val="22"/>
              </w:rPr>
            </m:ctrlPr>
          </m:accPr>
          <m:e>
            <m:r>
              <w:rPr>
                <w:rFonts w:ascii="Cambria Math" w:hAnsi="Cambria Math" w:cs="Arial"/>
                <w:noProof/>
                <w:sz w:val="22"/>
                <w:szCs w:val="22"/>
              </w:rPr>
              <m:t>y</m:t>
            </m:r>
          </m:e>
        </m:acc>
        <m:r>
          <w:rPr>
            <w:rFonts w:ascii="Cambria Math" w:hAnsi="Cambria Math" w:cs="Arial"/>
            <w:noProof/>
            <w:sz w:val="22"/>
            <w:szCs w:val="22"/>
          </w:rPr>
          <m:t>=-0.3196668</m:t>
        </m:r>
        <m:r>
          <w:rPr>
            <w:rFonts w:ascii="Cambria Math" w:hAnsi="Cambria Math" w:cs="Arial"/>
            <w:noProof/>
            <w:sz w:val="22"/>
            <w:szCs w:val="22"/>
          </w:rPr>
          <m:t>x</m:t>
        </m:r>
        <m:r>
          <w:rPr>
            <w:rFonts w:ascii="Cambria Math" w:hAnsi="Cambria Math" w:cs="Arial"/>
            <w:noProof/>
            <w:sz w:val="22"/>
            <w:szCs w:val="22"/>
          </w:rPr>
          <m:t>-0.068836</m:t>
        </m:r>
      </m:oMath>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r>
      <w:r w:rsidR="00290A78" w:rsidRPr="000D271B">
        <w:rPr>
          <w:rFonts w:ascii="Arial" w:eastAsiaTheme="minorEastAsia" w:hAnsi="Arial" w:cs="Arial"/>
          <w:noProof/>
          <w:sz w:val="22"/>
          <w:szCs w:val="22"/>
        </w:rPr>
        <w:tab/>
        <w:t>(11)</w:t>
      </w:r>
    </w:p>
    <w:p w14:paraId="7432957F"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Without all these features that contribute to side-effects during childbirth of a women, there is 6.88% (absolute value) degree of effect in childbirth and with one additional unit of weigted average, there will be additional 31.97% degree of side-effects in childbirth.</w:t>
      </w:r>
    </w:p>
    <w:p w14:paraId="539E2D29" w14:textId="77777777" w:rsidR="00290A78" w:rsidRPr="000D271B" w:rsidRDefault="00290A78" w:rsidP="00290A78">
      <w:pPr>
        <w:jc w:val="both"/>
        <w:rPr>
          <w:rFonts w:ascii="Arial" w:hAnsi="Arial" w:cs="Arial"/>
          <w:noProof/>
          <w:sz w:val="22"/>
          <w:szCs w:val="22"/>
        </w:rPr>
      </w:pPr>
      <w:r w:rsidRPr="000D271B">
        <w:rPr>
          <w:rFonts w:ascii="Arial" w:hAnsi="Arial" w:cs="Arial"/>
          <w:noProof/>
          <w:sz w:val="22"/>
          <w:szCs w:val="22"/>
        </w:rPr>
        <w:t>The accuracy rate of the neural network is 90.89% with a confidence interval between 90.31% to 91.45%.</w:t>
      </w:r>
    </w:p>
    <w:p w14:paraId="763759D4"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lastRenderedPageBreak/>
        <w:drawing>
          <wp:inline distT="0" distB="0" distL="0" distR="0" wp14:anchorId="7D8A61D7" wp14:editId="2B8738A8">
            <wp:extent cx="5702300" cy="3830303"/>
            <wp:effectExtent l="0" t="0" r="0" b="0"/>
            <wp:docPr id="66956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9421" r="9001"/>
                    <a:stretch>
                      <a:fillRect/>
                    </a:stretch>
                  </pic:blipFill>
                  <pic:spPr bwMode="auto">
                    <a:xfrm>
                      <a:off x="0" y="0"/>
                      <a:ext cx="5826096" cy="3913458"/>
                    </a:xfrm>
                    <a:prstGeom prst="rect">
                      <a:avLst/>
                    </a:prstGeom>
                    <a:noFill/>
                    <a:ln>
                      <a:noFill/>
                    </a:ln>
                    <a:extLst>
                      <a:ext uri="{53640926-AAD7-44D8-BBD7-CCE9431645EC}">
                        <a14:shadowObscured xmlns:a14="http://schemas.microsoft.com/office/drawing/2010/main"/>
                      </a:ext>
                    </a:extLst>
                  </pic:spPr>
                </pic:pic>
              </a:graphicData>
            </a:graphic>
          </wp:inline>
        </w:drawing>
      </w:r>
    </w:p>
    <w:p w14:paraId="447E1559" w14:textId="77777777" w:rsidR="00290A78" w:rsidRPr="008639F4" w:rsidRDefault="00290A78" w:rsidP="00290A78">
      <w:pPr>
        <w:jc w:val="both"/>
        <w:rPr>
          <w:rFonts w:ascii="Arial" w:hAnsi="Arial" w:cs="Arial"/>
          <w:i/>
          <w:iCs/>
        </w:rPr>
      </w:pPr>
      <w:r w:rsidRPr="000D271B">
        <w:rPr>
          <w:rFonts w:ascii="Arial" w:hAnsi="Arial" w:cs="Arial"/>
          <w:sz w:val="24"/>
          <w:szCs w:val="24"/>
        </w:rPr>
        <w:tab/>
      </w:r>
      <w:r w:rsidRPr="008639F4">
        <w:rPr>
          <w:rFonts w:ascii="Arial" w:hAnsi="Arial" w:cs="Arial"/>
          <w:i/>
          <w:iCs/>
        </w:rPr>
        <w:t>Figure 2 Neural network of childbirth dataset</w:t>
      </w:r>
    </w:p>
    <w:p w14:paraId="3405D093" w14:textId="77777777" w:rsidR="00290A78" w:rsidRPr="000D271B" w:rsidRDefault="00290A78" w:rsidP="00290A78">
      <w:pPr>
        <w:jc w:val="both"/>
        <w:rPr>
          <w:rFonts w:ascii="Arial" w:hAnsi="Arial" w:cs="Arial"/>
          <w:i/>
          <w:iCs/>
          <w:sz w:val="24"/>
          <w:szCs w:val="24"/>
        </w:rPr>
      </w:pPr>
    </w:p>
    <w:p w14:paraId="5E1F57B0"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3.4 Confusion Matrix</w:t>
      </w:r>
    </w:p>
    <w:p w14:paraId="7373F54B" w14:textId="77777777" w:rsidR="00290A78" w:rsidRPr="000D271B" w:rsidRDefault="00290A78" w:rsidP="00290A78">
      <w:pPr>
        <w:jc w:val="both"/>
        <w:rPr>
          <w:rFonts w:ascii="Arial" w:hAnsi="Arial" w:cs="Arial"/>
          <w:b/>
          <w:bCs/>
          <w:sz w:val="24"/>
          <w:szCs w:val="24"/>
        </w:rPr>
      </w:pPr>
      <w:r w:rsidRPr="000D271B">
        <w:rPr>
          <w:rFonts w:ascii="Arial" w:hAnsi="Arial" w:cs="Arial"/>
          <w:noProof/>
          <w:sz w:val="24"/>
          <w:szCs w:val="24"/>
        </w:rPr>
        <w:drawing>
          <wp:inline distT="0" distB="0" distL="0" distR="0" wp14:anchorId="4C219D8C" wp14:editId="2FA01BA5">
            <wp:extent cx="5299710" cy="3217545"/>
            <wp:effectExtent l="0" t="0" r="0" b="0"/>
            <wp:docPr id="1563534496" name="Chart 1">
              <a:extLst xmlns:a="http://schemas.openxmlformats.org/drawingml/2006/main">
                <a:ext uri="{FF2B5EF4-FFF2-40B4-BE49-F238E27FC236}">
                  <a16:creationId xmlns:a16="http://schemas.microsoft.com/office/drawing/2014/main" id="{41F3014D-A3FE-4AF3-69FC-FE54C4041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962FD6" w14:textId="77777777" w:rsidR="00290A78" w:rsidRPr="008639F4" w:rsidRDefault="00290A78" w:rsidP="00290A78">
      <w:pPr>
        <w:ind w:firstLine="720"/>
        <w:jc w:val="both"/>
        <w:rPr>
          <w:rFonts w:ascii="Arial" w:hAnsi="Arial" w:cs="Arial"/>
          <w:i/>
          <w:iCs/>
        </w:rPr>
      </w:pPr>
      <w:r w:rsidRPr="008639F4">
        <w:rPr>
          <w:rFonts w:ascii="Arial" w:hAnsi="Arial" w:cs="Arial"/>
          <w:i/>
          <w:iCs/>
        </w:rPr>
        <w:t>Figure 3 Confusion Matrix</w:t>
      </w:r>
    </w:p>
    <w:p w14:paraId="16B60CAC" w14:textId="4A6E3EA8" w:rsidR="00290A78" w:rsidRDefault="00290A78" w:rsidP="00290A78">
      <w:pPr>
        <w:jc w:val="both"/>
        <w:rPr>
          <w:rFonts w:ascii="Arial" w:hAnsi="Arial" w:cs="Arial"/>
          <w:sz w:val="22"/>
          <w:szCs w:val="22"/>
        </w:rPr>
      </w:pPr>
      <w:r w:rsidRPr="008639F4">
        <w:rPr>
          <w:rFonts w:ascii="Arial" w:hAnsi="Arial" w:cs="Arial"/>
          <w:sz w:val="22"/>
          <w:szCs w:val="22"/>
        </w:rPr>
        <w:lastRenderedPageBreak/>
        <w:t xml:space="preserve">From figure 3 above, it appears the random forest model is the best using their accuracy scores. With accuracy score of 1 inform us that random forest model overfit the childbirth dataset. Comparing these models’ logistic regression and neural network have shown higher accuracy score of 90.89%, which implies that both models performed better on the dataset. The researcher chose the logistic model for this research. The least performing the </w:t>
      </w:r>
      <w:r w:rsidR="008639F4" w:rsidRPr="008639F4">
        <w:rPr>
          <w:rFonts w:ascii="Arial" w:hAnsi="Arial" w:cs="Arial"/>
          <w:sz w:val="22"/>
          <w:szCs w:val="22"/>
        </w:rPr>
        <w:t>model</w:t>
      </w:r>
      <w:r w:rsidRPr="008639F4">
        <w:rPr>
          <w:rFonts w:ascii="Arial" w:hAnsi="Arial" w:cs="Arial"/>
          <w:sz w:val="22"/>
          <w:szCs w:val="22"/>
        </w:rPr>
        <w:t xml:space="preserve"> is support vector machine.</w:t>
      </w:r>
    </w:p>
    <w:p w14:paraId="094AEFE6" w14:textId="77777777" w:rsidR="008639F4" w:rsidRPr="008639F4" w:rsidRDefault="008639F4" w:rsidP="00290A78">
      <w:pPr>
        <w:jc w:val="both"/>
        <w:rPr>
          <w:rFonts w:ascii="Arial" w:hAnsi="Arial" w:cs="Arial"/>
          <w:sz w:val="22"/>
          <w:szCs w:val="22"/>
        </w:rPr>
      </w:pPr>
    </w:p>
    <w:p w14:paraId="6110D37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3.5 Receiver operating curve on the reduced logistic regression model</w:t>
      </w:r>
    </w:p>
    <w:p w14:paraId="5D8E344E" w14:textId="77777777" w:rsidR="00290A78" w:rsidRPr="008639F4" w:rsidRDefault="00290A78" w:rsidP="00290A78">
      <w:pPr>
        <w:jc w:val="both"/>
        <w:rPr>
          <w:rFonts w:ascii="Arial" w:hAnsi="Arial" w:cs="Arial"/>
          <w:sz w:val="22"/>
          <w:szCs w:val="22"/>
        </w:rPr>
      </w:pPr>
      <w:r w:rsidRPr="008639F4">
        <w:rPr>
          <w:rFonts w:ascii="Arial" w:hAnsi="Arial" w:cs="Arial"/>
          <w:sz w:val="22"/>
          <w:szCs w:val="22"/>
        </w:rPr>
        <w:t>From the figure 4 a below, the receiver operating curve is above the decision rule which implies that the model performed well on the dataset.</w:t>
      </w:r>
    </w:p>
    <w:p w14:paraId="337982A2"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7DD7AB0" wp14:editId="46B89358">
            <wp:extent cx="5302823" cy="2602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birth_fig_roc.png"/>
                    <pic:cNvPicPr/>
                  </pic:nvPicPr>
                  <pic:blipFill>
                    <a:blip r:embed="rId17"/>
                    <a:stretch>
                      <a:fillRect/>
                    </a:stretch>
                  </pic:blipFill>
                  <pic:spPr>
                    <a:xfrm>
                      <a:off x="0" y="0"/>
                      <a:ext cx="5308106" cy="2604822"/>
                    </a:xfrm>
                    <a:prstGeom prst="rect">
                      <a:avLst/>
                    </a:prstGeom>
                  </pic:spPr>
                </pic:pic>
              </a:graphicData>
            </a:graphic>
          </wp:inline>
        </w:drawing>
      </w:r>
    </w:p>
    <w:p w14:paraId="579542B6" w14:textId="77777777" w:rsidR="00290A78" w:rsidRDefault="00290A78" w:rsidP="00290A78">
      <w:pPr>
        <w:ind w:firstLine="720"/>
        <w:jc w:val="both"/>
        <w:rPr>
          <w:rFonts w:ascii="Arial" w:hAnsi="Arial" w:cs="Arial"/>
          <w:i/>
          <w:iCs/>
          <w:sz w:val="22"/>
          <w:szCs w:val="22"/>
        </w:rPr>
      </w:pPr>
      <w:r w:rsidRPr="00573231">
        <w:rPr>
          <w:rFonts w:ascii="Arial" w:hAnsi="Arial" w:cs="Arial"/>
          <w:i/>
          <w:iCs/>
          <w:sz w:val="22"/>
          <w:szCs w:val="22"/>
        </w:rPr>
        <w:t>Figure 4. ROC curve for proxy risk score (side effects)</w:t>
      </w:r>
    </w:p>
    <w:p w14:paraId="00C0E1E3" w14:textId="77777777" w:rsidR="00573231" w:rsidRPr="00573231" w:rsidRDefault="00573231" w:rsidP="00290A78">
      <w:pPr>
        <w:ind w:firstLine="720"/>
        <w:jc w:val="both"/>
        <w:rPr>
          <w:rFonts w:ascii="Arial" w:hAnsi="Arial" w:cs="Arial"/>
          <w:i/>
          <w:iCs/>
          <w:sz w:val="22"/>
          <w:szCs w:val="22"/>
        </w:rPr>
      </w:pPr>
    </w:p>
    <w:p w14:paraId="142D335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 xml:space="preserve">3.6 </w:t>
      </w:r>
      <w:r w:rsidRPr="00573231">
        <w:rPr>
          <w:rFonts w:ascii="Arial" w:hAnsi="Arial" w:cs="Arial"/>
          <w:b/>
          <w:bCs/>
          <w:sz w:val="22"/>
          <w:szCs w:val="22"/>
        </w:rPr>
        <w:t>Calibration of the reduced logistic regression model on childbirth dataset</w:t>
      </w:r>
    </w:p>
    <w:p w14:paraId="251811D6"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1F975E7" wp14:editId="4A2CFE14">
            <wp:extent cx="5302823" cy="2678430"/>
            <wp:effectExtent l="0" t="0" r="0" b="7620"/>
            <wp:docPr id="2" name="Picture 2" descr="A graph with a line and a dotted l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a line and a dotted line  AI-generated content may be incorrect."/>
                    <pic:cNvPicPr/>
                  </pic:nvPicPr>
                  <pic:blipFill>
                    <a:blip r:embed="rId18"/>
                    <a:stretch>
                      <a:fillRect/>
                    </a:stretch>
                  </pic:blipFill>
                  <pic:spPr>
                    <a:xfrm>
                      <a:off x="0" y="0"/>
                      <a:ext cx="5308106" cy="2681098"/>
                    </a:xfrm>
                    <a:prstGeom prst="rect">
                      <a:avLst/>
                    </a:prstGeom>
                  </pic:spPr>
                </pic:pic>
              </a:graphicData>
            </a:graphic>
          </wp:inline>
        </w:drawing>
      </w:r>
    </w:p>
    <w:p w14:paraId="2771082C" w14:textId="77777777" w:rsidR="00290A78" w:rsidRPr="000D271B" w:rsidRDefault="00290A78" w:rsidP="00290A78">
      <w:pPr>
        <w:ind w:firstLine="720"/>
        <w:jc w:val="both"/>
        <w:rPr>
          <w:rFonts w:ascii="Arial" w:hAnsi="Arial" w:cs="Arial"/>
          <w:i/>
          <w:iCs/>
          <w:sz w:val="24"/>
          <w:szCs w:val="24"/>
        </w:rPr>
      </w:pPr>
      <w:r w:rsidRPr="000D271B">
        <w:rPr>
          <w:rFonts w:ascii="Arial" w:hAnsi="Arial" w:cs="Arial"/>
          <w:i/>
          <w:iCs/>
          <w:sz w:val="24"/>
          <w:szCs w:val="24"/>
        </w:rPr>
        <w:t>Figure 5 Calibration plot (deciles)</w:t>
      </w:r>
    </w:p>
    <w:p w14:paraId="36535A20"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lastRenderedPageBreak/>
        <w:t>From figure 5 above, observed outcome rate = 61% for a bin of predictions and it lies above the diagonal, the model is underconfident.</w:t>
      </w:r>
    </w:p>
    <w:p w14:paraId="7FA60E44" w14:textId="77777777" w:rsidR="00573231" w:rsidRPr="000D271B" w:rsidRDefault="00573231" w:rsidP="00573231">
      <w:pPr>
        <w:jc w:val="both"/>
        <w:rPr>
          <w:rFonts w:ascii="Arial" w:hAnsi="Arial" w:cs="Arial"/>
          <w:sz w:val="24"/>
          <w:szCs w:val="24"/>
        </w:rPr>
      </w:pPr>
    </w:p>
    <w:p w14:paraId="36B544CF"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3.7 Kaplan-Meier curves by risk tertile for postpartum complications</w:t>
      </w:r>
    </w:p>
    <w:p w14:paraId="631D821A" w14:textId="77777777" w:rsidR="00290A78" w:rsidRPr="000D271B" w:rsidRDefault="00290A78" w:rsidP="00290A78">
      <w:pPr>
        <w:jc w:val="both"/>
        <w:rPr>
          <w:rFonts w:ascii="Arial" w:hAnsi="Arial" w:cs="Arial"/>
          <w:sz w:val="24"/>
          <w:szCs w:val="24"/>
        </w:rPr>
      </w:pPr>
      <w:r w:rsidRPr="000D271B">
        <w:rPr>
          <w:rFonts w:ascii="Arial" w:hAnsi="Arial" w:cs="Arial"/>
          <w:noProof/>
          <w:sz w:val="24"/>
          <w:szCs w:val="24"/>
        </w:rPr>
        <w:drawing>
          <wp:inline distT="0" distB="0" distL="0" distR="0" wp14:anchorId="3B1C12F8" wp14:editId="3F10756E">
            <wp:extent cx="5302823" cy="2419350"/>
            <wp:effectExtent l="0" t="0" r="0" b="0"/>
            <wp:docPr id="3" name="Picture 3" descr="A graph of different colo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different colored lines  AI-generated content may be incorrect."/>
                    <pic:cNvPicPr/>
                  </pic:nvPicPr>
                  <pic:blipFill>
                    <a:blip r:embed="rId19"/>
                    <a:stretch>
                      <a:fillRect/>
                    </a:stretch>
                  </pic:blipFill>
                  <pic:spPr>
                    <a:xfrm>
                      <a:off x="0" y="0"/>
                      <a:ext cx="5309254" cy="2422284"/>
                    </a:xfrm>
                    <a:prstGeom prst="rect">
                      <a:avLst/>
                    </a:prstGeom>
                  </pic:spPr>
                </pic:pic>
              </a:graphicData>
            </a:graphic>
          </wp:inline>
        </w:drawing>
      </w:r>
    </w:p>
    <w:p w14:paraId="7E151587" w14:textId="77777777" w:rsidR="00290A78" w:rsidRPr="00573231" w:rsidRDefault="00290A78" w:rsidP="00290A78">
      <w:pPr>
        <w:ind w:firstLine="720"/>
        <w:jc w:val="both"/>
        <w:rPr>
          <w:rFonts w:ascii="Arial" w:hAnsi="Arial" w:cs="Arial"/>
          <w:i/>
          <w:iCs/>
        </w:rPr>
      </w:pPr>
      <w:r w:rsidRPr="00573231">
        <w:rPr>
          <w:rFonts w:ascii="Arial" w:hAnsi="Arial" w:cs="Arial"/>
          <w:i/>
          <w:iCs/>
        </w:rPr>
        <w:t>Figure 6 Kaplan-Meier curves by risk tertile for postpartum complications</w:t>
      </w:r>
    </w:p>
    <w:p w14:paraId="09E7E670" w14:textId="77777777" w:rsidR="00290A78" w:rsidRDefault="00290A78" w:rsidP="00573231">
      <w:pPr>
        <w:jc w:val="both"/>
        <w:rPr>
          <w:rFonts w:ascii="Arial" w:hAnsi="Arial" w:cs="Arial"/>
          <w:sz w:val="22"/>
          <w:szCs w:val="22"/>
        </w:rPr>
      </w:pPr>
      <w:r w:rsidRPr="00573231">
        <w:rPr>
          <w:rFonts w:ascii="Arial" w:hAnsi="Arial" w:cs="Arial"/>
          <w:sz w:val="22"/>
          <w:szCs w:val="22"/>
        </w:rPr>
        <w:t xml:space="preserve">In figure 6 above, the Kaplan–Meier analysis demonstrated clear risk stratification across tertiles. Participants in the highest risk tertile experienced postpartum complications earlier and more frequently than those in the intermediate and low tertiles (log-rank </w:t>
      </w:r>
      <w:r w:rsidRPr="00573231">
        <w:rPr>
          <w:rFonts w:ascii="Arial" w:hAnsi="Arial" w:cs="Arial"/>
          <w:i/>
          <w:iCs/>
          <w:sz w:val="22"/>
          <w:szCs w:val="22"/>
        </w:rPr>
        <w:t>p</w:t>
      </w:r>
      <w:r w:rsidRPr="00573231">
        <w:rPr>
          <w:rFonts w:ascii="Arial" w:hAnsi="Arial" w:cs="Arial"/>
          <w:sz w:val="22"/>
          <w:szCs w:val="22"/>
        </w:rPr>
        <w:t xml:space="preserve"> &lt; 0.001).</w:t>
      </w:r>
    </w:p>
    <w:p w14:paraId="1B2FD4E2" w14:textId="77777777" w:rsidR="00573231" w:rsidRPr="00573231" w:rsidRDefault="00573231" w:rsidP="00573231">
      <w:pPr>
        <w:jc w:val="both"/>
        <w:rPr>
          <w:rFonts w:ascii="Arial" w:hAnsi="Arial" w:cs="Arial"/>
          <w:sz w:val="22"/>
          <w:szCs w:val="22"/>
        </w:rPr>
      </w:pPr>
    </w:p>
    <w:p w14:paraId="20801D0C" w14:textId="77777777" w:rsidR="00290A78" w:rsidRPr="000D271B" w:rsidRDefault="00290A78" w:rsidP="00290A78">
      <w:pPr>
        <w:jc w:val="both"/>
        <w:rPr>
          <w:rFonts w:ascii="Arial" w:hAnsi="Arial" w:cs="Arial"/>
          <w:b/>
          <w:bCs/>
          <w:sz w:val="24"/>
          <w:szCs w:val="24"/>
        </w:rPr>
      </w:pPr>
      <w:r w:rsidRPr="000D271B">
        <w:rPr>
          <w:rFonts w:ascii="Arial" w:hAnsi="Arial" w:cs="Arial"/>
          <w:b/>
          <w:bCs/>
          <w:sz w:val="24"/>
          <w:szCs w:val="24"/>
        </w:rPr>
        <w:t>4.0 Findings</w:t>
      </w:r>
    </w:p>
    <w:p w14:paraId="6DE71E56"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t>The results identify that age, number of antenatal care visits, previous complication, postpartum hemorrhage, preeclampsia, gestational diabetes, infection, hemoglobin, insurance (NHIS), delivery cost, transportation cost, cost of food, and activities of daily living (ADL) limitations are the primary factors contributing to maternal risk. While insurance coverage appears to provide a protective effect, out-of-pocket expenses seem to increase the risk, For women with previous complications and postpartum hemorrhage experienced odds ratio of 53.58% and 42.44% side-effects during childbirth than women without previous complications and postpartum hemorrhage. Again, with women who exhibited pre-eclampsia, gestational diabetes, infections, and hemoglobin loss are likely to experience side-effect of 23.97%, 37.82%, 35.99% and 4.19% correspondingly odds ratio than those without these features and is similar to Gerald et al, 2024.</w:t>
      </w:r>
    </w:p>
    <w:p w14:paraId="5A2C1A61" w14:textId="77777777" w:rsidR="00E053D0" w:rsidRPr="000D271B" w:rsidRDefault="00E053D0" w:rsidP="00441B6F">
      <w:pPr>
        <w:pStyle w:val="Body"/>
        <w:spacing w:after="0"/>
        <w:rPr>
          <w:rFonts w:ascii="Arial" w:hAnsi="Arial" w:cs="Arial"/>
        </w:rPr>
      </w:pPr>
    </w:p>
    <w:p w14:paraId="68FCD6F3" w14:textId="77777777" w:rsidR="00790ADA" w:rsidRPr="000D271B" w:rsidRDefault="00790ADA" w:rsidP="00441B6F">
      <w:pPr>
        <w:pStyle w:val="Body"/>
        <w:spacing w:after="0"/>
        <w:rPr>
          <w:rFonts w:ascii="Arial" w:hAnsi="Arial" w:cs="Arial"/>
        </w:rPr>
      </w:pPr>
    </w:p>
    <w:p w14:paraId="46CF0EB4" w14:textId="77777777" w:rsidR="00B01FCD" w:rsidRPr="000D271B" w:rsidRDefault="00000F8F" w:rsidP="00441B6F">
      <w:pPr>
        <w:pStyle w:val="ConcHead"/>
        <w:spacing w:after="0"/>
        <w:jc w:val="both"/>
        <w:rPr>
          <w:rFonts w:ascii="Arial" w:hAnsi="Arial" w:cs="Arial"/>
        </w:rPr>
      </w:pPr>
      <w:r w:rsidRPr="000D271B">
        <w:rPr>
          <w:rFonts w:ascii="Arial" w:hAnsi="Arial" w:cs="Arial"/>
        </w:rPr>
        <w:t xml:space="preserve">4. </w:t>
      </w:r>
      <w:r w:rsidR="00B01FCD" w:rsidRPr="000D271B">
        <w:rPr>
          <w:rFonts w:ascii="Arial" w:hAnsi="Arial" w:cs="Arial"/>
        </w:rPr>
        <w:t>Conclusion</w:t>
      </w:r>
    </w:p>
    <w:p w14:paraId="1073F4D9" w14:textId="77777777" w:rsidR="00790ADA" w:rsidRPr="000D271B" w:rsidRDefault="00790ADA" w:rsidP="00441B6F">
      <w:pPr>
        <w:pStyle w:val="ConcHead"/>
        <w:spacing w:after="0"/>
        <w:jc w:val="both"/>
        <w:rPr>
          <w:rFonts w:ascii="Arial" w:hAnsi="Arial" w:cs="Arial"/>
        </w:rPr>
      </w:pPr>
    </w:p>
    <w:p w14:paraId="0C803851" w14:textId="77777777" w:rsidR="00290A78" w:rsidRPr="00573231" w:rsidRDefault="00290A78" w:rsidP="00573231">
      <w:pPr>
        <w:jc w:val="both"/>
        <w:rPr>
          <w:rFonts w:ascii="Arial" w:hAnsi="Arial" w:cs="Arial"/>
          <w:sz w:val="22"/>
          <w:szCs w:val="22"/>
        </w:rPr>
      </w:pPr>
      <w:r w:rsidRPr="00573231">
        <w:rPr>
          <w:rFonts w:ascii="Arial" w:hAnsi="Arial" w:cs="Arial"/>
          <w:sz w:val="22"/>
          <w:szCs w:val="22"/>
        </w:rPr>
        <w:t>Risk stratification tools based on hybrid models may be utilized to prioritize follow-up and allocate resources effectively. We suggest enhancing antenatal care (ANC), complication, emergency transportation, and financial safeguards to reduce postpartum hemorrhage risks.</w:t>
      </w:r>
    </w:p>
    <w:p w14:paraId="2DFD3ABE" w14:textId="77777777" w:rsidR="00290A78" w:rsidRDefault="00290A78" w:rsidP="00290A78">
      <w:pPr>
        <w:jc w:val="both"/>
        <w:rPr>
          <w:rFonts w:ascii="Arial" w:hAnsi="Arial" w:cs="Arial"/>
          <w:sz w:val="22"/>
          <w:szCs w:val="22"/>
        </w:rPr>
      </w:pPr>
      <w:r w:rsidRPr="00573231">
        <w:rPr>
          <w:rFonts w:ascii="Arial" w:hAnsi="Arial" w:cs="Arial"/>
          <w:sz w:val="22"/>
          <w:szCs w:val="22"/>
        </w:rPr>
        <w:t xml:space="preserve">Unintended pregnancy is prevalent among women in Ghana, with various factors such as maternal age, education, employment, parity, religion, ethnicity, household </w:t>
      </w:r>
      <w:r w:rsidRPr="00573231">
        <w:rPr>
          <w:rFonts w:ascii="Arial" w:hAnsi="Arial" w:cs="Arial"/>
          <w:sz w:val="22"/>
          <w:szCs w:val="22"/>
        </w:rPr>
        <w:lastRenderedPageBreak/>
        <w:t>size, household head’s sex, wealth index, and region playing a significant role. To address this issue, it is crucial to implement comprehensive reproductive health education programs targeting women of reproductive age across diverse socio-economic groups. The government, through the Ministry of Health, should ensure equitable access to contraceptive services by strengthening family planning clinics and outreach programs. Empowering women through educational and economic initiatives is essential, along with community engagement, to address cultural norms and beliefs related to family planning and unintended pregnancy. Strengthening healthcare systems to provide high-quality reproductive health services and implementing targeted interventions for vulnerable groups are necessary steps. Additionally, advocating for policies supporting reproductive rights, including access to safe abortion services, comprehensive sexuality education, and protection against gender-based violence, is crucial.</w:t>
      </w:r>
    </w:p>
    <w:p w14:paraId="303F2CF4" w14:textId="77777777" w:rsidR="009A0571" w:rsidRDefault="009A0571" w:rsidP="00290A78">
      <w:pPr>
        <w:jc w:val="both"/>
        <w:rPr>
          <w:rFonts w:ascii="Arial" w:hAnsi="Arial" w:cs="Arial"/>
          <w:sz w:val="22"/>
          <w:szCs w:val="22"/>
        </w:rPr>
      </w:pPr>
    </w:p>
    <w:p w14:paraId="41C7ACDD" w14:textId="77777777" w:rsidR="009A0571" w:rsidRDefault="009A0571" w:rsidP="00290A78">
      <w:pPr>
        <w:jc w:val="both"/>
        <w:rPr>
          <w:rFonts w:ascii="Arial" w:hAnsi="Arial" w:cs="Arial"/>
          <w:sz w:val="22"/>
          <w:szCs w:val="22"/>
        </w:rPr>
      </w:pPr>
    </w:p>
    <w:p w14:paraId="2CB0FCB7" w14:textId="77777777" w:rsidR="009A0571" w:rsidRPr="000D271B" w:rsidRDefault="009A0571" w:rsidP="009A0571">
      <w:pPr>
        <w:pStyle w:val="DefAcrHead"/>
        <w:spacing w:after="0"/>
        <w:jc w:val="both"/>
        <w:rPr>
          <w:rFonts w:ascii="Arial" w:hAnsi="Arial" w:cs="Arial"/>
        </w:rPr>
      </w:pPr>
      <w:r w:rsidRPr="000D271B">
        <w:rPr>
          <w:rFonts w:ascii="Arial" w:hAnsi="Arial" w:cs="Arial"/>
        </w:rPr>
        <w:t>Definitions, Acronyms, Abbreviations</w:t>
      </w:r>
    </w:p>
    <w:p w14:paraId="1CDBD0E6" w14:textId="77777777" w:rsidR="009A0571" w:rsidRPr="000D271B" w:rsidRDefault="009A0571" w:rsidP="009A0571">
      <w:pPr>
        <w:pStyle w:val="10Heading1"/>
        <w:spacing w:before="160" w:after="0"/>
        <w:ind w:firstLineChars="0" w:firstLine="0"/>
        <w:jc w:val="both"/>
        <w:rPr>
          <w:rFonts w:ascii="Arial" w:eastAsia="SimSun" w:hAnsi="Arial" w:cs="Arial"/>
          <w:snapToGrid w:val="0"/>
          <w:color w:val="auto"/>
          <w:kern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311"/>
      </w:tblGrid>
      <w:tr w:rsidR="009A0571" w:rsidRPr="000D271B" w14:paraId="15B4735A" w14:textId="77777777" w:rsidTr="00015A26">
        <w:tc>
          <w:tcPr>
            <w:tcW w:w="5395" w:type="dxa"/>
          </w:tcPr>
          <w:p w14:paraId="37E9C7EB"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CI</w:t>
            </w:r>
          </w:p>
        </w:tc>
        <w:tc>
          <w:tcPr>
            <w:tcW w:w="5395" w:type="dxa"/>
          </w:tcPr>
          <w:p w14:paraId="1EA75D56"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Confidence Interval</w:t>
            </w:r>
          </w:p>
        </w:tc>
      </w:tr>
      <w:tr w:rsidR="009A0571" w:rsidRPr="000D271B" w14:paraId="123CEF52" w14:textId="77777777" w:rsidTr="00015A26">
        <w:tc>
          <w:tcPr>
            <w:tcW w:w="5395" w:type="dxa"/>
          </w:tcPr>
          <w:p w14:paraId="46BA05A2"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OR</w:t>
            </w:r>
          </w:p>
        </w:tc>
        <w:tc>
          <w:tcPr>
            <w:tcW w:w="5395" w:type="dxa"/>
          </w:tcPr>
          <w:p w14:paraId="6976EBB2"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Odds Ratio</w:t>
            </w:r>
          </w:p>
        </w:tc>
      </w:tr>
      <w:tr w:rsidR="009A0571" w:rsidRPr="000D271B" w14:paraId="2A0A89AF" w14:textId="77777777" w:rsidTr="00015A26">
        <w:tc>
          <w:tcPr>
            <w:tcW w:w="5395" w:type="dxa"/>
          </w:tcPr>
          <w:p w14:paraId="46B5E698"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SD</w:t>
            </w:r>
          </w:p>
        </w:tc>
        <w:tc>
          <w:tcPr>
            <w:tcW w:w="5395" w:type="dxa"/>
          </w:tcPr>
          <w:p w14:paraId="4B5C2BD6"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Standard Deviation</w:t>
            </w:r>
          </w:p>
        </w:tc>
      </w:tr>
      <w:tr w:rsidR="009A0571" w:rsidRPr="000D271B" w14:paraId="71E19626" w14:textId="77777777" w:rsidTr="00015A26">
        <w:tc>
          <w:tcPr>
            <w:tcW w:w="5395" w:type="dxa"/>
          </w:tcPr>
          <w:p w14:paraId="7150C95A"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WHO</w:t>
            </w:r>
          </w:p>
        </w:tc>
        <w:tc>
          <w:tcPr>
            <w:tcW w:w="5395" w:type="dxa"/>
          </w:tcPr>
          <w:p w14:paraId="4349662D"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World Health Organization</w:t>
            </w:r>
          </w:p>
        </w:tc>
      </w:tr>
      <w:tr w:rsidR="009A0571" w:rsidRPr="000D271B" w14:paraId="512FEF38" w14:textId="77777777" w:rsidTr="00015A26">
        <w:tc>
          <w:tcPr>
            <w:tcW w:w="5395" w:type="dxa"/>
          </w:tcPr>
          <w:p w14:paraId="764A2CC8"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PPH</w:t>
            </w:r>
          </w:p>
        </w:tc>
        <w:tc>
          <w:tcPr>
            <w:tcW w:w="5395" w:type="dxa"/>
          </w:tcPr>
          <w:p w14:paraId="16A4F3F6"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Postpartum Hemorrhage</w:t>
            </w:r>
          </w:p>
        </w:tc>
      </w:tr>
      <w:tr w:rsidR="009A0571" w:rsidRPr="000D271B" w14:paraId="58C6F215" w14:textId="77777777" w:rsidTr="00015A26">
        <w:tc>
          <w:tcPr>
            <w:tcW w:w="5395" w:type="dxa"/>
          </w:tcPr>
          <w:p w14:paraId="36F922CB"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PE</w:t>
            </w:r>
          </w:p>
        </w:tc>
        <w:tc>
          <w:tcPr>
            <w:tcW w:w="5395" w:type="dxa"/>
          </w:tcPr>
          <w:p w14:paraId="0EB88B5C" w14:textId="77777777" w:rsidR="009A0571" w:rsidRPr="000D271B" w:rsidRDefault="009A0571" w:rsidP="00015A26">
            <w:pPr>
              <w:jc w:val="both"/>
              <w:rPr>
                <w:rFonts w:ascii="Arial" w:hAnsi="Arial" w:cs="Arial"/>
                <w:sz w:val="20"/>
                <w:szCs w:val="20"/>
              </w:rPr>
            </w:pPr>
            <w:r w:rsidRPr="000D271B">
              <w:rPr>
                <w:rFonts w:ascii="Arial" w:hAnsi="Arial" w:cs="Arial"/>
                <w:sz w:val="20"/>
                <w:szCs w:val="20"/>
              </w:rPr>
              <w:t>Preeclampsia</w:t>
            </w:r>
          </w:p>
        </w:tc>
      </w:tr>
    </w:tbl>
    <w:p w14:paraId="6341E92B" w14:textId="77777777" w:rsidR="009A0571" w:rsidRPr="000D271B" w:rsidRDefault="009A0571" w:rsidP="009A0571">
      <w:pPr>
        <w:pStyle w:val="Body"/>
        <w:spacing w:after="0"/>
        <w:rPr>
          <w:rFonts w:ascii="Arial" w:hAnsi="Arial" w:cs="Arial"/>
        </w:rPr>
      </w:pPr>
    </w:p>
    <w:p w14:paraId="729AF2C8" w14:textId="77777777" w:rsidR="009A0571" w:rsidRPr="000D271B" w:rsidRDefault="009A0571" w:rsidP="009A0571">
      <w:pPr>
        <w:pStyle w:val="Appendix"/>
        <w:spacing w:after="0"/>
        <w:jc w:val="both"/>
        <w:rPr>
          <w:rFonts w:ascii="Arial" w:hAnsi="Arial" w:cs="Arial"/>
          <w:b w:val="0"/>
        </w:rPr>
        <w:sectPr w:rsidR="009A0571" w:rsidRPr="000D271B" w:rsidSect="0086149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8BD7118" w14:textId="77777777" w:rsidR="009A0571" w:rsidRPr="00573231" w:rsidRDefault="009A0571" w:rsidP="00290A78">
      <w:pPr>
        <w:jc w:val="both"/>
        <w:rPr>
          <w:rFonts w:ascii="Arial" w:hAnsi="Arial" w:cs="Arial"/>
          <w:sz w:val="22"/>
          <w:szCs w:val="22"/>
        </w:rPr>
      </w:pPr>
    </w:p>
    <w:p w14:paraId="04C75BB5" w14:textId="77777777" w:rsidR="00290A78" w:rsidRPr="000D271B" w:rsidRDefault="00290A78" w:rsidP="00441B6F">
      <w:pPr>
        <w:pStyle w:val="AcknHead"/>
        <w:spacing w:after="0"/>
        <w:jc w:val="both"/>
        <w:rPr>
          <w:rFonts w:ascii="Arial" w:hAnsi="Arial" w:cs="Arial"/>
        </w:rPr>
      </w:pPr>
    </w:p>
    <w:p w14:paraId="53329B15" w14:textId="77777777" w:rsidR="00860000" w:rsidRPr="000D271B" w:rsidRDefault="00860000" w:rsidP="00441B6F">
      <w:pPr>
        <w:pStyle w:val="ReferHead"/>
        <w:spacing w:after="0"/>
        <w:jc w:val="both"/>
        <w:rPr>
          <w:rFonts w:ascii="Arial" w:hAnsi="Arial" w:cs="Arial"/>
        </w:rPr>
      </w:pPr>
    </w:p>
    <w:p w14:paraId="57746492" w14:textId="77777777" w:rsidR="00B01FCD" w:rsidRPr="000D271B" w:rsidRDefault="00B01FCD" w:rsidP="00441B6F">
      <w:pPr>
        <w:pStyle w:val="ReferHead"/>
        <w:spacing w:after="0"/>
        <w:jc w:val="both"/>
        <w:rPr>
          <w:rFonts w:ascii="Arial" w:hAnsi="Arial" w:cs="Arial"/>
        </w:rPr>
      </w:pPr>
      <w:r w:rsidRPr="000D271B">
        <w:rPr>
          <w:rFonts w:ascii="Arial" w:hAnsi="Arial" w:cs="Arial"/>
        </w:rPr>
        <w:t>References</w:t>
      </w:r>
    </w:p>
    <w:p w14:paraId="27431D1E" w14:textId="77777777" w:rsidR="00790ADA" w:rsidRPr="000D271B" w:rsidRDefault="00790ADA" w:rsidP="00441B6F">
      <w:pPr>
        <w:pStyle w:val="ReferHead"/>
        <w:spacing w:after="0"/>
        <w:jc w:val="both"/>
        <w:rPr>
          <w:rFonts w:ascii="Arial" w:hAnsi="Arial" w:cs="Arial"/>
        </w:rPr>
      </w:pPr>
    </w:p>
    <w:p w14:paraId="3BDE6A7D" w14:textId="7777777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Wang, Y., Liu, C., Sun, Y., Yuan, Y., &amp; Chen, L. (2025). The mediating role of coping style in the relationship between fear of childbirth and psychological birth trauma among natural childbirth women in China: a structural equation model analysis.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 xml:space="preserve">(1). </w:t>
      </w:r>
      <w:hyperlink r:id="rId24" w:history="1">
        <w:r w:rsidRPr="00573231">
          <w:rPr>
            <w:rStyle w:val="Hyperlink"/>
            <w:rFonts w:ascii="Arial" w:hAnsi="Arial" w:cs="Arial"/>
            <w:sz w:val="22"/>
            <w:szCs w:val="22"/>
          </w:rPr>
          <w:t>https://doi.org/10.1186/s12884-025-07146-6</w:t>
        </w:r>
      </w:hyperlink>
    </w:p>
    <w:p w14:paraId="2293CF9B" w14:textId="77777777" w:rsidR="001475BF" w:rsidRPr="00573231" w:rsidRDefault="001475BF" w:rsidP="001475BF">
      <w:pPr>
        <w:jc w:val="both"/>
        <w:rPr>
          <w:rFonts w:ascii="Arial" w:hAnsi="Arial" w:cs="Arial"/>
          <w:sz w:val="22"/>
          <w:szCs w:val="22"/>
        </w:rPr>
      </w:pPr>
    </w:p>
    <w:p w14:paraId="5EA80CD5" w14:textId="4B7BC2E4"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World Health Organization. (2025, April 7). </w:t>
      </w:r>
      <w:r w:rsidRPr="00573231">
        <w:rPr>
          <w:rFonts w:ascii="Arial" w:hAnsi="Arial" w:cs="Arial"/>
          <w:i/>
          <w:iCs/>
          <w:sz w:val="22"/>
          <w:szCs w:val="22"/>
        </w:rPr>
        <w:t>Maternal mortality</w:t>
      </w:r>
      <w:r w:rsidRPr="00573231">
        <w:rPr>
          <w:rFonts w:ascii="Arial" w:hAnsi="Arial" w:cs="Arial"/>
          <w:sz w:val="22"/>
          <w:szCs w:val="22"/>
        </w:rPr>
        <w:t xml:space="preserve">. World Health Organization. </w:t>
      </w:r>
      <w:hyperlink r:id="rId25" w:history="1">
        <w:r w:rsidRPr="00573231">
          <w:rPr>
            <w:rStyle w:val="Hyperlink"/>
            <w:rFonts w:ascii="Arial" w:hAnsi="Arial" w:cs="Arial"/>
            <w:sz w:val="22"/>
            <w:szCs w:val="22"/>
          </w:rPr>
          <w:t>https://www.who.int/news-room/fact-sheets/detail/maternal-mortality</w:t>
        </w:r>
      </w:hyperlink>
    </w:p>
    <w:p w14:paraId="0D19FB1F" w14:textId="77777777" w:rsidR="001475BF" w:rsidRPr="00573231" w:rsidRDefault="001475BF" w:rsidP="001475BF">
      <w:pPr>
        <w:jc w:val="both"/>
        <w:rPr>
          <w:rFonts w:ascii="Arial" w:hAnsi="Arial" w:cs="Arial"/>
          <w:sz w:val="22"/>
          <w:szCs w:val="22"/>
        </w:rPr>
      </w:pPr>
    </w:p>
    <w:p w14:paraId="700135E5" w14:textId="76FD5A69"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Edyedu</w:t>
      </w:r>
      <w:proofErr w:type="spellEnd"/>
      <w:r w:rsidRPr="00573231">
        <w:rPr>
          <w:rFonts w:ascii="Arial" w:hAnsi="Arial" w:cs="Arial"/>
          <w:sz w:val="22"/>
          <w:szCs w:val="22"/>
        </w:rPr>
        <w:t xml:space="preserve">, I., Ugwu, O. P. C., Ugwu, C. N., Alum, E. U., Eze, V. H. U., </w:t>
      </w:r>
      <w:proofErr w:type="spellStart"/>
      <w:r w:rsidRPr="00573231">
        <w:rPr>
          <w:rFonts w:ascii="Arial" w:hAnsi="Arial" w:cs="Arial"/>
          <w:sz w:val="22"/>
          <w:szCs w:val="22"/>
        </w:rPr>
        <w:t>Basajja</w:t>
      </w:r>
      <w:proofErr w:type="spellEnd"/>
      <w:r w:rsidRPr="00573231">
        <w:rPr>
          <w:rFonts w:ascii="Arial" w:hAnsi="Arial" w:cs="Arial"/>
          <w:sz w:val="22"/>
          <w:szCs w:val="22"/>
        </w:rPr>
        <w:t xml:space="preserve">, M., ... &amp; Aja, P. M. (2025). The role of pharmacological interventions in managing urological complications during pregnancy and childbirth: A review. </w:t>
      </w:r>
      <w:r w:rsidRPr="00573231">
        <w:rPr>
          <w:rFonts w:ascii="Arial" w:hAnsi="Arial" w:cs="Arial"/>
          <w:i/>
          <w:iCs/>
          <w:sz w:val="22"/>
          <w:szCs w:val="22"/>
        </w:rPr>
        <w:t>Medicine</w:t>
      </w:r>
      <w:r w:rsidRPr="00573231">
        <w:rPr>
          <w:rFonts w:ascii="Arial" w:hAnsi="Arial" w:cs="Arial"/>
          <w:sz w:val="22"/>
          <w:szCs w:val="22"/>
        </w:rPr>
        <w:t xml:space="preserve">, </w:t>
      </w:r>
      <w:r w:rsidRPr="00573231">
        <w:rPr>
          <w:rFonts w:ascii="Arial" w:hAnsi="Arial" w:cs="Arial"/>
          <w:i/>
          <w:iCs/>
          <w:sz w:val="22"/>
          <w:szCs w:val="22"/>
        </w:rPr>
        <w:t>104</w:t>
      </w:r>
      <w:r w:rsidRPr="00573231">
        <w:rPr>
          <w:rFonts w:ascii="Arial" w:hAnsi="Arial" w:cs="Arial"/>
          <w:sz w:val="22"/>
          <w:szCs w:val="22"/>
        </w:rPr>
        <w:t>(7), e41381.</w:t>
      </w:r>
    </w:p>
    <w:p w14:paraId="51CC200D" w14:textId="77777777" w:rsidR="00E236FB" w:rsidRPr="00573231" w:rsidRDefault="00E236FB" w:rsidP="001475BF">
      <w:pPr>
        <w:jc w:val="both"/>
        <w:rPr>
          <w:rFonts w:ascii="Arial" w:hAnsi="Arial" w:cs="Arial"/>
          <w:sz w:val="22"/>
          <w:szCs w:val="22"/>
        </w:rPr>
      </w:pPr>
    </w:p>
    <w:p w14:paraId="797D8F52" w14:textId="50A3D139"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Mohammed, S., </w:t>
      </w:r>
      <w:proofErr w:type="spellStart"/>
      <w:r w:rsidRPr="00573231">
        <w:rPr>
          <w:rFonts w:ascii="Arial" w:hAnsi="Arial" w:cs="Arial"/>
          <w:sz w:val="22"/>
          <w:szCs w:val="22"/>
        </w:rPr>
        <w:t>Lokubal</w:t>
      </w:r>
      <w:proofErr w:type="spellEnd"/>
      <w:r w:rsidRPr="00573231">
        <w:rPr>
          <w:rFonts w:ascii="Arial" w:hAnsi="Arial" w:cs="Arial"/>
          <w:sz w:val="22"/>
          <w:szCs w:val="22"/>
        </w:rPr>
        <w:t xml:space="preserve">, P., &amp; Ackah Baafi, J. A. (2025). Intimate partner violence during pregnancy and its association with pregnancy and childbirth complications: A prospective cohort study. </w:t>
      </w:r>
      <w:r w:rsidRPr="00573231">
        <w:rPr>
          <w:rFonts w:ascii="Arial" w:hAnsi="Arial" w:cs="Arial"/>
          <w:i/>
          <w:iCs/>
          <w:sz w:val="22"/>
          <w:szCs w:val="22"/>
        </w:rPr>
        <w:t>PLOS Global Public Health</w:t>
      </w:r>
      <w:r w:rsidRPr="00573231">
        <w:rPr>
          <w:rFonts w:ascii="Arial" w:hAnsi="Arial" w:cs="Arial"/>
          <w:sz w:val="22"/>
          <w:szCs w:val="22"/>
        </w:rPr>
        <w:t xml:space="preserve">, </w:t>
      </w:r>
      <w:r w:rsidRPr="00573231">
        <w:rPr>
          <w:rFonts w:ascii="Arial" w:hAnsi="Arial" w:cs="Arial"/>
          <w:i/>
          <w:iCs/>
          <w:sz w:val="22"/>
          <w:szCs w:val="22"/>
        </w:rPr>
        <w:t>5</w:t>
      </w:r>
      <w:r w:rsidRPr="00573231">
        <w:rPr>
          <w:rFonts w:ascii="Arial" w:hAnsi="Arial" w:cs="Arial"/>
          <w:sz w:val="22"/>
          <w:szCs w:val="22"/>
        </w:rPr>
        <w:t>(4), e0004311.</w:t>
      </w:r>
    </w:p>
    <w:p w14:paraId="445112DB" w14:textId="77777777" w:rsidR="00E236FB" w:rsidRPr="00573231" w:rsidRDefault="00E236FB" w:rsidP="001475BF">
      <w:pPr>
        <w:jc w:val="both"/>
        <w:rPr>
          <w:rFonts w:ascii="Arial" w:hAnsi="Arial" w:cs="Arial"/>
          <w:sz w:val="22"/>
          <w:szCs w:val="22"/>
        </w:rPr>
      </w:pPr>
    </w:p>
    <w:p w14:paraId="60F023D0" w14:textId="25CDA256"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Contreras-García, M., Torres-Lacomba, M., Durán-Sierra, S., &amp; Sarabia-Cobo, C. Reducing Worry and Enhancing Knowledge in Relation to Pregnancy and Childbirth Complications: Impact of an Online Antenatal Education Session. </w:t>
      </w:r>
      <w:r w:rsidRPr="00573231">
        <w:rPr>
          <w:rFonts w:ascii="Arial" w:hAnsi="Arial" w:cs="Arial"/>
          <w:i/>
          <w:iCs/>
          <w:sz w:val="22"/>
          <w:szCs w:val="22"/>
        </w:rPr>
        <w:t>Available at SSRN 5281023</w:t>
      </w:r>
      <w:r w:rsidRPr="00573231">
        <w:rPr>
          <w:rFonts w:ascii="Arial" w:hAnsi="Arial" w:cs="Arial"/>
          <w:sz w:val="22"/>
          <w:szCs w:val="22"/>
        </w:rPr>
        <w:t>.</w:t>
      </w:r>
    </w:p>
    <w:p w14:paraId="2404E85A" w14:textId="77777777" w:rsidR="00E236FB" w:rsidRPr="00573231" w:rsidRDefault="00E236FB" w:rsidP="001475BF">
      <w:pPr>
        <w:jc w:val="both"/>
        <w:rPr>
          <w:rFonts w:ascii="Arial" w:hAnsi="Arial" w:cs="Arial"/>
          <w:sz w:val="22"/>
          <w:szCs w:val="22"/>
        </w:rPr>
      </w:pPr>
    </w:p>
    <w:p w14:paraId="779AD978" w14:textId="44A0F60C" w:rsidR="001475BF" w:rsidRPr="00573231" w:rsidRDefault="001475BF" w:rsidP="001475BF">
      <w:pPr>
        <w:jc w:val="both"/>
        <w:rPr>
          <w:rFonts w:ascii="Arial" w:hAnsi="Arial" w:cs="Arial"/>
          <w:sz w:val="22"/>
          <w:szCs w:val="22"/>
        </w:rPr>
      </w:pPr>
      <w:r w:rsidRPr="00573231">
        <w:rPr>
          <w:rFonts w:ascii="Arial" w:hAnsi="Arial" w:cs="Arial"/>
          <w:sz w:val="22"/>
          <w:szCs w:val="22"/>
        </w:rPr>
        <w:lastRenderedPageBreak/>
        <w:t xml:space="preserve">Geremew, A. B., Roberts, C. T., Kassa, B. G., Ullah, S., &amp; Stephens, J. H. (2025). Exploring evidence of healthcare-seeking pathways for maternal complications in Sub-Saharan Africa: a scoping review.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(1), 634.</w:t>
      </w:r>
    </w:p>
    <w:p w14:paraId="1DA3E9C1" w14:textId="77777777" w:rsidR="00E236FB" w:rsidRPr="00573231" w:rsidRDefault="00E236FB" w:rsidP="001475BF">
      <w:pPr>
        <w:jc w:val="both"/>
        <w:rPr>
          <w:rFonts w:ascii="Arial" w:hAnsi="Arial" w:cs="Arial"/>
          <w:sz w:val="22"/>
          <w:szCs w:val="22"/>
        </w:rPr>
      </w:pPr>
    </w:p>
    <w:p w14:paraId="0A95DAEA" w14:textId="745C29A6"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Geremew, A. B., Roberts, C. T., Ullah, S., &amp; Stephens, J. H. (2025). Healthcare-Seeking </w:t>
      </w:r>
      <w:proofErr w:type="spellStart"/>
      <w:r w:rsidRPr="00573231">
        <w:rPr>
          <w:rFonts w:ascii="Arial" w:hAnsi="Arial" w:cs="Arial"/>
          <w:sz w:val="22"/>
          <w:szCs w:val="22"/>
        </w:rPr>
        <w:t>Behaviour</w:t>
      </w:r>
      <w:proofErr w:type="spellEnd"/>
      <w:r w:rsidRPr="00573231">
        <w:rPr>
          <w:rFonts w:ascii="Arial" w:hAnsi="Arial" w:cs="Arial"/>
          <w:sz w:val="22"/>
          <w:szCs w:val="22"/>
        </w:rPr>
        <w:t xml:space="preserve"> for Obstetric Complications in Ethiopia: A Multilevel Mixed-Effect Analysis. </w:t>
      </w:r>
      <w:r w:rsidRPr="00573231">
        <w:rPr>
          <w:rFonts w:ascii="Arial" w:hAnsi="Arial" w:cs="Arial"/>
          <w:i/>
          <w:iCs/>
          <w:sz w:val="22"/>
          <w:szCs w:val="22"/>
        </w:rPr>
        <w:t>Health Services Insights</w:t>
      </w:r>
      <w:r w:rsidRPr="00573231">
        <w:rPr>
          <w:rFonts w:ascii="Arial" w:hAnsi="Arial" w:cs="Arial"/>
          <w:sz w:val="22"/>
          <w:szCs w:val="22"/>
        </w:rPr>
        <w:t xml:space="preserve">, </w:t>
      </w:r>
      <w:r w:rsidRPr="00573231">
        <w:rPr>
          <w:rFonts w:ascii="Arial" w:hAnsi="Arial" w:cs="Arial"/>
          <w:i/>
          <w:iCs/>
          <w:sz w:val="22"/>
          <w:szCs w:val="22"/>
        </w:rPr>
        <w:t>18</w:t>
      </w:r>
      <w:r w:rsidRPr="00573231">
        <w:rPr>
          <w:rFonts w:ascii="Arial" w:hAnsi="Arial" w:cs="Arial"/>
          <w:sz w:val="22"/>
          <w:szCs w:val="22"/>
        </w:rPr>
        <w:t>, 11786329251347353.</w:t>
      </w:r>
    </w:p>
    <w:p w14:paraId="3E54129A" w14:textId="77777777" w:rsidR="00E236FB" w:rsidRPr="00573231" w:rsidRDefault="00E236FB" w:rsidP="001475BF">
      <w:pPr>
        <w:jc w:val="both"/>
        <w:rPr>
          <w:rFonts w:ascii="Arial" w:hAnsi="Arial" w:cs="Arial"/>
          <w:sz w:val="22"/>
          <w:szCs w:val="22"/>
        </w:rPr>
      </w:pPr>
    </w:p>
    <w:p w14:paraId="31FC0279" w14:textId="4BE8D584"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Budiarti, K. D., </w:t>
      </w:r>
      <w:proofErr w:type="spellStart"/>
      <w:r w:rsidRPr="00573231">
        <w:rPr>
          <w:rFonts w:ascii="Arial" w:hAnsi="Arial" w:cs="Arial"/>
          <w:sz w:val="22"/>
          <w:szCs w:val="22"/>
        </w:rPr>
        <w:t>Sulliyawati</w:t>
      </w:r>
      <w:proofErr w:type="spellEnd"/>
      <w:r w:rsidRPr="00573231">
        <w:rPr>
          <w:rFonts w:ascii="Arial" w:hAnsi="Arial" w:cs="Arial"/>
          <w:sz w:val="22"/>
          <w:szCs w:val="22"/>
        </w:rPr>
        <w:t xml:space="preserve">, E., </w:t>
      </w:r>
      <w:proofErr w:type="spellStart"/>
      <w:r w:rsidRPr="00573231">
        <w:rPr>
          <w:rFonts w:ascii="Arial" w:hAnsi="Arial" w:cs="Arial"/>
          <w:sz w:val="22"/>
          <w:szCs w:val="22"/>
        </w:rPr>
        <w:t>Sulastin</w:t>
      </w:r>
      <w:proofErr w:type="spellEnd"/>
      <w:r w:rsidRPr="00573231">
        <w:rPr>
          <w:rFonts w:ascii="Arial" w:hAnsi="Arial" w:cs="Arial"/>
          <w:sz w:val="22"/>
          <w:szCs w:val="22"/>
        </w:rPr>
        <w:t xml:space="preserve">, S., &amp; Badriyah, S. (2025). Effect of the Antenatal Care Group Model on Childbirth Preparedness among Pregnant Women: A Quasi-Experimental Study. </w:t>
      </w:r>
      <w:r w:rsidRPr="00573231">
        <w:rPr>
          <w:rFonts w:ascii="Arial" w:hAnsi="Arial" w:cs="Arial"/>
          <w:i/>
          <w:iCs/>
          <w:sz w:val="22"/>
          <w:szCs w:val="22"/>
        </w:rPr>
        <w:t>Journal of Applied Nursing and Health</w:t>
      </w:r>
      <w:r w:rsidRPr="00573231">
        <w:rPr>
          <w:rFonts w:ascii="Arial" w:hAnsi="Arial" w:cs="Arial"/>
          <w:sz w:val="22"/>
          <w:szCs w:val="22"/>
        </w:rPr>
        <w:t xml:space="preserve">, </w:t>
      </w:r>
      <w:r w:rsidRPr="00573231">
        <w:rPr>
          <w:rFonts w:ascii="Arial" w:hAnsi="Arial" w:cs="Arial"/>
          <w:i/>
          <w:iCs/>
          <w:sz w:val="22"/>
          <w:szCs w:val="22"/>
        </w:rPr>
        <w:t>7</w:t>
      </w:r>
      <w:r w:rsidRPr="00573231">
        <w:rPr>
          <w:rFonts w:ascii="Arial" w:hAnsi="Arial" w:cs="Arial"/>
          <w:sz w:val="22"/>
          <w:szCs w:val="22"/>
        </w:rPr>
        <w:t>(3), 582-594.</w:t>
      </w:r>
    </w:p>
    <w:p w14:paraId="64605675" w14:textId="77777777" w:rsidR="00E236FB" w:rsidRPr="00573231" w:rsidRDefault="00E236FB" w:rsidP="001475BF">
      <w:pPr>
        <w:jc w:val="both"/>
        <w:rPr>
          <w:rFonts w:ascii="Arial" w:hAnsi="Arial" w:cs="Arial"/>
          <w:sz w:val="22"/>
          <w:szCs w:val="22"/>
        </w:rPr>
      </w:pPr>
    </w:p>
    <w:p w14:paraId="2BF7B007" w14:textId="450D557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Oladebo, T. M., Bobholz, F., Zahra, T. A., </w:t>
      </w:r>
      <w:proofErr w:type="spellStart"/>
      <w:r w:rsidRPr="00573231">
        <w:rPr>
          <w:rFonts w:ascii="Arial" w:hAnsi="Arial" w:cs="Arial"/>
          <w:sz w:val="22"/>
          <w:szCs w:val="22"/>
        </w:rPr>
        <w:t>Payjapo</w:t>
      </w:r>
      <w:proofErr w:type="spellEnd"/>
      <w:r w:rsidRPr="00573231">
        <w:rPr>
          <w:rFonts w:ascii="Arial" w:hAnsi="Arial" w:cs="Arial"/>
          <w:sz w:val="22"/>
          <w:szCs w:val="22"/>
        </w:rPr>
        <w:t>, C., &amp; Anderson, A. A. (2025). Complications in Pregnancy and Childbirth: Analysis of Comments From the 2020–2021 Wisconsin Pregnancy Risk Assessment Monitoring System (PRAMS</w:t>
      </w:r>
      <w:proofErr w:type="gramStart"/>
      <w:r w:rsidRPr="00573231">
        <w:rPr>
          <w:rFonts w:ascii="Arial" w:hAnsi="Arial" w:cs="Arial"/>
          <w:sz w:val="22"/>
          <w:szCs w:val="22"/>
        </w:rPr>
        <w:t>)[</w:t>
      </w:r>
      <w:proofErr w:type="gramEnd"/>
      <w:r w:rsidRPr="00573231">
        <w:rPr>
          <w:rFonts w:ascii="Arial" w:hAnsi="Arial" w:cs="Arial"/>
          <w:sz w:val="22"/>
          <w:szCs w:val="22"/>
        </w:rPr>
        <w:t xml:space="preserve">ID 1583]. </w:t>
      </w:r>
      <w:r w:rsidRPr="00573231">
        <w:rPr>
          <w:rFonts w:ascii="Arial" w:hAnsi="Arial" w:cs="Arial"/>
          <w:i/>
          <w:iCs/>
          <w:sz w:val="22"/>
          <w:szCs w:val="22"/>
        </w:rPr>
        <w:t>Obstetrics &amp; Gynecology</w:t>
      </w:r>
      <w:r w:rsidRPr="00573231">
        <w:rPr>
          <w:rFonts w:ascii="Arial" w:hAnsi="Arial" w:cs="Arial"/>
          <w:sz w:val="22"/>
          <w:szCs w:val="22"/>
        </w:rPr>
        <w:t xml:space="preserve">, </w:t>
      </w:r>
      <w:r w:rsidRPr="00573231">
        <w:rPr>
          <w:rFonts w:ascii="Arial" w:hAnsi="Arial" w:cs="Arial"/>
          <w:i/>
          <w:iCs/>
          <w:sz w:val="22"/>
          <w:szCs w:val="22"/>
        </w:rPr>
        <w:t>145</w:t>
      </w:r>
      <w:r w:rsidRPr="00573231">
        <w:rPr>
          <w:rFonts w:ascii="Arial" w:hAnsi="Arial" w:cs="Arial"/>
          <w:sz w:val="22"/>
          <w:szCs w:val="22"/>
        </w:rPr>
        <w:t>(6S), 19S.</w:t>
      </w:r>
    </w:p>
    <w:p w14:paraId="489CF04E" w14:textId="77777777" w:rsidR="00E236FB" w:rsidRPr="00573231" w:rsidRDefault="00E236FB" w:rsidP="001475BF">
      <w:pPr>
        <w:jc w:val="both"/>
        <w:rPr>
          <w:rFonts w:ascii="Arial" w:hAnsi="Arial" w:cs="Arial"/>
          <w:sz w:val="22"/>
          <w:szCs w:val="22"/>
        </w:rPr>
      </w:pPr>
    </w:p>
    <w:p w14:paraId="5828CEBD" w14:textId="0736490B"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Jusmawati</w:t>
      </w:r>
      <w:proofErr w:type="spellEnd"/>
      <w:r w:rsidRPr="00573231">
        <w:rPr>
          <w:rFonts w:ascii="Arial" w:hAnsi="Arial" w:cs="Arial"/>
          <w:sz w:val="22"/>
          <w:szCs w:val="22"/>
        </w:rPr>
        <w:t xml:space="preserve">, J., &amp; </w:t>
      </w:r>
      <w:proofErr w:type="spellStart"/>
      <w:r w:rsidRPr="00573231">
        <w:rPr>
          <w:rFonts w:ascii="Arial" w:hAnsi="Arial" w:cs="Arial"/>
          <w:sz w:val="22"/>
          <w:szCs w:val="22"/>
        </w:rPr>
        <w:t>Hasrida</w:t>
      </w:r>
      <w:proofErr w:type="spellEnd"/>
      <w:r w:rsidRPr="00573231">
        <w:rPr>
          <w:rFonts w:ascii="Arial" w:hAnsi="Arial" w:cs="Arial"/>
          <w:sz w:val="22"/>
          <w:szCs w:val="22"/>
        </w:rPr>
        <w:t xml:space="preserve">, H. (2025). Counseling on compliance with antenatal care visits for preventing delivery complications at </w:t>
      </w:r>
      <w:proofErr w:type="spellStart"/>
      <w:r w:rsidRPr="00573231">
        <w:rPr>
          <w:rFonts w:ascii="Arial" w:hAnsi="Arial" w:cs="Arial"/>
          <w:sz w:val="22"/>
          <w:szCs w:val="22"/>
        </w:rPr>
        <w:t>bira</w:t>
      </w:r>
      <w:proofErr w:type="spellEnd"/>
      <w:r w:rsidRPr="00573231">
        <w:rPr>
          <w:rFonts w:ascii="Arial" w:hAnsi="Arial" w:cs="Arial"/>
          <w:sz w:val="22"/>
          <w:szCs w:val="22"/>
        </w:rPr>
        <w:t xml:space="preserve"> health center 2024. </w:t>
      </w:r>
      <w:r w:rsidRPr="00573231">
        <w:rPr>
          <w:rFonts w:ascii="Arial" w:hAnsi="Arial" w:cs="Arial"/>
          <w:i/>
          <w:iCs/>
          <w:sz w:val="22"/>
          <w:szCs w:val="22"/>
        </w:rPr>
        <w:t>Journal of Evidence-Based Community Health</w:t>
      </w:r>
      <w:r w:rsidRPr="00573231">
        <w:rPr>
          <w:rFonts w:ascii="Arial" w:hAnsi="Arial" w:cs="Arial"/>
          <w:sz w:val="22"/>
          <w:szCs w:val="22"/>
        </w:rPr>
        <w:t xml:space="preserve">, </w:t>
      </w:r>
      <w:r w:rsidRPr="00573231">
        <w:rPr>
          <w:rFonts w:ascii="Arial" w:hAnsi="Arial" w:cs="Arial"/>
          <w:i/>
          <w:iCs/>
          <w:sz w:val="22"/>
          <w:szCs w:val="22"/>
        </w:rPr>
        <w:t>2</w:t>
      </w:r>
      <w:r w:rsidRPr="00573231">
        <w:rPr>
          <w:rFonts w:ascii="Arial" w:hAnsi="Arial" w:cs="Arial"/>
          <w:sz w:val="22"/>
          <w:szCs w:val="22"/>
        </w:rPr>
        <w:t>(1), 15-18.</w:t>
      </w:r>
    </w:p>
    <w:p w14:paraId="597A8D66" w14:textId="77777777" w:rsidR="00E236FB" w:rsidRPr="00573231" w:rsidRDefault="00E236FB" w:rsidP="001475BF">
      <w:pPr>
        <w:jc w:val="both"/>
        <w:rPr>
          <w:rFonts w:ascii="Arial" w:hAnsi="Arial" w:cs="Arial"/>
          <w:sz w:val="22"/>
          <w:szCs w:val="22"/>
        </w:rPr>
      </w:pPr>
    </w:p>
    <w:p w14:paraId="30900C77" w14:textId="0F768A70"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Wahyuni, S., Razak, D. S., </w:t>
      </w:r>
      <w:proofErr w:type="spellStart"/>
      <w:r w:rsidRPr="00573231">
        <w:rPr>
          <w:rFonts w:ascii="Arial" w:hAnsi="Arial" w:cs="Arial"/>
          <w:sz w:val="22"/>
          <w:szCs w:val="22"/>
        </w:rPr>
        <w:t>Saputri</w:t>
      </w:r>
      <w:proofErr w:type="spellEnd"/>
      <w:r w:rsidRPr="00573231">
        <w:rPr>
          <w:rFonts w:ascii="Arial" w:hAnsi="Arial" w:cs="Arial"/>
          <w:sz w:val="22"/>
          <w:szCs w:val="22"/>
        </w:rPr>
        <w:t xml:space="preserve">, A. R., &amp; </w:t>
      </w:r>
      <w:proofErr w:type="spellStart"/>
      <w:r w:rsidRPr="00573231">
        <w:rPr>
          <w:rFonts w:ascii="Arial" w:hAnsi="Arial" w:cs="Arial"/>
          <w:sz w:val="22"/>
          <w:szCs w:val="22"/>
        </w:rPr>
        <w:t>Muzfah</w:t>
      </w:r>
      <w:proofErr w:type="spellEnd"/>
      <w:r w:rsidRPr="00573231">
        <w:rPr>
          <w:rFonts w:ascii="Arial" w:hAnsi="Arial" w:cs="Arial"/>
          <w:sz w:val="22"/>
          <w:szCs w:val="22"/>
        </w:rPr>
        <w:t xml:space="preserve">, A. W. (2025). Education and Assistance for Pregnant Women in Preparing for Safe Delivery to Reduce the Risk of Pregnancy Complications in Health Prone Areas </w:t>
      </w:r>
      <w:proofErr w:type="spellStart"/>
      <w:r w:rsidRPr="00573231">
        <w:rPr>
          <w:rFonts w:ascii="Arial" w:hAnsi="Arial" w:cs="Arial"/>
          <w:sz w:val="22"/>
          <w:szCs w:val="22"/>
        </w:rPr>
        <w:t>Trimulya</w:t>
      </w:r>
      <w:proofErr w:type="spellEnd"/>
      <w:r w:rsidRPr="00573231">
        <w:rPr>
          <w:rFonts w:ascii="Arial" w:hAnsi="Arial" w:cs="Arial"/>
          <w:sz w:val="22"/>
          <w:szCs w:val="22"/>
        </w:rPr>
        <w:t xml:space="preserve"> Village. </w:t>
      </w:r>
      <w:r w:rsidRPr="00573231">
        <w:rPr>
          <w:rFonts w:ascii="Arial" w:hAnsi="Arial" w:cs="Arial"/>
          <w:i/>
          <w:iCs/>
          <w:sz w:val="22"/>
          <w:szCs w:val="22"/>
        </w:rPr>
        <w:t>Sustainable Applied Modification Evidence Community</w:t>
      </w:r>
      <w:r w:rsidRPr="00573231">
        <w:rPr>
          <w:rFonts w:ascii="Arial" w:hAnsi="Arial" w:cs="Arial"/>
          <w:sz w:val="22"/>
          <w:szCs w:val="22"/>
        </w:rPr>
        <w:t xml:space="preserve">, </w:t>
      </w:r>
      <w:r w:rsidRPr="00573231">
        <w:rPr>
          <w:rFonts w:ascii="Arial" w:hAnsi="Arial" w:cs="Arial"/>
          <w:i/>
          <w:iCs/>
          <w:sz w:val="22"/>
          <w:szCs w:val="22"/>
        </w:rPr>
        <w:t>2</w:t>
      </w:r>
      <w:r w:rsidRPr="00573231">
        <w:rPr>
          <w:rFonts w:ascii="Arial" w:hAnsi="Arial" w:cs="Arial"/>
          <w:sz w:val="22"/>
          <w:szCs w:val="22"/>
        </w:rPr>
        <w:t>(1), 36-34.</w:t>
      </w:r>
    </w:p>
    <w:p w14:paraId="6532A13F" w14:textId="77777777" w:rsidR="00E236FB" w:rsidRPr="00573231" w:rsidRDefault="00E236FB" w:rsidP="001475BF">
      <w:pPr>
        <w:jc w:val="both"/>
        <w:rPr>
          <w:rFonts w:ascii="Arial" w:hAnsi="Arial" w:cs="Arial"/>
          <w:sz w:val="22"/>
          <w:szCs w:val="22"/>
        </w:rPr>
      </w:pPr>
    </w:p>
    <w:p w14:paraId="213B08F9" w14:textId="2BFB328D"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Gayatri N., </w:t>
      </w:r>
      <w:proofErr w:type="spellStart"/>
      <w:r w:rsidRPr="00573231">
        <w:rPr>
          <w:rFonts w:ascii="Arial" w:hAnsi="Arial" w:cs="Arial"/>
          <w:sz w:val="22"/>
          <w:szCs w:val="22"/>
        </w:rPr>
        <w:t>Peby</w:t>
      </w:r>
      <w:proofErr w:type="spellEnd"/>
      <w:r w:rsidRPr="00573231">
        <w:rPr>
          <w:rFonts w:ascii="Arial" w:hAnsi="Arial" w:cs="Arial"/>
          <w:sz w:val="22"/>
          <w:szCs w:val="22"/>
        </w:rPr>
        <w:t xml:space="preserve"> </w:t>
      </w:r>
      <w:proofErr w:type="spellStart"/>
      <w:r w:rsidRPr="00573231">
        <w:rPr>
          <w:rFonts w:ascii="Arial" w:hAnsi="Arial" w:cs="Arial"/>
          <w:sz w:val="22"/>
          <w:szCs w:val="22"/>
        </w:rPr>
        <w:t>Maulina</w:t>
      </w:r>
      <w:proofErr w:type="spellEnd"/>
      <w:r w:rsidRPr="00573231">
        <w:rPr>
          <w:rFonts w:ascii="Arial" w:hAnsi="Arial" w:cs="Arial"/>
          <w:sz w:val="22"/>
          <w:szCs w:val="22"/>
        </w:rPr>
        <w:t xml:space="preserve"> Lestari, </w:t>
      </w:r>
      <w:proofErr w:type="spellStart"/>
      <w:r w:rsidRPr="00573231">
        <w:rPr>
          <w:rFonts w:ascii="Arial" w:hAnsi="Arial" w:cs="Arial"/>
          <w:sz w:val="22"/>
          <w:szCs w:val="22"/>
        </w:rPr>
        <w:t>Abarham</w:t>
      </w:r>
      <w:proofErr w:type="spellEnd"/>
      <w:r w:rsidRPr="00573231">
        <w:rPr>
          <w:rFonts w:ascii="Arial" w:hAnsi="Arial" w:cs="Arial"/>
          <w:sz w:val="22"/>
          <w:szCs w:val="22"/>
        </w:rPr>
        <w:t xml:space="preserve"> </w:t>
      </w:r>
      <w:proofErr w:type="spellStart"/>
      <w:r w:rsidRPr="00573231">
        <w:rPr>
          <w:rFonts w:ascii="Arial" w:hAnsi="Arial" w:cs="Arial"/>
          <w:sz w:val="22"/>
          <w:szCs w:val="22"/>
        </w:rPr>
        <w:t>Martadiansyah</w:t>
      </w:r>
      <w:proofErr w:type="spellEnd"/>
      <w:r w:rsidRPr="00573231">
        <w:rPr>
          <w:rFonts w:ascii="Arial" w:hAnsi="Arial" w:cs="Arial"/>
          <w:sz w:val="22"/>
          <w:szCs w:val="22"/>
        </w:rPr>
        <w:t xml:space="preserve">, Yusuf, M., &amp; </w:t>
      </w:r>
      <w:proofErr w:type="spellStart"/>
      <w:r w:rsidRPr="00573231">
        <w:rPr>
          <w:rFonts w:ascii="Arial" w:hAnsi="Arial" w:cs="Arial"/>
          <w:sz w:val="22"/>
          <w:szCs w:val="22"/>
        </w:rPr>
        <w:t>Muwarni</w:t>
      </w:r>
      <w:proofErr w:type="spellEnd"/>
      <w:r w:rsidRPr="00573231">
        <w:rPr>
          <w:rFonts w:ascii="Arial" w:hAnsi="Arial" w:cs="Arial"/>
          <w:sz w:val="22"/>
          <w:szCs w:val="22"/>
        </w:rPr>
        <w:t xml:space="preserve"> </w:t>
      </w:r>
      <w:proofErr w:type="spellStart"/>
      <w:r w:rsidRPr="00573231">
        <w:rPr>
          <w:rFonts w:ascii="Arial" w:hAnsi="Arial" w:cs="Arial"/>
          <w:sz w:val="22"/>
          <w:szCs w:val="22"/>
        </w:rPr>
        <w:t>Emasrissa</w:t>
      </w:r>
      <w:proofErr w:type="spellEnd"/>
      <w:r w:rsidRPr="00573231">
        <w:rPr>
          <w:rFonts w:ascii="Arial" w:hAnsi="Arial" w:cs="Arial"/>
          <w:sz w:val="22"/>
          <w:szCs w:val="22"/>
        </w:rPr>
        <w:t xml:space="preserve"> Latifah. (2021). Cardiac Disease in Pregnancy: Maternal and Perinatal Outcomes in RSUP Dr. Mohammad Hoesin Palembang. </w:t>
      </w:r>
      <w:proofErr w:type="spellStart"/>
      <w:r w:rsidRPr="00573231">
        <w:rPr>
          <w:rFonts w:ascii="Arial" w:hAnsi="Arial" w:cs="Arial"/>
          <w:i/>
          <w:iCs/>
          <w:sz w:val="22"/>
          <w:szCs w:val="22"/>
        </w:rPr>
        <w:t>Bioscientia</w:t>
      </w:r>
      <w:proofErr w:type="spellEnd"/>
      <w:r w:rsidRPr="00573231">
        <w:rPr>
          <w:rFonts w:ascii="Arial" w:hAnsi="Arial" w:cs="Arial"/>
          <w:i/>
          <w:iCs/>
          <w:sz w:val="22"/>
          <w:szCs w:val="22"/>
        </w:rPr>
        <w:t xml:space="preserve"> </w:t>
      </w:r>
      <w:proofErr w:type="spellStart"/>
      <w:r w:rsidRPr="00573231">
        <w:rPr>
          <w:rFonts w:ascii="Arial" w:hAnsi="Arial" w:cs="Arial"/>
          <w:i/>
          <w:iCs/>
          <w:sz w:val="22"/>
          <w:szCs w:val="22"/>
        </w:rPr>
        <w:t>Medicina</w:t>
      </w:r>
      <w:proofErr w:type="spellEnd"/>
      <w:r w:rsidRPr="00573231">
        <w:rPr>
          <w:rFonts w:ascii="Arial" w:hAnsi="Arial" w:cs="Arial"/>
          <w:sz w:val="22"/>
          <w:szCs w:val="22"/>
        </w:rPr>
        <w:t xml:space="preserve">, </w:t>
      </w:r>
      <w:r w:rsidRPr="00573231">
        <w:rPr>
          <w:rFonts w:ascii="Arial" w:hAnsi="Arial" w:cs="Arial"/>
          <w:i/>
          <w:iCs/>
          <w:sz w:val="22"/>
          <w:szCs w:val="22"/>
        </w:rPr>
        <w:t>6</w:t>
      </w:r>
      <w:r w:rsidRPr="00573231">
        <w:rPr>
          <w:rFonts w:ascii="Arial" w:hAnsi="Arial" w:cs="Arial"/>
          <w:sz w:val="22"/>
          <w:szCs w:val="22"/>
        </w:rPr>
        <w:t xml:space="preserve">(2), 1380–1392. </w:t>
      </w:r>
      <w:hyperlink r:id="rId26" w:history="1">
        <w:r w:rsidRPr="00573231">
          <w:rPr>
            <w:rStyle w:val="Hyperlink"/>
            <w:rFonts w:ascii="Arial" w:hAnsi="Arial" w:cs="Arial"/>
            <w:sz w:val="22"/>
            <w:szCs w:val="22"/>
          </w:rPr>
          <w:t>https://doi.org/10.37275/bsm.v6i2.448</w:t>
        </w:r>
      </w:hyperlink>
    </w:p>
    <w:p w14:paraId="3C3FA98E" w14:textId="77777777" w:rsidR="00E236FB" w:rsidRPr="00573231" w:rsidRDefault="00E236FB" w:rsidP="001475BF">
      <w:pPr>
        <w:jc w:val="both"/>
        <w:rPr>
          <w:rFonts w:ascii="Arial" w:hAnsi="Arial" w:cs="Arial"/>
          <w:sz w:val="22"/>
          <w:szCs w:val="22"/>
        </w:rPr>
      </w:pPr>
    </w:p>
    <w:p w14:paraId="70D406D4" w14:textId="6A222DB0" w:rsidR="001475BF" w:rsidRPr="00573231" w:rsidRDefault="00F81E2C" w:rsidP="001475BF">
      <w:pPr>
        <w:jc w:val="both"/>
        <w:rPr>
          <w:rFonts w:ascii="Arial" w:hAnsi="Arial" w:cs="Arial"/>
          <w:sz w:val="22"/>
          <w:szCs w:val="22"/>
        </w:rPr>
      </w:pPr>
      <w:hyperlink r:id="rId27" w:history="1">
        <w:r w:rsidR="001475BF" w:rsidRPr="00573231">
          <w:rPr>
            <w:rStyle w:val="Hyperlink"/>
            <w:rFonts w:ascii="Arial" w:hAnsi="Arial" w:cs="Arial"/>
            <w:sz w:val="22"/>
            <w:szCs w:val="22"/>
          </w:rPr>
          <w:t>Gerald Ohene Agyekum</w:t>
        </w:r>
      </w:hyperlink>
      <w:r w:rsidR="001475BF" w:rsidRPr="00573231">
        <w:rPr>
          <w:rFonts w:ascii="Arial" w:hAnsi="Arial" w:cs="Arial"/>
          <w:sz w:val="22"/>
          <w:szCs w:val="22"/>
        </w:rPr>
        <w:t>, </w:t>
      </w:r>
      <w:hyperlink r:id="rId28" w:history="1">
        <w:r w:rsidR="001475BF" w:rsidRPr="00573231">
          <w:rPr>
            <w:rStyle w:val="Hyperlink"/>
            <w:rFonts w:ascii="Arial" w:hAnsi="Arial" w:cs="Arial"/>
            <w:sz w:val="22"/>
            <w:szCs w:val="22"/>
          </w:rPr>
          <w:t>Michael Fosu Ofori</w:t>
        </w:r>
      </w:hyperlink>
      <w:r w:rsidR="001475BF" w:rsidRPr="00573231">
        <w:rPr>
          <w:rFonts w:ascii="Arial" w:hAnsi="Arial" w:cs="Arial"/>
          <w:sz w:val="22"/>
          <w:szCs w:val="22"/>
        </w:rPr>
        <w:t>, </w:t>
      </w:r>
      <w:hyperlink r:id="rId29" w:history="1">
        <w:r w:rsidR="001475BF" w:rsidRPr="00573231">
          <w:rPr>
            <w:rStyle w:val="Hyperlink"/>
            <w:rFonts w:ascii="Arial" w:hAnsi="Arial" w:cs="Arial"/>
            <w:sz w:val="22"/>
            <w:szCs w:val="22"/>
          </w:rPr>
          <w:t>Samuel Akwasi Adarkwa</w:t>
        </w:r>
      </w:hyperlink>
      <w:r w:rsidR="001475BF" w:rsidRPr="00573231">
        <w:rPr>
          <w:rFonts w:ascii="Arial" w:hAnsi="Arial" w:cs="Arial"/>
          <w:sz w:val="22"/>
          <w:szCs w:val="22"/>
        </w:rPr>
        <w:t>, </w:t>
      </w:r>
      <w:hyperlink r:id="rId30" w:history="1">
        <w:r w:rsidR="001475BF" w:rsidRPr="00573231">
          <w:rPr>
            <w:rStyle w:val="Hyperlink"/>
            <w:rFonts w:ascii="Arial" w:hAnsi="Arial" w:cs="Arial"/>
            <w:sz w:val="22"/>
            <w:szCs w:val="22"/>
          </w:rPr>
          <w:t>Michael Arthur Ofori</w:t>
        </w:r>
      </w:hyperlink>
      <w:r w:rsidR="001475BF" w:rsidRPr="00573231">
        <w:rPr>
          <w:rFonts w:ascii="Arial" w:hAnsi="Arial" w:cs="Arial"/>
          <w:sz w:val="22"/>
          <w:szCs w:val="22"/>
        </w:rPr>
        <w:t xml:space="preserve"> (October, 2024). A Cross-Sectional Study on the Occurrence of Maternal Mortality in Some Selected Hospitals in Kumasi Metropolis Using Zero-Inflated Negative Binomial. Journal of Probability and Statistics. Vol 2024, Issue 1/3306268.</w:t>
      </w:r>
    </w:p>
    <w:p w14:paraId="1116F312" w14:textId="77777777" w:rsidR="001475BF" w:rsidRPr="00573231" w:rsidRDefault="001475BF" w:rsidP="001475BF">
      <w:pPr>
        <w:jc w:val="both"/>
        <w:rPr>
          <w:rFonts w:ascii="Arial" w:hAnsi="Arial" w:cs="Arial"/>
          <w:sz w:val="22"/>
          <w:szCs w:val="22"/>
        </w:rPr>
      </w:pPr>
      <w:r w:rsidRPr="00573231">
        <w:rPr>
          <w:rFonts w:ascii="Arial" w:hAnsi="Arial" w:cs="Arial"/>
          <w:sz w:val="22"/>
          <w:szCs w:val="22"/>
        </w:rPr>
        <w:t>https://onlinelibrary.wiley.com/doi/full/10.1155/2024/3306268</w:t>
      </w:r>
    </w:p>
    <w:p w14:paraId="2B0FDA99" w14:textId="77777777" w:rsidR="00E236FB" w:rsidRPr="00573231" w:rsidRDefault="00E236FB" w:rsidP="001475BF">
      <w:pPr>
        <w:jc w:val="both"/>
        <w:rPr>
          <w:rFonts w:ascii="Arial" w:hAnsi="Arial" w:cs="Arial"/>
          <w:sz w:val="22"/>
          <w:szCs w:val="22"/>
        </w:rPr>
      </w:pPr>
    </w:p>
    <w:p w14:paraId="3877BD5A" w14:textId="155C82E4"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Ngonzi</w:t>
      </w:r>
      <w:proofErr w:type="spellEnd"/>
      <w:r w:rsidRPr="00573231">
        <w:rPr>
          <w:rFonts w:ascii="Arial" w:hAnsi="Arial" w:cs="Arial"/>
          <w:sz w:val="22"/>
          <w:szCs w:val="22"/>
        </w:rPr>
        <w:t xml:space="preserve"> J., Tornes Y. F., Mukasa P. K. et al., Puerperal Sepsis, the Leading Cause of Maternal Deaths at a Tertiary University Teaching Hospital in Uganda, </w:t>
      </w:r>
      <w:r w:rsidRPr="00573231">
        <w:rPr>
          <w:rFonts w:ascii="Arial" w:hAnsi="Arial" w:cs="Arial"/>
          <w:i/>
          <w:iCs/>
          <w:sz w:val="22"/>
          <w:szCs w:val="22"/>
        </w:rPr>
        <w:t>BMC Pregnancy and Childbirth</w:t>
      </w:r>
      <w:r w:rsidRPr="00573231">
        <w:rPr>
          <w:rFonts w:ascii="Arial" w:hAnsi="Arial" w:cs="Arial"/>
          <w:sz w:val="22"/>
          <w:szCs w:val="22"/>
        </w:rPr>
        <w:t xml:space="preserve">. (2016) 16, 207–7, </w:t>
      </w:r>
      <w:hyperlink r:id="rId31" w:history="1">
        <w:r w:rsidRPr="00573231">
          <w:rPr>
            <w:rStyle w:val="Hyperlink"/>
            <w:rFonts w:ascii="Arial" w:hAnsi="Arial" w:cs="Arial"/>
            <w:sz w:val="22"/>
            <w:szCs w:val="22"/>
          </w:rPr>
          <w:t>https://doi.org/10.1186/s12884-016-0986-9</w:t>
        </w:r>
      </w:hyperlink>
      <w:r w:rsidRPr="00573231">
        <w:rPr>
          <w:rFonts w:ascii="Arial" w:hAnsi="Arial" w:cs="Arial"/>
          <w:sz w:val="22"/>
          <w:szCs w:val="22"/>
        </w:rPr>
        <w:t>, 2-s2.0-84982812254</w:t>
      </w:r>
    </w:p>
    <w:p w14:paraId="1360A102" w14:textId="77777777" w:rsidR="00E236FB" w:rsidRPr="00573231" w:rsidRDefault="00E236FB" w:rsidP="001475BF">
      <w:pPr>
        <w:jc w:val="both"/>
        <w:rPr>
          <w:rFonts w:ascii="Arial" w:hAnsi="Arial" w:cs="Arial"/>
          <w:sz w:val="22"/>
          <w:szCs w:val="22"/>
        </w:rPr>
      </w:pPr>
    </w:p>
    <w:p w14:paraId="64A7E7EE" w14:textId="46A7186B"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Osborne, A., </w:t>
      </w:r>
      <w:proofErr w:type="spellStart"/>
      <w:r w:rsidRPr="00573231">
        <w:rPr>
          <w:rFonts w:ascii="Arial" w:hAnsi="Arial" w:cs="Arial"/>
          <w:sz w:val="22"/>
          <w:szCs w:val="22"/>
        </w:rPr>
        <w:t>Wongnaah</w:t>
      </w:r>
      <w:proofErr w:type="spellEnd"/>
      <w:r w:rsidRPr="00573231">
        <w:rPr>
          <w:rFonts w:ascii="Arial" w:hAnsi="Arial" w:cs="Arial"/>
          <w:sz w:val="22"/>
          <w:szCs w:val="22"/>
        </w:rPr>
        <w:t xml:space="preserve">, F. G., Adeleye, K., Bangura, C., Aboagye, R. G., &amp; </w:t>
      </w:r>
      <w:proofErr w:type="spellStart"/>
      <w:r w:rsidRPr="00573231">
        <w:rPr>
          <w:rFonts w:ascii="Arial" w:hAnsi="Arial" w:cs="Arial"/>
          <w:sz w:val="22"/>
          <w:szCs w:val="22"/>
        </w:rPr>
        <w:t>Ahinkorah</w:t>
      </w:r>
      <w:proofErr w:type="spellEnd"/>
      <w:r w:rsidRPr="00573231">
        <w:rPr>
          <w:rFonts w:ascii="Arial" w:hAnsi="Arial" w:cs="Arial"/>
          <w:sz w:val="22"/>
          <w:szCs w:val="22"/>
        </w:rPr>
        <w:t xml:space="preserve">, B. O. (2025). Prevalence and factors associated with unintended pregnancy among women in Ghana. </w:t>
      </w:r>
      <w:r w:rsidRPr="00573231">
        <w:rPr>
          <w:rFonts w:ascii="Arial" w:hAnsi="Arial" w:cs="Arial"/>
          <w:i/>
          <w:iCs/>
          <w:sz w:val="22"/>
          <w:szCs w:val="22"/>
        </w:rPr>
        <w:t>BMC Pregnancy and Childbirth</w:t>
      </w:r>
      <w:r w:rsidRPr="00573231">
        <w:rPr>
          <w:rFonts w:ascii="Arial" w:hAnsi="Arial" w:cs="Arial"/>
          <w:sz w:val="22"/>
          <w:szCs w:val="22"/>
        </w:rPr>
        <w:t xml:space="preserve">, </w:t>
      </w:r>
      <w:r w:rsidRPr="00573231">
        <w:rPr>
          <w:rFonts w:ascii="Arial" w:hAnsi="Arial" w:cs="Arial"/>
          <w:i/>
          <w:iCs/>
          <w:sz w:val="22"/>
          <w:szCs w:val="22"/>
        </w:rPr>
        <w:t>25</w:t>
      </w:r>
      <w:r w:rsidRPr="00573231">
        <w:rPr>
          <w:rFonts w:ascii="Arial" w:hAnsi="Arial" w:cs="Arial"/>
          <w:sz w:val="22"/>
          <w:szCs w:val="22"/>
        </w:rPr>
        <w:t xml:space="preserve">(1). </w:t>
      </w:r>
      <w:hyperlink r:id="rId32" w:history="1">
        <w:r w:rsidRPr="00573231">
          <w:rPr>
            <w:rStyle w:val="Hyperlink"/>
            <w:rFonts w:ascii="Arial" w:hAnsi="Arial" w:cs="Arial"/>
            <w:sz w:val="22"/>
            <w:szCs w:val="22"/>
          </w:rPr>
          <w:t>https://doi.org/10.1186/s12884-025-07749-z</w:t>
        </w:r>
      </w:hyperlink>
    </w:p>
    <w:p w14:paraId="72CA761B" w14:textId="77777777" w:rsidR="00E236FB" w:rsidRPr="00573231" w:rsidRDefault="00E236FB" w:rsidP="001475BF">
      <w:pPr>
        <w:jc w:val="both"/>
        <w:rPr>
          <w:rFonts w:ascii="Arial" w:hAnsi="Arial" w:cs="Arial"/>
          <w:sz w:val="22"/>
          <w:szCs w:val="22"/>
        </w:rPr>
      </w:pPr>
    </w:p>
    <w:p w14:paraId="1879852F" w14:textId="1D792530"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United Nations Population Fund. (2022, March 30). </w:t>
      </w:r>
      <w:r w:rsidRPr="00573231">
        <w:rPr>
          <w:rFonts w:ascii="Arial" w:hAnsi="Arial" w:cs="Arial"/>
          <w:i/>
          <w:iCs/>
          <w:sz w:val="22"/>
          <w:szCs w:val="22"/>
        </w:rPr>
        <w:t>Nearly half of all pregnancies are unintended—a global crisis, says new UNFPA report</w:t>
      </w:r>
      <w:r w:rsidRPr="00573231">
        <w:rPr>
          <w:rFonts w:ascii="Arial" w:hAnsi="Arial" w:cs="Arial"/>
          <w:sz w:val="22"/>
          <w:szCs w:val="22"/>
        </w:rPr>
        <w:t xml:space="preserve">. United Nations Population Fund. </w:t>
      </w:r>
      <w:hyperlink r:id="rId33" w:history="1">
        <w:r w:rsidRPr="00573231">
          <w:rPr>
            <w:rStyle w:val="Hyperlink"/>
            <w:rFonts w:ascii="Arial" w:hAnsi="Arial" w:cs="Arial"/>
            <w:sz w:val="22"/>
            <w:szCs w:val="22"/>
          </w:rPr>
          <w:t>https://www.unfpa.org/press/nearly-half-all-pregnancies-are-unintended-global-crisis-says-new-unfpa-report</w:t>
        </w:r>
      </w:hyperlink>
    </w:p>
    <w:p w14:paraId="214E5BFF" w14:textId="77777777" w:rsidR="00E236FB" w:rsidRPr="00573231" w:rsidRDefault="00E236FB" w:rsidP="001475BF">
      <w:pPr>
        <w:jc w:val="both"/>
        <w:rPr>
          <w:rFonts w:ascii="Arial" w:hAnsi="Arial" w:cs="Arial"/>
          <w:sz w:val="22"/>
          <w:szCs w:val="22"/>
        </w:rPr>
      </w:pPr>
    </w:p>
    <w:p w14:paraId="08F708E3" w14:textId="69B5AED7"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Bearak</w:t>
      </w:r>
      <w:proofErr w:type="spellEnd"/>
      <w:r w:rsidRPr="00573231">
        <w:rPr>
          <w:rFonts w:ascii="Arial" w:hAnsi="Arial" w:cs="Arial"/>
          <w:sz w:val="22"/>
          <w:szCs w:val="22"/>
        </w:rPr>
        <w:t xml:space="preserve"> JM, </w:t>
      </w:r>
      <w:proofErr w:type="spellStart"/>
      <w:r w:rsidRPr="00573231">
        <w:rPr>
          <w:rFonts w:ascii="Arial" w:hAnsi="Arial" w:cs="Arial"/>
          <w:sz w:val="22"/>
          <w:szCs w:val="22"/>
        </w:rPr>
        <w:t>Popinchalk</w:t>
      </w:r>
      <w:proofErr w:type="spellEnd"/>
      <w:r w:rsidRPr="00573231">
        <w:rPr>
          <w:rFonts w:ascii="Arial" w:hAnsi="Arial" w:cs="Arial"/>
          <w:sz w:val="22"/>
          <w:szCs w:val="22"/>
        </w:rPr>
        <w:t xml:space="preserve"> A, Beavin C, Ganatra B, Moller AB, </w:t>
      </w:r>
      <w:proofErr w:type="spellStart"/>
      <w:r w:rsidRPr="00573231">
        <w:rPr>
          <w:rFonts w:ascii="Arial" w:hAnsi="Arial" w:cs="Arial"/>
          <w:sz w:val="22"/>
          <w:szCs w:val="22"/>
        </w:rPr>
        <w:t>Tunçalp</w:t>
      </w:r>
      <w:proofErr w:type="spellEnd"/>
      <w:r w:rsidRPr="00573231">
        <w:rPr>
          <w:rFonts w:ascii="Arial" w:hAnsi="Arial" w:cs="Arial"/>
          <w:sz w:val="22"/>
          <w:szCs w:val="22"/>
        </w:rPr>
        <w:t xml:space="preserve"> Ö, Alkema L. (2022). Country-specific estimates of unintended pregnancy and abortion incidence: a global comparative analysis of levels in 2015–2019. BMJ Global Health.7(3</w:t>
      </w:r>
      <w:proofErr w:type="gramStart"/>
      <w:r w:rsidRPr="00573231">
        <w:rPr>
          <w:rFonts w:ascii="Arial" w:hAnsi="Arial" w:cs="Arial"/>
          <w:sz w:val="22"/>
          <w:szCs w:val="22"/>
        </w:rPr>
        <w:t>):e</w:t>
      </w:r>
      <w:proofErr w:type="gramEnd"/>
      <w:r w:rsidRPr="00573231">
        <w:rPr>
          <w:rFonts w:ascii="Arial" w:hAnsi="Arial" w:cs="Arial"/>
          <w:sz w:val="22"/>
          <w:szCs w:val="22"/>
        </w:rPr>
        <w:t>007151</w:t>
      </w:r>
    </w:p>
    <w:p w14:paraId="79B860C7" w14:textId="77777777" w:rsidR="00E236FB" w:rsidRPr="00573231" w:rsidRDefault="00E236FB" w:rsidP="001475BF">
      <w:pPr>
        <w:jc w:val="both"/>
        <w:rPr>
          <w:rFonts w:ascii="Arial" w:hAnsi="Arial" w:cs="Arial"/>
          <w:sz w:val="22"/>
          <w:szCs w:val="22"/>
        </w:rPr>
      </w:pPr>
    </w:p>
    <w:p w14:paraId="081C9169" w14:textId="0124442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Bearak, J., </w:t>
      </w:r>
      <w:proofErr w:type="spellStart"/>
      <w:r w:rsidRPr="00573231">
        <w:rPr>
          <w:rFonts w:ascii="Arial" w:hAnsi="Arial" w:cs="Arial"/>
          <w:sz w:val="22"/>
          <w:szCs w:val="22"/>
        </w:rPr>
        <w:t>Popinchalk</w:t>
      </w:r>
      <w:proofErr w:type="spellEnd"/>
      <w:r w:rsidRPr="00573231">
        <w:rPr>
          <w:rFonts w:ascii="Arial" w:hAnsi="Arial" w:cs="Arial"/>
          <w:sz w:val="22"/>
          <w:szCs w:val="22"/>
        </w:rPr>
        <w:t xml:space="preserve">, A., Ganatra, B., Moller, A.-B., </w:t>
      </w:r>
      <w:proofErr w:type="spellStart"/>
      <w:r w:rsidRPr="00573231">
        <w:rPr>
          <w:rFonts w:ascii="Arial" w:hAnsi="Arial" w:cs="Arial"/>
          <w:sz w:val="22"/>
          <w:szCs w:val="22"/>
        </w:rPr>
        <w:t>Tunçalp</w:t>
      </w:r>
      <w:proofErr w:type="spellEnd"/>
      <w:r w:rsidRPr="00573231">
        <w:rPr>
          <w:rFonts w:ascii="Arial" w:hAnsi="Arial" w:cs="Arial"/>
          <w:sz w:val="22"/>
          <w:szCs w:val="22"/>
        </w:rPr>
        <w:t xml:space="preserve">, Ö., Beavin, C., Kwok, L., &amp; Alkema, L. (2020). Unintended pregnancy and abortion by income, region, and the legal status of abortion: Estimates from a comprehensive model for 1990–2019. </w:t>
      </w:r>
      <w:r w:rsidRPr="00573231">
        <w:rPr>
          <w:rFonts w:ascii="Arial" w:hAnsi="Arial" w:cs="Arial"/>
          <w:i/>
          <w:iCs/>
          <w:sz w:val="22"/>
          <w:szCs w:val="22"/>
        </w:rPr>
        <w:t>The Lancet Global Health</w:t>
      </w:r>
      <w:r w:rsidRPr="00573231">
        <w:rPr>
          <w:rFonts w:ascii="Arial" w:hAnsi="Arial" w:cs="Arial"/>
          <w:sz w:val="22"/>
          <w:szCs w:val="22"/>
        </w:rPr>
        <w:t xml:space="preserve">, </w:t>
      </w:r>
      <w:r w:rsidRPr="00573231">
        <w:rPr>
          <w:rFonts w:ascii="Arial" w:hAnsi="Arial" w:cs="Arial"/>
          <w:i/>
          <w:iCs/>
          <w:sz w:val="22"/>
          <w:szCs w:val="22"/>
        </w:rPr>
        <w:t>8</w:t>
      </w:r>
      <w:r w:rsidRPr="00573231">
        <w:rPr>
          <w:rFonts w:ascii="Arial" w:hAnsi="Arial" w:cs="Arial"/>
          <w:sz w:val="22"/>
          <w:szCs w:val="22"/>
        </w:rPr>
        <w:t xml:space="preserve">(9), e1152–e1161. </w:t>
      </w:r>
      <w:hyperlink r:id="rId34" w:history="1">
        <w:r w:rsidRPr="00573231">
          <w:rPr>
            <w:rStyle w:val="Hyperlink"/>
            <w:rFonts w:ascii="Arial" w:hAnsi="Arial" w:cs="Arial"/>
            <w:sz w:val="22"/>
            <w:szCs w:val="22"/>
          </w:rPr>
          <w:t>https://doi.org/10.1016/S2214-109X(20)30315-6</w:t>
        </w:r>
      </w:hyperlink>
    </w:p>
    <w:p w14:paraId="11B7DC39" w14:textId="77777777" w:rsidR="00E236FB" w:rsidRPr="00573231" w:rsidRDefault="00E236FB" w:rsidP="001475BF">
      <w:pPr>
        <w:jc w:val="both"/>
        <w:rPr>
          <w:rFonts w:ascii="Arial" w:hAnsi="Arial" w:cs="Arial"/>
          <w:sz w:val="22"/>
          <w:szCs w:val="22"/>
        </w:rPr>
      </w:pPr>
    </w:p>
    <w:p w14:paraId="4B030B50" w14:textId="01029108"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lastRenderedPageBreak/>
        <w:t>Abuelezz</w:t>
      </w:r>
      <w:proofErr w:type="spellEnd"/>
      <w:r w:rsidRPr="00573231">
        <w:rPr>
          <w:rFonts w:ascii="Arial" w:hAnsi="Arial" w:cs="Arial"/>
          <w:sz w:val="22"/>
          <w:szCs w:val="22"/>
        </w:rPr>
        <w:t xml:space="preserve">, I., Hassan, A., Jaber, B. A., Sharique, M., Abd-Alrazaq, A., </w:t>
      </w:r>
      <w:proofErr w:type="spellStart"/>
      <w:r w:rsidRPr="00573231">
        <w:rPr>
          <w:rFonts w:ascii="Arial" w:hAnsi="Arial" w:cs="Arial"/>
          <w:sz w:val="22"/>
          <w:szCs w:val="22"/>
        </w:rPr>
        <w:t>Househ</w:t>
      </w:r>
      <w:proofErr w:type="spellEnd"/>
      <w:r w:rsidRPr="00573231">
        <w:rPr>
          <w:rFonts w:ascii="Arial" w:hAnsi="Arial" w:cs="Arial"/>
          <w:sz w:val="22"/>
          <w:szCs w:val="22"/>
        </w:rPr>
        <w:t xml:space="preserve">, M., et al. (2022). Contribution of artificial intelligence in pregnancy: a scoping review. </w:t>
      </w:r>
      <w:r w:rsidRPr="00573231">
        <w:rPr>
          <w:rFonts w:ascii="Arial" w:hAnsi="Arial" w:cs="Arial"/>
          <w:i/>
          <w:iCs/>
          <w:sz w:val="22"/>
          <w:szCs w:val="22"/>
        </w:rPr>
        <w:t>J. Public Health Inform</w:t>
      </w:r>
      <w:r w:rsidRPr="00573231">
        <w:rPr>
          <w:rFonts w:ascii="Arial" w:hAnsi="Arial" w:cs="Arial"/>
          <w:sz w:val="22"/>
          <w:szCs w:val="22"/>
        </w:rPr>
        <w:t xml:space="preserve">. 289, 333. </w:t>
      </w:r>
      <w:proofErr w:type="spellStart"/>
      <w:r w:rsidRPr="00573231">
        <w:rPr>
          <w:rFonts w:ascii="Arial" w:hAnsi="Arial" w:cs="Arial"/>
          <w:sz w:val="22"/>
          <w:szCs w:val="22"/>
        </w:rPr>
        <w:t>doi</w:t>
      </w:r>
      <w:proofErr w:type="spellEnd"/>
      <w:r w:rsidRPr="00573231">
        <w:rPr>
          <w:rFonts w:ascii="Arial" w:hAnsi="Arial" w:cs="Arial"/>
          <w:sz w:val="22"/>
          <w:szCs w:val="22"/>
        </w:rPr>
        <w:t>: 10.3233/SHTI210927</w:t>
      </w:r>
    </w:p>
    <w:p w14:paraId="71C52E19" w14:textId="77777777" w:rsidR="00E236FB" w:rsidRPr="00573231" w:rsidRDefault="00E236FB" w:rsidP="001475BF">
      <w:pPr>
        <w:jc w:val="both"/>
        <w:rPr>
          <w:rFonts w:ascii="Arial" w:hAnsi="Arial" w:cs="Arial"/>
          <w:sz w:val="22"/>
          <w:szCs w:val="22"/>
        </w:rPr>
      </w:pPr>
    </w:p>
    <w:p w14:paraId="4ED5CF4F" w14:textId="1DDA3407"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Ahmed, M., and Kashem, M. A. (2020). “IoT Based Risk Level Prediction Model for Maternal Health Care </w:t>
      </w:r>
      <w:proofErr w:type="gramStart"/>
      <w:r w:rsidRPr="00573231">
        <w:rPr>
          <w:rFonts w:ascii="Arial" w:hAnsi="Arial" w:cs="Arial"/>
          <w:sz w:val="22"/>
          <w:szCs w:val="22"/>
        </w:rPr>
        <w:t>In</w:t>
      </w:r>
      <w:proofErr w:type="gramEnd"/>
      <w:r w:rsidRPr="00573231">
        <w:rPr>
          <w:rFonts w:ascii="Arial" w:hAnsi="Arial" w:cs="Arial"/>
          <w:sz w:val="22"/>
          <w:szCs w:val="22"/>
        </w:rPr>
        <w:t xml:space="preserve"> The Context Of Bangladesh,” in </w:t>
      </w:r>
      <w:r w:rsidRPr="00573231">
        <w:rPr>
          <w:rFonts w:ascii="Arial" w:hAnsi="Arial" w:cs="Arial"/>
          <w:i/>
          <w:iCs/>
          <w:sz w:val="22"/>
          <w:szCs w:val="22"/>
        </w:rPr>
        <w:t>2020 2nd. International Conference on Sustainable Technologies for Industry 40 (STI19).</w:t>
      </w:r>
      <w:r w:rsidRPr="00573231">
        <w:rPr>
          <w:rFonts w:ascii="Arial" w:hAnsi="Arial" w:cs="Arial"/>
          <w:sz w:val="22"/>
          <w:szCs w:val="22"/>
        </w:rPr>
        <w:t xml:space="preserve"> </w:t>
      </w:r>
      <w:proofErr w:type="spellStart"/>
      <w:r w:rsidRPr="00573231">
        <w:rPr>
          <w:rFonts w:ascii="Arial" w:hAnsi="Arial" w:cs="Arial"/>
          <w:sz w:val="22"/>
          <w:szCs w:val="22"/>
        </w:rPr>
        <w:t>doi</w:t>
      </w:r>
      <w:proofErr w:type="spellEnd"/>
      <w:r w:rsidRPr="00573231">
        <w:rPr>
          <w:rFonts w:ascii="Arial" w:hAnsi="Arial" w:cs="Arial"/>
          <w:sz w:val="22"/>
          <w:szCs w:val="22"/>
        </w:rPr>
        <w:t>: 10.1109/STI50764.2020.9350320</w:t>
      </w:r>
    </w:p>
    <w:p w14:paraId="4F75A6DA" w14:textId="77777777" w:rsidR="00E236FB" w:rsidRPr="00573231" w:rsidRDefault="00E236FB" w:rsidP="001475BF">
      <w:pPr>
        <w:jc w:val="both"/>
        <w:rPr>
          <w:rFonts w:ascii="Arial" w:hAnsi="Arial" w:cs="Arial"/>
          <w:sz w:val="22"/>
          <w:szCs w:val="22"/>
        </w:rPr>
      </w:pPr>
    </w:p>
    <w:p w14:paraId="7B7EDBF8" w14:textId="6FD9919B"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Ahmed, M., Kashem, M. A., Rahman, M., and Khatun, S. (2020). </w:t>
      </w:r>
      <w:r w:rsidRPr="00573231">
        <w:rPr>
          <w:rFonts w:ascii="Arial" w:hAnsi="Arial" w:cs="Arial"/>
          <w:i/>
          <w:iCs/>
          <w:sz w:val="22"/>
          <w:szCs w:val="22"/>
        </w:rPr>
        <w:t>Review and Analysis of Risk Factor of Maternal Health in Remote Area Using the Internet of Things (IoT)</w:t>
      </w:r>
      <w:r w:rsidRPr="00573231">
        <w:rPr>
          <w:rFonts w:ascii="Arial" w:hAnsi="Arial" w:cs="Arial"/>
          <w:sz w:val="22"/>
          <w:szCs w:val="22"/>
        </w:rPr>
        <w:t xml:space="preserve">. Singapore: Springer Singapore. </w:t>
      </w:r>
      <w:proofErr w:type="spellStart"/>
      <w:r w:rsidRPr="00573231">
        <w:rPr>
          <w:rFonts w:ascii="Arial" w:hAnsi="Arial" w:cs="Arial"/>
          <w:sz w:val="22"/>
          <w:szCs w:val="22"/>
        </w:rPr>
        <w:t>doi</w:t>
      </w:r>
      <w:proofErr w:type="spellEnd"/>
      <w:r w:rsidRPr="00573231">
        <w:rPr>
          <w:rFonts w:ascii="Arial" w:hAnsi="Arial" w:cs="Arial"/>
          <w:sz w:val="22"/>
          <w:szCs w:val="22"/>
        </w:rPr>
        <w:t>: 10.1007/978-981-15-2317-5_30</w:t>
      </w:r>
    </w:p>
    <w:p w14:paraId="37766103" w14:textId="77777777" w:rsidR="00E236FB" w:rsidRPr="00573231" w:rsidRDefault="00E236FB" w:rsidP="001475BF">
      <w:pPr>
        <w:jc w:val="both"/>
        <w:rPr>
          <w:rFonts w:ascii="Arial" w:hAnsi="Arial" w:cs="Arial"/>
          <w:sz w:val="22"/>
          <w:szCs w:val="22"/>
        </w:rPr>
      </w:pPr>
    </w:p>
    <w:p w14:paraId="4CC9A3DE" w14:textId="61F00D5A"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Al-Hindi, M. Y., Al Sayari, T. A., Al Solami, R., Al Baiti, A. K., </w:t>
      </w:r>
      <w:proofErr w:type="spellStart"/>
      <w:r w:rsidRPr="00573231">
        <w:rPr>
          <w:rFonts w:ascii="Arial" w:hAnsi="Arial" w:cs="Arial"/>
          <w:sz w:val="22"/>
          <w:szCs w:val="22"/>
        </w:rPr>
        <w:t>Alnemri</w:t>
      </w:r>
      <w:proofErr w:type="spellEnd"/>
      <w:r w:rsidRPr="00573231">
        <w:rPr>
          <w:rFonts w:ascii="Arial" w:hAnsi="Arial" w:cs="Arial"/>
          <w:sz w:val="22"/>
          <w:szCs w:val="22"/>
        </w:rPr>
        <w:t xml:space="preserve">, J. A., Mirza, I. M., et al. (2020). Association of antenatal risk score with maternal and neonatal mortality and morbidity. </w:t>
      </w:r>
      <w:r w:rsidRPr="00573231">
        <w:rPr>
          <w:rFonts w:ascii="Arial" w:hAnsi="Arial" w:cs="Arial"/>
          <w:i/>
          <w:iCs/>
          <w:sz w:val="22"/>
          <w:szCs w:val="22"/>
        </w:rPr>
        <w:t>Cureus</w:t>
      </w:r>
      <w:r w:rsidRPr="00573231">
        <w:rPr>
          <w:rFonts w:ascii="Arial" w:hAnsi="Arial" w:cs="Arial"/>
          <w:sz w:val="22"/>
          <w:szCs w:val="22"/>
        </w:rPr>
        <w:t xml:space="preserve">. 12, e12230. </w:t>
      </w:r>
      <w:proofErr w:type="spellStart"/>
      <w:r w:rsidRPr="00573231">
        <w:rPr>
          <w:rFonts w:ascii="Arial" w:hAnsi="Arial" w:cs="Arial"/>
          <w:sz w:val="22"/>
          <w:szCs w:val="22"/>
        </w:rPr>
        <w:t>doi</w:t>
      </w:r>
      <w:proofErr w:type="spellEnd"/>
      <w:r w:rsidRPr="00573231">
        <w:rPr>
          <w:rFonts w:ascii="Arial" w:hAnsi="Arial" w:cs="Arial"/>
          <w:sz w:val="22"/>
          <w:szCs w:val="22"/>
        </w:rPr>
        <w:t>: 10.7759/cureus.12230</w:t>
      </w:r>
    </w:p>
    <w:p w14:paraId="4C31A477" w14:textId="77777777" w:rsidR="00E236FB" w:rsidRPr="00573231" w:rsidRDefault="00E236FB" w:rsidP="001475BF">
      <w:pPr>
        <w:spacing w:after="200"/>
        <w:jc w:val="both"/>
        <w:rPr>
          <w:rFonts w:ascii="Arial" w:hAnsi="Arial" w:cs="Arial"/>
          <w:color w:val="242021"/>
          <w:sz w:val="22"/>
          <w:szCs w:val="22"/>
        </w:rPr>
      </w:pPr>
    </w:p>
    <w:p w14:paraId="6EA04F57" w14:textId="2C3D7155" w:rsidR="001475BF" w:rsidRPr="00573231" w:rsidRDefault="001475BF" w:rsidP="001475BF">
      <w:pPr>
        <w:spacing w:after="200"/>
        <w:jc w:val="both"/>
        <w:rPr>
          <w:rFonts w:ascii="Arial" w:hAnsi="Arial" w:cs="Arial"/>
          <w:color w:val="242021"/>
          <w:sz w:val="22"/>
          <w:szCs w:val="22"/>
        </w:rPr>
      </w:pPr>
      <w:r w:rsidRPr="00573231">
        <w:rPr>
          <w:rFonts w:ascii="Arial" w:hAnsi="Arial" w:cs="Arial"/>
          <w:color w:val="242021"/>
          <w:sz w:val="22"/>
          <w:szCs w:val="22"/>
        </w:rPr>
        <w:t xml:space="preserve">Frederick, et al (2025). Development and Validation of a Robust Predictive Model for Early Detection of Heart Failure in </w:t>
      </w:r>
      <w:proofErr w:type="spellStart"/>
      <w:r w:rsidRPr="00573231">
        <w:rPr>
          <w:rFonts w:ascii="Arial" w:hAnsi="Arial" w:cs="Arial"/>
          <w:color w:val="242021"/>
          <w:sz w:val="22"/>
          <w:szCs w:val="22"/>
        </w:rPr>
        <w:t>Anfoega</w:t>
      </w:r>
      <w:proofErr w:type="spellEnd"/>
      <w:r w:rsidRPr="00573231">
        <w:rPr>
          <w:rFonts w:ascii="Arial" w:hAnsi="Arial" w:cs="Arial"/>
          <w:color w:val="242021"/>
          <w:sz w:val="22"/>
          <w:szCs w:val="22"/>
        </w:rPr>
        <w:t xml:space="preserve">-Ghanaian Patients.” in </w:t>
      </w:r>
      <w:r w:rsidRPr="00573231">
        <w:rPr>
          <w:rFonts w:ascii="Arial" w:hAnsi="Arial" w:cs="Arial"/>
          <w:i/>
          <w:iCs/>
          <w:color w:val="242021"/>
          <w:sz w:val="22"/>
          <w:szCs w:val="22"/>
        </w:rPr>
        <w:t>International Journal of Recent Advances in Multidisciplinary Topics</w:t>
      </w:r>
      <w:r w:rsidRPr="00573231">
        <w:rPr>
          <w:rFonts w:ascii="Arial" w:hAnsi="Arial" w:cs="Arial"/>
          <w:b/>
          <w:bCs/>
          <w:color w:val="242021"/>
          <w:sz w:val="22"/>
          <w:szCs w:val="22"/>
        </w:rPr>
        <w:t xml:space="preserve">, </w:t>
      </w:r>
      <w:r w:rsidRPr="00573231">
        <w:rPr>
          <w:rFonts w:ascii="Arial" w:hAnsi="Arial" w:cs="Arial"/>
          <w:color w:val="242021"/>
          <w:sz w:val="22"/>
          <w:szCs w:val="22"/>
        </w:rPr>
        <w:t>vol. 7, no. 5, pp. 28-37, October 2025.</w:t>
      </w:r>
    </w:p>
    <w:p w14:paraId="16953832" w14:textId="77777777" w:rsidR="00E236FB" w:rsidRPr="00573231" w:rsidRDefault="00E236FB" w:rsidP="001475BF">
      <w:pPr>
        <w:jc w:val="both"/>
        <w:rPr>
          <w:rFonts w:ascii="Arial" w:hAnsi="Arial" w:cs="Arial"/>
          <w:sz w:val="22"/>
          <w:szCs w:val="22"/>
        </w:rPr>
      </w:pPr>
    </w:p>
    <w:p w14:paraId="1710B8B1" w14:textId="2A4C6A3B"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Armero, W., Gray, K. J., Fields, K. G., Cole, N. M., Bates, D. W., Kovacheva, V. P., et al. (2022). A survey of pregnant patients' perspectives on the implementation of artificial intelligence in clinical care. </w:t>
      </w:r>
      <w:r w:rsidRPr="00573231">
        <w:rPr>
          <w:rFonts w:ascii="Arial" w:hAnsi="Arial" w:cs="Arial"/>
          <w:i/>
          <w:iCs/>
          <w:sz w:val="22"/>
          <w:szCs w:val="22"/>
        </w:rPr>
        <w:t>J. Am. Med. Inform. Assoc.</w:t>
      </w:r>
      <w:r w:rsidRPr="00573231">
        <w:rPr>
          <w:rFonts w:ascii="Arial" w:hAnsi="Arial" w:cs="Arial"/>
          <w:sz w:val="22"/>
          <w:szCs w:val="22"/>
        </w:rPr>
        <w:t xml:space="preserve"> 30, 46–53. </w:t>
      </w:r>
      <w:proofErr w:type="spellStart"/>
      <w:r w:rsidRPr="00573231">
        <w:rPr>
          <w:rFonts w:ascii="Arial" w:hAnsi="Arial" w:cs="Arial"/>
          <w:sz w:val="22"/>
          <w:szCs w:val="22"/>
        </w:rPr>
        <w:t>doi</w:t>
      </w:r>
      <w:proofErr w:type="spellEnd"/>
      <w:r w:rsidRPr="00573231">
        <w:rPr>
          <w:rFonts w:ascii="Arial" w:hAnsi="Arial" w:cs="Arial"/>
          <w:sz w:val="22"/>
          <w:szCs w:val="22"/>
        </w:rPr>
        <w:t>: 10.1093/</w:t>
      </w:r>
      <w:proofErr w:type="spellStart"/>
      <w:r w:rsidRPr="00573231">
        <w:rPr>
          <w:rFonts w:ascii="Arial" w:hAnsi="Arial" w:cs="Arial"/>
          <w:sz w:val="22"/>
          <w:szCs w:val="22"/>
        </w:rPr>
        <w:t>jamia</w:t>
      </w:r>
      <w:proofErr w:type="spellEnd"/>
      <w:r w:rsidRPr="00573231">
        <w:rPr>
          <w:rFonts w:ascii="Arial" w:hAnsi="Arial" w:cs="Arial"/>
          <w:sz w:val="22"/>
          <w:szCs w:val="22"/>
        </w:rPr>
        <w:t>/ocac200</w:t>
      </w:r>
    </w:p>
    <w:p w14:paraId="0BE69B1D" w14:textId="77777777" w:rsidR="00E236FB" w:rsidRPr="00573231" w:rsidRDefault="00E236FB" w:rsidP="001475BF">
      <w:pPr>
        <w:jc w:val="both"/>
        <w:rPr>
          <w:rFonts w:ascii="Arial" w:hAnsi="Arial" w:cs="Arial"/>
          <w:sz w:val="22"/>
          <w:szCs w:val="22"/>
        </w:rPr>
      </w:pPr>
    </w:p>
    <w:p w14:paraId="778A09FB" w14:textId="55FC3DDD" w:rsidR="001475BF" w:rsidRPr="00573231" w:rsidRDefault="001475BF" w:rsidP="001475BF">
      <w:pPr>
        <w:jc w:val="both"/>
        <w:rPr>
          <w:rFonts w:ascii="Arial" w:hAnsi="Arial" w:cs="Arial"/>
          <w:sz w:val="22"/>
          <w:szCs w:val="22"/>
        </w:rPr>
      </w:pPr>
      <w:r w:rsidRPr="00573231">
        <w:rPr>
          <w:rFonts w:ascii="Arial" w:hAnsi="Arial" w:cs="Arial"/>
          <w:sz w:val="22"/>
          <w:szCs w:val="22"/>
        </w:rPr>
        <w:t>Quarshie Frederick, “A Peer Review of a Predictive Model for Early Detection of Heart Failure Using Machine Learning,” in International Journal of Recent Advances in Multidisciplinary Topics, vol. 5, no. 10, pp. 28-37, October 2024.</w:t>
      </w:r>
    </w:p>
    <w:p w14:paraId="3B78D024" w14:textId="3A46778B" w:rsidR="00E236FB" w:rsidRPr="00573231" w:rsidRDefault="00E236FB" w:rsidP="001475BF">
      <w:pPr>
        <w:jc w:val="both"/>
        <w:rPr>
          <w:rFonts w:ascii="Arial" w:hAnsi="Arial" w:cs="Arial"/>
          <w:sz w:val="22"/>
          <w:szCs w:val="22"/>
        </w:rPr>
      </w:pPr>
    </w:p>
    <w:p w14:paraId="05ADDE6B" w14:textId="1EF86CF6" w:rsidR="001475BF" w:rsidRPr="00573231" w:rsidRDefault="001475BF" w:rsidP="001475BF">
      <w:pPr>
        <w:jc w:val="both"/>
        <w:rPr>
          <w:rFonts w:ascii="Arial" w:hAnsi="Arial" w:cs="Arial"/>
          <w:sz w:val="22"/>
          <w:szCs w:val="22"/>
        </w:rPr>
      </w:pPr>
      <w:proofErr w:type="spellStart"/>
      <w:r w:rsidRPr="00573231">
        <w:rPr>
          <w:rFonts w:ascii="Arial" w:hAnsi="Arial" w:cs="Arial"/>
          <w:sz w:val="22"/>
          <w:szCs w:val="22"/>
        </w:rPr>
        <w:t>Kilicarslan</w:t>
      </w:r>
      <w:proofErr w:type="spellEnd"/>
      <w:r w:rsidRPr="00573231">
        <w:rPr>
          <w:rFonts w:ascii="Arial" w:hAnsi="Arial" w:cs="Arial"/>
          <w:sz w:val="22"/>
          <w:szCs w:val="22"/>
        </w:rPr>
        <w:t xml:space="preserve">, S., Celik, M., and Sahin, S. (2021). Hybrid models based on genetic algorithm and deep learning algorithms for nutritional Anemia disease classification. </w:t>
      </w:r>
      <w:r w:rsidRPr="00573231">
        <w:rPr>
          <w:rFonts w:ascii="Arial" w:hAnsi="Arial" w:cs="Arial"/>
          <w:i/>
          <w:iCs/>
          <w:sz w:val="22"/>
          <w:szCs w:val="22"/>
        </w:rPr>
        <w:t xml:space="preserve">Biomed. Signal </w:t>
      </w:r>
      <w:proofErr w:type="spellStart"/>
      <w:r w:rsidRPr="00573231">
        <w:rPr>
          <w:rFonts w:ascii="Arial" w:hAnsi="Arial" w:cs="Arial"/>
          <w:i/>
          <w:iCs/>
          <w:sz w:val="22"/>
          <w:szCs w:val="22"/>
        </w:rPr>
        <w:t>Proces</w:t>
      </w:r>
      <w:proofErr w:type="spellEnd"/>
      <w:r w:rsidRPr="00573231">
        <w:rPr>
          <w:rFonts w:ascii="Arial" w:hAnsi="Arial" w:cs="Arial"/>
          <w:i/>
          <w:iCs/>
          <w:sz w:val="22"/>
          <w:szCs w:val="22"/>
        </w:rPr>
        <w:t>. Control</w:t>
      </w:r>
      <w:r w:rsidRPr="00573231">
        <w:rPr>
          <w:rFonts w:ascii="Arial" w:hAnsi="Arial" w:cs="Arial"/>
          <w:sz w:val="22"/>
          <w:szCs w:val="22"/>
        </w:rPr>
        <w:t xml:space="preserve">. 63, 102231. </w:t>
      </w:r>
      <w:proofErr w:type="spellStart"/>
      <w:r w:rsidRPr="00573231">
        <w:rPr>
          <w:rFonts w:ascii="Arial" w:hAnsi="Arial" w:cs="Arial"/>
          <w:sz w:val="22"/>
          <w:szCs w:val="22"/>
        </w:rPr>
        <w:t>doi</w:t>
      </w:r>
      <w:proofErr w:type="spellEnd"/>
      <w:r w:rsidRPr="00573231">
        <w:rPr>
          <w:rFonts w:ascii="Arial" w:hAnsi="Arial" w:cs="Arial"/>
          <w:sz w:val="22"/>
          <w:szCs w:val="22"/>
        </w:rPr>
        <w:t>: 10.1016/j.bspc.2020.102231</w:t>
      </w:r>
    </w:p>
    <w:p w14:paraId="6537FAE5" w14:textId="77777777" w:rsidR="00E236FB" w:rsidRPr="00573231" w:rsidRDefault="00E236FB" w:rsidP="001475BF">
      <w:pPr>
        <w:jc w:val="both"/>
        <w:rPr>
          <w:rFonts w:ascii="Arial" w:hAnsi="Arial" w:cs="Arial"/>
          <w:sz w:val="22"/>
          <w:szCs w:val="22"/>
        </w:rPr>
      </w:pPr>
    </w:p>
    <w:p w14:paraId="7A3A68A3" w14:textId="03657273" w:rsidR="001475BF" w:rsidRPr="00573231" w:rsidRDefault="001475BF" w:rsidP="001475BF">
      <w:pPr>
        <w:jc w:val="both"/>
        <w:rPr>
          <w:rFonts w:ascii="Arial" w:hAnsi="Arial" w:cs="Arial"/>
          <w:sz w:val="22"/>
          <w:szCs w:val="22"/>
        </w:rPr>
      </w:pPr>
      <w:r w:rsidRPr="00573231">
        <w:rPr>
          <w:rFonts w:ascii="Arial" w:hAnsi="Arial" w:cs="Arial"/>
          <w:sz w:val="22"/>
          <w:szCs w:val="22"/>
        </w:rPr>
        <w:t xml:space="preserve">Majella, M. G., Sarveswaran, G., Krishnamoorthy, Y., Sivaranjini, K., Arikrishnan, K., Kumar, S. G. A., et al. (2019). longitudinal study on high risk pregnancy and its outcome among antenatal women attending rural primary health </w:t>
      </w:r>
      <w:proofErr w:type="spellStart"/>
      <w:r w:rsidRPr="00573231">
        <w:rPr>
          <w:rFonts w:ascii="Arial" w:hAnsi="Arial" w:cs="Arial"/>
          <w:sz w:val="22"/>
          <w:szCs w:val="22"/>
        </w:rPr>
        <w:t>centre</w:t>
      </w:r>
      <w:proofErr w:type="spellEnd"/>
      <w:r w:rsidRPr="00573231">
        <w:rPr>
          <w:rFonts w:ascii="Arial" w:hAnsi="Arial" w:cs="Arial"/>
          <w:sz w:val="22"/>
          <w:szCs w:val="22"/>
        </w:rPr>
        <w:t xml:space="preserve"> in Puducherry, South India. </w:t>
      </w:r>
      <w:r w:rsidRPr="00573231">
        <w:rPr>
          <w:rFonts w:ascii="Arial" w:hAnsi="Arial" w:cs="Arial"/>
          <w:i/>
          <w:iCs/>
          <w:sz w:val="22"/>
          <w:szCs w:val="22"/>
        </w:rPr>
        <w:t xml:space="preserve">J. Educ. Health </w:t>
      </w:r>
      <w:proofErr w:type="spellStart"/>
      <w:r w:rsidRPr="00573231">
        <w:rPr>
          <w:rFonts w:ascii="Arial" w:hAnsi="Arial" w:cs="Arial"/>
          <w:i/>
          <w:iCs/>
          <w:sz w:val="22"/>
          <w:szCs w:val="22"/>
        </w:rPr>
        <w:t>Promot</w:t>
      </w:r>
      <w:proofErr w:type="spellEnd"/>
      <w:r w:rsidRPr="00573231">
        <w:rPr>
          <w:rFonts w:ascii="Arial" w:hAnsi="Arial" w:cs="Arial"/>
          <w:i/>
          <w:iCs/>
          <w:sz w:val="22"/>
          <w:szCs w:val="22"/>
        </w:rPr>
        <w:t>.</w:t>
      </w:r>
      <w:r w:rsidRPr="00573231">
        <w:rPr>
          <w:rFonts w:ascii="Arial" w:hAnsi="Arial" w:cs="Arial"/>
          <w:sz w:val="22"/>
          <w:szCs w:val="22"/>
        </w:rPr>
        <w:t xml:space="preserve"> 8, 12. </w:t>
      </w:r>
      <w:proofErr w:type="spellStart"/>
      <w:r w:rsidRPr="00573231">
        <w:rPr>
          <w:rFonts w:ascii="Arial" w:hAnsi="Arial" w:cs="Arial"/>
          <w:sz w:val="22"/>
          <w:szCs w:val="22"/>
        </w:rPr>
        <w:t>doi</w:t>
      </w:r>
      <w:proofErr w:type="spellEnd"/>
      <w:r w:rsidRPr="00573231">
        <w:rPr>
          <w:rFonts w:ascii="Arial" w:hAnsi="Arial" w:cs="Arial"/>
          <w:sz w:val="22"/>
          <w:szCs w:val="22"/>
        </w:rPr>
        <w:t>: 10.4103/jehp.jehp_144_18</w:t>
      </w:r>
    </w:p>
    <w:p w14:paraId="0955E8C3" w14:textId="77777777" w:rsidR="00441B6F" w:rsidRPr="000D271B" w:rsidRDefault="00441B6F" w:rsidP="00441B6F">
      <w:pPr>
        <w:pStyle w:val="Body"/>
        <w:spacing w:after="0"/>
        <w:jc w:val="left"/>
        <w:rPr>
          <w:rFonts w:ascii="Arial" w:hAnsi="Arial" w:cs="Arial"/>
        </w:rPr>
      </w:pPr>
    </w:p>
    <w:p w14:paraId="3FCF3511" w14:textId="77777777" w:rsidR="00B01FCD" w:rsidRPr="000D271B" w:rsidRDefault="00B01FCD" w:rsidP="00441B6F">
      <w:pPr>
        <w:pStyle w:val="Reference"/>
        <w:numPr>
          <w:ilvl w:val="0"/>
          <w:numId w:val="0"/>
        </w:numPr>
        <w:spacing w:line="240" w:lineRule="auto"/>
        <w:rPr>
          <w:rFonts w:ascii="Arial" w:hAnsi="Arial" w:cs="Arial"/>
        </w:rPr>
      </w:pPr>
    </w:p>
    <w:p w14:paraId="4A758CB4" w14:textId="77777777" w:rsidR="00B01FCD" w:rsidRPr="000D271B" w:rsidRDefault="00B01FCD" w:rsidP="00441B6F">
      <w:pPr>
        <w:pStyle w:val="Appendix"/>
        <w:spacing w:after="0"/>
        <w:jc w:val="both"/>
        <w:rPr>
          <w:rFonts w:ascii="Arial" w:hAnsi="Arial" w:cs="Arial"/>
          <w:b w:val="0"/>
        </w:rPr>
      </w:pPr>
      <w:bookmarkStart w:id="0" w:name="_GoBack"/>
      <w:bookmarkEnd w:id="0"/>
    </w:p>
    <w:sectPr w:rsidR="00B01FCD" w:rsidRPr="000D271B" w:rsidSect="0086149A">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231A5" w14:textId="77777777" w:rsidR="00F81E2C" w:rsidRDefault="00F81E2C" w:rsidP="00C37E61">
      <w:r>
        <w:separator/>
      </w:r>
    </w:p>
  </w:endnote>
  <w:endnote w:type="continuationSeparator" w:id="0">
    <w:p w14:paraId="63363A88" w14:textId="77777777" w:rsidR="00F81E2C" w:rsidRDefault="00F81E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931C" w14:textId="77777777" w:rsidR="0019025B" w:rsidRDefault="00190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95A6" w14:textId="77777777" w:rsidR="0019025B" w:rsidRDefault="00190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F4E0" w14:textId="77777777" w:rsidR="009E048A" w:rsidRDefault="009E048A">
    <w:pPr>
      <w:pStyle w:val="Footer"/>
      <w:rPr>
        <w:rFonts w:ascii="Arial" w:hAnsi="Arial" w:cs="Arial"/>
        <w:sz w:val="16"/>
      </w:rPr>
    </w:pPr>
  </w:p>
  <w:p w14:paraId="13F9E70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1C7F8" w14:textId="77777777" w:rsidR="009E048A" w:rsidRDefault="009E048A">
    <w:pPr>
      <w:pStyle w:val="Footer"/>
      <w:rPr>
        <w:rFonts w:ascii="Arial" w:hAnsi="Arial" w:cs="Arial"/>
        <w:sz w:val="16"/>
      </w:rPr>
    </w:pPr>
  </w:p>
  <w:p w14:paraId="2C0164AA" w14:textId="0581AE1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CC88" w14:textId="77777777" w:rsidR="009A0571" w:rsidRPr="00C37E61" w:rsidRDefault="009A057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CDB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3480" w14:textId="77777777" w:rsidR="00F81E2C" w:rsidRDefault="00F81E2C" w:rsidP="00C37E61">
      <w:r>
        <w:separator/>
      </w:r>
    </w:p>
  </w:footnote>
  <w:footnote w:type="continuationSeparator" w:id="0">
    <w:p w14:paraId="247115AC" w14:textId="77777777" w:rsidR="00F81E2C" w:rsidRDefault="00F81E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9F8E" w14:textId="00DFF686" w:rsidR="0019025B" w:rsidRDefault="0019025B">
    <w:pPr>
      <w:pStyle w:val="Header"/>
    </w:pPr>
    <w:r>
      <w:rPr>
        <w:noProof/>
      </w:rPr>
      <w:pict w14:anchorId="52FE4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66EE" w14:textId="4AD4A3AE" w:rsidR="0019025B" w:rsidRDefault="0019025B">
    <w:pPr>
      <w:pStyle w:val="Header"/>
    </w:pPr>
    <w:r>
      <w:rPr>
        <w:noProof/>
      </w:rPr>
      <w:pict w14:anchorId="16300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5DDF" w14:textId="76EC5A34" w:rsidR="00296529" w:rsidRPr="00296529" w:rsidRDefault="0019025B" w:rsidP="00296529">
    <w:pPr>
      <w:ind w:left="2160"/>
      <w:jc w:val="center"/>
      <w:rPr>
        <w:rFonts w:ascii="Times New Roman" w:eastAsia="Calibri" w:hAnsi="Times New Roman"/>
        <w:i/>
        <w:sz w:val="18"/>
        <w:szCs w:val="22"/>
      </w:rPr>
    </w:pPr>
    <w:r>
      <w:rPr>
        <w:noProof/>
      </w:rPr>
      <w:pict w14:anchorId="399DD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9A04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B665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61525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A0C8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2FD1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8FFA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53F3" w14:textId="2AED9693" w:rsidR="0019025B" w:rsidRDefault="0019025B">
    <w:pPr>
      <w:pStyle w:val="Header"/>
    </w:pPr>
    <w:r>
      <w:rPr>
        <w:noProof/>
      </w:rPr>
      <w:pict w14:anchorId="3FF16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2D1C" w14:textId="56C59D78" w:rsidR="0019025B" w:rsidRDefault="0019025B">
    <w:pPr>
      <w:pStyle w:val="Header"/>
    </w:pPr>
    <w:r>
      <w:rPr>
        <w:noProof/>
      </w:rPr>
      <w:pict w14:anchorId="6C356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3D24" w14:textId="12BAFCFC" w:rsidR="0019025B" w:rsidRDefault="0019025B">
    <w:pPr>
      <w:pStyle w:val="Header"/>
    </w:pPr>
    <w:r>
      <w:rPr>
        <w:noProof/>
      </w:rPr>
      <w:pict w14:anchorId="07062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2FE5" w14:textId="5E22F03B" w:rsidR="0019025B" w:rsidRDefault="0019025B">
    <w:pPr>
      <w:pStyle w:val="Header"/>
    </w:pPr>
    <w:r>
      <w:rPr>
        <w:noProof/>
      </w:rPr>
      <w:pict w14:anchorId="487C2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53"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AABC" w14:textId="66C4B59B" w:rsidR="0019025B" w:rsidRDefault="0019025B">
    <w:pPr>
      <w:pStyle w:val="Header"/>
    </w:pPr>
    <w:r>
      <w:rPr>
        <w:noProof/>
      </w:rPr>
      <w:pict w14:anchorId="300C6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54"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3A2F" w14:textId="39DEE102" w:rsidR="0019025B" w:rsidRDefault="0019025B">
    <w:pPr>
      <w:pStyle w:val="Header"/>
    </w:pPr>
    <w:r>
      <w:rPr>
        <w:noProof/>
      </w:rPr>
      <w:pict w14:anchorId="44883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889552"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B55"/>
    <w:rsid w:val="00030174"/>
    <w:rsid w:val="0004579C"/>
    <w:rsid w:val="000A47FA"/>
    <w:rsid w:val="000A65D3"/>
    <w:rsid w:val="000B1E33"/>
    <w:rsid w:val="000D271B"/>
    <w:rsid w:val="000D689F"/>
    <w:rsid w:val="000E7B7B"/>
    <w:rsid w:val="000E7D62"/>
    <w:rsid w:val="00103357"/>
    <w:rsid w:val="00123C9F"/>
    <w:rsid w:val="00126190"/>
    <w:rsid w:val="00130F17"/>
    <w:rsid w:val="001320BF"/>
    <w:rsid w:val="001475BF"/>
    <w:rsid w:val="00163BC4"/>
    <w:rsid w:val="0019025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085"/>
    <w:rsid w:val="00283105"/>
    <w:rsid w:val="00284C4C"/>
    <w:rsid w:val="00287E68"/>
    <w:rsid w:val="00290A78"/>
    <w:rsid w:val="00296529"/>
    <w:rsid w:val="002A7697"/>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4F0C"/>
    <w:rsid w:val="004D305E"/>
    <w:rsid w:val="004D4277"/>
    <w:rsid w:val="00502516"/>
    <w:rsid w:val="00505F06"/>
    <w:rsid w:val="00506828"/>
    <w:rsid w:val="0053056E"/>
    <w:rsid w:val="00540909"/>
    <w:rsid w:val="00554FDA"/>
    <w:rsid w:val="00565C99"/>
    <w:rsid w:val="00573231"/>
    <w:rsid w:val="00591189"/>
    <w:rsid w:val="005A3397"/>
    <w:rsid w:val="005B4228"/>
    <w:rsid w:val="005C784C"/>
    <w:rsid w:val="005D17F6"/>
    <w:rsid w:val="005E5539"/>
    <w:rsid w:val="00602BF5"/>
    <w:rsid w:val="00617FDD"/>
    <w:rsid w:val="0062562D"/>
    <w:rsid w:val="00633614"/>
    <w:rsid w:val="00633F68"/>
    <w:rsid w:val="00636EB2"/>
    <w:rsid w:val="006375B8"/>
    <w:rsid w:val="0066510A"/>
    <w:rsid w:val="00673F9F"/>
    <w:rsid w:val="00686953"/>
    <w:rsid w:val="00687DEA"/>
    <w:rsid w:val="00687E67"/>
    <w:rsid w:val="006967F7"/>
    <w:rsid w:val="006A250C"/>
    <w:rsid w:val="006A7B13"/>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4F47"/>
    <w:rsid w:val="0083216F"/>
    <w:rsid w:val="00860000"/>
    <w:rsid w:val="0086149A"/>
    <w:rsid w:val="008639F4"/>
    <w:rsid w:val="00863BD3"/>
    <w:rsid w:val="008641ED"/>
    <w:rsid w:val="00866D66"/>
    <w:rsid w:val="008671C6"/>
    <w:rsid w:val="00875803"/>
    <w:rsid w:val="008B459E"/>
    <w:rsid w:val="008D540D"/>
    <w:rsid w:val="008E13AE"/>
    <w:rsid w:val="008E1506"/>
    <w:rsid w:val="008E710C"/>
    <w:rsid w:val="008F69D6"/>
    <w:rsid w:val="00902823"/>
    <w:rsid w:val="00915CA6"/>
    <w:rsid w:val="00927834"/>
    <w:rsid w:val="009500A6"/>
    <w:rsid w:val="00957C18"/>
    <w:rsid w:val="009659BA"/>
    <w:rsid w:val="00983040"/>
    <w:rsid w:val="009A0571"/>
    <w:rsid w:val="009B3FB9"/>
    <w:rsid w:val="009C2465"/>
    <w:rsid w:val="009D35A0"/>
    <w:rsid w:val="009D425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09E"/>
    <w:rsid w:val="00B52583"/>
    <w:rsid w:val="00B52896"/>
    <w:rsid w:val="00B95236"/>
    <w:rsid w:val="00B96BD9"/>
    <w:rsid w:val="00BA1B01"/>
    <w:rsid w:val="00BA2641"/>
    <w:rsid w:val="00BB37AA"/>
    <w:rsid w:val="00BB7EC1"/>
    <w:rsid w:val="00BC53A0"/>
    <w:rsid w:val="00BE62AD"/>
    <w:rsid w:val="00BF121F"/>
    <w:rsid w:val="00BF1F80"/>
    <w:rsid w:val="00C166EF"/>
    <w:rsid w:val="00C17EB0"/>
    <w:rsid w:val="00C27F5F"/>
    <w:rsid w:val="00C30A0F"/>
    <w:rsid w:val="00C34A02"/>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36F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FDF"/>
    <w:rsid w:val="00F67810"/>
    <w:rsid w:val="00F755E4"/>
    <w:rsid w:val="00F77D02"/>
    <w:rsid w:val="00F81E2C"/>
    <w:rsid w:val="00FB18E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3428DD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36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67810"/>
    <w:pPr>
      <w:spacing w:after="120"/>
    </w:pPr>
  </w:style>
  <w:style w:type="character" w:customStyle="1" w:styleId="BodyTextChar">
    <w:name w:val="Body Text Char"/>
    <w:basedOn w:val="DefaultParagraphFont"/>
    <w:link w:val="BodyText"/>
    <w:semiHidden/>
    <w:rsid w:val="00F67810"/>
    <w:rPr>
      <w:rFonts w:ascii="Helvetica" w:hAnsi="Helvetica"/>
    </w:rPr>
  </w:style>
  <w:style w:type="paragraph" w:styleId="List2">
    <w:name w:val="List 2"/>
    <w:basedOn w:val="Normal"/>
    <w:uiPriority w:val="99"/>
    <w:unhideWhenUsed/>
    <w:rsid w:val="00F67810"/>
    <w:pPr>
      <w:spacing w:after="200" w:line="276" w:lineRule="auto"/>
      <w:ind w:left="720" w:hanging="360"/>
      <w:contextualSpacing/>
    </w:pPr>
    <w:rPr>
      <w:rFonts w:asciiTheme="minorHAnsi" w:eastAsiaTheme="minorHAnsi" w:hAnsiTheme="minorHAnsi" w:cstheme="minorBidi"/>
      <w:sz w:val="22"/>
      <w:szCs w:val="22"/>
    </w:rPr>
  </w:style>
  <w:style w:type="paragraph" w:styleId="ListContinue">
    <w:name w:val="List Continue"/>
    <w:basedOn w:val="Normal"/>
    <w:semiHidden/>
    <w:unhideWhenUsed/>
    <w:rsid w:val="00290A78"/>
    <w:pPr>
      <w:spacing w:after="120"/>
      <w:ind w:left="283"/>
      <w:contextualSpacing/>
    </w:pPr>
  </w:style>
  <w:style w:type="paragraph" w:customStyle="1" w:styleId="10Heading1">
    <w:name w:val="10_Heading1"/>
    <w:basedOn w:val="Heading2"/>
    <w:qFormat/>
    <w:rsid w:val="00E236FB"/>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szCs w:val="32"/>
      <w:lang w:eastAsia="zh-CN"/>
    </w:rPr>
  </w:style>
  <w:style w:type="character" w:customStyle="1" w:styleId="Heading2Char">
    <w:name w:val="Heading 2 Char"/>
    <w:basedOn w:val="DefaultParagraphFont"/>
    <w:link w:val="Heading2"/>
    <w:semiHidden/>
    <w:rsid w:val="00E236FB"/>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rsid w:val="009A057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https://doi.org/10.37275/bsm.v6i2.448"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doi.org/10.1016/S2214-109X(20)30315-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www.who.int/news-room/fact-sheets/detail/maternal-mortality" TargetMode="External"/><Relationship Id="rId33" Type="http://schemas.openxmlformats.org/officeDocument/2006/relationships/hyperlink" Target="https://www.unfpa.org/press/nearly-half-all-pregnancies-are-unintended-global-crisis-says-new-unfpa-report"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hyperlink" Target="https://onlinelibrary.wiley.com/authored-by/Adarkwa/Samuel+Akw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84-025-07146-6" TargetMode="External"/><Relationship Id="rId32" Type="http://schemas.openxmlformats.org/officeDocument/2006/relationships/hyperlink" Target="https://doi.org/10.1186/s12884-025-07749-z"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hyperlink" Target="https://onlinelibrary.wiley.com/authored-by/Ofori/Michael+Fosu"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doi.org/10.1186/s12884-016-098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https://onlinelibrary.wiley.com/authored-by/Agyekum/Gerald+Ohene" TargetMode="External"/><Relationship Id="rId30" Type="http://schemas.openxmlformats.org/officeDocument/2006/relationships/hyperlink" Target="https://onlinelibrary.wiley.com/authored-by/Ofori/Michael+Arthur" TargetMode="External"/><Relationship Id="rId35"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D:/UMaT%202022/PhD%20THESIS/Tables%20for%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Confusion</a:t>
            </a:r>
            <a:r>
              <a:rPr lang="en-US" baseline="0"/>
              <a:t> Matrix on Childbirth Dataset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Childbirth!$J$1</c:f>
              <c:strCache>
                <c:ptCount val="1"/>
                <c:pt idx="0">
                  <c:v>Logit Reg Model2</c:v>
                </c:pt>
              </c:strCache>
            </c:strRef>
          </c:tx>
          <c:spPr>
            <a:solidFill>
              <a:schemeClr val="accent1"/>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Childbirth!$J$2:$J$12</c:f>
              <c:numCache>
                <c:formatCode>0.0000</c:formatCode>
                <c:ptCount val="11"/>
                <c:pt idx="0">
                  <c:v>0.90890000000000004</c:v>
                </c:pt>
                <c:pt idx="1">
                  <c:v>0.90890000000000004</c:v>
                </c:pt>
                <c:pt idx="2">
                  <c:v>0</c:v>
                </c:pt>
                <c:pt idx="3">
                  <c:v>1</c:v>
                </c:pt>
                <c:pt idx="4">
                  <c:v>0</c:v>
                </c:pt>
                <c:pt idx="5">
                  <c:v>0.90890000000000004</c:v>
                </c:pt>
                <c:pt idx="6">
                  <c:v>0</c:v>
                </c:pt>
                <c:pt idx="7">
                  <c:v>0.90890000000000004</c:v>
                </c:pt>
                <c:pt idx="8">
                  <c:v>0.90890000000000004</c:v>
                </c:pt>
                <c:pt idx="9">
                  <c:v>1</c:v>
                </c:pt>
                <c:pt idx="10">
                  <c:v>0.5</c:v>
                </c:pt>
              </c:numCache>
            </c:numRef>
          </c:val>
          <c:smooth val="0"/>
          <c:extLst>
            <c:ext xmlns:c16="http://schemas.microsoft.com/office/drawing/2014/chart" uri="{C3380CC4-5D6E-409C-BE32-E72D297353CC}">
              <c16:uniqueId val="{00000000-755F-4FE7-B704-0756E03F6D94}"/>
            </c:ext>
          </c:extLst>
        </c:ser>
        <c:ser>
          <c:idx val="1"/>
          <c:order val="1"/>
          <c:tx>
            <c:strRef>
              <c:f>Childbirth!$K$1</c:f>
              <c:strCache>
                <c:ptCount val="1"/>
                <c:pt idx="0">
                  <c:v>SVM</c:v>
                </c:pt>
              </c:strCache>
            </c:strRef>
          </c:tx>
          <c:spPr>
            <a:solidFill>
              <a:schemeClr val="accent2"/>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Childbirth!$K$2:$K$12</c:f>
              <c:numCache>
                <c:formatCode>0.0000</c:formatCode>
                <c:ptCount val="11"/>
                <c:pt idx="0">
                  <c:v>0.87829999999999997</c:v>
                </c:pt>
                <c:pt idx="1">
                  <c:v>0.90890000000000004</c:v>
                </c:pt>
                <c:pt idx="2">
                  <c:v>-1.6500000000000001E-2</c:v>
                </c:pt>
                <c:pt idx="3">
                  <c:v>0.96391000000000004</c:v>
                </c:pt>
                <c:pt idx="4">
                  <c:v>2.4150000000000001E-2</c:v>
                </c:pt>
                <c:pt idx="5">
                  <c:v>0.90788000000000002</c:v>
                </c:pt>
                <c:pt idx="6">
                  <c:v>6.2859999999999999E-2</c:v>
                </c:pt>
                <c:pt idx="7">
                  <c:v>0.90890000000000004</c:v>
                </c:pt>
                <c:pt idx="8">
                  <c:v>0.87609999999999999</c:v>
                </c:pt>
                <c:pt idx="9">
                  <c:v>0.96499999999999997</c:v>
                </c:pt>
                <c:pt idx="10">
                  <c:v>0.49403000000000002</c:v>
                </c:pt>
              </c:numCache>
            </c:numRef>
          </c:val>
          <c:smooth val="0"/>
          <c:extLst>
            <c:ext xmlns:c16="http://schemas.microsoft.com/office/drawing/2014/chart" uri="{C3380CC4-5D6E-409C-BE32-E72D297353CC}">
              <c16:uniqueId val="{00000001-755F-4FE7-B704-0756E03F6D94}"/>
            </c:ext>
          </c:extLst>
        </c:ser>
        <c:ser>
          <c:idx val="2"/>
          <c:order val="2"/>
          <c:tx>
            <c:strRef>
              <c:f>Childbirth!$L$1</c:f>
              <c:strCache>
                <c:ptCount val="1"/>
                <c:pt idx="0">
                  <c:v>RandomForest</c:v>
                </c:pt>
              </c:strCache>
            </c:strRef>
          </c:tx>
          <c:spPr>
            <a:solidFill>
              <a:schemeClr val="accent3"/>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Childbirth!$L$2:$L$12</c:f>
              <c:numCache>
                <c:formatCode>0.0000</c:formatCode>
                <c:ptCount val="11"/>
                <c:pt idx="0">
                  <c:v>1</c:v>
                </c:pt>
                <c:pt idx="1">
                  <c:v>0.90890000000000004</c:v>
                </c:pt>
                <c:pt idx="2">
                  <c:v>1</c:v>
                </c:pt>
                <c:pt idx="3">
                  <c:v>1</c:v>
                </c:pt>
                <c:pt idx="4">
                  <c:v>1</c:v>
                </c:pt>
                <c:pt idx="5">
                  <c:v>1</c:v>
                </c:pt>
                <c:pt idx="6">
                  <c:v>1</c:v>
                </c:pt>
                <c:pt idx="7">
                  <c:v>0.90890000000000004</c:v>
                </c:pt>
                <c:pt idx="8">
                  <c:v>0.90890000000000004</c:v>
                </c:pt>
                <c:pt idx="9">
                  <c:v>0.90890000000000004</c:v>
                </c:pt>
                <c:pt idx="10">
                  <c:v>1</c:v>
                </c:pt>
              </c:numCache>
            </c:numRef>
          </c:val>
          <c:smooth val="0"/>
          <c:extLst>
            <c:ext xmlns:c16="http://schemas.microsoft.com/office/drawing/2014/chart" uri="{C3380CC4-5D6E-409C-BE32-E72D297353CC}">
              <c16:uniqueId val="{00000002-755F-4FE7-B704-0756E03F6D94}"/>
            </c:ext>
          </c:extLst>
        </c:ser>
        <c:ser>
          <c:idx val="3"/>
          <c:order val="3"/>
          <c:tx>
            <c:strRef>
              <c:f>Childbirth!$M$1</c:f>
              <c:strCache>
                <c:ptCount val="1"/>
                <c:pt idx="0">
                  <c:v>Neural N.</c:v>
                </c:pt>
              </c:strCache>
            </c:strRef>
          </c:tx>
          <c:spPr>
            <a:solidFill>
              <a:schemeClr val="accent4"/>
            </a:solidFill>
            <a:ln>
              <a:noFill/>
            </a:ln>
            <a:effectLst/>
            <a:sp3d/>
          </c:spPr>
          <c:cat>
            <c:strRef>
              <c:f>Childbirth!$I$2:$I$12</c:f>
              <c:strCache>
                <c:ptCount val="11"/>
                <c:pt idx="0">
                  <c:v>Accuracy</c:v>
                </c:pt>
                <c:pt idx="1">
                  <c:v>No Information Rate</c:v>
                </c:pt>
                <c:pt idx="2">
                  <c:v>Kappa</c:v>
                </c:pt>
                <c:pt idx="3">
                  <c:v>Sensitivity</c:v>
                </c:pt>
                <c:pt idx="4">
                  <c:v>Specificity</c:v>
                </c:pt>
                <c:pt idx="5">
                  <c:v>Positive Pred-Value</c:v>
                </c:pt>
                <c:pt idx="6">
                  <c:v>Negative Pred-Value</c:v>
                </c:pt>
                <c:pt idx="7">
                  <c:v>Prevalence</c:v>
                </c:pt>
                <c:pt idx="8">
                  <c:v>Detection Rate</c:v>
                </c:pt>
                <c:pt idx="9">
                  <c:v>Detection Prevalence</c:v>
                </c:pt>
                <c:pt idx="10">
                  <c:v>Balanced Accuracy</c:v>
                </c:pt>
              </c:strCache>
            </c:strRef>
          </c:cat>
          <c:val>
            <c:numRef>
              <c:f>Childbirth!$M$2:$M$12</c:f>
              <c:numCache>
                <c:formatCode>0.0000</c:formatCode>
                <c:ptCount val="11"/>
                <c:pt idx="0">
                  <c:v>0.90890000000000004</c:v>
                </c:pt>
                <c:pt idx="1">
                  <c:v>0.90890000000000004</c:v>
                </c:pt>
                <c:pt idx="2">
                  <c:v>0</c:v>
                </c:pt>
                <c:pt idx="3">
                  <c:v>1</c:v>
                </c:pt>
                <c:pt idx="4">
                  <c:v>0</c:v>
                </c:pt>
                <c:pt idx="5">
                  <c:v>0.90890000000000004</c:v>
                </c:pt>
                <c:pt idx="6">
                  <c:v>0</c:v>
                </c:pt>
                <c:pt idx="7">
                  <c:v>0.90890000000000004</c:v>
                </c:pt>
                <c:pt idx="8">
                  <c:v>0.90890000000000004</c:v>
                </c:pt>
                <c:pt idx="9">
                  <c:v>1</c:v>
                </c:pt>
                <c:pt idx="10">
                  <c:v>0.5</c:v>
                </c:pt>
              </c:numCache>
            </c:numRef>
          </c:val>
          <c:smooth val="0"/>
          <c:extLst>
            <c:ext xmlns:c16="http://schemas.microsoft.com/office/drawing/2014/chart" uri="{C3380CC4-5D6E-409C-BE32-E72D297353CC}">
              <c16:uniqueId val="{00000003-755F-4FE7-B704-0756E03F6D94}"/>
            </c:ext>
          </c:extLst>
        </c:ser>
        <c:dLbls>
          <c:showLegendKey val="0"/>
          <c:showVal val="0"/>
          <c:showCatName val="0"/>
          <c:showSerName val="0"/>
          <c:showPercent val="0"/>
          <c:showBubbleSize val="0"/>
        </c:dLbls>
        <c:axId val="1942771359"/>
        <c:axId val="1942780959"/>
        <c:axId val="2000469007"/>
      </c:line3DChart>
      <c:catAx>
        <c:axId val="19427713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80959"/>
        <c:crosses val="autoZero"/>
        <c:auto val="1"/>
        <c:lblAlgn val="ctr"/>
        <c:lblOffset val="100"/>
        <c:noMultiLvlLbl val="0"/>
      </c:catAx>
      <c:valAx>
        <c:axId val="1942780959"/>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71359"/>
        <c:crosses val="autoZero"/>
        <c:crossBetween val="between"/>
      </c:valAx>
      <c:serAx>
        <c:axId val="200046900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2780959"/>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0941-F8DF-4B09-B834-961CAC99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12</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34</cp:revision>
  <cp:lastPrinted>1999-07-06T11:00:00Z</cp:lastPrinted>
  <dcterms:created xsi:type="dcterms:W3CDTF">2014-10-25T14:34:00Z</dcterms:created>
  <dcterms:modified xsi:type="dcterms:W3CDTF">2026-04-03T10:37:00Z</dcterms:modified>
</cp:coreProperties>
</file>