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EC954" w14:textId="3819155D" w:rsidR="00BB7067" w:rsidRPr="007031A3" w:rsidRDefault="00BB7067" w:rsidP="00C20297">
      <w:pPr>
        <w:pStyle w:val="Author"/>
        <w:spacing w:after="0"/>
        <w:rPr>
          <w:rFonts w:ascii="Times New Roman" w:eastAsiaTheme="majorEastAsia" w:hAnsi="Times New Roman" w:cs="Times New Roman"/>
          <w:b/>
          <w:bCs/>
          <w:spacing w:val="-10"/>
          <w:kern w:val="28"/>
          <w:sz w:val="32"/>
          <w:szCs w:val="28"/>
          <w:lang w:val="en-IN"/>
        </w:rPr>
      </w:pPr>
      <w:r w:rsidRPr="007031A3">
        <w:rPr>
          <w:rFonts w:ascii="Times New Roman" w:eastAsiaTheme="majorEastAsia" w:hAnsi="Times New Roman" w:cs="Times New Roman"/>
          <w:b/>
          <w:bCs/>
          <w:spacing w:val="-10"/>
          <w:kern w:val="28"/>
          <w:sz w:val="32"/>
          <w:szCs w:val="28"/>
          <w:lang w:val="en-IN"/>
        </w:rPr>
        <w:t>Spatial Fertility Patterns in North-East India: A State-Level Clustering Analysis</w:t>
      </w:r>
    </w:p>
    <w:p w14:paraId="43763545" w14:textId="77777777" w:rsidR="00C20297" w:rsidRDefault="00C20297" w:rsidP="00BB7067">
      <w:pPr>
        <w:pStyle w:val="Author"/>
        <w:rPr>
          <w:rFonts w:ascii="Times New Roman" w:hAnsi="Times New Roman" w:cs="Times New Roman"/>
          <w:lang w:val="en-IN"/>
        </w:rPr>
      </w:pPr>
    </w:p>
    <w:p w14:paraId="1F78553F" w14:textId="0B142748" w:rsidR="007223B1" w:rsidRPr="007031A3" w:rsidRDefault="009940ED" w:rsidP="007223B1">
      <w:pPr>
        <w:pStyle w:val="Abstract"/>
        <w:ind w:right="996"/>
        <w:jc w:val="both"/>
        <w:rPr>
          <w:rFonts w:cs="Times New Roman"/>
          <w:b/>
          <w:bCs/>
          <w:sz w:val="24"/>
          <w:szCs w:val="24"/>
        </w:rPr>
      </w:pPr>
      <w:r w:rsidRPr="007031A3">
        <w:rPr>
          <w:rFonts w:cs="Times New Roman"/>
          <w:b/>
          <w:bCs/>
          <w:sz w:val="24"/>
          <w:szCs w:val="24"/>
        </w:rPr>
        <w:t>ABSTRACT</w:t>
      </w:r>
    </w:p>
    <w:p w14:paraId="1A7B813F" w14:textId="6EE5EFDB" w:rsidR="00B616E9" w:rsidRPr="009940ED" w:rsidRDefault="00BB7067" w:rsidP="009940ED">
      <w:pPr>
        <w:pStyle w:val="Abstract"/>
        <w:ind w:right="996"/>
        <w:jc w:val="both"/>
        <w:rPr>
          <w:rFonts w:cs="Times New Roman"/>
        </w:rPr>
      </w:pPr>
      <w:r w:rsidRPr="009940ED">
        <w:rPr>
          <w:rFonts w:cs="Times New Roman"/>
          <w:b/>
          <w:bCs/>
        </w:rPr>
        <w:t>Background:</w:t>
      </w:r>
      <w:r w:rsidRPr="009940ED">
        <w:rPr>
          <w:rFonts w:cs="Times New Roman"/>
        </w:rPr>
        <w:t xml:space="preserve"> </w:t>
      </w:r>
      <w:r w:rsidR="00B616E9" w:rsidRPr="009940ED">
        <w:rPr>
          <w:rFonts w:cs="Times New Roman"/>
        </w:rPr>
        <w:t>Examining regional fertility trends is crucial for shaping informed demographic strategies and policy decisions. This research calculates the state-level Age-Specific Fertility Rate (ASFR) across India’s eight northeastern states and employs cluster analysis to group them by their fertility lines. The method reveals distinct clusters with comparable fertility behaviours, shedding light on both regional disparities and evolving demographic shifts. The results highlight marked differences in fertility rates across these states, underscoring the role of socio-economic and cultural factors in shaping these variations.</w:t>
      </w:r>
    </w:p>
    <w:p w14:paraId="672F880A" w14:textId="7B7EEF3D" w:rsidR="00BB7067" w:rsidRPr="009940ED" w:rsidRDefault="00BB7067" w:rsidP="009940ED">
      <w:pPr>
        <w:pStyle w:val="Abstract"/>
        <w:ind w:right="996"/>
        <w:jc w:val="both"/>
        <w:rPr>
          <w:rFonts w:cs="Times New Roman"/>
        </w:rPr>
      </w:pPr>
      <w:r w:rsidRPr="009940ED">
        <w:rPr>
          <w:rFonts w:cs="Times New Roman"/>
          <w:b/>
          <w:bCs/>
        </w:rPr>
        <w:t>Methods:</w:t>
      </w:r>
      <w:r w:rsidRPr="009940ED">
        <w:rPr>
          <w:rFonts w:cs="Times New Roman"/>
        </w:rPr>
        <w:t xml:space="preserve"> </w:t>
      </w:r>
      <w:r w:rsidR="004734E2" w:rsidRPr="009940ED">
        <w:rPr>
          <w:rFonts w:cs="Times New Roman"/>
        </w:rPr>
        <w:t>The eight northeastern states were divided into discrete clusters using the K-means clustering method.</w:t>
      </w:r>
    </w:p>
    <w:p w14:paraId="219127EB" w14:textId="100DB0FB" w:rsidR="005D00A4" w:rsidRPr="009940ED" w:rsidRDefault="00BB7067" w:rsidP="009940ED">
      <w:pPr>
        <w:pStyle w:val="Abstract"/>
        <w:ind w:right="996"/>
        <w:jc w:val="both"/>
        <w:rPr>
          <w:rFonts w:cs="Times New Roman"/>
        </w:rPr>
      </w:pPr>
      <w:r w:rsidRPr="009940ED">
        <w:rPr>
          <w:rFonts w:cs="Times New Roman"/>
          <w:b/>
          <w:bCs/>
        </w:rPr>
        <w:t>Results:</w:t>
      </w:r>
      <w:r w:rsidRPr="009940ED">
        <w:rPr>
          <w:rFonts w:cs="Times New Roman"/>
        </w:rPr>
        <w:t xml:space="preserve"> </w:t>
      </w:r>
      <w:r w:rsidR="00A61271" w:rsidRPr="009940ED">
        <w:rPr>
          <w:rFonts w:cs="Times New Roman"/>
        </w:rPr>
        <w:t xml:space="preserve">By examining the calculated single-year ASFRs, we grouped the eight north-eastern states into four distinct clusters. </w:t>
      </w:r>
      <w:r w:rsidR="00F24DBF" w:rsidRPr="00B214B9">
        <w:rPr>
          <w:rFonts w:cs="Times New Roman"/>
        </w:rPr>
        <w:t xml:space="preserve">Cluster 1, predominantly tribal and Christian, shows relatively high education levels and moderate contraceptive use, </w:t>
      </w:r>
      <w:r w:rsidR="00F24DBF">
        <w:rPr>
          <w:rFonts w:cs="Times New Roman"/>
        </w:rPr>
        <w:t>while</w:t>
      </w:r>
      <w:r w:rsidR="00F24DBF" w:rsidRPr="00B214B9">
        <w:rPr>
          <w:rFonts w:cs="Times New Roman"/>
        </w:rPr>
        <w:t xml:space="preserve"> Cluster 2, primarily Hindu and rural, displays a higher proportion of anaemia and lower education levels, reflecting traditional fertility patterns. Cluster 3, with its high fertility rates, is marked by low contraceptive use and high parity,</w:t>
      </w:r>
      <w:r w:rsidR="00F24DBF">
        <w:rPr>
          <w:rFonts w:cs="Times New Roman"/>
        </w:rPr>
        <w:t xml:space="preserve"> while on the other hand</w:t>
      </w:r>
      <w:r w:rsidR="00F24DBF" w:rsidRPr="00B214B9">
        <w:rPr>
          <w:rFonts w:cs="Times New Roman"/>
        </w:rPr>
        <w:t xml:space="preserve"> Cluster 4, with its Buddhist majority and high contraceptive adoption, demonstrates a strong preference for smaller family sizes.</w:t>
      </w:r>
      <w:r w:rsidR="00F24DBF">
        <w:rPr>
          <w:rFonts w:cs="Times New Roman"/>
        </w:rPr>
        <w:t xml:space="preserve"> </w:t>
      </w:r>
      <w:r w:rsidR="00A61271" w:rsidRPr="009940ED">
        <w:rPr>
          <w:rFonts w:cs="Times New Roman"/>
        </w:rPr>
        <w:t xml:space="preserve">This distinction highlights the importance of socio-demographic factors in shaping these regional fertility trends. </w:t>
      </w:r>
      <w:bookmarkStart w:id="0" w:name="_GoBack"/>
      <w:bookmarkEnd w:id="0"/>
    </w:p>
    <w:p w14:paraId="5D6A167E" w14:textId="77777777" w:rsidR="008B765D" w:rsidRPr="009940ED" w:rsidRDefault="00BB7067" w:rsidP="009940ED">
      <w:pPr>
        <w:pStyle w:val="Abstract"/>
        <w:ind w:right="996"/>
        <w:jc w:val="both"/>
        <w:rPr>
          <w:rFonts w:cs="Times New Roman"/>
        </w:rPr>
      </w:pPr>
      <w:r w:rsidRPr="009940ED">
        <w:rPr>
          <w:rFonts w:cs="Times New Roman"/>
          <w:b/>
          <w:bCs/>
        </w:rPr>
        <w:t>Conclusion:</w:t>
      </w:r>
      <w:r w:rsidRPr="009940ED">
        <w:rPr>
          <w:rFonts w:cs="Times New Roman"/>
        </w:rPr>
        <w:t xml:space="preserve"> </w:t>
      </w:r>
      <w:r w:rsidR="008B765D" w:rsidRPr="009940ED">
        <w:rPr>
          <w:rFonts w:cs="Times New Roman"/>
        </w:rPr>
        <w:t>The eight northeastern states can be categorized into four distinct clusters, each of which can be characterized by markedly divergent fertility trends and maternal demographic profiles. These insights offer a basis for developing focused reproductive health strategies in the region.</w:t>
      </w:r>
    </w:p>
    <w:p w14:paraId="2B736490" w14:textId="2C23330C" w:rsidR="00BB7067" w:rsidRPr="009940ED" w:rsidRDefault="00BB7067" w:rsidP="009940ED">
      <w:pPr>
        <w:pStyle w:val="Abstract"/>
        <w:ind w:right="996"/>
        <w:jc w:val="both"/>
        <w:rPr>
          <w:rFonts w:cs="Times New Roman"/>
        </w:rPr>
      </w:pPr>
      <w:r w:rsidRPr="009940ED">
        <w:rPr>
          <w:rFonts w:cs="Times New Roman"/>
        </w:rPr>
        <w:br/>
      </w:r>
      <w:r w:rsidRPr="009940ED">
        <w:rPr>
          <w:rFonts w:cs="Times New Roman"/>
          <w:b/>
          <w:bCs/>
        </w:rPr>
        <w:t>Keywords:</w:t>
      </w:r>
      <w:r w:rsidRPr="009940ED">
        <w:rPr>
          <w:rFonts w:cs="Times New Roman"/>
        </w:rPr>
        <w:t xml:space="preserve"> Age-Specific Fertility Rate; Multivariate Analysis; Cluster Analysis; Demography</w:t>
      </w:r>
    </w:p>
    <w:p w14:paraId="28E1F69F" w14:textId="77777777" w:rsidR="00AE54B1" w:rsidRDefault="00AE54B1">
      <w:pPr>
        <w:spacing w:after="160" w:line="259" w:lineRule="auto"/>
        <w:rPr>
          <w:rFonts w:eastAsiaTheme="majorEastAsia" w:cs="Times New Roman"/>
          <w:b/>
          <w:sz w:val="28"/>
          <w:szCs w:val="32"/>
        </w:rPr>
      </w:pPr>
      <w:bookmarkStart w:id="1" w:name="introduction"/>
      <w:r>
        <w:rPr>
          <w:rFonts w:cs="Times New Roman"/>
        </w:rPr>
        <w:br w:type="page"/>
      </w:r>
    </w:p>
    <w:p w14:paraId="29FF7AC4" w14:textId="77777777" w:rsidR="0041662D" w:rsidRDefault="0041662D" w:rsidP="009940ED">
      <w:pPr>
        <w:pStyle w:val="Heading1"/>
        <w:sectPr w:rsidR="0041662D" w:rsidSect="00BB706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14:paraId="0F1B2D87" w14:textId="0147C443" w:rsidR="008832C9" w:rsidRPr="00E64050" w:rsidRDefault="008832C9" w:rsidP="008832C9">
      <w:pPr>
        <w:rPr>
          <w:b/>
          <w:bCs/>
          <w:sz w:val="24"/>
          <w:szCs w:val="28"/>
        </w:rPr>
      </w:pPr>
      <w:r w:rsidRPr="00E64050">
        <w:rPr>
          <w:b/>
          <w:bCs/>
          <w:sz w:val="24"/>
          <w:szCs w:val="28"/>
        </w:rPr>
        <w:lastRenderedPageBreak/>
        <w:t>INTRODUCTION</w:t>
      </w:r>
    </w:p>
    <w:p w14:paraId="38AEE968" w14:textId="183DA5D1" w:rsidR="0063717E" w:rsidRPr="009940ED" w:rsidRDefault="00AB73EF" w:rsidP="0041662D">
      <w:pPr>
        <w:pStyle w:val="FirstParagraph"/>
        <w:jc w:val="both"/>
        <w:rPr>
          <w:rFonts w:cs="Times New Roman"/>
          <w:szCs w:val="22"/>
        </w:rPr>
      </w:pPr>
      <w:r w:rsidRPr="009940ED">
        <w:rPr>
          <w:rFonts w:cs="Times New Roman"/>
          <w:szCs w:val="22"/>
        </w:rPr>
        <w:t xml:space="preserve">Regional fertility patterns are central to demographic planning and policy design, as fertility levels shape household composition, economic development, allocation of resources, and long-term population stability. India, home to nearly one-fifth of the world’s population, is undergoing a major demographic transition marked by a sustained decline in fertility. Since 1980, the country’s total fertility rate (TFR) has fallen by more than half and is now close to the replacement level, indicating a significant shift in population dynamics. However, this national decline masks substantial regional variation. Fertility transition has progressed at very different speeds across states, resulting in a highly uneven demographic landscape. These differences are driven by variation in access to healthcare, effectiveness of policy implementation, levels of education, and deeply rooted cultural practices. While global demographic trends provide a broader context, it is India’s regional socio-economic and cultural diversity that ultimately shapes fertility behaviour at the local level. </w:t>
      </w:r>
      <w:r w:rsidR="00D66701" w:rsidRPr="009940ED">
        <w:rPr>
          <w:rFonts w:cs="Times New Roman"/>
          <w:szCs w:val="22"/>
        </w:rPr>
        <w:t>This diversity underscores the importance of tailored approaches in addressing fertility challenges, ensuring sustainable demographic transitions across the country.</w:t>
      </w:r>
      <w:r w:rsidR="00492CC5" w:rsidRPr="009940ED">
        <w:rPr>
          <w:rFonts w:cs="Times New Roman"/>
          <w:szCs w:val="22"/>
          <w:vertAlign w:val="superscript"/>
        </w:rPr>
        <w:t>1</w:t>
      </w:r>
    </w:p>
    <w:p w14:paraId="39D30CAB" w14:textId="77777777" w:rsidR="00635A52" w:rsidRDefault="00635A52" w:rsidP="00BB7067">
      <w:pPr>
        <w:pStyle w:val="BodyText"/>
        <w:jc w:val="center"/>
        <w:rPr>
          <w:rFonts w:cs="Times New Roman"/>
          <w:szCs w:val="22"/>
        </w:rPr>
      </w:pPr>
    </w:p>
    <w:p w14:paraId="19A8715E" w14:textId="56E211D5" w:rsidR="00BB7067" w:rsidRPr="009940ED" w:rsidRDefault="005147C4" w:rsidP="00BB7067">
      <w:pPr>
        <w:pStyle w:val="BodyText"/>
        <w:jc w:val="center"/>
        <w:rPr>
          <w:rFonts w:cs="Times New Roman"/>
          <w:szCs w:val="22"/>
        </w:rPr>
      </w:pPr>
      <w:r w:rsidRPr="009940ED">
        <w:rPr>
          <w:rFonts w:cs="Times New Roman"/>
          <w:noProof/>
          <w:szCs w:val="22"/>
        </w:rPr>
        <w:drawing>
          <wp:inline distT="0" distB="0" distL="0" distR="0" wp14:anchorId="7E296F86" wp14:editId="4F2D495B">
            <wp:extent cx="4089383" cy="2552369"/>
            <wp:effectExtent l="0" t="0" r="6985" b="635"/>
            <wp:docPr id="657963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65900" cy="2600126"/>
                    </a:xfrm>
                    <a:prstGeom prst="rect">
                      <a:avLst/>
                    </a:prstGeom>
                    <a:noFill/>
                    <a:ln>
                      <a:noFill/>
                    </a:ln>
                  </pic:spPr>
                </pic:pic>
              </a:graphicData>
            </a:graphic>
          </wp:inline>
        </w:drawing>
      </w:r>
    </w:p>
    <w:p w14:paraId="3F68F285" w14:textId="39DA3C0D" w:rsidR="00BB7067" w:rsidRPr="00D10294" w:rsidRDefault="00BB7067" w:rsidP="009940ED">
      <w:pPr>
        <w:pStyle w:val="tablefigurecaption"/>
        <w:jc w:val="both"/>
        <w:rPr>
          <w:rFonts w:cs="Times New Roman"/>
          <w:b/>
          <w:bCs/>
          <w:i w:val="0"/>
          <w:iCs/>
          <w:sz w:val="18"/>
          <w:szCs w:val="18"/>
        </w:rPr>
      </w:pPr>
      <w:r w:rsidRPr="00D10294">
        <w:rPr>
          <w:rFonts w:cs="Times New Roman"/>
          <w:b/>
          <w:bCs/>
          <w:i w:val="0"/>
          <w:iCs/>
          <w:sz w:val="18"/>
          <w:szCs w:val="18"/>
        </w:rPr>
        <w:t>Fig</w:t>
      </w:r>
      <w:r w:rsidR="009940ED" w:rsidRPr="00D10294">
        <w:rPr>
          <w:rFonts w:cs="Times New Roman"/>
          <w:b/>
          <w:bCs/>
          <w:i w:val="0"/>
          <w:iCs/>
          <w:sz w:val="18"/>
          <w:szCs w:val="18"/>
        </w:rPr>
        <w:t>ure</w:t>
      </w:r>
      <w:r w:rsidRPr="00D10294">
        <w:rPr>
          <w:rFonts w:cs="Times New Roman"/>
          <w:b/>
          <w:bCs/>
          <w:i w:val="0"/>
          <w:iCs/>
          <w:sz w:val="18"/>
          <w:szCs w:val="18"/>
        </w:rPr>
        <w:t xml:space="preserve"> 1: Trend in Fertility Decline of India as well as </w:t>
      </w:r>
      <w:r w:rsidR="005147C4" w:rsidRPr="00D10294">
        <w:rPr>
          <w:rFonts w:cs="Times New Roman"/>
          <w:b/>
          <w:bCs/>
          <w:i w:val="0"/>
          <w:iCs/>
          <w:sz w:val="18"/>
          <w:szCs w:val="18"/>
        </w:rPr>
        <w:t>north-eastern states</w:t>
      </w:r>
      <w:r w:rsidRPr="00D10294">
        <w:rPr>
          <w:rFonts w:cs="Times New Roman"/>
          <w:b/>
          <w:bCs/>
          <w:i w:val="0"/>
          <w:iCs/>
          <w:sz w:val="18"/>
          <w:szCs w:val="18"/>
        </w:rPr>
        <w:t>. From 1992-93 (Round 1) to 2019-21 (Round 5)</w:t>
      </w:r>
    </w:p>
    <w:p w14:paraId="382CA4F8" w14:textId="10F77717" w:rsidR="00BB7067" w:rsidRPr="009940ED" w:rsidRDefault="00C57B78" w:rsidP="00BB7067">
      <w:pPr>
        <w:pStyle w:val="BodyText"/>
        <w:jc w:val="both"/>
        <w:rPr>
          <w:rFonts w:cs="Times New Roman"/>
          <w:szCs w:val="22"/>
        </w:rPr>
      </w:pPr>
      <w:r w:rsidRPr="009940ED">
        <w:rPr>
          <w:rFonts w:cs="Times New Roman"/>
          <w:szCs w:val="22"/>
        </w:rPr>
        <w:t>Understanding India’s fertility transition requires moving beyond national averages to consider the substantial variation across states and districts. These differences arise from unequal socioeconomic development, diverse cultural norms, and variations in policy implementation. As a result, India exhibits a heterogeneous demographic landscape, in which some regions have already attained replacement-level fertility, while others continue to record persistently higher fertility levels</w:t>
      </w:r>
      <w:r w:rsidR="00BB7067" w:rsidRPr="009940ED">
        <w:rPr>
          <w:rFonts w:cs="Times New Roman"/>
          <w:szCs w:val="22"/>
        </w:rPr>
        <w:t>.</w:t>
      </w:r>
      <w:r w:rsidR="0037640A" w:rsidRPr="009940ED">
        <w:rPr>
          <w:rFonts w:cs="Times New Roman"/>
          <w:szCs w:val="22"/>
          <w:vertAlign w:val="superscript"/>
        </w:rPr>
        <w:t>2</w:t>
      </w:r>
    </w:p>
    <w:p w14:paraId="004E6F91" w14:textId="544C3146" w:rsidR="00C028D9" w:rsidRPr="009940ED" w:rsidRDefault="00AB73EF" w:rsidP="00C028D9">
      <w:pPr>
        <w:pStyle w:val="BodyText"/>
        <w:jc w:val="both"/>
        <w:rPr>
          <w:rFonts w:cs="Times New Roman"/>
          <w:szCs w:val="22"/>
        </w:rPr>
      </w:pPr>
      <w:r w:rsidRPr="009940ED">
        <w:rPr>
          <w:rFonts w:cs="Times New Roman"/>
          <w:szCs w:val="22"/>
        </w:rPr>
        <w:t>India has experienced a major decline in fertility rates over the past several decades as part of its demographic transition.</w:t>
      </w:r>
      <w:r w:rsidR="00C028D9" w:rsidRPr="009940ED">
        <w:rPr>
          <w:rFonts w:cs="Times New Roman"/>
          <w:szCs w:val="22"/>
        </w:rPr>
        <w:t xml:space="preserve"> The fertility decline represents one of the most dramatic demographic transformations globally, with the Total Fertility Rate falling from 5.89 births per woman in the early 1960s to 2.0 by 2019-21</w:t>
      </w:r>
      <w:r w:rsidR="00650453" w:rsidRPr="009940ED">
        <w:rPr>
          <w:rFonts w:cs="Times New Roman"/>
          <w:szCs w:val="22"/>
        </w:rPr>
        <w:t>.</w:t>
      </w:r>
      <w:r w:rsidR="0037640A" w:rsidRPr="009940ED">
        <w:rPr>
          <w:rFonts w:cs="Times New Roman"/>
          <w:szCs w:val="22"/>
          <w:vertAlign w:val="superscript"/>
        </w:rPr>
        <w:t>3-5</w:t>
      </w:r>
      <w:r w:rsidR="00C028D9" w:rsidRPr="009940ED">
        <w:rPr>
          <w:rFonts w:cs="Times New Roman"/>
          <w:szCs w:val="22"/>
        </w:rPr>
        <w:t xml:space="preserve"> This decline has been consistent across multiple decades, dropping from 5.2 in 1971 to 2.2-2.3 by 2015-16.</w:t>
      </w:r>
      <w:r w:rsidR="006E4BEE" w:rsidRPr="009940ED">
        <w:rPr>
          <w:rFonts w:cs="Times New Roman"/>
          <w:szCs w:val="22"/>
          <w:vertAlign w:val="superscript"/>
        </w:rPr>
        <w:t>6,7</w:t>
      </w:r>
      <w:r w:rsidR="00C028D9" w:rsidRPr="009940ED">
        <w:rPr>
          <w:rFonts w:cs="Times New Roman"/>
          <w:szCs w:val="22"/>
        </w:rPr>
        <w:t xml:space="preserve"> Most significantly, India has now joined over 80 countries with sub-replacement fertility, achieving a TFR below the replacement level of 2.1 for the first time in its history.</w:t>
      </w:r>
      <w:r w:rsidR="006E4BEE" w:rsidRPr="009940ED">
        <w:rPr>
          <w:rFonts w:cs="Times New Roman"/>
          <w:szCs w:val="22"/>
          <w:vertAlign w:val="superscript"/>
        </w:rPr>
        <w:t>8,9</w:t>
      </w:r>
    </w:p>
    <w:p w14:paraId="08EC8CCB" w14:textId="37F945C3" w:rsidR="00C028D9" w:rsidRPr="009940ED" w:rsidRDefault="00C028D9" w:rsidP="00C028D9">
      <w:pPr>
        <w:pStyle w:val="BodyText"/>
        <w:jc w:val="both"/>
        <w:rPr>
          <w:rFonts w:cs="Times New Roman"/>
          <w:szCs w:val="22"/>
        </w:rPr>
      </w:pPr>
      <w:r w:rsidRPr="009940ED">
        <w:rPr>
          <w:rFonts w:cs="Times New Roman"/>
          <w:szCs w:val="22"/>
        </w:rPr>
        <w:t>The fertility decline has been universal across Indian society, occurring among rich and poor, literate and non-literate, upper and lower castes, and across different religious groups.</w:t>
      </w:r>
      <w:r w:rsidR="006E4BEE" w:rsidRPr="009940ED">
        <w:rPr>
          <w:rFonts w:cs="Times New Roman"/>
          <w:szCs w:val="22"/>
          <w:vertAlign w:val="superscript"/>
        </w:rPr>
        <w:t>6</w:t>
      </w:r>
      <w:r w:rsidRPr="009940ED">
        <w:rPr>
          <w:rFonts w:cs="Times New Roman"/>
          <w:szCs w:val="22"/>
        </w:rPr>
        <w:t xml:space="preserve"> Currently, </w:t>
      </w:r>
      <w:r w:rsidR="006E4BEE" w:rsidRPr="009940ED">
        <w:rPr>
          <w:rFonts w:cs="Times New Roman"/>
          <w:szCs w:val="22"/>
        </w:rPr>
        <w:t xml:space="preserve">in India, </w:t>
      </w:r>
      <w:r w:rsidRPr="009940ED">
        <w:rPr>
          <w:rFonts w:cs="Times New Roman"/>
          <w:szCs w:val="22"/>
        </w:rPr>
        <w:t xml:space="preserve">30 of </w:t>
      </w:r>
      <w:r w:rsidR="006E4BEE" w:rsidRPr="009940ED">
        <w:rPr>
          <w:rFonts w:cs="Times New Roman"/>
          <w:szCs w:val="22"/>
        </w:rPr>
        <w:t xml:space="preserve">the </w:t>
      </w:r>
      <w:r w:rsidRPr="009940ED">
        <w:rPr>
          <w:rFonts w:cs="Times New Roman"/>
          <w:szCs w:val="22"/>
        </w:rPr>
        <w:t>36 states have achieved below-replacement fertility, with only Bihar, Uttar Pradesh, Jharkhand, Manipur, and Meghalaya remaining above this threshold (See Fig</w:t>
      </w:r>
      <w:r w:rsidR="00650453" w:rsidRPr="009940ED">
        <w:rPr>
          <w:rFonts w:cs="Times New Roman"/>
          <w:szCs w:val="22"/>
        </w:rPr>
        <w:t>ure</w:t>
      </w:r>
      <w:r w:rsidRPr="009940ED">
        <w:rPr>
          <w:rFonts w:cs="Times New Roman"/>
          <w:szCs w:val="22"/>
        </w:rPr>
        <w:t xml:space="preserve"> 1).</w:t>
      </w:r>
      <w:r w:rsidR="006E4BEE" w:rsidRPr="009940ED">
        <w:rPr>
          <w:rFonts w:cs="Times New Roman"/>
          <w:szCs w:val="22"/>
          <w:vertAlign w:val="superscript"/>
        </w:rPr>
        <w:t>4,8</w:t>
      </w:r>
      <w:r w:rsidRPr="009940ED">
        <w:rPr>
          <w:rFonts w:cs="Times New Roman"/>
          <w:szCs w:val="22"/>
        </w:rPr>
        <w:t xml:space="preserve"> The decline has been particularly steep in rural </w:t>
      </w:r>
      <w:r w:rsidRPr="009940ED">
        <w:rPr>
          <w:rFonts w:cs="Times New Roman"/>
          <w:szCs w:val="22"/>
        </w:rPr>
        <w:lastRenderedPageBreak/>
        <w:t>areas where two-thirds of Indians reside, though urban areas continue to show lower fertility rates, with urban TFR at 1.6 compared to 2.1 in rural areas.</w:t>
      </w:r>
      <w:r w:rsidR="0064426A" w:rsidRPr="009940ED">
        <w:rPr>
          <w:rFonts w:cs="Times New Roman"/>
          <w:szCs w:val="22"/>
          <w:vertAlign w:val="superscript"/>
        </w:rPr>
        <w:t>3,9</w:t>
      </w:r>
    </w:p>
    <w:p w14:paraId="1068C762" w14:textId="420E3D30" w:rsidR="00AB73EF" w:rsidRPr="009940ED" w:rsidRDefault="00C028D9" w:rsidP="00C028D9">
      <w:pPr>
        <w:pStyle w:val="BodyText"/>
        <w:jc w:val="both"/>
        <w:rPr>
          <w:rFonts w:cs="Times New Roman"/>
          <w:szCs w:val="22"/>
        </w:rPr>
      </w:pPr>
      <w:r w:rsidRPr="009940ED">
        <w:rPr>
          <w:rFonts w:cs="Times New Roman"/>
          <w:szCs w:val="22"/>
        </w:rPr>
        <w:t>This fertility transition has been characterized by notable regional convergence, with states that historically had higher fertility rates showing faster decline rates, leading to gradual convergence across states.</w:t>
      </w:r>
      <w:r w:rsidR="0064426A" w:rsidRPr="009940ED">
        <w:rPr>
          <w:rFonts w:cs="Times New Roman"/>
          <w:szCs w:val="22"/>
          <w:vertAlign w:val="superscript"/>
        </w:rPr>
        <w:t>10</w:t>
      </w:r>
      <w:r w:rsidRPr="009940ED">
        <w:rPr>
          <w:rFonts w:cs="Times New Roman"/>
          <w:szCs w:val="22"/>
        </w:rPr>
        <w:t xml:space="preserve"> The southern states led this transition, reaching replacement level</w:t>
      </w:r>
      <w:r w:rsidRPr="007031A3">
        <w:rPr>
          <w:rFonts w:cs="Times New Roman"/>
        </w:rPr>
        <w:t xml:space="preserve"> </w:t>
      </w:r>
      <w:r w:rsidRPr="009940ED">
        <w:rPr>
          <w:rFonts w:cs="Times New Roman"/>
          <w:szCs w:val="22"/>
        </w:rPr>
        <w:t>fertility as early as 1990, followed by western and northern states, while central, eastern, and northeastern regions have shown slower but steady progress.</w:t>
      </w:r>
      <w:r w:rsidR="0064426A" w:rsidRPr="009940ED">
        <w:rPr>
          <w:rFonts w:cs="Times New Roman"/>
          <w:szCs w:val="22"/>
          <w:vertAlign w:val="superscript"/>
        </w:rPr>
        <w:t>6,11</w:t>
      </w:r>
      <w:r w:rsidRPr="009940ED">
        <w:rPr>
          <w:rFonts w:cs="Times New Roman"/>
          <w:szCs w:val="22"/>
        </w:rPr>
        <w:t xml:space="preserve"> The decline has been attributed primarily to government family planning programs and population policies rather than purely socioeconomic changes, representing a success story of targeted governmental intervention.</w:t>
      </w:r>
      <w:r w:rsidR="0064426A" w:rsidRPr="009940ED">
        <w:rPr>
          <w:rFonts w:cs="Times New Roman"/>
          <w:szCs w:val="22"/>
          <w:vertAlign w:val="superscript"/>
        </w:rPr>
        <w:t>9,10,12</w:t>
      </w:r>
    </w:p>
    <w:p w14:paraId="69CA3AD0" w14:textId="7C4378C3" w:rsidR="00BD5119" w:rsidRPr="009940ED" w:rsidRDefault="00C028D9" w:rsidP="00BD5119">
      <w:pPr>
        <w:pStyle w:val="BodyText"/>
        <w:jc w:val="both"/>
        <w:rPr>
          <w:rFonts w:cs="Times New Roman"/>
          <w:szCs w:val="22"/>
        </w:rPr>
      </w:pPr>
      <w:r w:rsidRPr="009940ED">
        <w:rPr>
          <w:rFonts w:cs="Times New Roman"/>
          <w:szCs w:val="22"/>
        </w:rPr>
        <w:t>The northeastern region of India presents a unique fertility profile that distinguishes it from other regions of the country. As of 2015, the northeast region had higher fertility levels compared to the south, west, and north, ranking second only to the central region in terms of Total Fertility Rate.</w:t>
      </w:r>
      <w:r w:rsidR="00650453" w:rsidRPr="009940ED">
        <w:rPr>
          <w:rFonts w:cs="Times New Roman"/>
          <w:szCs w:val="22"/>
          <w:vertAlign w:val="superscript"/>
        </w:rPr>
        <w:t>11</w:t>
      </w:r>
      <w:r w:rsidRPr="009940ED">
        <w:rPr>
          <w:rFonts w:cs="Times New Roman"/>
          <w:szCs w:val="22"/>
        </w:rPr>
        <w:t xml:space="preserve"> By 2019-21, while most of India achieved sub-replacement fertility, Manipur and Meghalaya in the northeast remained among the five states that had not yet reached replacement-level fertility.</w:t>
      </w:r>
      <w:r w:rsidR="00650453" w:rsidRPr="009940ED">
        <w:rPr>
          <w:rFonts w:cs="Times New Roman"/>
          <w:szCs w:val="22"/>
          <w:vertAlign w:val="superscript"/>
        </w:rPr>
        <w:t>4</w:t>
      </w:r>
    </w:p>
    <w:p w14:paraId="0E1A9E1E" w14:textId="570BD4FA" w:rsidR="00A61F56" w:rsidRPr="009940ED" w:rsidRDefault="00FE5BF5" w:rsidP="00B363AD">
      <w:pPr>
        <w:pStyle w:val="BodyText"/>
        <w:jc w:val="both"/>
        <w:rPr>
          <w:rFonts w:cs="Times New Roman"/>
          <w:szCs w:val="22"/>
        </w:rPr>
      </w:pPr>
      <w:r w:rsidRPr="009940ED">
        <w:rPr>
          <w:rFonts w:cs="Times New Roman"/>
          <w:szCs w:val="22"/>
        </w:rPr>
        <w:t xml:space="preserve">The fertility landscape across the northeastern states reveals remarkable heterogeneity that reflects the complex interplay of cultural, social, and economic factors within the region. According to NFHS data, fertility rates span a considerable range, from just below replacement level in Sikkim to as high as </w:t>
      </w:r>
      <w:r w:rsidR="00B23168" w:rsidRPr="009940ED">
        <w:rPr>
          <w:rFonts w:cs="Times New Roman"/>
          <w:szCs w:val="22"/>
        </w:rPr>
        <w:t xml:space="preserve">approximately </w:t>
      </w:r>
      <w:r w:rsidR="00E47BDC" w:rsidRPr="009940ED">
        <w:rPr>
          <w:rFonts w:cs="Times New Roman"/>
          <w:szCs w:val="22"/>
        </w:rPr>
        <w:t>3</w:t>
      </w:r>
      <w:r w:rsidRPr="009940ED">
        <w:rPr>
          <w:rFonts w:cs="Times New Roman"/>
          <w:szCs w:val="22"/>
        </w:rPr>
        <w:t xml:space="preserve"> children per woman in Meghalaya.</w:t>
      </w:r>
      <w:r w:rsidR="00B23168" w:rsidRPr="009940ED">
        <w:rPr>
          <w:rFonts w:cs="Times New Roman"/>
          <w:szCs w:val="22"/>
          <w:vertAlign w:val="superscript"/>
        </w:rPr>
        <w:t>13,14</w:t>
      </w:r>
      <w:r w:rsidRPr="009940ED">
        <w:rPr>
          <w:rFonts w:cs="Times New Roman"/>
          <w:szCs w:val="22"/>
        </w:rPr>
        <w:t xml:space="preserve"> This variation represents one of the most diverse fertility patterns found within any single geographic region of India, creating distinct demographic profiles that lend themselves well to statistical clustering approaches. The substantial differences in total fertility rates across </w:t>
      </w:r>
      <w:r w:rsidR="00ED712D" w:rsidRPr="009940ED">
        <w:rPr>
          <w:rFonts w:cs="Times New Roman"/>
          <w:szCs w:val="22"/>
        </w:rPr>
        <w:t>neighbouring</w:t>
      </w:r>
      <w:r w:rsidRPr="009940ED">
        <w:rPr>
          <w:rFonts w:cs="Times New Roman"/>
          <w:szCs w:val="22"/>
        </w:rPr>
        <w:t xml:space="preserve"> states suggest that despite shared geographic proximity, each northeastern state follows unique reproductive trajectories influenced by their specific ethnic compositions and cultural practices. This heterogeneity in fertility outcomes provides an excellent foundation for applying K-means clustering analysis, as the age-specific fertility rate patterns likely form distinct groupings that can reveal underlying demographic similarities and differences among these states.</w:t>
      </w:r>
    </w:p>
    <w:p w14:paraId="6367B3F8" w14:textId="11774377" w:rsidR="00E47BDC" w:rsidRPr="009940ED" w:rsidRDefault="00E47BDC" w:rsidP="00B363AD">
      <w:pPr>
        <w:pStyle w:val="BodyText"/>
        <w:jc w:val="both"/>
        <w:rPr>
          <w:rFonts w:cs="Times New Roman"/>
          <w:szCs w:val="22"/>
        </w:rPr>
      </w:pPr>
      <w:r w:rsidRPr="009940ED">
        <w:rPr>
          <w:rFonts w:cs="Times New Roman"/>
          <w:szCs w:val="22"/>
        </w:rPr>
        <w:t>This study seeks to examine disparities in fertility curves across the eight northeastern states of India and to assess associated socio-demographic contrasts, as well as whether these differences are statistically significant. However, analysing and comparing all eight states individually may be methodologically cumbersome and analytically limited, potentially obscuring underlying patterns. To address this, the states were grouped according to similarities in their fertility trends, enabling more meaningful comparisons and improving interpretability of the results.</w:t>
      </w:r>
    </w:p>
    <w:p w14:paraId="469BBBAF" w14:textId="5F7C15E5" w:rsidR="00D10294" w:rsidRDefault="008968BE" w:rsidP="00D10294">
      <w:pPr>
        <w:pStyle w:val="BodyText"/>
        <w:jc w:val="both"/>
        <w:rPr>
          <w:rFonts w:cs="Times New Roman"/>
          <w:szCs w:val="22"/>
          <w:vertAlign w:val="superscript"/>
        </w:rPr>
      </w:pPr>
      <w:r w:rsidRPr="009940ED">
        <w:rPr>
          <w:rFonts w:cs="Times New Roman"/>
          <w:szCs w:val="22"/>
        </w:rPr>
        <w:t>A variety of clustering techniques have been used in the literature to classify Indian states and districts according to different characteristics. Among these methods, agglomerative hierarchical clustering is both widely used and conceptually simple, as it starts with individual observations and progressively merges similar clusters into a single group. In the Indian context, hierarchical clustering has been effectively used to examine COVID-19 patterns, district-level nutritional status, and trends in missing children’s cases.</w:t>
      </w:r>
      <w:r w:rsidR="008676F1" w:rsidRPr="009940ED">
        <w:rPr>
          <w:rFonts w:cs="Times New Roman"/>
          <w:szCs w:val="22"/>
          <w:vertAlign w:val="superscript"/>
        </w:rPr>
        <w:t>15-17</w:t>
      </w:r>
    </w:p>
    <w:p w14:paraId="1563ECF2" w14:textId="5C80852D" w:rsidR="00635A52" w:rsidRDefault="00635A52" w:rsidP="00D10294">
      <w:pPr>
        <w:pStyle w:val="BodyText"/>
        <w:jc w:val="both"/>
        <w:rPr>
          <w:rFonts w:cs="Times New Roman"/>
          <w:szCs w:val="22"/>
        </w:rPr>
      </w:pPr>
      <w:r w:rsidRPr="006704C9">
        <w:rPr>
          <w:rFonts w:cs="Times New Roman"/>
          <w:szCs w:val="22"/>
        </w:rPr>
        <w:t xml:space="preserve">The non-hierarchical k-means clustering method is another frequently applied technique for analysing Indian states. This approach has been used to classify </w:t>
      </w:r>
      <w:r>
        <w:rPr>
          <w:rFonts w:cs="Times New Roman"/>
          <w:szCs w:val="22"/>
        </w:rPr>
        <w:t>areas</w:t>
      </w:r>
      <w:r w:rsidRPr="006704C9">
        <w:rPr>
          <w:rFonts w:cs="Times New Roman"/>
          <w:szCs w:val="22"/>
        </w:rPr>
        <w:t xml:space="preserve"> based on infrastructure development levels, analyse COVID-19 data across states and union territories, and identify flood risk zones.</w:t>
      </w:r>
      <w:r w:rsidRPr="006704C9">
        <w:rPr>
          <w:rFonts w:cs="Times New Roman"/>
          <w:szCs w:val="22"/>
          <w:vertAlign w:val="superscript"/>
        </w:rPr>
        <w:t>18-20</w:t>
      </w:r>
      <w:r w:rsidRPr="006704C9">
        <w:rPr>
          <w:rFonts w:cs="Times New Roman"/>
          <w:szCs w:val="22"/>
        </w:rPr>
        <w:t xml:space="preserve"> One of its key advantages is its capacity to create well-defined clusters, which can guide evidence-based policymaking.</w:t>
      </w:r>
    </w:p>
    <w:p w14:paraId="5C9C637E" w14:textId="77777777" w:rsidR="00635A52" w:rsidRDefault="00635A52" w:rsidP="00635A52">
      <w:pPr>
        <w:pStyle w:val="FirstParagraph"/>
        <w:jc w:val="both"/>
        <w:rPr>
          <w:rFonts w:cs="Times New Roman"/>
          <w:szCs w:val="22"/>
        </w:rPr>
      </w:pPr>
      <w:r w:rsidRPr="006704C9">
        <w:rPr>
          <w:rFonts w:cs="Times New Roman"/>
          <w:szCs w:val="22"/>
        </w:rPr>
        <w:t>Analysing age-specific fertility rates (ASFRs) reveals important insights into fertility patterns across different age groups within regions. This research focuses on state-level ASFRs, using cluster analysis to categorize them into distinct groups with comparable fertility trends. The K-means clustering method was selected for this analysis because it effectively organizes numeric data. K-means is particularly well-suited for this study since it excels with numerical information.</w:t>
      </w:r>
      <w:r w:rsidRPr="006704C9">
        <w:rPr>
          <w:rFonts w:cs="Times New Roman"/>
          <w:szCs w:val="22"/>
          <w:vertAlign w:val="superscript"/>
        </w:rPr>
        <w:t>21</w:t>
      </w:r>
      <w:r w:rsidRPr="006704C9">
        <w:rPr>
          <w:rFonts w:cs="Times New Roman"/>
          <w:szCs w:val="22"/>
        </w:rPr>
        <w:t xml:space="preserve"> Given that we are examining single-year ASFR </w:t>
      </w:r>
      <w:r w:rsidRPr="006704C9">
        <w:rPr>
          <w:rFonts w:cs="Times New Roman"/>
          <w:szCs w:val="22"/>
        </w:rPr>
        <w:lastRenderedPageBreak/>
        <w:t xml:space="preserve">data to identify similarities among states, K-means provides a clear and efficient way to group these states into meaningful clusters.  </w:t>
      </w:r>
    </w:p>
    <w:p w14:paraId="70BDF66D" w14:textId="77777777" w:rsidR="000B1855" w:rsidRPr="000B1855" w:rsidRDefault="000B1855" w:rsidP="000B1855">
      <w:pPr>
        <w:pStyle w:val="BodyText"/>
      </w:pPr>
    </w:p>
    <w:p w14:paraId="64011579" w14:textId="6082AB49" w:rsidR="00BB7067" w:rsidRPr="0025400C" w:rsidRDefault="006704C9" w:rsidP="000B1855">
      <w:pPr>
        <w:rPr>
          <w:rFonts w:cs="Times New Roman"/>
          <w:b/>
          <w:bCs/>
          <w:sz w:val="24"/>
        </w:rPr>
      </w:pPr>
      <w:bookmarkStart w:id="2" w:name="methods"/>
      <w:bookmarkEnd w:id="1"/>
      <w:r w:rsidRPr="0025400C">
        <w:rPr>
          <w:rFonts w:cs="Times New Roman"/>
          <w:b/>
          <w:bCs/>
          <w:sz w:val="24"/>
        </w:rPr>
        <w:t>METHODOLOGY</w:t>
      </w:r>
    </w:p>
    <w:p w14:paraId="104A2B6D" w14:textId="44FF9701" w:rsidR="00BF1078" w:rsidRPr="000B1855" w:rsidRDefault="00BB7067" w:rsidP="000B1855">
      <w:pPr>
        <w:jc w:val="both"/>
        <w:rPr>
          <w:rFonts w:cs="Times New Roman"/>
          <w:szCs w:val="22"/>
        </w:rPr>
      </w:pPr>
      <w:bookmarkStart w:id="3" w:name="source-of-data"/>
      <w:r w:rsidRPr="000B1855">
        <w:rPr>
          <w:rFonts w:cs="Times New Roman"/>
          <w:b/>
          <w:bCs/>
          <w:szCs w:val="22"/>
        </w:rPr>
        <w:t>Source of Data</w:t>
      </w:r>
      <w:r w:rsidR="009E6EC5" w:rsidRPr="000B1855">
        <w:rPr>
          <w:rFonts w:cs="Times New Roman"/>
          <w:b/>
          <w:bCs/>
          <w:szCs w:val="22"/>
        </w:rPr>
        <w:t>:</w:t>
      </w:r>
      <w:r w:rsidR="009E6EC5" w:rsidRPr="000B1855">
        <w:rPr>
          <w:rFonts w:cs="Times New Roman"/>
          <w:szCs w:val="22"/>
        </w:rPr>
        <w:t xml:space="preserve"> </w:t>
      </w:r>
      <w:r w:rsidR="00BF1078" w:rsidRPr="000B1855">
        <w:rPr>
          <w:rFonts w:cs="Times New Roman"/>
          <w:szCs w:val="22"/>
        </w:rPr>
        <w:t>The National Family Health Survey (Round-5, 2019-2021) dataset for the eight Northeastern states collectively provides a comprehensive sample of women in the 15–49 age group.</w:t>
      </w:r>
      <w:r w:rsidR="009868F0" w:rsidRPr="000B1855">
        <w:rPr>
          <w:rFonts w:cs="Times New Roman"/>
          <w:szCs w:val="22"/>
          <w:vertAlign w:val="superscript"/>
        </w:rPr>
        <w:t>14</w:t>
      </w:r>
      <w:r w:rsidR="00BF1078" w:rsidRPr="000B1855">
        <w:rPr>
          <w:rFonts w:cs="Times New Roman"/>
          <w:szCs w:val="22"/>
        </w:rPr>
        <w:t xml:space="preserve"> The total female sample across these states ranges from 4,220 in Sikkim to 34,979 in Assam, with a substantial subset consisting of ever-married women (e.g., 27,215 in Assam and 2,752 in Sikkim). These sample sizes were deemed sufficient for state-level Age-Specific Fertility Rate (ASFR) estimation under the NFHS-5 stratified sampling design. For the calculation of Single-Year ASFRs, the study utilized de-identified NFHS-5 microdata accessed through the DHS Program, following ethical approval and guidelines established by the International Institute for Population Sciences (IIPS)</w:t>
      </w:r>
      <w:r w:rsidR="009868F0" w:rsidRPr="000B1855">
        <w:rPr>
          <w:rFonts w:cs="Times New Roman"/>
          <w:szCs w:val="22"/>
        </w:rPr>
        <w:t>.</w:t>
      </w:r>
      <w:r w:rsidR="009868F0" w:rsidRPr="000B1855">
        <w:rPr>
          <w:rFonts w:cs="Times New Roman"/>
          <w:szCs w:val="22"/>
          <w:vertAlign w:val="superscript"/>
        </w:rPr>
        <w:t>14</w:t>
      </w:r>
    </w:p>
    <w:p w14:paraId="76A756A0" w14:textId="5FAAE75D" w:rsidR="007031A3" w:rsidRPr="000B1855" w:rsidRDefault="00565ABE" w:rsidP="000B1855">
      <w:pPr>
        <w:jc w:val="both"/>
        <w:rPr>
          <w:rFonts w:cs="Times New Roman"/>
          <w:szCs w:val="22"/>
        </w:rPr>
      </w:pPr>
      <w:bookmarkStart w:id="4" w:name="age-specific-fertility-rate"/>
      <w:bookmarkEnd w:id="3"/>
      <w:r w:rsidRPr="000B1855">
        <w:rPr>
          <w:rFonts w:cs="Times New Roman"/>
          <w:b/>
          <w:bCs/>
          <w:szCs w:val="22"/>
        </w:rPr>
        <w:t xml:space="preserve">Age Specific </w:t>
      </w:r>
      <w:r w:rsidR="00BB7067" w:rsidRPr="000B1855">
        <w:rPr>
          <w:rFonts w:cs="Times New Roman"/>
          <w:b/>
          <w:bCs/>
          <w:szCs w:val="22"/>
        </w:rPr>
        <w:t>Fertility Rate</w:t>
      </w:r>
      <w:r w:rsidR="000B1855" w:rsidRPr="000B1855">
        <w:rPr>
          <w:rFonts w:cs="Times New Roman"/>
          <w:b/>
          <w:bCs/>
          <w:szCs w:val="22"/>
        </w:rPr>
        <w:t>:</w:t>
      </w:r>
      <w:r w:rsidR="000B1855" w:rsidRPr="000B1855">
        <w:rPr>
          <w:rFonts w:cs="Times New Roman"/>
          <w:szCs w:val="22"/>
        </w:rPr>
        <w:t xml:space="preserve"> </w:t>
      </w:r>
      <w:r w:rsidR="007031A3" w:rsidRPr="000B1855">
        <w:rPr>
          <w:rFonts w:cs="Times New Roman"/>
          <w:szCs w:val="22"/>
        </w:rPr>
        <w:t>The age‑specific fertility rate (ASFR) reflects the number of births per </w:t>
      </w:r>
      <w:r w:rsidR="007031A3" w:rsidRPr="000B1855">
        <w:rPr>
          <w:rFonts w:cs="Times New Roman"/>
          <w:i/>
          <w:iCs/>
          <w:szCs w:val="22"/>
        </w:rPr>
        <w:t>k</w:t>
      </w:r>
      <w:r w:rsidR="007031A3" w:rsidRPr="000B1855">
        <w:rPr>
          <w:rFonts w:cs="Times New Roman"/>
          <w:szCs w:val="22"/>
        </w:rPr>
        <w:t xml:space="preserve"> women (usually per 1,000) in a given area and period. Adding the ASFRs across all ages yields the total fertility rate (TFR). We calculated single‑year ASFRs for ages 15–49 with </w:t>
      </w:r>
      <w:proofErr w:type="spellStart"/>
      <w:r w:rsidR="007031A3" w:rsidRPr="000B1855">
        <w:rPr>
          <w:rFonts w:cs="Times New Roman"/>
          <w:i/>
          <w:iCs/>
          <w:szCs w:val="22"/>
        </w:rPr>
        <w:t>calc_</w:t>
      </w:r>
      <w:proofErr w:type="gramStart"/>
      <w:r w:rsidR="007031A3" w:rsidRPr="000B1855">
        <w:rPr>
          <w:rFonts w:cs="Times New Roman"/>
          <w:i/>
          <w:iCs/>
          <w:szCs w:val="22"/>
        </w:rPr>
        <w:t>asfr</w:t>
      </w:r>
      <w:proofErr w:type="spellEnd"/>
      <w:r w:rsidR="007031A3" w:rsidRPr="000B1855">
        <w:rPr>
          <w:rFonts w:cs="Times New Roman"/>
          <w:i/>
          <w:iCs/>
          <w:szCs w:val="22"/>
        </w:rPr>
        <w:t>(</w:t>
      </w:r>
      <w:proofErr w:type="gramEnd"/>
      <w:r w:rsidR="007031A3" w:rsidRPr="000B1855">
        <w:rPr>
          <w:rFonts w:cs="Times New Roman"/>
          <w:i/>
          <w:iCs/>
          <w:szCs w:val="22"/>
        </w:rPr>
        <w:t>)</w:t>
      </w:r>
      <w:r w:rsidR="007031A3" w:rsidRPr="000B1855">
        <w:rPr>
          <w:rFonts w:cs="Times New Roman"/>
          <w:szCs w:val="22"/>
        </w:rPr>
        <w:t xml:space="preserve"> from the </w:t>
      </w:r>
      <w:proofErr w:type="spellStart"/>
      <w:r w:rsidR="007031A3" w:rsidRPr="000B1855">
        <w:rPr>
          <w:rFonts w:cs="Times New Roman"/>
          <w:i/>
          <w:iCs/>
          <w:szCs w:val="22"/>
        </w:rPr>
        <w:t>demogsurv</w:t>
      </w:r>
      <w:proofErr w:type="spellEnd"/>
      <w:r w:rsidR="007031A3" w:rsidRPr="000B1855">
        <w:rPr>
          <w:rFonts w:cs="Times New Roman"/>
          <w:szCs w:val="22"/>
        </w:rPr>
        <w:t xml:space="preserve"> package.</w:t>
      </w:r>
      <w:r w:rsidR="00E02F99" w:rsidRPr="000B1855">
        <w:rPr>
          <w:rFonts w:cs="Times New Roman"/>
          <w:szCs w:val="22"/>
          <w:vertAlign w:val="superscript"/>
        </w:rPr>
        <w:t>22</w:t>
      </w:r>
      <w:r w:rsidR="007031A3" w:rsidRPr="000B1855">
        <w:rPr>
          <w:rFonts w:cs="Times New Roman"/>
          <w:szCs w:val="22"/>
        </w:rPr>
        <w:t xml:space="preserve"> The TFR was obtained by summing these ASFRs for ages 15–49 and expressing the result per woman, in line with standard demographic methods.</w:t>
      </w:r>
      <w:r w:rsidR="00E02F99" w:rsidRPr="000B1855">
        <w:rPr>
          <w:rFonts w:cs="Times New Roman"/>
          <w:szCs w:val="22"/>
          <w:vertAlign w:val="superscript"/>
        </w:rPr>
        <w:t>23,24</w:t>
      </w:r>
    </w:p>
    <w:p w14:paraId="15D7A809" w14:textId="0D490EE6" w:rsidR="00BB7067" w:rsidRPr="006704C9" w:rsidRDefault="006704C9" w:rsidP="00BB7067">
      <w:pPr>
        <w:pStyle w:val="FirstParagraph"/>
        <w:jc w:val="both"/>
        <w:rPr>
          <w:rFonts w:eastAsiaTheme="minorEastAsia" w:cs="Times New Roman"/>
          <w:iCs/>
          <w:szCs w:val="22"/>
        </w:rPr>
      </w:pPr>
      <m:oMathPara>
        <m:oMath>
          <m:r>
            <m:rPr>
              <m:sty m:val="p"/>
            </m:rPr>
            <w:rPr>
              <w:rFonts w:ascii="Cambria Math" w:hAnsi="Cambria Math" w:cs="Times New Roman"/>
              <w:sz w:val="18"/>
              <w:szCs w:val="18"/>
            </w:rPr>
            <m:t>ASF</m:t>
          </m:r>
          <m:sSub>
            <m:sSubPr>
              <m:ctrlPr>
                <w:rPr>
                  <w:rFonts w:ascii="Cambria Math" w:hAnsi="Cambria Math" w:cs="Times New Roman"/>
                  <w:iCs/>
                  <w:sz w:val="18"/>
                  <w:szCs w:val="18"/>
                </w:rPr>
              </m:ctrlPr>
            </m:sSubPr>
            <m:e>
              <m:r>
                <m:rPr>
                  <m:sty m:val="p"/>
                </m:rPr>
                <w:rPr>
                  <w:rFonts w:ascii="Cambria Math" w:hAnsi="Cambria Math" w:cs="Times New Roman"/>
                  <w:sz w:val="18"/>
                  <w:szCs w:val="18"/>
                </w:rPr>
                <m:t>R</m:t>
              </m:r>
            </m:e>
            <m:sub>
              <m:r>
                <m:rPr>
                  <m:sty m:val="p"/>
                </m:rPr>
                <w:rPr>
                  <w:rFonts w:ascii="Cambria Math" w:hAnsi="Cambria Math" w:cs="Times New Roman"/>
                  <w:sz w:val="18"/>
                  <w:szCs w:val="18"/>
                </w:rPr>
                <m:t>x</m:t>
              </m:r>
            </m:sub>
          </m:sSub>
          <m:r>
            <m:rPr>
              <m:sty m:val="p"/>
            </m:rPr>
            <w:rPr>
              <w:rFonts w:ascii="Cambria Math" w:hAnsi="Cambria Math" w:cs="Times New Roman"/>
              <w:sz w:val="18"/>
              <w:szCs w:val="18"/>
            </w:rPr>
            <m:t>=</m:t>
          </m:r>
          <m:f>
            <m:fPr>
              <m:ctrlPr>
                <w:rPr>
                  <w:rFonts w:ascii="Cambria Math" w:hAnsi="Cambria Math" w:cs="Times New Roman"/>
                  <w:iCs/>
                  <w:sz w:val="18"/>
                  <w:szCs w:val="18"/>
                </w:rPr>
              </m:ctrlPr>
            </m:fPr>
            <m:num>
              <m:r>
                <m:rPr>
                  <m:sty m:val="p"/>
                </m:rPr>
                <w:rPr>
                  <w:rFonts w:ascii="Cambria Math" w:hAnsi="Cambria Math" w:cs="Times New Roman"/>
                  <w:sz w:val="18"/>
                  <w:szCs w:val="18"/>
                </w:rPr>
                <m:t>Total No of Children born to mother of age x</m:t>
              </m:r>
            </m:num>
            <m:den>
              <m:r>
                <m:rPr>
                  <m:sty m:val="p"/>
                </m:rPr>
                <w:rPr>
                  <w:rFonts w:ascii="Cambria Math" w:hAnsi="Cambria Math" w:cs="Times New Roman"/>
                  <w:sz w:val="18"/>
                  <w:szCs w:val="18"/>
                </w:rPr>
                <m:t>Total Population of Women age x</m:t>
              </m:r>
            </m:den>
          </m:f>
          <m:r>
            <m:rPr>
              <m:sty m:val="p"/>
            </m:rPr>
            <w:rPr>
              <w:rFonts w:ascii="Cambria Math" w:hAnsi="Cambria Math" w:cs="Times New Roman"/>
              <w:sz w:val="18"/>
              <w:szCs w:val="18"/>
            </w:rPr>
            <m:t>×k</m:t>
          </m:r>
        </m:oMath>
      </m:oMathPara>
    </w:p>
    <w:p w14:paraId="0D560F94" w14:textId="1EE4052B" w:rsidR="00BB7067" w:rsidRPr="006704C9" w:rsidRDefault="006704C9" w:rsidP="00BB7067">
      <w:pPr>
        <w:pStyle w:val="BodyText"/>
        <w:rPr>
          <w:rFonts w:cs="Times New Roman"/>
          <w:iCs/>
          <w:szCs w:val="22"/>
        </w:rPr>
      </w:pPr>
      <m:oMathPara>
        <m:oMath>
          <m:r>
            <m:rPr>
              <m:sty m:val="p"/>
            </m:rPr>
            <w:rPr>
              <w:rFonts w:ascii="Cambria Math" w:hAnsi="Cambria Math" w:cs="Times New Roman"/>
              <w:sz w:val="18"/>
              <w:szCs w:val="18"/>
            </w:rPr>
            <m:t>TFR=</m:t>
          </m:r>
          <m:nary>
            <m:naryPr>
              <m:chr m:val="∑"/>
              <m:limLoc m:val="undOvr"/>
              <m:ctrlPr>
                <w:rPr>
                  <w:rFonts w:ascii="Cambria Math" w:hAnsi="Cambria Math" w:cs="Times New Roman"/>
                  <w:iCs/>
                  <w:sz w:val="18"/>
                  <w:szCs w:val="18"/>
                </w:rPr>
              </m:ctrlPr>
            </m:naryPr>
            <m:sub>
              <m:r>
                <m:rPr>
                  <m:sty m:val="p"/>
                </m:rPr>
                <w:rPr>
                  <w:rFonts w:ascii="Cambria Math" w:hAnsi="Cambria Math" w:cs="Times New Roman"/>
                  <w:sz w:val="18"/>
                  <w:szCs w:val="18"/>
                </w:rPr>
                <m:t>x=15</m:t>
              </m:r>
            </m:sub>
            <m:sup>
              <m:r>
                <m:rPr>
                  <m:sty m:val="p"/>
                </m:rPr>
                <w:rPr>
                  <w:rFonts w:ascii="Cambria Math" w:hAnsi="Cambria Math" w:cs="Times New Roman"/>
                  <w:sz w:val="18"/>
                  <w:szCs w:val="18"/>
                </w:rPr>
                <m:t>49</m:t>
              </m:r>
            </m:sup>
            <m:e>
              <m:r>
                <m:rPr>
                  <m:sty m:val="p"/>
                </m:rPr>
                <w:rPr>
                  <w:rFonts w:ascii="Cambria Math" w:hAnsi="Cambria Math" w:cs="Times New Roman"/>
                  <w:sz w:val="18"/>
                  <w:szCs w:val="18"/>
                </w:rPr>
                <m:t>ASF</m:t>
              </m:r>
              <m:sSub>
                <m:sSubPr>
                  <m:ctrlPr>
                    <w:rPr>
                      <w:rFonts w:ascii="Cambria Math" w:hAnsi="Cambria Math" w:cs="Times New Roman"/>
                      <w:iCs/>
                      <w:sz w:val="18"/>
                      <w:szCs w:val="18"/>
                    </w:rPr>
                  </m:ctrlPr>
                </m:sSubPr>
                <m:e>
                  <m:r>
                    <m:rPr>
                      <m:sty m:val="p"/>
                    </m:rPr>
                    <w:rPr>
                      <w:rFonts w:ascii="Cambria Math" w:hAnsi="Cambria Math" w:cs="Times New Roman"/>
                      <w:sz w:val="18"/>
                      <w:szCs w:val="18"/>
                    </w:rPr>
                    <m:t>R</m:t>
                  </m:r>
                </m:e>
                <m:sub>
                  <m:r>
                    <m:rPr>
                      <m:sty m:val="p"/>
                    </m:rPr>
                    <w:rPr>
                      <w:rFonts w:ascii="Cambria Math" w:hAnsi="Cambria Math" w:cs="Times New Roman"/>
                      <w:sz w:val="18"/>
                      <w:szCs w:val="18"/>
                    </w:rPr>
                    <m:t>x</m:t>
                  </m:r>
                </m:sub>
              </m:sSub>
            </m:e>
          </m:nary>
        </m:oMath>
      </m:oMathPara>
    </w:p>
    <w:p w14:paraId="3E061847" w14:textId="24D2B118" w:rsidR="00BF1AE7" w:rsidRPr="000B1855" w:rsidRDefault="00565ABE" w:rsidP="000B1855">
      <w:pPr>
        <w:jc w:val="both"/>
        <w:rPr>
          <w:rFonts w:cs="Times New Roman"/>
          <w:szCs w:val="22"/>
        </w:rPr>
      </w:pPr>
      <w:bookmarkStart w:id="5" w:name="clustering"/>
      <w:bookmarkEnd w:id="4"/>
      <w:r w:rsidRPr="000B1855">
        <w:rPr>
          <w:rFonts w:cs="Times New Roman"/>
          <w:b/>
          <w:bCs/>
          <w:szCs w:val="22"/>
        </w:rPr>
        <w:t xml:space="preserve">K-Means </w:t>
      </w:r>
      <w:r w:rsidR="00BB7067" w:rsidRPr="000B1855">
        <w:rPr>
          <w:rFonts w:cs="Times New Roman"/>
          <w:b/>
          <w:bCs/>
          <w:szCs w:val="22"/>
        </w:rPr>
        <w:t>Clustering</w:t>
      </w:r>
      <w:r w:rsidR="000B1855" w:rsidRPr="000B1855">
        <w:rPr>
          <w:rFonts w:cs="Times New Roman"/>
          <w:b/>
          <w:bCs/>
          <w:szCs w:val="22"/>
        </w:rPr>
        <w:t>:</w:t>
      </w:r>
      <w:r w:rsidR="000B1855">
        <w:rPr>
          <w:rFonts w:cs="Times New Roman"/>
          <w:szCs w:val="22"/>
        </w:rPr>
        <w:t xml:space="preserve"> </w:t>
      </w:r>
      <w:r w:rsidR="00BF1AE7" w:rsidRPr="000B1855">
        <w:rPr>
          <w:rFonts w:cs="Times New Roman"/>
          <w:szCs w:val="22"/>
        </w:rPr>
        <w:t>To uncover latent sub‑groups among northeastern states we applied k‑means clustering, a classic unsupervised algorithm that splits a data set into k non‑overlapping clusters.</w:t>
      </w:r>
      <w:r w:rsidR="0083707D" w:rsidRPr="000B1855">
        <w:rPr>
          <w:rFonts w:cs="Times New Roman"/>
          <w:szCs w:val="22"/>
          <w:vertAlign w:val="superscript"/>
        </w:rPr>
        <w:t>25,26</w:t>
      </w:r>
      <w:r w:rsidR="00BF1AE7" w:rsidRPr="000B1855">
        <w:rPr>
          <w:rFonts w:cs="Times New Roman"/>
          <w:szCs w:val="22"/>
        </w:rPr>
        <w:t xml:space="preserve"> The method works well with large, continuous data sets and seeks to minimise the within‑cluster sum of squares (WCSS), thereby maximizing similarity inside clusters and separation between them. All variables were first standardised so that they shared a common scale. Missing or zero ASFR values were handled through multiple imputation, and potential outliers were screened with z‑scores to safeguard the clustering solution. Choosing the right number of clusters (</w:t>
      </w:r>
      <w:r w:rsidR="00BF1AE7" w:rsidRPr="000B1855">
        <w:rPr>
          <w:rFonts w:cs="Times New Roman"/>
          <w:i/>
          <w:iCs/>
          <w:szCs w:val="22"/>
        </w:rPr>
        <w:t>k</w:t>
      </w:r>
      <w:r w:rsidR="00BF1AE7" w:rsidRPr="000B1855">
        <w:rPr>
          <w:rFonts w:cs="Times New Roman"/>
          <w:szCs w:val="22"/>
        </w:rPr>
        <w:t xml:space="preserve">) is a prerequisite for reliable results. We evaluated three widely accepted criteria. First, the Elbow Method examines how WSS declines </w:t>
      </w:r>
      <w:proofErr w:type="spellStart"/>
      <w:r w:rsidR="00BF1AE7" w:rsidRPr="000B1855">
        <w:rPr>
          <w:rFonts w:cs="Times New Roman"/>
          <w:szCs w:val="22"/>
        </w:rPr>
        <w:t xml:space="preserve">as </w:t>
      </w:r>
      <w:r w:rsidR="00BF1AE7" w:rsidRPr="000B1855">
        <w:rPr>
          <w:rFonts w:cs="Times New Roman"/>
          <w:i/>
          <w:iCs/>
          <w:szCs w:val="22"/>
        </w:rPr>
        <w:t>k</w:t>
      </w:r>
      <w:proofErr w:type="spellEnd"/>
      <w:r w:rsidR="00BF1AE7" w:rsidRPr="000B1855">
        <w:rPr>
          <w:rFonts w:cs="Times New Roman"/>
          <w:szCs w:val="22"/>
        </w:rPr>
        <w:t xml:space="preserve"> increases; the optimal </w:t>
      </w:r>
      <w:r w:rsidR="00BF1AE7" w:rsidRPr="000B1855">
        <w:rPr>
          <w:rFonts w:cs="Times New Roman"/>
          <w:i/>
          <w:iCs/>
          <w:szCs w:val="22"/>
        </w:rPr>
        <w:t>k</w:t>
      </w:r>
      <w:r w:rsidR="00BF1AE7" w:rsidRPr="000B1855">
        <w:rPr>
          <w:rFonts w:cs="Times New Roman"/>
          <w:szCs w:val="22"/>
        </w:rPr>
        <w:t xml:space="preserve"> lies at the point where the reduction in WSS begins to flatten.</w:t>
      </w:r>
      <w:r w:rsidR="00EC427F" w:rsidRPr="000B1855">
        <w:rPr>
          <w:rFonts w:cs="Times New Roman"/>
          <w:szCs w:val="22"/>
          <w:vertAlign w:val="superscript"/>
        </w:rPr>
        <w:t>27</w:t>
      </w:r>
      <w:r w:rsidR="00BF1AE7" w:rsidRPr="000B1855">
        <w:rPr>
          <w:rFonts w:cs="Times New Roman"/>
          <w:szCs w:val="22"/>
        </w:rPr>
        <w:t xml:space="preserve"> Second, the Average Silhouette Method computes silhouette widths for each k; the value that maximises the average silhouette indicates the best‑fitting cluster count.</w:t>
      </w:r>
      <w:r w:rsidR="00EC427F" w:rsidRPr="000B1855">
        <w:rPr>
          <w:rFonts w:cs="Times New Roman"/>
          <w:szCs w:val="22"/>
          <w:vertAlign w:val="superscript"/>
        </w:rPr>
        <w:t>28</w:t>
      </w:r>
      <w:r w:rsidR="00BF1AE7" w:rsidRPr="000B1855">
        <w:rPr>
          <w:rFonts w:cs="Times New Roman"/>
          <w:szCs w:val="22"/>
        </w:rPr>
        <w:t xml:space="preserve"> Third, the Gap Statistic compares observed WSS with that expected under a null reference distribution; the </w:t>
      </w:r>
      <w:r w:rsidR="00BF1AE7" w:rsidRPr="000B1855">
        <w:rPr>
          <w:rFonts w:cs="Times New Roman"/>
          <w:i/>
          <w:iCs/>
          <w:szCs w:val="22"/>
        </w:rPr>
        <w:t>k</w:t>
      </w:r>
      <w:r w:rsidR="00BF1AE7" w:rsidRPr="000B1855">
        <w:rPr>
          <w:rFonts w:cs="Times New Roman"/>
          <w:szCs w:val="22"/>
        </w:rPr>
        <w:t xml:space="preserve"> producing the largest gap signals a meaningful clustering structure.</w:t>
      </w:r>
      <w:r w:rsidR="00EC427F" w:rsidRPr="000B1855">
        <w:rPr>
          <w:rFonts w:cs="Times New Roman"/>
          <w:szCs w:val="22"/>
          <w:vertAlign w:val="superscript"/>
        </w:rPr>
        <w:t>29</w:t>
      </w:r>
    </w:p>
    <w:p w14:paraId="2911532B" w14:textId="0B0CCB60" w:rsidR="00BF1AE7" w:rsidRPr="006704C9" w:rsidRDefault="00BF1AE7" w:rsidP="00BB7067">
      <w:pPr>
        <w:pStyle w:val="BodyText"/>
        <w:jc w:val="both"/>
        <w:rPr>
          <w:rFonts w:cs="Times New Roman"/>
          <w:szCs w:val="22"/>
        </w:rPr>
      </w:pPr>
      <w:r w:rsidRPr="006704C9">
        <w:rPr>
          <w:rFonts w:cs="Times New Roman"/>
          <w:szCs w:val="22"/>
        </w:rPr>
        <w:t>The number of clusters was chosen by triangulating three diagnostic tools: the elbow plot, silhouette analysis, and the Krzanowski‑Lai (KL) index.</w:t>
      </w:r>
      <w:r w:rsidR="001F5B9E" w:rsidRPr="006704C9">
        <w:rPr>
          <w:rFonts w:cs="Times New Roman"/>
          <w:szCs w:val="22"/>
          <w:vertAlign w:val="superscript"/>
        </w:rPr>
        <w:t>30</w:t>
      </w:r>
      <w:r w:rsidRPr="006704C9">
        <w:rPr>
          <w:rFonts w:cs="Times New Roman"/>
          <w:szCs w:val="22"/>
        </w:rPr>
        <w:t xml:space="preserve"> This combination balances within‑cluster homogeneity against between‑cluster dispersion and yields a data‑driven partition for subsequent comparisons.</w:t>
      </w:r>
    </w:p>
    <w:p w14:paraId="38B98B3E" w14:textId="5A19C116" w:rsidR="00BB7067" w:rsidRPr="006704C9" w:rsidRDefault="00BB7067" w:rsidP="00BB7067">
      <w:pPr>
        <w:pStyle w:val="BodyText"/>
        <w:jc w:val="both"/>
        <w:rPr>
          <w:rFonts w:cs="Times New Roman"/>
          <w:szCs w:val="22"/>
        </w:rPr>
      </w:pPr>
      <w:r w:rsidRPr="006704C9">
        <w:rPr>
          <w:rFonts w:cs="Times New Roman"/>
          <w:szCs w:val="22"/>
        </w:rPr>
        <w:t>The KL index proposed by Krzanowski and Lai is defined as</w:t>
      </w:r>
    </w:p>
    <w:p w14:paraId="411FAEAE" w14:textId="77777777" w:rsidR="00BB7067" w:rsidRPr="006704C9" w:rsidRDefault="00BB7067" w:rsidP="00BB7067">
      <w:pPr>
        <w:pStyle w:val="BodyText"/>
        <w:rPr>
          <w:rFonts w:cs="Times New Roman"/>
          <w:szCs w:val="22"/>
        </w:rPr>
      </w:pPr>
      <m:oMathPara>
        <m:oMathParaPr>
          <m:jc m:val="center"/>
        </m:oMathParaPr>
        <m:oMath>
          <m:r>
            <w:rPr>
              <w:rFonts w:ascii="Cambria Math" w:hAnsi="Cambria Math" w:cs="Times New Roman"/>
              <w:szCs w:val="22"/>
            </w:rPr>
            <m:t>K</m:t>
          </m:r>
          <m:sSub>
            <m:sSubPr>
              <m:ctrlPr>
                <w:rPr>
                  <w:rFonts w:ascii="Cambria Math" w:hAnsi="Cambria Math" w:cs="Times New Roman"/>
                  <w:szCs w:val="22"/>
                </w:rPr>
              </m:ctrlPr>
            </m:sSubPr>
            <m:e>
              <m:r>
                <w:rPr>
                  <w:rFonts w:ascii="Cambria Math" w:hAnsi="Cambria Math" w:cs="Times New Roman"/>
                  <w:szCs w:val="22"/>
                </w:rPr>
                <m:t>L</m:t>
              </m:r>
            </m:e>
            <m:sub>
              <m:d>
                <m:dPr>
                  <m:ctrlPr>
                    <w:rPr>
                      <w:rFonts w:ascii="Cambria Math" w:hAnsi="Cambria Math" w:cs="Times New Roman"/>
                      <w:szCs w:val="22"/>
                    </w:rPr>
                  </m:ctrlPr>
                </m:dPr>
                <m:e>
                  <m:r>
                    <w:rPr>
                      <w:rFonts w:ascii="Cambria Math" w:hAnsi="Cambria Math" w:cs="Times New Roman"/>
                      <w:szCs w:val="22"/>
                    </w:rPr>
                    <m:t>q</m:t>
                  </m:r>
                </m:e>
              </m:d>
            </m:sub>
          </m:sSub>
          <m:r>
            <m:rPr>
              <m:sty m:val="p"/>
            </m:rPr>
            <w:rPr>
              <w:rFonts w:ascii="Cambria Math" w:hAnsi="Cambria Math" w:cs="Times New Roman"/>
              <w:szCs w:val="22"/>
            </w:rPr>
            <m:t>=</m:t>
          </m:r>
          <m:d>
            <m:dPr>
              <m:begChr m:val="|"/>
              <m:endChr m:val="|"/>
              <m:ctrlPr>
                <w:rPr>
                  <w:rFonts w:ascii="Cambria Math" w:hAnsi="Cambria Math" w:cs="Times New Roman"/>
                  <w:szCs w:val="22"/>
                </w:rPr>
              </m:ctrlPr>
            </m:dPr>
            <m:e>
              <m:f>
                <m:fPr>
                  <m:ctrlPr>
                    <w:rPr>
                      <w:rFonts w:ascii="Cambria Math" w:hAnsi="Cambria Math" w:cs="Times New Roman"/>
                      <w:szCs w:val="22"/>
                    </w:rPr>
                  </m:ctrlPr>
                </m:fPr>
                <m:num>
                  <m:r>
                    <w:rPr>
                      <w:rFonts w:ascii="Cambria Math" w:hAnsi="Cambria Math" w:cs="Times New Roman"/>
                      <w:szCs w:val="22"/>
                    </w:rPr>
                    <m:t>DIF</m:t>
                  </m:r>
                  <m:sSub>
                    <m:sSubPr>
                      <m:ctrlPr>
                        <w:rPr>
                          <w:rFonts w:ascii="Cambria Math" w:hAnsi="Cambria Math" w:cs="Times New Roman"/>
                          <w:szCs w:val="22"/>
                        </w:rPr>
                      </m:ctrlPr>
                    </m:sSubPr>
                    <m:e>
                      <m:r>
                        <w:rPr>
                          <w:rFonts w:ascii="Cambria Math" w:hAnsi="Cambria Math" w:cs="Times New Roman"/>
                          <w:szCs w:val="22"/>
                        </w:rPr>
                        <m:t>F</m:t>
                      </m:r>
                    </m:e>
                    <m:sub>
                      <m:r>
                        <w:rPr>
                          <w:rFonts w:ascii="Cambria Math" w:hAnsi="Cambria Math" w:cs="Times New Roman"/>
                          <w:szCs w:val="22"/>
                        </w:rPr>
                        <m:t>q</m:t>
                      </m:r>
                    </m:sub>
                  </m:sSub>
                </m:num>
                <m:den>
                  <m:r>
                    <w:rPr>
                      <w:rFonts w:ascii="Cambria Math" w:hAnsi="Cambria Math" w:cs="Times New Roman"/>
                      <w:szCs w:val="22"/>
                    </w:rPr>
                    <m:t>DIF</m:t>
                  </m:r>
                  <m:sSub>
                    <m:sSubPr>
                      <m:ctrlPr>
                        <w:rPr>
                          <w:rFonts w:ascii="Cambria Math" w:hAnsi="Cambria Math" w:cs="Times New Roman"/>
                          <w:szCs w:val="22"/>
                        </w:rPr>
                      </m:ctrlPr>
                    </m:sSubPr>
                    <m:e>
                      <m:r>
                        <w:rPr>
                          <w:rFonts w:ascii="Cambria Math" w:hAnsi="Cambria Math" w:cs="Times New Roman"/>
                          <w:szCs w:val="22"/>
                        </w:rPr>
                        <m:t>F</m:t>
                      </m:r>
                    </m:e>
                    <m:sub>
                      <m:r>
                        <w:rPr>
                          <w:rFonts w:ascii="Cambria Math" w:hAnsi="Cambria Math" w:cs="Times New Roman"/>
                          <w:szCs w:val="22"/>
                        </w:rPr>
                        <m:t>q</m:t>
                      </m:r>
                      <m:r>
                        <m:rPr>
                          <m:sty m:val="p"/>
                        </m:rPr>
                        <w:rPr>
                          <w:rFonts w:ascii="Cambria Math" w:hAnsi="Cambria Math" w:cs="Times New Roman"/>
                          <w:szCs w:val="22"/>
                        </w:rPr>
                        <m:t>+</m:t>
                      </m:r>
                      <m:r>
                        <w:rPr>
                          <w:rFonts w:ascii="Cambria Math" w:hAnsi="Cambria Math" w:cs="Times New Roman"/>
                          <w:szCs w:val="22"/>
                        </w:rPr>
                        <m:t>1</m:t>
                      </m:r>
                    </m:sub>
                  </m:sSub>
                </m:den>
              </m:f>
            </m:e>
          </m:d>
        </m:oMath>
      </m:oMathPara>
    </w:p>
    <w:p w14:paraId="15A567AF" w14:textId="02CAA5BC" w:rsidR="00BB7067" w:rsidRPr="00D10294" w:rsidRDefault="00D10294" w:rsidP="00D10294">
      <w:pPr>
        <w:pStyle w:val="FirstParagraph"/>
        <w:rPr>
          <w:rFonts w:cs="Times New Roman"/>
          <w:sz w:val="18"/>
          <w:szCs w:val="18"/>
        </w:rPr>
      </w:pPr>
      <w:r>
        <w:rPr>
          <w:rFonts w:cs="Times New Roman"/>
          <w:szCs w:val="22"/>
        </w:rPr>
        <w:t>W</w:t>
      </w:r>
      <w:r w:rsidR="00BB7067" w:rsidRPr="006704C9">
        <w:rPr>
          <w:rFonts w:cs="Times New Roman"/>
          <w:szCs w:val="22"/>
        </w:rPr>
        <w:t>here,</w:t>
      </w:r>
      <w:r>
        <w:rPr>
          <w:rFonts w:cs="Times New Roman"/>
          <w:szCs w:val="22"/>
        </w:rPr>
        <w:t xml:space="preserve"> </w:t>
      </w:r>
      <m:oMath>
        <m:r>
          <w:rPr>
            <w:rFonts w:ascii="Cambria Math" w:hAnsi="Cambria Math" w:cs="Times New Roman"/>
            <w:sz w:val="18"/>
            <w:szCs w:val="18"/>
          </w:rPr>
          <m:t>DIF</m:t>
        </m:r>
        <m:sSub>
          <m:sSubPr>
            <m:ctrlPr>
              <w:rPr>
                <w:rFonts w:ascii="Cambria Math" w:hAnsi="Cambria Math" w:cs="Times New Roman"/>
                <w:sz w:val="18"/>
                <w:szCs w:val="18"/>
              </w:rPr>
            </m:ctrlPr>
          </m:sSubPr>
          <m:e>
            <m:r>
              <w:rPr>
                <w:rFonts w:ascii="Cambria Math" w:hAnsi="Cambria Math" w:cs="Times New Roman"/>
                <w:sz w:val="18"/>
                <w:szCs w:val="18"/>
              </w:rPr>
              <m:t>F</m:t>
            </m:r>
          </m:e>
          <m:sub>
            <m:r>
              <w:rPr>
                <w:rFonts w:ascii="Cambria Math" w:hAnsi="Cambria Math" w:cs="Times New Roman"/>
                <w:sz w:val="18"/>
                <w:szCs w:val="18"/>
              </w:rPr>
              <m:t>q</m:t>
            </m:r>
          </m:sub>
        </m:sSub>
        <m:r>
          <m:rPr>
            <m:sty m:val="p"/>
          </m:rPr>
          <w:rPr>
            <w:rFonts w:ascii="Cambria Math" w:hAnsi="Cambria Math" w:cs="Times New Roman"/>
            <w:sz w:val="18"/>
            <w:szCs w:val="18"/>
          </w:rPr>
          <m:t>=</m:t>
        </m:r>
        <m:sSup>
          <m:sSupPr>
            <m:ctrlPr>
              <w:rPr>
                <w:rFonts w:ascii="Cambria Math" w:hAnsi="Cambria Math" w:cs="Times New Roman"/>
                <w:sz w:val="18"/>
                <w:szCs w:val="18"/>
              </w:rPr>
            </m:ctrlPr>
          </m:sSupPr>
          <m:e>
            <m:d>
              <m:dPr>
                <m:ctrlPr>
                  <w:rPr>
                    <w:rFonts w:ascii="Cambria Math" w:hAnsi="Cambria Math" w:cs="Times New Roman"/>
                    <w:sz w:val="18"/>
                    <w:szCs w:val="18"/>
                  </w:rPr>
                </m:ctrlPr>
              </m:dPr>
              <m:e>
                <m:r>
                  <w:rPr>
                    <w:rFonts w:ascii="Cambria Math" w:hAnsi="Cambria Math" w:cs="Times New Roman"/>
                    <w:sz w:val="18"/>
                    <w:szCs w:val="18"/>
                  </w:rPr>
                  <m:t>q</m:t>
                </m:r>
                <m:r>
                  <m:rPr>
                    <m:sty m:val="p"/>
                  </m:rPr>
                  <w:rPr>
                    <w:rFonts w:ascii="Cambria Math" w:hAnsi="Cambria Math" w:cs="Times New Roman"/>
                    <w:sz w:val="18"/>
                    <w:szCs w:val="18"/>
                  </w:rPr>
                  <m:t>-</m:t>
                </m:r>
                <m:r>
                  <w:rPr>
                    <w:rFonts w:ascii="Cambria Math" w:hAnsi="Cambria Math" w:cs="Times New Roman"/>
                    <w:sz w:val="18"/>
                    <w:szCs w:val="18"/>
                  </w:rPr>
                  <m:t>1</m:t>
                </m:r>
              </m:e>
            </m:d>
          </m:e>
          <m:sup>
            <m:r>
              <w:rPr>
                <w:rFonts w:ascii="Cambria Math" w:hAnsi="Cambria Math" w:cs="Times New Roman"/>
                <w:sz w:val="18"/>
                <w:szCs w:val="18"/>
              </w:rPr>
              <m:t>2</m:t>
            </m:r>
            <m:r>
              <m:rPr>
                <m:sty m:val="p"/>
              </m:rPr>
              <w:rPr>
                <w:rFonts w:ascii="Cambria Math" w:hAnsi="Cambria Math" w:cs="Times New Roman"/>
                <w:sz w:val="18"/>
                <w:szCs w:val="18"/>
              </w:rPr>
              <m:t>/</m:t>
            </m:r>
            <m:r>
              <w:rPr>
                <w:rFonts w:ascii="Cambria Math" w:hAnsi="Cambria Math" w:cs="Times New Roman"/>
                <w:sz w:val="18"/>
                <w:szCs w:val="18"/>
              </w:rPr>
              <m:t>p</m:t>
            </m:r>
          </m:sup>
        </m:sSup>
        <m:r>
          <w:rPr>
            <w:rFonts w:ascii="Cambria Math" w:hAnsi="Cambria Math" w:cs="Times New Roman"/>
            <w:sz w:val="18"/>
            <w:szCs w:val="18"/>
          </w:rPr>
          <m:t> </m:t>
        </m:r>
        <m:r>
          <m:rPr>
            <m:nor/>
          </m:rPr>
          <w:rPr>
            <w:rFonts w:cs="Times New Roman"/>
            <w:sz w:val="18"/>
            <w:szCs w:val="18"/>
          </w:rPr>
          <m:t>trace</m:t>
        </m:r>
        <m:d>
          <m:dPr>
            <m:ctrlPr>
              <w:rPr>
                <w:rFonts w:ascii="Cambria Math" w:hAnsi="Cambria Math" w:cs="Times New Roman"/>
                <w:sz w:val="18"/>
                <w:szCs w:val="18"/>
              </w:rPr>
            </m:ctrlPr>
          </m:dPr>
          <m:e>
            <m:sSub>
              <m:sSubPr>
                <m:ctrlPr>
                  <w:rPr>
                    <w:rFonts w:ascii="Cambria Math" w:hAnsi="Cambria Math" w:cs="Times New Roman"/>
                    <w:sz w:val="18"/>
                    <w:szCs w:val="18"/>
                  </w:rPr>
                </m:ctrlPr>
              </m:sSubPr>
              <m:e>
                <m:r>
                  <w:rPr>
                    <w:rFonts w:ascii="Cambria Math" w:hAnsi="Cambria Math" w:cs="Times New Roman"/>
                    <w:sz w:val="18"/>
                    <w:szCs w:val="18"/>
                  </w:rPr>
                  <m:t>W</m:t>
                </m:r>
              </m:e>
              <m:sub>
                <m:r>
                  <w:rPr>
                    <w:rFonts w:ascii="Cambria Math" w:hAnsi="Cambria Math" w:cs="Times New Roman"/>
                    <w:sz w:val="18"/>
                    <w:szCs w:val="18"/>
                  </w:rPr>
                  <m:t>q</m:t>
                </m:r>
                <m:r>
                  <m:rPr>
                    <m:sty m:val="p"/>
                  </m:rPr>
                  <w:rPr>
                    <w:rFonts w:ascii="Cambria Math" w:hAnsi="Cambria Math" w:cs="Times New Roman"/>
                    <w:sz w:val="18"/>
                    <w:szCs w:val="18"/>
                  </w:rPr>
                  <m:t>-</m:t>
                </m:r>
                <m:r>
                  <w:rPr>
                    <w:rFonts w:ascii="Cambria Math" w:hAnsi="Cambria Math" w:cs="Times New Roman"/>
                    <w:sz w:val="18"/>
                    <w:szCs w:val="18"/>
                  </w:rPr>
                  <m:t>1</m:t>
                </m:r>
              </m:sub>
            </m:sSub>
          </m:e>
        </m:d>
        <m:r>
          <m:rPr>
            <m:sty m:val="p"/>
          </m:rPr>
          <w:rPr>
            <w:rFonts w:ascii="Cambria Math" w:hAnsi="Cambria Math" w:cs="Times New Roman"/>
            <w:sz w:val="18"/>
            <w:szCs w:val="18"/>
          </w:rPr>
          <m:t>-</m:t>
        </m:r>
        <m:sSup>
          <m:sSupPr>
            <m:ctrlPr>
              <w:rPr>
                <w:rFonts w:ascii="Cambria Math" w:hAnsi="Cambria Math" w:cs="Times New Roman"/>
                <w:sz w:val="18"/>
                <w:szCs w:val="18"/>
              </w:rPr>
            </m:ctrlPr>
          </m:sSupPr>
          <m:e>
            <m:r>
              <w:rPr>
                <w:rFonts w:ascii="Cambria Math" w:hAnsi="Cambria Math" w:cs="Times New Roman"/>
                <w:sz w:val="18"/>
                <w:szCs w:val="18"/>
              </w:rPr>
              <m:t>q</m:t>
            </m:r>
          </m:e>
          <m:sup>
            <m:r>
              <w:rPr>
                <w:rFonts w:ascii="Cambria Math" w:hAnsi="Cambria Math" w:cs="Times New Roman"/>
                <w:sz w:val="18"/>
                <w:szCs w:val="18"/>
              </w:rPr>
              <m:t>2</m:t>
            </m:r>
            <m:r>
              <m:rPr>
                <m:sty m:val="p"/>
              </m:rPr>
              <w:rPr>
                <w:rFonts w:ascii="Cambria Math" w:hAnsi="Cambria Math" w:cs="Times New Roman"/>
                <w:sz w:val="18"/>
                <w:szCs w:val="18"/>
              </w:rPr>
              <m:t>/</m:t>
            </m:r>
            <m:r>
              <w:rPr>
                <w:rFonts w:ascii="Cambria Math" w:hAnsi="Cambria Math" w:cs="Times New Roman"/>
                <w:sz w:val="18"/>
                <w:szCs w:val="18"/>
              </w:rPr>
              <m:t>q</m:t>
            </m:r>
          </m:sup>
        </m:sSup>
        <m:r>
          <w:rPr>
            <w:rFonts w:ascii="Cambria Math" w:hAnsi="Cambria Math" w:cs="Times New Roman"/>
            <w:sz w:val="18"/>
            <w:szCs w:val="18"/>
          </w:rPr>
          <m:t> </m:t>
        </m:r>
        <m:r>
          <m:rPr>
            <m:nor/>
          </m:rPr>
          <w:rPr>
            <w:rFonts w:cs="Times New Roman"/>
            <w:sz w:val="18"/>
            <w:szCs w:val="18"/>
          </w:rPr>
          <m:t>trace</m:t>
        </m:r>
        <m:d>
          <m:dPr>
            <m:ctrlPr>
              <w:rPr>
                <w:rFonts w:ascii="Cambria Math" w:hAnsi="Cambria Math" w:cs="Times New Roman"/>
                <w:sz w:val="18"/>
                <w:szCs w:val="18"/>
              </w:rPr>
            </m:ctrlPr>
          </m:dPr>
          <m:e>
            <m:sSub>
              <m:sSubPr>
                <m:ctrlPr>
                  <w:rPr>
                    <w:rFonts w:ascii="Cambria Math" w:hAnsi="Cambria Math" w:cs="Times New Roman"/>
                    <w:sz w:val="18"/>
                    <w:szCs w:val="18"/>
                  </w:rPr>
                </m:ctrlPr>
              </m:sSubPr>
              <m:e>
                <m:r>
                  <w:rPr>
                    <w:rFonts w:ascii="Cambria Math" w:hAnsi="Cambria Math" w:cs="Times New Roman"/>
                    <w:sz w:val="18"/>
                    <w:szCs w:val="18"/>
                  </w:rPr>
                  <m:t>W</m:t>
                </m:r>
              </m:e>
              <m:sub>
                <m:r>
                  <w:rPr>
                    <w:rFonts w:ascii="Cambria Math" w:hAnsi="Cambria Math" w:cs="Times New Roman"/>
                    <w:sz w:val="18"/>
                    <w:szCs w:val="18"/>
                  </w:rPr>
                  <m:t>q</m:t>
                </m:r>
              </m:sub>
            </m:sSub>
          </m:e>
        </m:d>
      </m:oMath>
    </w:p>
    <w:p w14:paraId="73AD0185" w14:textId="01AB27A4" w:rsidR="008E3F87" w:rsidRDefault="00BB7067" w:rsidP="008E3F87">
      <w:pPr>
        <w:pStyle w:val="FirstParagraph"/>
        <w:jc w:val="both"/>
        <w:rPr>
          <w:rFonts w:cs="Times New Roman"/>
          <w:szCs w:val="22"/>
        </w:rPr>
      </w:pPr>
      <w:r w:rsidRPr="006704C9">
        <w:rPr>
          <w:rFonts w:cs="Times New Roman"/>
          <w:szCs w:val="22"/>
        </w:rPr>
        <w:lastRenderedPageBreak/>
        <w:t xml:space="preserve">The value of </w:t>
      </w:r>
      <w:r w:rsidRPr="006704C9">
        <w:rPr>
          <w:rFonts w:cs="Times New Roman"/>
          <w:i/>
          <w:iCs/>
          <w:szCs w:val="22"/>
        </w:rPr>
        <w:t>q</w:t>
      </w:r>
      <w:r w:rsidRPr="006704C9">
        <w:rPr>
          <w:rFonts w:cs="Times New Roman"/>
          <w:szCs w:val="22"/>
        </w:rPr>
        <w:t xml:space="preserve">, maximizing </w:t>
      </w:r>
      <m:oMath>
        <m:r>
          <w:rPr>
            <w:rFonts w:ascii="Cambria Math" w:hAnsi="Cambria Math" w:cs="Times New Roman"/>
            <w:szCs w:val="22"/>
          </w:rPr>
          <m:t>K</m:t>
        </m:r>
        <m:sSub>
          <m:sSubPr>
            <m:ctrlPr>
              <w:rPr>
                <w:rFonts w:ascii="Cambria Math" w:hAnsi="Cambria Math" w:cs="Times New Roman"/>
                <w:szCs w:val="22"/>
              </w:rPr>
            </m:ctrlPr>
          </m:sSubPr>
          <m:e>
            <m:r>
              <w:rPr>
                <w:rFonts w:ascii="Cambria Math" w:hAnsi="Cambria Math" w:cs="Times New Roman"/>
                <w:szCs w:val="22"/>
              </w:rPr>
              <m:t>L</m:t>
            </m:r>
          </m:e>
          <m:sub>
            <m:d>
              <m:dPr>
                <m:ctrlPr>
                  <w:rPr>
                    <w:rFonts w:ascii="Cambria Math" w:hAnsi="Cambria Math" w:cs="Times New Roman"/>
                    <w:szCs w:val="22"/>
                  </w:rPr>
                </m:ctrlPr>
              </m:dPr>
              <m:e>
                <m:r>
                  <w:rPr>
                    <w:rFonts w:ascii="Cambria Math" w:hAnsi="Cambria Math" w:cs="Times New Roman"/>
                    <w:szCs w:val="22"/>
                  </w:rPr>
                  <m:t>q</m:t>
                </m:r>
              </m:e>
            </m:d>
          </m:sub>
        </m:sSub>
      </m:oMath>
      <w:r w:rsidRPr="006704C9">
        <w:rPr>
          <w:rFonts w:cs="Times New Roman"/>
          <w:szCs w:val="22"/>
        </w:rPr>
        <w:t xml:space="preserve"> is regarded as specifying the optimal number of clusters.</w:t>
      </w:r>
      <w:r w:rsidR="0003387D" w:rsidRPr="006704C9">
        <w:rPr>
          <w:rFonts w:cs="Times New Roman"/>
          <w:szCs w:val="22"/>
          <w:vertAlign w:val="superscript"/>
        </w:rPr>
        <w:t>31</w:t>
      </w:r>
      <w:r w:rsidR="008E3F87" w:rsidRPr="006704C9">
        <w:rPr>
          <w:rFonts w:cs="Times New Roman"/>
          <w:szCs w:val="22"/>
        </w:rPr>
        <w:t xml:space="preserve"> For our analysis we ran the </w:t>
      </w:r>
      <w:proofErr w:type="spellStart"/>
      <w:r w:rsidR="008E3F87" w:rsidRPr="006704C9">
        <w:rPr>
          <w:rFonts w:cs="Times New Roman"/>
          <w:i/>
          <w:iCs/>
          <w:szCs w:val="22"/>
        </w:rPr>
        <w:t>NbClust</w:t>
      </w:r>
      <w:proofErr w:type="spellEnd"/>
      <w:r w:rsidR="008E3F87" w:rsidRPr="006704C9">
        <w:rPr>
          <w:rFonts w:cs="Times New Roman"/>
          <w:szCs w:val="22"/>
        </w:rPr>
        <w:t xml:space="preserve"> package (</w:t>
      </w:r>
      <w:r w:rsidR="00A37B06" w:rsidRPr="006704C9">
        <w:rPr>
          <w:rFonts w:cs="Times New Roman"/>
          <w:szCs w:val="22"/>
        </w:rPr>
        <w:t>Version</w:t>
      </w:r>
      <w:r w:rsidR="008E3F87" w:rsidRPr="006704C9">
        <w:rPr>
          <w:rFonts w:cs="Times New Roman"/>
          <w:szCs w:val="22"/>
        </w:rPr>
        <w:t> 3.0.1) with its default settings (Euclidean distance, minimum = 2 clusters, method = “</w:t>
      </w:r>
      <w:proofErr w:type="spellStart"/>
      <w:r w:rsidR="008E3F87" w:rsidRPr="006704C9">
        <w:rPr>
          <w:rFonts w:cs="Times New Roman"/>
          <w:i/>
          <w:iCs/>
          <w:szCs w:val="22"/>
        </w:rPr>
        <w:t>kmeans</w:t>
      </w:r>
      <w:proofErr w:type="spellEnd"/>
      <w:r w:rsidR="008E3F87" w:rsidRPr="006704C9">
        <w:rPr>
          <w:rFonts w:cs="Times New Roman"/>
          <w:szCs w:val="22"/>
        </w:rPr>
        <w:t xml:space="preserve">”). </w:t>
      </w:r>
      <w:proofErr w:type="spellStart"/>
      <w:r w:rsidR="008E3F87" w:rsidRPr="006704C9">
        <w:rPr>
          <w:rFonts w:cs="Times New Roman"/>
          <w:i/>
          <w:iCs/>
          <w:szCs w:val="22"/>
        </w:rPr>
        <w:t>NbClust</w:t>
      </w:r>
      <w:proofErr w:type="spellEnd"/>
      <w:r w:rsidR="008E3F87" w:rsidRPr="006704C9">
        <w:rPr>
          <w:rFonts w:cs="Times New Roman"/>
          <w:szCs w:val="22"/>
        </w:rPr>
        <w:t xml:space="preserve"> evaluates nearly 30 criteria, including the elbow, silhouette, gap statistic, and KL index to suggest the best‑fitting number of clusters.</w:t>
      </w:r>
      <w:r w:rsidR="0003387D" w:rsidRPr="006704C9">
        <w:rPr>
          <w:rFonts w:cs="Times New Roman"/>
          <w:szCs w:val="22"/>
          <w:vertAlign w:val="superscript"/>
        </w:rPr>
        <w:t>32</w:t>
      </w:r>
      <w:r w:rsidR="008E3F87" w:rsidRPr="006704C9">
        <w:rPr>
          <w:rFonts w:cs="Times New Roman"/>
          <w:szCs w:val="22"/>
        </w:rPr>
        <w:t xml:space="preserve"> Convergence among these metrics guided the final selection of </w:t>
      </w:r>
      <w:r w:rsidR="008E3F87" w:rsidRPr="006704C9">
        <w:rPr>
          <w:rFonts w:cs="Times New Roman"/>
          <w:i/>
          <w:iCs/>
          <w:szCs w:val="22"/>
        </w:rPr>
        <w:t>k</w:t>
      </w:r>
      <w:r w:rsidR="008E3F87" w:rsidRPr="006704C9">
        <w:rPr>
          <w:rFonts w:cs="Times New Roman"/>
          <w:szCs w:val="22"/>
        </w:rPr>
        <w:t>.</w:t>
      </w:r>
    </w:p>
    <w:p w14:paraId="371B0A9E" w14:textId="77777777" w:rsidR="00257881" w:rsidRDefault="00257881" w:rsidP="008832C9">
      <w:pPr>
        <w:pStyle w:val="BodyText"/>
        <w:rPr>
          <w:b/>
          <w:bCs/>
        </w:rPr>
      </w:pPr>
    </w:p>
    <w:p w14:paraId="09398B3E" w14:textId="4C3C0F12" w:rsidR="008832C9" w:rsidRPr="008832C9" w:rsidRDefault="008832C9" w:rsidP="008832C9">
      <w:pPr>
        <w:pStyle w:val="BodyText"/>
        <w:rPr>
          <w:b/>
          <w:bCs/>
        </w:rPr>
      </w:pPr>
      <w:r w:rsidRPr="008832C9">
        <w:rPr>
          <w:b/>
          <w:bCs/>
        </w:rPr>
        <w:t>FINDINGS</w:t>
      </w:r>
    </w:p>
    <w:p w14:paraId="236BE1A9" w14:textId="6C4B82C0" w:rsidR="00FE0361" w:rsidRPr="007031A3" w:rsidRDefault="008832C9" w:rsidP="00BB7067">
      <w:pPr>
        <w:pStyle w:val="FirstParagraph"/>
        <w:jc w:val="both"/>
        <w:rPr>
          <w:rFonts w:cs="Times New Roman"/>
        </w:rPr>
      </w:pPr>
      <w:bookmarkStart w:id="6" w:name="fertility-rates"/>
      <w:bookmarkStart w:id="7" w:name="results"/>
      <w:bookmarkEnd w:id="2"/>
      <w:bookmarkEnd w:id="5"/>
      <w:r w:rsidRPr="008832C9">
        <w:rPr>
          <w:rFonts w:cs="Times New Roman"/>
          <w:b/>
          <w:bCs/>
        </w:rPr>
        <w:t>Age Specific Fertility Rate:</w:t>
      </w:r>
      <w:r>
        <w:rPr>
          <w:rFonts w:cs="Times New Roman"/>
        </w:rPr>
        <w:t xml:space="preserve"> </w:t>
      </w:r>
      <w:r w:rsidR="00BB7067" w:rsidRPr="007031A3">
        <w:rPr>
          <w:rFonts w:cs="Times New Roman"/>
        </w:rPr>
        <w:t>We calculated the single-year ASFRs for India,</w:t>
      </w:r>
      <w:r w:rsidR="00A6351C" w:rsidRPr="007031A3">
        <w:rPr>
          <w:rFonts w:cs="Times New Roman"/>
        </w:rPr>
        <w:t xml:space="preserve"> and</w:t>
      </w:r>
      <w:r w:rsidR="00BB7067" w:rsidRPr="007031A3">
        <w:rPr>
          <w:rFonts w:cs="Times New Roman"/>
        </w:rPr>
        <w:t xml:space="preserve"> all northeastern states of India, which include Assam, Arunachal Pradesh, Manipur, Meghalaya, Mizoram, Nagaland, Sikkim, and Tripura</w:t>
      </w:r>
      <w:r w:rsidR="00A6351C" w:rsidRPr="007031A3">
        <w:rPr>
          <w:rFonts w:cs="Times New Roman"/>
        </w:rPr>
        <w:t xml:space="preserve"> </w:t>
      </w:r>
      <w:r w:rsidR="00BB7067" w:rsidRPr="007031A3">
        <w:rPr>
          <w:rFonts w:cs="Times New Roman"/>
        </w:rPr>
        <w:t>from the individual record data of the fifth round of NFHS [see Table 1</w:t>
      </w:r>
      <w:r>
        <w:rPr>
          <w:rFonts w:cs="Times New Roman"/>
        </w:rPr>
        <w:t xml:space="preserve">, Figure </w:t>
      </w:r>
      <w:r w:rsidR="0025400C">
        <w:rPr>
          <w:rFonts w:cs="Times New Roman"/>
        </w:rPr>
        <w:t>3</w:t>
      </w:r>
      <w:r w:rsidR="00BB7067" w:rsidRPr="007031A3">
        <w:rPr>
          <w:rFonts w:cs="Times New Roman"/>
        </w:rPr>
        <w:t xml:space="preserve">]. </w:t>
      </w:r>
    </w:p>
    <w:p w14:paraId="2CEBFD14" w14:textId="6DE7C938" w:rsidR="00FE0361" w:rsidRPr="007031A3" w:rsidRDefault="00FE0361" w:rsidP="00FE0361">
      <w:pPr>
        <w:pStyle w:val="FirstParagraph"/>
        <w:jc w:val="both"/>
        <w:rPr>
          <w:rFonts w:cs="Times New Roman"/>
        </w:rPr>
      </w:pPr>
      <w:r w:rsidRPr="007031A3">
        <w:rPr>
          <w:rFonts w:cs="Times New Roman"/>
        </w:rPr>
        <w:t>The ASFRs reveals substantial heterogeneity in fertility behaviour across India and the eight North-Eastern states, reflecting differences in the timing, intensity, and overall level of childbearing. At the national level, fertility follows a relatively standard age pattern, with low rates in the teenage years, a peak during the early to mid-twenties (around ages 22–24), and a steady decline thereafter. This pattern is broadly indicative of delayed marriage, declining adolescent fertility, and concentration of births within the prime reproductive ages.</w:t>
      </w:r>
    </w:p>
    <w:p w14:paraId="53AC04FE" w14:textId="701F6CC4" w:rsidR="00FE0361" w:rsidRPr="007031A3" w:rsidRDefault="00FE0361" w:rsidP="00FE0361">
      <w:pPr>
        <w:pStyle w:val="FirstParagraph"/>
        <w:jc w:val="both"/>
        <w:rPr>
          <w:rFonts w:cs="Times New Roman"/>
        </w:rPr>
      </w:pPr>
      <w:r w:rsidRPr="007031A3">
        <w:rPr>
          <w:rFonts w:cs="Times New Roman"/>
        </w:rPr>
        <w:t>Assam broadly mirrors the national age pattern but exhibits noticeably higher fertility at younger ages, particularly between 15 and 19 years, indicating a relatively higher prevalence of early marriage and adolescent childbearing. Although fertility peaks in the early twenties, the decline after age 30 is more gradual compared to the national average, suggesting prolonged childbearing spans. Despite these features, Assam’s total fertility rate (TFR) of 1.87 remains below replacement level, pointing to an ongoing fertility transition.</w:t>
      </w:r>
    </w:p>
    <w:p w14:paraId="3818B2AA" w14:textId="009C8C20" w:rsidR="00FE0361" w:rsidRPr="007031A3" w:rsidRDefault="00FE0361" w:rsidP="00FE0361">
      <w:pPr>
        <w:pStyle w:val="FirstParagraph"/>
        <w:jc w:val="both"/>
        <w:rPr>
          <w:rFonts w:cs="Times New Roman"/>
        </w:rPr>
      </w:pPr>
      <w:r w:rsidRPr="007031A3">
        <w:rPr>
          <w:rFonts w:cs="Times New Roman"/>
        </w:rPr>
        <w:t>Arunachal Pradesh and Manipur display distinct fertility schedules. Arunachal Pradesh shows moderate adolescent fertility but relatively elevated fertility across a wider age range, extending into the late thirties and even forties, which contributes to a TFR of 1.81. Manipur, in contrast, exhibits a pronounced concentration of fertility in the late twenties and early thirties, with comparatively lower adolescent fertility but sustained childbearing at older ages, resulting in a TFR of 2.17, slightly above replacement level. This pattern may reflect delayed marriage combined with extended reproductive behaviour.</w:t>
      </w:r>
    </w:p>
    <w:p w14:paraId="388F5F66" w14:textId="6722A7F1" w:rsidR="00FE0361" w:rsidRPr="007031A3" w:rsidRDefault="00FE0361" w:rsidP="00BB7067">
      <w:pPr>
        <w:pStyle w:val="FirstParagraph"/>
        <w:jc w:val="both"/>
        <w:rPr>
          <w:rFonts w:cs="Times New Roman"/>
        </w:rPr>
      </w:pPr>
      <w:r w:rsidRPr="007031A3">
        <w:rPr>
          <w:rFonts w:cs="Times New Roman"/>
        </w:rPr>
        <w:t xml:space="preserve">Meghalaya stands out with consistently high fertility rates across almost all reproductive ages, particularly between 20 and 34 years, and a relatively slower decline at older ages. This broad-based fertility schedule culminates in the highest TFR among the North-Eastern states (2.89), indicating limited fertility decline. The pattern is consistent with the state’s distinct socio-cultural context, including matrilineal traditions and comparatively lower uptake of modern contraceptive methods. Mizoram, Nagaland, Sikkim, and Tripura exhibit more advanced fertility transitions. Mizoram shows low adolescent fertility and a moderate peak during the mid-to-late twenties, followed by a steady decline, yielding a TFR of 1.86. Nagaland presents a similar but slightly earlier concentration of fertility, with relatively low teenage childbearing and a TFR of 1.71. Sikkim demonstrates the most compressed fertility pattern, characterised by very low fertility at younger ages, a modest peak in the late twenties, and a sharp </w:t>
      </w:r>
      <w:r w:rsidR="00FB5AD3" w:rsidRPr="007031A3">
        <w:rPr>
          <w:rFonts w:cs="Times New Roman"/>
        </w:rPr>
        <w:t>decline,</w:t>
      </w:r>
      <w:r w:rsidRPr="007031A3">
        <w:rPr>
          <w:rFonts w:cs="Times New Roman"/>
        </w:rPr>
        <w:t xml:space="preserve"> thereafter, resulting in the lowest TFR (1.04) among all states considered. Tripura, despite relatively high adolescent fertility</w:t>
      </w:r>
      <w:r w:rsidR="00DE499D">
        <w:rPr>
          <w:rFonts w:cs="Times New Roman"/>
        </w:rPr>
        <w:t xml:space="preserve">, </w:t>
      </w:r>
      <w:r w:rsidRPr="007031A3">
        <w:rPr>
          <w:rFonts w:cs="Times New Roman"/>
        </w:rPr>
        <w:t>particularly at ages 15–19</w:t>
      </w:r>
      <w:r w:rsidR="00DE499D">
        <w:rPr>
          <w:rFonts w:cs="Times New Roman"/>
        </w:rPr>
        <w:t xml:space="preserve">, </w:t>
      </w:r>
      <w:r w:rsidRPr="007031A3">
        <w:rPr>
          <w:rFonts w:cs="Times New Roman"/>
        </w:rPr>
        <w:t>experiences a rapid decline after the mid-twenties, leading to a sub-replacement TFR of 1.71.</w:t>
      </w:r>
      <w:r w:rsidR="00FB5AD3" w:rsidRPr="007031A3">
        <w:rPr>
          <w:rFonts w:cs="Times New Roman"/>
        </w:rPr>
        <w:t xml:space="preserve"> (</w:t>
      </w:r>
      <w:r w:rsidR="00257881">
        <w:rPr>
          <w:rFonts w:cs="Times New Roman"/>
        </w:rPr>
        <w:t xml:space="preserve">See </w:t>
      </w:r>
      <w:r w:rsidR="00FB5AD3" w:rsidRPr="007031A3">
        <w:rPr>
          <w:rFonts w:cs="Times New Roman"/>
        </w:rPr>
        <w:t>Table 1, Fig</w:t>
      </w:r>
      <w:r w:rsidR="00257881">
        <w:rPr>
          <w:rFonts w:cs="Times New Roman"/>
        </w:rPr>
        <w:t>ure</w:t>
      </w:r>
      <w:r w:rsidR="00FB5AD3" w:rsidRPr="007031A3">
        <w:rPr>
          <w:rFonts w:cs="Times New Roman"/>
        </w:rPr>
        <w:t xml:space="preserve"> </w:t>
      </w:r>
      <w:r w:rsidR="0025400C">
        <w:rPr>
          <w:rFonts w:cs="Times New Roman"/>
        </w:rPr>
        <w:t>2</w:t>
      </w:r>
      <w:r w:rsidR="00FB5AD3" w:rsidRPr="007031A3">
        <w:rPr>
          <w:rFonts w:cs="Times New Roman"/>
        </w:rPr>
        <w:t>).</w:t>
      </w:r>
    </w:p>
    <w:p w14:paraId="6D93A1C0" w14:textId="77777777" w:rsidR="0025400C" w:rsidRDefault="0025400C">
      <w:pPr>
        <w:spacing w:after="160" w:line="259" w:lineRule="auto"/>
        <w:rPr>
          <w:rFonts w:cs="Times New Roman"/>
          <w:b/>
          <w:bCs/>
          <w:iCs/>
        </w:rPr>
      </w:pPr>
      <w:r>
        <w:rPr>
          <w:rFonts w:cs="Times New Roman"/>
          <w:b/>
          <w:bCs/>
          <w:i/>
          <w:iCs/>
        </w:rPr>
        <w:br w:type="page"/>
      </w:r>
    </w:p>
    <w:p w14:paraId="5C71411C" w14:textId="12735514" w:rsidR="00BB7067" w:rsidRPr="00AE54B1" w:rsidRDefault="00BB7067" w:rsidP="00BB7067">
      <w:pPr>
        <w:pStyle w:val="tablefigurecaption"/>
        <w:rPr>
          <w:rFonts w:cs="Times New Roman"/>
          <w:b/>
          <w:bCs/>
          <w:i w:val="0"/>
          <w:iCs/>
        </w:rPr>
      </w:pPr>
      <w:r w:rsidRPr="00AE54B1">
        <w:rPr>
          <w:rFonts w:cs="Times New Roman"/>
          <w:b/>
          <w:bCs/>
          <w:i w:val="0"/>
          <w:iCs/>
        </w:rPr>
        <w:lastRenderedPageBreak/>
        <w:t>Table 1: Single Year ASFR (per 1000 women) of India and the North-Eastern States</w:t>
      </w:r>
    </w:p>
    <w:tbl>
      <w:tblPr>
        <w:tblW w:w="5000" w:type="pct"/>
        <w:jc w:val="center"/>
        <w:tblLook w:val="04A0" w:firstRow="1" w:lastRow="0" w:firstColumn="1" w:lastColumn="0" w:noHBand="0" w:noVBand="1"/>
      </w:tblPr>
      <w:tblGrid>
        <w:gridCol w:w="993"/>
        <w:gridCol w:w="754"/>
        <w:gridCol w:w="771"/>
        <w:gridCol w:w="1088"/>
        <w:gridCol w:w="957"/>
        <w:gridCol w:w="1119"/>
        <w:gridCol w:w="975"/>
        <w:gridCol w:w="1007"/>
        <w:gridCol w:w="812"/>
        <w:gridCol w:w="884"/>
      </w:tblGrid>
      <w:tr w:rsidR="00BB7067" w:rsidRPr="00AE54B1" w14:paraId="0251B99E" w14:textId="77777777" w:rsidTr="00AE54B1">
        <w:trPr>
          <w:trHeight w:val="20"/>
          <w:tblHeader/>
          <w:jc w:val="center"/>
        </w:trPr>
        <w:tc>
          <w:tcPr>
            <w:tcW w:w="530" w:type="pct"/>
            <w:tcBorders>
              <w:top w:val="single" w:sz="4" w:space="0" w:color="auto"/>
              <w:left w:val="nil"/>
              <w:bottom w:val="single" w:sz="4" w:space="0" w:color="auto"/>
              <w:right w:val="nil"/>
            </w:tcBorders>
            <w:noWrap/>
            <w:hideMark/>
          </w:tcPr>
          <w:p w14:paraId="7FDBB585"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Age</w:t>
            </w:r>
          </w:p>
          <w:p w14:paraId="2ACFB42A"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(in years)</w:t>
            </w:r>
          </w:p>
        </w:tc>
        <w:tc>
          <w:tcPr>
            <w:tcW w:w="403" w:type="pct"/>
            <w:tcBorders>
              <w:top w:val="single" w:sz="4" w:space="0" w:color="auto"/>
              <w:left w:val="nil"/>
              <w:bottom w:val="single" w:sz="4" w:space="0" w:color="auto"/>
              <w:right w:val="nil"/>
            </w:tcBorders>
            <w:noWrap/>
            <w:hideMark/>
          </w:tcPr>
          <w:p w14:paraId="7D3F8B0B"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India</w:t>
            </w:r>
          </w:p>
        </w:tc>
        <w:tc>
          <w:tcPr>
            <w:tcW w:w="412" w:type="pct"/>
            <w:tcBorders>
              <w:top w:val="single" w:sz="4" w:space="0" w:color="auto"/>
              <w:left w:val="nil"/>
              <w:bottom w:val="single" w:sz="4" w:space="0" w:color="auto"/>
              <w:right w:val="nil"/>
            </w:tcBorders>
            <w:noWrap/>
            <w:hideMark/>
          </w:tcPr>
          <w:p w14:paraId="09C61265"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Assam</w:t>
            </w:r>
          </w:p>
        </w:tc>
        <w:tc>
          <w:tcPr>
            <w:tcW w:w="581" w:type="pct"/>
            <w:tcBorders>
              <w:top w:val="single" w:sz="4" w:space="0" w:color="auto"/>
              <w:left w:val="nil"/>
              <w:bottom w:val="single" w:sz="4" w:space="0" w:color="auto"/>
              <w:right w:val="nil"/>
            </w:tcBorders>
            <w:hideMark/>
          </w:tcPr>
          <w:p w14:paraId="0EBC67AA"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Arunachal</w:t>
            </w:r>
            <w:r w:rsidRPr="00AE54B1">
              <w:rPr>
                <w:rFonts w:eastAsia="Times New Roman" w:cs="Times New Roman"/>
                <w:b/>
                <w:bCs/>
                <w:sz w:val="16"/>
                <w:szCs w:val="16"/>
                <w:lang w:eastAsia="en-IN" w:bidi="as-IN"/>
              </w:rPr>
              <w:br/>
              <w:t>Pradesh</w:t>
            </w:r>
          </w:p>
        </w:tc>
        <w:tc>
          <w:tcPr>
            <w:tcW w:w="511" w:type="pct"/>
            <w:tcBorders>
              <w:top w:val="single" w:sz="4" w:space="0" w:color="auto"/>
              <w:left w:val="nil"/>
              <w:bottom w:val="single" w:sz="4" w:space="0" w:color="auto"/>
              <w:right w:val="nil"/>
            </w:tcBorders>
            <w:noWrap/>
            <w:hideMark/>
          </w:tcPr>
          <w:p w14:paraId="6CE1965C"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Manipur</w:t>
            </w:r>
          </w:p>
        </w:tc>
        <w:tc>
          <w:tcPr>
            <w:tcW w:w="598" w:type="pct"/>
            <w:tcBorders>
              <w:top w:val="single" w:sz="4" w:space="0" w:color="auto"/>
              <w:left w:val="nil"/>
              <w:bottom w:val="single" w:sz="4" w:space="0" w:color="auto"/>
              <w:right w:val="nil"/>
            </w:tcBorders>
            <w:noWrap/>
            <w:hideMark/>
          </w:tcPr>
          <w:p w14:paraId="25522AB4"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Meghalaya</w:t>
            </w:r>
          </w:p>
        </w:tc>
        <w:tc>
          <w:tcPr>
            <w:tcW w:w="521" w:type="pct"/>
            <w:tcBorders>
              <w:top w:val="single" w:sz="4" w:space="0" w:color="auto"/>
              <w:left w:val="nil"/>
              <w:bottom w:val="single" w:sz="4" w:space="0" w:color="auto"/>
              <w:right w:val="nil"/>
            </w:tcBorders>
            <w:noWrap/>
            <w:hideMark/>
          </w:tcPr>
          <w:p w14:paraId="5C3D08CA"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Mizoram</w:t>
            </w:r>
          </w:p>
        </w:tc>
        <w:tc>
          <w:tcPr>
            <w:tcW w:w="538" w:type="pct"/>
            <w:tcBorders>
              <w:top w:val="single" w:sz="4" w:space="0" w:color="auto"/>
              <w:left w:val="nil"/>
              <w:bottom w:val="single" w:sz="4" w:space="0" w:color="auto"/>
              <w:right w:val="nil"/>
            </w:tcBorders>
            <w:noWrap/>
            <w:hideMark/>
          </w:tcPr>
          <w:p w14:paraId="2C871F93"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Nagaland</w:t>
            </w:r>
          </w:p>
        </w:tc>
        <w:tc>
          <w:tcPr>
            <w:tcW w:w="434" w:type="pct"/>
            <w:tcBorders>
              <w:top w:val="single" w:sz="4" w:space="0" w:color="auto"/>
              <w:left w:val="nil"/>
              <w:bottom w:val="single" w:sz="4" w:space="0" w:color="auto"/>
              <w:right w:val="nil"/>
            </w:tcBorders>
            <w:noWrap/>
            <w:hideMark/>
          </w:tcPr>
          <w:p w14:paraId="56D31D59"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Sikkim</w:t>
            </w:r>
          </w:p>
        </w:tc>
        <w:tc>
          <w:tcPr>
            <w:tcW w:w="472" w:type="pct"/>
            <w:tcBorders>
              <w:top w:val="single" w:sz="4" w:space="0" w:color="auto"/>
              <w:left w:val="nil"/>
              <w:bottom w:val="single" w:sz="4" w:space="0" w:color="auto"/>
              <w:right w:val="nil"/>
            </w:tcBorders>
            <w:noWrap/>
            <w:hideMark/>
          </w:tcPr>
          <w:p w14:paraId="7C19BC17"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Tripura</w:t>
            </w:r>
          </w:p>
        </w:tc>
      </w:tr>
      <w:tr w:rsidR="00BB7067" w:rsidRPr="00AE54B1" w14:paraId="38115863" w14:textId="77777777" w:rsidTr="00AE54B1">
        <w:trPr>
          <w:trHeight w:val="20"/>
          <w:jc w:val="center"/>
        </w:trPr>
        <w:tc>
          <w:tcPr>
            <w:tcW w:w="530" w:type="pct"/>
            <w:tcBorders>
              <w:top w:val="nil"/>
              <w:left w:val="nil"/>
              <w:bottom w:val="nil"/>
              <w:right w:val="nil"/>
            </w:tcBorders>
            <w:noWrap/>
            <w:hideMark/>
          </w:tcPr>
          <w:p w14:paraId="144A8E3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15</w:t>
            </w:r>
          </w:p>
        </w:tc>
        <w:tc>
          <w:tcPr>
            <w:tcW w:w="403" w:type="pct"/>
            <w:tcBorders>
              <w:top w:val="nil"/>
              <w:left w:val="nil"/>
              <w:bottom w:val="nil"/>
              <w:right w:val="nil"/>
            </w:tcBorders>
            <w:noWrap/>
            <w:hideMark/>
          </w:tcPr>
          <w:p w14:paraId="0B3F513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2.84</w:t>
            </w:r>
          </w:p>
        </w:tc>
        <w:tc>
          <w:tcPr>
            <w:tcW w:w="412" w:type="pct"/>
            <w:tcBorders>
              <w:top w:val="nil"/>
              <w:left w:val="nil"/>
              <w:bottom w:val="nil"/>
              <w:right w:val="nil"/>
            </w:tcBorders>
            <w:noWrap/>
            <w:hideMark/>
          </w:tcPr>
          <w:p w14:paraId="171C7FE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9.85</w:t>
            </w:r>
          </w:p>
        </w:tc>
        <w:tc>
          <w:tcPr>
            <w:tcW w:w="581" w:type="pct"/>
            <w:tcBorders>
              <w:top w:val="nil"/>
              <w:left w:val="nil"/>
              <w:bottom w:val="nil"/>
              <w:right w:val="nil"/>
            </w:tcBorders>
            <w:noWrap/>
            <w:hideMark/>
          </w:tcPr>
          <w:p w14:paraId="3B63AC9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4.33</w:t>
            </w:r>
          </w:p>
        </w:tc>
        <w:tc>
          <w:tcPr>
            <w:tcW w:w="511" w:type="pct"/>
            <w:tcBorders>
              <w:top w:val="nil"/>
              <w:left w:val="nil"/>
              <w:bottom w:val="nil"/>
              <w:right w:val="nil"/>
            </w:tcBorders>
            <w:noWrap/>
            <w:hideMark/>
          </w:tcPr>
          <w:p w14:paraId="79E0F75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5.4</w:t>
            </w:r>
          </w:p>
        </w:tc>
        <w:tc>
          <w:tcPr>
            <w:tcW w:w="598" w:type="pct"/>
            <w:tcBorders>
              <w:top w:val="nil"/>
              <w:left w:val="nil"/>
              <w:bottom w:val="nil"/>
              <w:right w:val="nil"/>
            </w:tcBorders>
            <w:noWrap/>
            <w:hideMark/>
          </w:tcPr>
          <w:p w14:paraId="467EBB2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4.52</w:t>
            </w:r>
          </w:p>
        </w:tc>
        <w:tc>
          <w:tcPr>
            <w:tcW w:w="521" w:type="pct"/>
            <w:tcBorders>
              <w:top w:val="nil"/>
              <w:left w:val="nil"/>
              <w:bottom w:val="nil"/>
              <w:right w:val="nil"/>
            </w:tcBorders>
            <w:noWrap/>
            <w:hideMark/>
          </w:tcPr>
          <w:p w14:paraId="06DF61B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538" w:type="pct"/>
            <w:tcBorders>
              <w:top w:val="nil"/>
              <w:left w:val="nil"/>
              <w:bottom w:val="nil"/>
              <w:right w:val="nil"/>
            </w:tcBorders>
            <w:noWrap/>
            <w:hideMark/>
          </w:tcPr>
          <w:p w14:paraId="42B4CEC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34" w:type="pct"/>
            <w:tcBorders>
              <w:top w:val="nil"/>
              <w:left w:val="nil"/>
              <w:bottom w:val="nil"/>
              <w:right w:val="nil"/>
            </w:tcBorders>
            <w:noWrap/>
            <w:hideMark/>
          </w:tcPr>
          <w:p w14:paraId="2D6D503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72" w:type="pct"/>
            <w:tcBorders>
              <w:top w:val="nil"/>
              <w:left w:val="nil"/>
              <w:bottom w:val="nil"/>
              <w:right w:val="nil"/>
            </w:tcBorders>
            <w:noWrap/>
            <w:hideMark/>
          </w:tcPr>
          <w:p w14:paraId="55ABBA2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28.51</w:t>
            </w:r>
          </w:p>
        </w:tc>
      </w:tr>
      <w:tr w:rsidR="00BB7067" w:rsidRPr="00AE54B1" w14:paraId="0E9413F1" w14:textId="77777777" w:rsidTr="00AE54B1">
        <w:trPr>
          <w:trHeight w:val="20"/>
          <w:jc w:val="center"/>
        </w:trPr>
        <w:tc>
          <w:tcPr>
            <w:tcW w:w="530" w:type="pct"/>
            <w:tcBorders>
              <w:top w:val="nil"/>
              <w:left w:val="nil"/>
              <w:bottom w:val="nil"/>
              <w:right w:val="nil"/>
            </w:tcBorders>
            <w:noWrap/>
            <w:hideMark/>
          </w:tcPr>
          <w:p w14:paraId="0C78AF3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16</w:t>
            </w:r>
          </w:p>
        </w:tc>
        <w:tc>
          <w:tcPr>
            <w:tcW w:w="403" w:type="pct"/>
            <w:tcBorders>
              <w:top w:val="nil"/>
              <w:left w:val="nil"/>
              <w:bottom w:val="nil"/>
              <w:right w:val="nil"/>
            </w:tcBorders>
            <w:noWrap/>
            <w:hideMark/>
          </w:tcPr>
          <w:p w14:paraId="0CE6EEB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10.38</w:t>
            </w:r>
          </w:p>
        </w:tc>
        <w:tc>
          <w:tcPr>
            <w:tcW w:w="412" w:type="pct"/>
            <w:tcBorders>
              <w:top w:val="nil"/>
              <w:left w:val="nil"/>
              <w:bottom w:val="nil"/>
              <w:right w:val="nil"/>
            </w:tcBorders>
            <w:noWrap/>
            <w:hideMark/>
          </w:tcPr>
          <w:p w14:paraId="126056C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20.14</w:t>
            </w:r>
          </w:p>
        </w:tc>
        <w:tc>
          <w:tcPr>
            <w:tcW w:w="581" w:type="pct"/>
            <w:tcBorders>
              <w:top w:val="nil"/>
              <w:left w:val="nil"/>
              <w:bottom w:val="nil"/>
              <w:right w:val="nil"/>
            </w:tcBorders>
            <w:noWrap/>
            <w:hideMark/>
          </w:tcPr>
          <w:p w14:paraId="14EE76B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8.96</w:t>
            </w:r>
          </w:p>
        </w:tc>
        <w:tc>
          <w:tcPr>
            <w:tcW w:w="511" w:type="pct"/>
            <w:tcBorders>
              <w:top w:val="nil"/>
              <w:left w:val="nil"/>
              <w:bottom w:val="nil"/>
              <w:right w:val="nil"/>
            </w:tcBorders>
            <w:noWrap/>
            <w:hideMark/>
          </w:tcPr>
          <w:p w14:paraId="1B4C796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24.69</w:t>
            </w:r>
          </w:p>
        </w:tc>
        <w:tc>
          <w:tcPr>
            <w:tcW w:w="598" w:type="pct"/>
            <w:tcBorders>
              <w:top w:val="nil"/>
              <w:left w:val="nil"/>
              <w:bottom w:val="nil"/>
              <w:right w:val="nil"/>
            </w:tcBorders>
            <w:noWrap/>
            <w:hideMark/>
          </w:tcPr>
          <w:p w14:paraId="5FDA767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14.15</w:t>
            </w:r>
          </w:p>
        </w:tc>
        <w:tc>
          <w:tcPr>
            <w:tcW w:w="521" w:type="pct"/>
            <w:tcBorders>
              <w:top w:val="nil"/>
              <w:left w:val="nil"/>
              <w:bottom w:val="nil"/>
              <w:right w:val="nil"/>
            </w:tcBorders>
            <w:noWrap/>
            <w:hideMark/>
          </w:tcPr>
          <w:p w14:paraId="5AFF1AA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5.78</w:t>
            </w:r>
          </w:p>
        </w:tc>
        <w:tc>
          <w:tcPr>
            <w:tcW w:w="538" w:type="pct"/>
            <w:tcBorders>
              <w:top w:val="nil"/>
              <w:left w:val="nil"/>
              <w:bottom w:val="nil"/>
              <w:right w:val="nil"/>
            </w:tcBorders>
            <w:noWrap/>
            <w:hideMark/>
          </w:tcPr>
          <w:p w14:paraId="07AE62B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2.84</w:t>
            </w:r>
          </w:p>
        </w:tc>
        <w:tc>
          <w:tcPr>
            <w:tcW w:w="434" w:type="pct"/>
            <w:tcBorders>
              <w:top w:val="nil"/>
              <w:left w:val="nil"/>
              <w:bottom w:val="nil"/>
              <w:right w:val="nil"/>
            </w:tcBorders>
            <w:noWrap/>
            <w:hideMark/>
          </w:tcPr>
          <w:p w14:paraId="480CFAF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7.33</w:t>
            </w:r>
          </w:p>
        </w:tc>
        <w:tc>
          <w:tcPr>
            <w:tcW w:w="472" w:type="pct"/>
            <w:tcBorders>
              <w:top w:val="nil"/>
              <w:left w:val="nil"/>
              <w:bottom w:val="nil"/>
              <w:right w:val="nil"/>
            </w:tcBorders>
            <w:noWrap/>
            <w:hideMark/>
          </w:tcPr>
          <w:p w14:paraId="3504A75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52.23</w:t>
            </w:r>
          </w:p>
        </w:tc>
      </w:tr>
      <w:tr w:rsidR="00BB7067" w:rsidRPr="00AE54B1" w14:paraId="34CBA618" w14:textId="77777777" w:rsidTr="00AE54B1">
        <w:trPr>
          <w:trHeight w:val="20"/>
          <w:jc w:val="center"/>
        </w:trPr>
        <w:tc>
          <w:tcPr>
            <w:tcW w:w="530" w:type="pct"/>
            <w:tcBorders>
              <w:top w:val="nil"/>
              <w:left w:val="nil"/>
              <w:bottom w:val="nil"/>
              <w:right w:val="nil"/>
            </w:tcBorders>
            <w:noWrap/>
            <w:hideMark/>
          </w:tcPr>
          <w:p w14:paraId="61CDB08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17</w:t>
            </w:r>
          </w:p>
        </w:tc>
        <w:tc>
          <w:tcPr>
            <w:tcW w:w="403" w:type="pct"/>
            <w:tcBorders>
              <w:top w:val="nil"/>
              <w:left w:val="nil"/>
              <w:bottom w:val="nil"/>
              <w:right w:val="nil"/>
            </w:tcBorders>
            <w:noWrap/>
            <w:hideMark/>
          </w:tcPr>
          <w:p w14:paraId="2AFA432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29.13</w:t>
            </w:r>
          </w:p>
        </w:tc>
        <w:tc>
          <w:tcPr>
            <w:tcW w:w="412" w:type="pct"/>
            <w:tcBorders>
              <w:top w:val="nil"/>
              <w:left w:val="nil"/>
              <w:bottom w:val="nil"/>
              <w:right w:val="nil"/>
            </w:tcBorders>
            <w:noWrap/>
            <w:hideMark/>
          </w:tcPr>
          <w:p w14:paraId="5DEED84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64.94</w:t>
            </w:r>
          </w:p>
        </w:tc>
        <w:tc>
          <w:tcPr>
            <w:tcW w:w="581" w:type="pct"/>
            <w:tcBorders>
              <w:top w:val="nil"/>
              <w:left w:val="nil"/>
              <w:bottom w:val="nil"/>
              <w:right w:val="nil"/>
            </w:tcBorders>
            <w:noWrap/>
            <w:hideMark/>
          </w:tcPr>
          <w:p w14:paraId="2EECF77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32.07</w:t>
            </w:r>
          </w:p>
        </w:tc>
        <w:tc>
          <w:tcPr>
            <w:tcW w:w="511" w:type="pct"/>
            <w:tcBorders>
              <w:top w:val="nil"/>
              <w:left w:val="nil"/>
              <w:bottom w:val="nil"/>
              <w:right w:val="nil"/>
            </w:tcBorders>
            <w:noWrap/>
            <w:hideMark/>
          </w:tcPr>
          <w:p w14:paraId="53DE3C8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43.94</w:t>
            </w:r>
          </w:p>
        </w:tc>
        <w:tc>
          <w:tcPr>
            <w:tcW w:w="598" w:type="pct"/>
            <w:tcBorders>
              <w:top w:val="nil"/>
              <w:left w:val="nil"/>
              <w:bottom w:val="nil"/>
              <w:right w:val="nil"/>
            </w:tcBorders>
            <w:noWrap/>
            <w:hideMark/>
          </w:tcPr>
          <w:p w14:paraId="0FC454D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39.05</w:t>
            </w:r>
          </w:p>
        </w:tc>
        <w:tc>
          <w:tcPr>
            <w:tcW w:w="521" w:type="pct"/>
            <w:tcBorders>
              <w:top w:val="nil"/>
              <w:left w:val="nil"/>
              <w:bottom w:val="nil"/>
              <w:right w:val="nil"/>
            </w:tcBorders>
            <w:noWrap/>
            <w:hideMark/>
          </w:tcPr>
          <w:p w14:paraId="79F7A17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26.48</w:t>
            </w:r>
          </w:p>
        </w:tc>
        <w:tc>
          <w:tcPr>
            <w:tcW w:w="538" w:type="pct"/>
            <w:tcBorders>
              <w:top w:val="nil"/>
              <w:left w:val="nil"/>
              <w:bottom w:val="nil"/>
              <w:right w:val="nil"/>
            </w:tcBorders>
            <w:noWrap/>
            <w:hideMark/>
          </w:tcPr>
          <w:p w14:paraId="2BFAE2A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10.82</w:t>
            </w:r>
          </w:p>
        </w:tc>
        <w:tc>
          <w:tcPr>
            <w:tcW w:w="434" w:type="pct"/>
            <w:tcBorders>
              <w:top w:val="nil"/>
              <w:left w:val="nil"/>
              <w:bottom w:val="nil"/>
              <w:right w:val="nil"/>
            </w:tcBorders>
            <w:noWrap/>
            <w:hideMark/>
          </w:tcPr>
          <w:p w14:paraId="52D6A50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3.92</w:t>
            </w:r>
          </w:p>
        </w:tc>
        <w:tc>
          <w:tcPr>
            <w:tcW w:w="472" w:type="pct"/>
            <w:tcBorders>
              <w:top w:val="nil"/>
              <w:left w:val="nil"/>
              <w:bottom w:val="nil"/>
              <w:right w:val="nil"/>
            </w:tcBorders>
            <w:noWrap/>
            <w:hideMark/>
          </w:tcPr>
          <w:p w14:paraId="0F86788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104.52</w:t>
            </w:r>
          </w:p>
        </w:tc>
      </w:tr>
      <w:tr w:rsidR="00BB7067" w:rsidRPr="00AE54B1" w14:paraId="67CEF177" w14:textId="77777777" w:rsidTr="00AE54B1">
        <w:trPr>
          <w:trHeight w:val="20"/>
          <w:jc w:val="center"/>
        </w:trPr>
        <w:tc>
          <w:tcPr>
            <w:tcW w:w="530" w:type="pct"/>
            <w:tcBorders>
              <w:top w:val="nil"/>
              <w:left w:val="nil"/>
              <w:bottom w:val="nil"/>
              <w:right w:val="nil"/>
            </w:tcBorders>
            <w:noWrap/>
            <w:hideMark/>
          </w:tcPr>
          <w:p w14:paraId="03AFBDA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18</w:t>
            </w:r>
          </w:p>
        </w:tc>
        <w:tc>
          <w:tcPr>
            <w:tcW w:w="403" w:type="pct"/>
            <w:tcBorders>
              <w:top w:val="nil"/>
              <w:left w:val="nil"/>
              <w:bottom w:val="nil"/>
              <w:right w:val="nil"/>
            </w:tcBorders>
            <w:noWrap/>
            <w:hideMark/>
          </w:tcPr>
          <w:p w14:paraId="080AE4A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64.86</w:t>
            </w:r>
          </w:p>
        </w:tc>
        <w:tc>
          <w:tcPr>
            <w:tcW w:w="412" w:type="pct"/>
            <w:tcBorders>
              <w:top w:val="nil"/>
              <w:left w:val="nil"/>
              <w:bottom w:val="nil"/>
              <w:right w:val="nil"/>
            </w:tcBorders>
            <w:noWrap/>
            <w:hideMark/>
          </w:tcPr>
          <w:p w14:paraId="24F32E6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89.73</w:t>
            </w:r>
          </w:p>
        </w:tc>
        <w:tc>
          <w:tcPr>
            <w:tcW w:w="581" w:type="pct"/>
            <w:tcBorders>
              <w:top w:val="nil"/>
              <w:left w:val="nil"/>
              <w:bottom w:val="nil"/>
              <w:right w:val="nil"/>
            </w:tcBorders>
            <w:noWrap/>
            <w:hideMark/>
          </w:tcPr>
          <w:p w14:paraId="20487E7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61.51</w:t>
            </w:r>
          </w:p>
        </w:tc>
        <w:tc>
          <w:tcPr>
            <w:tcW w:w="511" w:type="pct"/>
            <w:tcBorders>
              <w:top w:val="nil"/>
              <w:left w:val="nil"/>
              <w:bottom w:val="nil"/>
              <w:right w:val="nil"/>
            </w:tcBorders>
            <w:noWrap/>
            <w:hideMark/>
          </w:tcPr>
          <w:p w14:paraId="18293D0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62.86</w:t>
            </w:r>
          </w:p>
        </w:tc>
        <w:tc>
          <w:tcPr>
            <w:tcW w:w="598" w:type="pct"/>
            <w:tcBorders>
              <w:top w:val="nil"/>
              <w:left w:val="nil"/>
              <w:bottom w:val="nil"/>
              <w:right w:val="nil"/>
            </w:tcBorders>
            <w:noWrap/>
            <w:hideMark/>
          </w:tcPr>
          <w:p w14:paraId="01180C0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78.32</w:t>
            </w:r>
          </w:p>
        </w:tc>
        <w:tc>
          <w:tcPr>
            <w:tcW w:w="521" w:type="pct"/>
            <w:tcBorders>
              <w:top w:val="nil"/>
              <w:left w:val="nil"/>
              <w:bottom w:val="nil"/>
              <w:right w:val="nil"/>
            </w:tcBorders>
            <w:noWrap/>
            <w:hideMark/>
          </w:tcPr>
          <w:p w14:paraId="1292C03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41.24</w:t>
            </w:r>
          </w:p>
        </w:tc>
        <w:tc>
          <w:tcPr>
            <w:tcW w:w="538" w:type="pct"/>
            <w:tcBorders>
              <w:top w:val="nil"/>
              <w:left w:val="nil"/>
              <w:bottom w:val="nil"/>
              <w:right w:val="nil"/>
            </w:tcBorders>
            <w:noWrap/>
            <w:hideMark/>
          </w:tcPr>
          <w:p w14:paraId="22E3C22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34.86</w:t>
            </w:r>
          </w:p>
        </w:tc>
        <w:tc>
          <w:tcPr>
            <w:tcW w:w="434" w:type="pct"/>
            <w:tcBorders>
              <w:top w:val="nil"/>
              <w:left w:val="nil"/>
              <w:bottom w:val="nil"/>
              <w:right w:val="nil"/>
            </w:tcBorders>
            <w:noWrap/>
            <w:hideMark/>
          </w:tcPr>
          <w:p w14:paraId="169B8FB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54.33</w:t>
            </w:r>
          </w:p>
        </w:tc>
        <w:tc>
          <w:tcPr>
            <w:tcW w:w="472" w:type="pct"/>
            <w:tcBorders>
              <w:top w:val="nil"/>
              <w:left w:val="nil"/>
              <w:bottom w:val="nil"/>
              <w:right w:val="nil"/>
            </w:tcBorders>
            <w:noWrap/>
            <w:hideMark/>
          </w:tcPr>
          <w:p w14:paraId="68E6581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133.07</w:t>
            </w:r>
          </w:p>
        </w:tc>
      </w:tr>
      <w:tr w:rsidR="00BB7067" w:rsidRPr="00AE54B1" w14:paraId="54599DA0" w14:textId="77777777" w:rsidTr="00AE54B1">
        <w:trPr>
          <w:trHeight w:val="20"/>
          <w:jc w:val="center"/>
        </w:trPr>
        <w:tc>
          <w:tcPr>
            <w:tcW w:w="530" w:type="pct"/>
            <w:tcBorders>
              <w:top w:val="nil"/>
              <w:left w:val="nil"/>
              <w:bottom w:val="nil"/>
              <w:right w:val="nil"/>
            </w:tcBorders>
            <w:noWrap/>
            <w:hideMark/>
          </w:tcPr>
          <w:p w14:paraId="091248B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19</w:t>
            </w:r>
          </w:p>
        </w:tc>
        <w:tc>
          <w:tcPr>
            <w:tcW w:w="403" w:type="pct"/>
            <w:tcBorders>
              <w:top w:val="nil"/>
              <w:left w:val="nil"/>
              <w:bottom w:val="nil"/>
              <w:right w:val="nil"/>
            </w:tcBorders>
            <w:noWrap/>
            <w:hideMark/>
          </w:tcPr>
          <w:p w14:paraId="1D7D1A5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109.17</w:t>
            </w:r>
          </w:p>
        </w:tc>
        <w:tc>
          <w:tcPr>
            <w:tcW w:w="412" w:type="pct"/>
            <w:tcBorders>
              <w:top w:val="nil"/>
              <w:left w:val="nil"/>
              <w:bottom w:val="nil"/>
              <w:right w:val="nil"/>
            </w:tcBorders>
            <w:noWrap/>
            <w:hideMark/>
          </w:tcPr>
          <w:p w14:paraId="6368E88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117.31</w:t>
            </w:r>
          </w:p>
        </w:tc>
        <w:tc>
          <w:tcPr>
            <w:tcW w:w="581" w:type="pct"/>
            <w:tcBorders>
              <w:top w:val="nil"/>
              <w:left w:val="nil"/>
              <w:bottom w:val="nil"/>
              <w:right w:val="nil"/>
            </w:tcBorders>
            <w:noWrap/>
            <w:hideMark/>
          </w:tcPr>
          <w:p w14:paraId="4AAD6A3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83.21</w:t>
            </w:r>
          </w:p>
        </w:tc>
        <w:tc>
          <w:tcPr>
            <w:tcW w:w="511" w:type="pct"/>
            <w:tcBorders>
              <w:top w:val="nil"/>
              <w:left w:val="nil"/>
              <w:bottom w:val="nil"/>
              <w:right w:val="nil"/>
            </w:tcBorders>
            <w:noWrap/>
            <w:hideMark/>
          </w:tcPr>
          <w:p w14:paraId="79D0C4C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76.73</w:t>
            </w:r>
          </w:p>
        </w:tc>
        <w:tc>
          <w:tcPr>
            <w:tcW w:w="598" w:type="pct"/>
            <w:tcBorders>
              <w:top w:val="nil"/>
              <w:left w:val="nil"/>
              <w:bottom w:val="nil"/>
              <w:right w:val="nil"/>
            </w:tcBorders>
            <w:noWrap/>
            <w:hideMark/>
          </w:tcPr>
          <w:p w14:paraId="5918F4D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113.56</w:t>
            </w:r>
          </w:p>
        </w:tc>
        <w:tc>
          <w:tcPr>
            <w:tcW w:w="521" w:type="pct"/>
            <w:tcBorders>
              <w:top w:val="nil"/>
              <w:left w:val="nil"/>
              <w:bottom w:val="nil"/>
              <w:right w:val="nil"/>
            </w:tcBorders>
            <w:noWrap/>
            <w:hideMark/>
          </w:tcPr>
          <w:p w14:paraId="2D76602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43.75</w:t>
            </w:r>
          </w:p>
        </w:tc>
        <w:tc>
          <w:tcPr>
            <w:tcW w:w="538" w:type="pct"/>
            <w:tcBorders>
              <w:top w:val="nil"/>
              <w:left w:val="nil"/>
              <w:bottom w:val="nil"/>
              <w:right w:val="nil"/>
            </w:tcBorders>
            <w:noWrap/>
            <w:hideMark/>
          </w:tcPr>
          <w:p w14:paraId="3154B0C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41.42</w:t>
            </w:r>
          </w:p>
        </w:tc>
        <w:tc>
          <w:tcPr>
            <w:tcW w:w="434" w:type="pct"/>
            <w:tcBorders>
              <w:top w:val="nil"/>
              <w:left w:val="nil"/>
              <w:bottom w:val="nil"/>
              <w:right w:val="nil"/>
            </w:tcBorders>
            <w:noWrap/>
            <w:hideMark/>
          </w:tcPr>
          <w:p w14:paraId="190DD97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36.94</w:t>
            </w:r>
          </w:p>
        </w:tc>
        <w:tc>
          <w:tcPr>
            <w:tcW w:w="472" w:type="pct"/>
            <w:tcBorders>
              <w:top w:val="nil"/>
              <w:left w:val="nil"/>
              <w:bottom w:val="nil"/>
              <w:right w:val="nil"/>
            </w:tcBorders>
            <w:noWrap/>
            <w:hideMark/>
          </w:tcPr>
          <w:p w14:paraId="435CA60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135.55</w:t>
            </w:r>
          </w:p>
        </w:tc>
      </w:tr>
      <w:tr w:rsidR="00BB7067" w:rsidRPr="00AE54B1" w14:paraId="59E3713F" w14:textId="77777777" w:rsidTr="00AE54B1">
        <w:trPr>
          <w:trHeight w:val="20"/>
          <w:jc w:val="center"/>
        </w:trPr>
        <w:tc>
          <w:tcPr>
            <w:tcW w:w="530" w:type="pct"/>
            <w:tcBorders>
              <w:top w:val="nil"/>
              <w:left w:val="nil"/>
              <w:bottom w:val="nil"/>
              <w:right w:val="nil"/>
            </w:tcBorders>
            <w:noWrap/>
            <w:hideMark/>
          </w:tcPr>
          <w:p w14:paraId="0D00E97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20</w:t>
            </w:r>
          </w:p>
        </w:tc>
        <w:tc>
          <w:tcPr>
            <w:tcW w:w="403" w:type="pct"/>
            <w:tcBorders>
              <w:top w:val="nil"/>
              <w:left w:val="nil"/>
              <w:bottom w:val="nil"/>
              <w:right w:val="nil"/>
            </w:tcBorders>
            <w:noWrap/>
            <w:hideMark/>
          </w:tcPr>
          <w:p w14:paraId="7709CBC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142.93</w:t>
            </w:r>
          </w:p>
        </w:tc>
        <w:tc>
          <w:tcPr>
            <w:tcW w:w="412" w:type="pct"/>
            <w:tcBorders>
              <w:top w:val="nil"/>
              <w:left w:val="nil"/>
              <w:bottom w:val="nil"/>
              <w:right w:val="nil"/>
            </w:tcBorders>
            <w:noWrap/>
            <w:hideMark/>
          </w:tcPr>
          <w:p w14:paraId="4DDC798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133.9</w:t>
            </w:r>
          </w:p>
        </w:tc>
        <w:tc>
          <w:tcPr>
            <w:tcW w:w="581" w:type="pct"/>
            <w:tcBorders>
              <w:top w:val="nil"/>
              <w:left w:val="nil"/>
              <w:bottom w:val="nil"/>
              <w:right w:val="nil"/>
            </w:tcBorders>
            <w:noWrap/>
            <w:hideMark/>
          </w:tcPr>
          <w:p w14:paraId="1E2FD64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92.18</w:t>
            </w:r>
          </w:p>
        </w:tc>
        <w:tc>
          <w:tcPr>
            <w:tcW w:w="511" w:type="pct"/>
            <w:tcBorders>
              <w:top w:val="nil"/>
              <w:left w:val="nil"/>
              <w:bottom w:val="nil"/>
              <w:right w:val="nil"/>
            </w:tcBorders>
            <w:noWrap/>
            <w:hideMark/>
          </w:tcPr>
          <w:p w14:paraId="2C3C93F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97.32</w:t>
            </w:r>
          </w:p>
        </w:tc>
        <w:tc>
          <w:tcPr>
            <w:tcW w:w="598" w:type="pct"/>
            <w:tcBorders>
              <w:top w:val="nil"/>
              <w:left w:val="nil"/>
              <w:bottom w:val="nil"/>
              <w:right w:val="nil"/>
            </w:tcBorders>
            <w:noWrap/>
            <w:hideMark/>
          </w:tcPr>
          <w:p w14:paraId="2B058F0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149.94</w:t>
            </w:r>
          </w:p>
        </w:tc>
        <w:tc>
          <w:tcPr>
            <w:tcW w:w="521" w:type="pct"/>
            <w:tcBorders>
              <w:top w:val="nil"/>
              <w:left w:val="nil"/>
              <w:bottom w:val="nil"/>
              <w:right w:val="nil"/>
            </w:tcBorders>
            <w:noWrap/>
            <w:hideMark/>
          </w:tcPr>
          <w:p w14:paraId="0F4DA62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83.01</w:t>
            </w:r>
          </w:p>
        </w:tc>
        <w:tc>
          <w:tcPr>
            <w:tcW w:w="538" w:type="pct"/>
            <w:tcBorders>
              <w:top w:val="nil"/>
              <w:left w:val="nil"/>
              <w:bottom w:val="nil"/>
              <w:right w:val="nil"/>
            </w:tcBorders>
            <w:noWrap/>
            <w:hideMark/>
          </w:tcPr>
          <w:p w14:paraId="30EC54D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69.79</w:t>
            </w:r>
          </w:p>
        </w:tc>
        <w:tc>
          <w:tcPr>
            <w:tcW w:w="434" w:type="pct"/>
            <w:tcBorders>
              <w:top w:val="nil"/>
              <w:left w:val="nil"/>
              <w:bottom w:val="nil"/>
              <w:right w:val="nil"/>
            </w:tcBorders>
            <w:noWrap/>
            <w:hideMark/>
          </w:tcPr>
          <w:p w14:paraId="757F0C0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65.39</w:t>
            </w:r>
          </w:p>
        </w:tc>
        <w:tc>
          <w:tcPr>
            <w:tcW w:w="472" w:type="pct"/>
            <w:tcBorders>
              <w:top w:val="nil"/>
              <w:left w:val="nil"/>
              <w:bottom w:val="nil"/>
              <w:right w:val="nil"/>
            </w:tcBorders>
            <w:noWrap/>
            <w:hideMark/>
          </w:tcPr>
          <w:p w14:paraId="25FC44A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152.77</w:t>
            </w:r>
          </w:p>
        </w:tc>
      </w:tr>
      <w:tr w:rsidR="00BB7067" w:rsidRPr="00AE54B1" w14:paraId="64909142" w14:textId="77777777" w:rsidTr="00AE54B1">
        <w:trPr>
          <w:trHeight w:val="20"/>
          <w:jc w:val="center"/>
        </w:trPr>
        <w:tc>
          <w:tcPr>
            <w:tcW w:w="530" w:type="pct"/>
            <w:tcBorders>
              <w:top w:val="nil"/>
              <w:left w:val="nil"/>
              <w:bottom w:val="nil"/>
              <w:right w:val="nil"/>
            </w:tcBorders>
            <w:noWrap/>
            <w:hideMark/>
          </w:tcPr>
          <w:p w14:paraId="057C53E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21</w:t>
            </w:r>
          </w:p>
        </w:tc>
        <w:tc>
          <w:tcPr>
            <w:tcW w:w="403" w:type="pct"/>
            <w:tcBorders>
              <w:top w:val="nil"/>
              <w:left w:val="nil"/>
              <w:bottom w:val="nil"/>
              <w:right w:val="nil"/>
            </w:tcBorders>
            <w:noWrap/>
            <w:hideMark/>
          </w:tcPr>
          <w:p w14:paraId="0DABB2D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163.11</w:t>
            </w:r>
          </w:p>
        </w:tc>
        <w:tc>
          <w:tcPr>
            <w:tcW w:w="412" w:type="pct"/>
            <w:tcBorders>
              <w:top w:val="nil"/>
              <w:left w:val="nil"/>
              <w:bottom w:val="nil"/>
              <w:right w:val="nil"/>
            </w:tcBorders>
            <w:noWrap/>
            <w:hideMark/>
          </w:tcPr>
          <w:p w14:paraId="0EF8A77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135.41</w:t>
            </w:r>
          </w:p>
        </w:tc>
        <w:tc>
          <w:tcPr>
            <w:tcW w:w="581" w:type="pct"/>
            <w:tcBorders>
              <w:top w:val="nil"/>
              <w:left w:val="nil"/>
              <w:bottom w:val="nil"/>
              <w:right w:val="nil"/>
            </w:tcBorders>
            <w:noWrap/>
            <w:hideMark/>
          </w:tcPr>
          <w:p w14:paraId="743E47E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96.67</w:t>
            </w:r>
          </w:p>
        </w:tc>
        <w:tc>
          <w:tcPr>
            <w:tcW w:w="511" w:type="pct"/>
            <w:tcBorders>
              <w:top w:val="nil"/>
              <w:left w:val="nil"/>
              <w:bottom w:val="nil"/>
              <w:right w:val="nil"/>
            </w:tcBorders>
            <w:noWrap/>
            <w:hideMark/>
          </w:tcPr>
          <w:p w14:paraId="1458DBB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119.31</w:t>
            </w:r>
          </w:p>
        </w:tc>
        <w:tc>
          <w:tcPr>
            <w:tcW w:w="598" w:type="pct"/>
            <w:tcBorders>
              <w:top w:val="nil"/>
              <w:left w:val="nil"/>
              <w:bottom w:val="nil"/>
              <w:right w:val="nil"/>
            </w:tcBorders>
            <w:noWrap/>
            <w:hideMark/>
          </w:tcPr>
          <w:p w14:paraId="2FF26FF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140.2</w:t>
            </w:r>
          </w:p>
        </w:tc>
        <w:tc>
          <w:tcPr>
            <w:tcW w:w="521" w:type="pct"/>
            <w:tcBorders>
              <w:top w:val="nil"/>
              <w:left w:val="nil"/>
              <w:bottom w:val="nil"/>
              <w:right w:val="nil"/>
            </w:tcBorders>
            <w:noWrap/>
            <w:hideMark/>
          </w:tcPr>
          <w:p w14:paraId="02BE718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80.25</w:t>
            </w:r>
          </w:p>
        </w:tc>
        <w:tc>
          <w:tcPr>
            <w:tcW w:w="538" w:type="pct"/>
            <w:tcBorders>
              <w:top w:val="nil"/>
              <w:left w:val="nil"/>
              <w:bottom w:val="nil"/>
              <w:right w:val="nil"/>
            </w:tcBorders>
            <w:noWrap/>
            <w:hideMark/>
          </w:tcPr>
          <w:p w14:paraId="5F16529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80.07</w:t>
            </w:r>
          </w:p>
        </w:tc>
        <w:tc>
          <w:tcPr>
            <w:tcW w:w="434" w:type="pct"/>
            <w:tcBorders>
              <w:top w:val="nil"/>
              <w:left w:val="nil"/>
              <w:bottom w:val="nil"/>
              <w:right w:val="nil"/>
            </w:tcBorders>
            <w:noWrap/>
            <w:hideMark/>
          </w:tcPr>
          <w:p w14:paraId="766B18B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45.33</w:t>
            </w:r>
          </w:p>
        </w:tc>
        <w:tc>
          <w:tcPr>
            <w:tcW w:w="472" w:type="pct"/>
            <w:tcBorders>
              <w:top w:val="nil"/>
              <w:left w:val="nil"/>
              <w:bottom w:val="nil"/>
              <w:right w:val="nil"/>
            </w:tcBorders>
            <w:noWrap/>
            <w:hideMark/>
          </w:tcPr>
          <w:p w14:paraId="059FF54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134.79</w:t>
            </w:r>
          </w:p>
        </w:tc>
      </w:tr>
      <w:tr w:rsidR="00BB7067" w:rsidRPr="00AE54B1" w14:paraId="1FBBB9A9" w14:textId="77777777" w:rsidTr="00AE54B1">
        <w:trPr>
          <w:trHeight w:val="20"/>
          <w:jc w:val="center"/>
        </w:trPr>
        <w:tc>
          <w:tcPr>
            <w:tcW w:w="530" w:type="pct"/>
            <w:tcBorders>
              <w:top w:val="nil"/>
              <w:left w:val="nil"/>
              <w:bottom w:val="nil"/>
              <w:right w:val="nil"/>
            </w:tcBorders>
            <w:noWrap/>
            <w:hideMark/>
          </w:tcPr>
          <w:p w14:paraId="1921783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22</w:t>
            </w:r>
          </w:p>
        </w:tc>
        <w:tc>
          <w:tcPr>
            <w:tcW w:w="403" w:type="pct"/>
            <w:tcBorders>
              <w:top w:val="nil"/>
              <w:left w:val="nil"/>
              <w:bottom w:val="nil"/>
              <w:right w:val="nil"/>
            </w:tcBorders>
            <w:noWrap/>
            <w:hideMark/>
          </w:tcPr>
          <w:p w14:paraId="340E2E7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175.69</w:t>
            </w:r>
          </w:p>
        </w:tc>
        <w:tc>
          <w:tcPr>
            <w:tcW w:w="412" w:type="pct"/>
            <w:tcBorders>
              <w:top w:val="nil"/>
              <w:left w:val="nil"/>
              <w:bottom w:val="nil"/>
              <w:right w:val="nil"/>
            </w:tcBorders>
            <w:noWrap/>
            <w:hideMark/>
          </w:tcPr>
          <w:p w14:paraId="1F18C26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142.37</w:t>
            </w:r>
          </w:p>
        </w:tc>
        <w:tc>
          <w:tcPr>
            <w:tcW w:w="581" w:type="pct"/>
            <w:tcBorders>
              <w:top w:val="nil"/>
              <w:left w:val="nil"/>
              <w:bottom w:val="nil"/>
              <w:right w:val="nil"/>
            </w:tcBorders>
            <w:noWrap/>
            <w:hideMark/>
          </w:tcPr>
          <w:p w14:paraId="13E6ADF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116.61</w:t>
            </w:r>
          </w:p>
        </w:tc>
        <w:tc>
          <w:tcPr>
            <w:tcW w:w="511" w:type="pct"/>
            <w:tcBorders>
              <w:top w:val="nil"/>
              <w:left w:val="nil"/>
              <w:bottom w:val="nil"/>
              <w:right w:val="nil"/>
            </w:tcBorders>
            <w:noWrap/>
            <w:hideMark/>
          </w:tcPr>
          <w:p w14:paraId="13AD316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92.84</w:t>
            </w:r>
          </w:p>
        </w:tc>
        <w:tc>
          <w:tcPr>
            <w:tcW w:w="598" w:type="pct"/>
            <w:tcBorders>
              <w:top w:val="nil"/>
              <w:left w:val="nil"/>
              <w:bottom w:val="nil"/>
              <w:right w:val="nil"/>
            </w:tcBorders>
            <w:noWrap/>
            <w:hideMark/>
          </w:tcPr>
          <w:p w14:paraId="764C1CB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155.14</w:t>
            </w:r>
          </w:p>
        </w:tc>
        <w:tc>
          <w:tcPr>
            <w:tcW w:w="521" w:type="pct"/>
            <w:tcBorders>
              <w:top w:val="nil"/>
              <w:left w:val="nil"/>
              <w:bottom w:val="nil"/>
              <w:right w:val="nil"/>
            </w:tcBorders>
            <w:noWrap/>
            <w:hideMark/>
          </w:tcPr>
          <w:p w14:paraId="60F7A24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71.07</w:t>
            </w:r>
          </w:p>
        </w:tc>
        <w:tc>
          <w:tcPr>
            <w:tcW w:w="538" w:type="pct"/>
            <w:tcBorders>
              <w:top w:val="nil"/>
              <w:left w:val="nil"/>
              <w:bottom w:val="nil"/>
              <w:right w:val="nil"/>
            </w:tcBorders>
            <w:noWrap/>
            <w:hideMark/>
          </w:tcPr>
          <w:p w14:paraId="171A58C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96.55</w:t>
            </w:r>
          </w:p>
        </w:tc>
        <w:tc>
          <w:tcPr>
            <w:tcW w:w="434" w:type="pct"/>
            <w:tcBorders>
              <w:top w:val="nil"/>
              <w:left w:val="nil"/>
              <w:bottom w:val="nil"/>
              <w:right w:val="nil"/>
            </w:tcBorders>
            <w:noWrap/>
            <w:hideMark/>
          </w:tcPr>
          <w:p w14:paraId="68CCF7A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81.06</w:t>
            </w:r>
          </w:p>
        </w:tc>
        <w:tc>
          <w:tcPr>
            <w:tcW w:w="472" w:type="pct"/>
            <w:tcBorders>
              <w:top w:val="nil"/>
              <w:left w:val="nil"/>
              <w:bottom w:val="nil"/>
              <w:right w:val="nil"/>
            </w:tcBorders>
            <w:noWrap/>
            <w:hideMark/>
          </w:tcPr>
          <w:p w14:paraId="1A468DD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111.52</w:t>
            </w:r>
          </w:p>
        </w:tc>
      </w:tr>
      <w:tr w:rsidR="00BB7067" w:rsidRPr="00AE54B1" w14:paraId="215C9FBE" w14:textId="77777777" w:rsidTr="00AE54B1">
        <w:trPr>
          <w:trHeight w:val="20"/>
          <w:jc w:val="center"/>
        </w:trPr>
        <w:tc>
          <w:tcPr>
            <w:tcW w:w="530" w:type="pct"/>
            <w:tcBorders>
              <w:top w:val="nil"/>
              <w:left w:val="nil"/>
              <w:bottom w:val="nil"/>
              <w:right w:val="nil"/>
            </w:tcBorders>
            <w:noWrap/>
            <w:hideMark/>
          </w:tcPr>
          <w:p w14:paraId="7FCE525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23</w:t>
            </w:r>
          </w:p>
        </w:tc>
        <w:tc>
          <w:tcPr>
            <w:tcW w:w="403" w:type="pct"/>
            <w:tcBorders>
              <w:top w:val="nil"/>
              <w:left w:val="nil"/>
              <w:bottom w:val="nil"/>
              <w:right w:val="nil"/>
            </w:tcBorders>
            <w:noWrap/>
            <w:hideMark/>
          </w:tcPr>
          <w:p w14:paraId="293A04E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174.43</w:t>
            </w:r>
          </w:p>
        </w:tc>
        <w:tc>
          <w:tcPr>
            <w:tcW w:w="412" w:type="pct"/>
            <w:tcBorders>
              <w:top w:val="nil"/>
              <w:left w:val="nil"/>
              <w:bottom w:val="nil"/>
              <w:right w:val="nil"/>
            </w:tcBorders>
            <w:noWrap/>
            <w:hideMark/>
          </w:tcPr>
          <w:p w14:paraId="31DA495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134.58</w:t>
            </w:r>
          </w:p>
        </w:tc>
        <w:tc>
          <w:tcPr>
            <w:tcW w:w="581" w:type="pct"/>
            <w:tcBorders>
              <w:top w:val="nil"/>
              <w:left w:val="nil"/>
              <w:bottom w:val="nil"/>
              <w:right w:val="nil"/>
            </w:tcBorders>
            <w:noWrap/>
            <w:hideMark/>
          </w:tcPr>
          <w:p w14:paraId="1E3B5B8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111.79</w:t>
            </w:r>
          </w:p>
        </w:tc>
        <w:tc>
          <w:tcPr>
            <w:tcW w:w="511" w:type="pct"/>
            <w:tcBorders>
              <w:top w:val="nil"/>
              <w:left w:val="nil"/>
              <w:bottom w:val="nil"/>
              <w:right w:val="nil"/>
            </w:tcBorders>
            <w:noWrap/>
            <w:hideMark/>
          </w:tcPr>
          <w:p w14:paraId="66331F3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106.81</w:t>
            </w:r>
          </w:p>
        </w:tc>
        <w:tc>
          <w:tcPr>
            <w:tcW w:w="598" w:type="pct"/>
            <w:tcBorders>
              <w:top w:val="nil"/>
              <w:left w:val="nil"/>
              <w:bottom w:val="nil"/>
              <w:right w:val="nil"/>
            </w:tcBorders>
            <w:noWrap/>
            <w:hideMark/>
          </w:tcPr>
          <w:p w14:paraId="52422EC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128.54</w:t>
            </w:r>
          </w:p>
        </w:tc>
        <w:tc>
          <w:tcPr>
            <w:tcW w:w="521" w:type="pct"/>
            <w:tcBorders>
              <w:top w:val="nil"/>
              <w:left w:val="nil"/>
              <w:bottom w:val="nil"/>
              <w:right w:val="nil"/>
            </w:tcBorders>
            <w:noWrap/>
            <w:hideMark/>
          </w:tcPr>
          <w:p w14:paraId="5009EE1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120.92</w:t>
            </w:r>
          </w:p>
        </w:tc>
        <w:tc>
          <w:tcPr>
            <w:tcW w:w="538" w:type="pct"/>
            <w:tcBorders>
              <w:top w:val="nil"/>
              <w:left w:val="nil"/>
              <w:bottom w:val="nil"/>
              <w:right w:val="nil"/>
            </w:tcBorders>
            <w:noWrap/>
            <w:hideMark/>
          </w:tcPr>
          <w:p w14:paraId="2800127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95.09</w:t>
            </w:r>
          </w:p>
        </w:tc>
        <w:tc>
          <w:tcPr>
            <w:tcW w:w="434" w:type="pct"/>
            <w:tcBorders>
              <w:top w:val="nil"/>
              <w:left w:val="nil"/>
              <w:bottom w:val="nil"/>
              <w:right w:val="nil"/>
            </w:tcBorders>
            <w:noWrap/>
            <w:hideMark/>
          </w:tcPr>
          <w:p w14:paraId="25D05F5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53.14</w:t>
            </w:r>
          </w:p>
        </w:tc>
        <w:tc>
          <w:tcPr>
            <w:tcW w:w="472" w:type="pct"/>
            <w:tcBorders>
              <w:top w:val="nil"/>
              <w:left w:val="nil"/>
              <w:bottom w:val="nil"/>
              <w:right w:val="nil"/>
            </w:tcBorders>
            <w:noWrap/>
            <w:hideMark/>
          </w:tcPr>
          <w:p w14:paraId="45E5F10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77.14</w:t>
            </w:r>
          </w:p>
        </w:tc>
      </w:tr>
      <w:tr w:rsidR="00BB7067" w:rsidRPr="00AE54B1" w14:paraId="06129824" w14:textId="77777777" w:rsidTr="00AE54B1">
        <w:trPr>
          <w:trHeight w:val="20"/>
          <w:jc w:val="center"/>
        </w:trPr>
        <w:tc>
          <w:tcPr>
            <w:tcW w:w="530" w:type="pct"/>
            <w:tcBorders>
              <w:top w:val="nil"/>
              <w:left w:val="nil"/>
              <w:bottom w:val="nil"/>
              <w:right w:val="nil"/>
            </w:tcBorders>
            <w:noWrap/>
            <w:hideMark/>
          </w:tcPr>
          <w:p w14:paraId="7968FBB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24</w:t>
            </w:r>
          </w:p>
        </w:tc>
        <w:tc>
          <w:tcPr>
            <w:tcW w:w="403" w:type="pct"/>
            <w:tcBorders>
              <w:top w:val="nil"/>
              <w:left w:val="nil"/>
              <w:bottom w:val="nil"/>
              <w:right w:val="nil"/>
            </w:tcBorders>
            <w:noWrap/>
            <w:hideMark/>
          </w:tcPr>
          <w:p w14:paraId="4B8D5E1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168.97</w:t>
            </w:r>
          </w:p>
        </w:tc>
        <w:tc>
          <w:tcPr>
            <w:tcW w:w="412" w:type="pct"/>
            <w:tcBorders>
              <w:top w:val="nil"/>
              <w:left w:val="nil"/>
              <w:bottom w:val="nil"/>
              <w:right w:val="nil"/>
            </w:tcBorders>
            <w:noWrap/>
            <w:hideMark/>
          </w:tcPr>
          <w:p w14:paraId="095F84A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128.19</w:t>
            </w:r>
          </w:p>
        </w:tc>
        <w:tc>
          <w:tcPr>
            <w:tcW w:w="581" w:type="pct"/>
            <w:tcBorders>
              <w:top w:val="nil"/>
              <w:left w:val="nil"/>
              <w:bottom w:val="nil"/>
              <w:right w:val="nil"/>
            </w:tcBorders>
            <w:noWrap/>
            <w:hideMark/>
          </w:tcPr>
          <w:p w14:paraId="306FDA0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112.47</w:t>
            </w:r>
          </w:p>
        </w:tc>
        <w:tc>
          <w:tcPr>
            <w:tcW w:w="511" w:type="pct"/>
            <w:tcBorders>
              <w:top w:val="nil"/>
              <w:left w:val="nil"/>
              <w:bottom w:val="nil"/>
              <w:right w:val="nil"/>
            </w:tcBorders>
            <w:noWrap/>
            <w:hideMark/>
          </w:tcPr>
          <w:p w14:paraId="4E0BE13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131.44</w:t>
            </w:r>
          </w:p>
        </w:tc>
        <w:tc>
          <w:tcPr>
            <w:tcW w:w="598" w:type="pct"/>
            <w:tcBorders>
              <w:top w:val="nil"/>
              <w:left w:val="nil"/>
              <w:bottom w:val="nil"/>
              <w:right w:val="nil"/>
            </w:tcBorders>
            <w:noWrap/>
            <w:hideMark/>
          </w:tcPr>
          <w:p w14:paraId="38CC987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144.63</w:t>
            </w:r>
          </w:p>
        </w:tc>
        <w:tc>
          <w:tcPr>
            <w:tcW w:w="521" w:type="pct"/>
            <w:tcBorders>
              <w:top w:val="nil"/>
              <w:left w:val="nil"/>
              <w:bottom w:val="nil"/>
              <w:right w:val="nil"/>
            </w:tcBorders>
            <w:noWrap/>
            <w:hideMark/>
          </w:tcPr>
          <w:p w14:paraId="1C019C4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112.11</w:t>
            </w:r>
          </w:p>
        </w:tc>
        <w:tc>
          <w:tcPr>
            <w:tcW w:w="538" w:type="pct"/>
            <w:tcBorders>
              <w:top w:val="nil"/>
              <w:left w:val="nil"/>
              <w:bottom w:val="nil"/>
              <w:right w:val="nil"/>
            </w:tcBorders>
            <w:noWrap/>
            <w:hideMark/>
          </w:tcPr>
          <w:p w14:paraId="04D5B04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111.81</w:t>
            </w:r>
          </w:p>
        </w:tc>
        <w:tc>
          <w:tcPr>
            <w:tcW w:w="434" w:type="pct"/>
            <w:tcBorders>
              <w:top w:val="nil"/>
              <w:left w:val="nil"/>
              <w:bottom w:val="nil"/>
              <w:right w:val="nil"/>
            </w:tcBorders>
            <w:noWrap/>
            <w:hideMark/>
          </w:tcPr>
          <w:p w14:paraId="14D8752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41.19</w:t>
            </w:r>
          </w:p>
        </w:tc>
        <w:tc>
          <w:tcPr>
            <w:tcW w:w="472" w:type="pct"/>
            <w:tcBorders>
              <w:top w:val="nil"/>
              <w:left w:val="nil"/>
              <w:bottom w:val="nil"/>
              <w:right w:val="nil"/>
            </w:tcBorders>
            <w:noWrap/>
            <w:hideMark/>
          </w:tcPr>
          <w:p w14:paraId="4F12249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118.07</w:t>
            </w:r>
          </w:p>
        </w:tc>
      </w:tr>
      <w:tr w:rsidR="00BB7067" w:rsidRPr="00AE54B1" w14:paraId="7747E66B" w14:textId="77777777" w:rsidTr="00AE54B1">
        <w:trPr>
          <w:trHeight w:val="20"/>
          <w:jc w:val="center"/>
        </w:trPr>
        <w:tc>
          <w:tcPr>
            <w:tcW w:w="530" w:type="pct"/>
            <w:tcBorders>
              <w:top w:val="nil"/>
              <w:left w:val="nil"/>
              <w:bottom w:val="nil"/>
              <w:right w:val="nil"/>
            </w:tcBorders>
            <w:noWrap/>
            <w:hideMark/>
          </w:tcPr>
          <w:p w14:paraId="1263440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25</w:t>
            </w:r>
          </w:p>
        </w:tc>
        <w:tc>
          <w:tcPr>
            <w:tcW w:w="403" w:type="pct"/>
            <w:tcBorders>
              <w:top w:val="nil"/>
              <w:left w:val="nil"/>
              <w:bottom w:val="nil"/>
              <w:right w:val="nil"/>
            </w:tcBorders>
            <w:noWrap/>
            <w:hideMark/>
          </w:tcPr>
          <w:p w14:paraId="05361ED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155.67</w:t>
            </w:r>
          </w:p>
        </w:tc>
        <w:tc>
          <w:tcPr>
            <w:tcW w:w="412" w:type="pct"/>
            <w:tcBorders>
              <w:top w:val="nil"/>
              <w:left w:val="nil"/>
              <w:bottom w:val="nil"/>
              <w:right w:val="nil"/>
            </w:tcBorders>
            <w:noWrap/>
            <w:hideMark/>
          </w:tcPr>
          <w:p w14:paraId="084A8EA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122.3</w:t>
            </w:r>
          </w:p>
        </w:tc>
        <w:tc>
          <w:tcPr>
            <w:tcW w:w="581" w:type="pct"/>
            <w:tcBorders>
              <w:top w:val="nil"/>
              <w:left w:val="nil"/>
              <w:bottom w:val="nil"/>
              <w:right w:val="nil"/>
            </w:tcBorders>
            <w:noWrap/>
            <w:hideMark/>
          </w:tcPr>
          <w:p w14:paraId="2F4E6C8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109.58</w:t>
            </w:r>
          </w:p>
        </w:tc>
        <w:tc>
          <w:tcPr>
            <w:tcW w:w="511" w:type="pct"/>
            <w:tcBorders>
              <w:top w:val="nil"/>
              <w:left w:val="nil"/>
              <w:bottom w:val="nil"/>
              <w:right w:val="nil"/>
            </w:tcBorders>
            <w:noWrap/>
            <w:hideMark/>
          </w:tcPr>
          <w:p w14:paraId="6EA5B60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126.79</w:t>
            </w:r>
          </w:p>
        </w:tc>
        <w:tc>
          <w:tcPr>
            <w:tcW w:w="598" w:type="pct"/>
            <w:tcBorders>
              <w:top w:val="nil"/>
              <w:left w:val="nil"/>
              <w:bottom w:val="nil"/>
              <w:right w:val="nil"/>
            </w:tcBorders>
            <w:noWrap/>
            <w:hideMark/>
          </w:tcPr>
          <w:p w14:paraId="66442B1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146.33</w:t>
            </w:r>
          </w:p>
        </w:tc>
        <w:tc>
          <w:tcPr>
            <w:tcW w:w="521" w:type="pct"/>
            <w:tcBorders>
              <w:top w:val="nil"/>
              <w:left w:val="nil"/>
              <w:bottom w:val="nil"/>
              <w:right w:val="nil"/>
            </w:tcBorders>
            <w:noWrap/>
            <w:hideMark/>
          </w:tcPr>
          <w:p w14:paraId="6035EC6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115.84</w:t>
            </w:r>
          </w:p>
        </w:tc>
        <w:tc>
          <w:tcPr>
            <w:tcW w:w="538" w:type="pct"/>
            <w:tcBorders>
              <w:top w:val="nil"/>
              <w:left w:val="nil"/>
              <w:bottom w:val="nil"/>
              <w:right w:val="nil"/>
            </w:tcBorders>
            <w:noWrap/>
            <w:hideMark/>
          </w:tcPr>
          <w:p w14:paraId="0FBAACC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83.86</w:t>
            </w:r>
          </w:p>
        </w:tc>
        <w:tc>
          <w:tcPr>
            <w:tcW w:w="434" w:type="pct"/>
            <w:tcBorders>
              <w:top w:val="nil"/>
              <w:left w:val="nil"/>
              <w:bottom w:val="nil"/>
              <w:right w:val="nil"/>
            </w:tcBorders>
            <w:noWrap/>
            <w:hideMark/>
          </w:tcPr>
          <w:p w14:paraId="0782BF6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54.77</w:t>
            </w:r>
          </w:p>
        </w:tc>
        <w:tc>
          <w:tcPr>
            <w:tcW w:w="472" w:type="pct"/>
            <w:tcBorders>
              <w:top w:val="nil"/>
              <w:left w:val="nil"/>
              <w:bottom w:val="nil"/>
              <w:right w:val="nil"/>
            </w:tcBorders>
            <w:noWrap/>
            <w:hideMark/>
          </w:tcPr>
          <w:p w14:paraId="3DF4E6D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112.06</w:t>
            </w:r>
          </w:p>
        </w:tc>
      </w:tr>
      <w:tr w:rsidR="00BB7067" w:rsidRPr="00AE54B1" w14:paraId="51DBE2B9" w14:textId="77777777" w:rsidTr="00AE54B1">
        <w:trPr>
          <w:trHeight w:val="20"/>
          <w:jc w:val="center"/>
        </w:trPr>
        <w:tc>
          <w:tcPr>
            <w:tcW w:w="530" w:type="pct"/>
            <w:tcBorders>
              <w:top w:val="nil"/>
              <w:left w:val="nil"/>
              <w:bottom w:val="nil"/>
              <w:right w:val="nil"/>
            </w:tcBorders>
            <w:noWrap/>
            <w:hideMark/>
          </w:tcPr>
          <w:p w14:paraId="1C5F98C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26</w:t>
            </w:r>
          </w:p>
        </w:tc>
        <w:tc>
          <w:tcPr>
            <w:tcW w:w="403" w:type="pct"/>
            <w:tcBorders>
              <w:top w:val="nil"/>
              <w:left w:val="nil"/>
              <w:bottom w:val="nil"/>
              <w:right w:val="nil"/>
            </w:tcBorders>
            <w:noWrap/>
            <w:hideMark/>
          </w:tcPr>
          <w:p w14:paraId="1A75A2C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141.12</w:t>
            </w:r>
          </w:p>
        </w:tc>
        <w:tc>
          <w:tcPr>
            <w:tcW w:w="412" w:type="pct"/>
            <w:tcBorders>
              <w:top w:val="nil"/>
              <w:left w:val="nil"/>
              <w:bottom w:val="nil"/>
              <w:right w:val="nil"/>
            </w:tcBorders>
            <w:noWrap/>
            <w:hideMark/>
          </w:tcPr>
          <w:p w14:paraId="2DF1750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102.95</w:t>
            </w:r>
          </w:p>
        </w:tc>
        <w:tc>
          <w:tcPr>
            <w:tcW w:w="581" w:type="pct"/>
            <w:tcBorders>
              <w:top w:val="nil"/>
              <w:left w:val="nil"/>
              <w:bottom w:val="nil"/>
              <w:right w:val="nil"/>
            </w:tcBorders>
            <w:noWrap/>
            <w:hideMark/>
          </w:tcPr>
          <w:p w14:paraId="23230F6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108.52</w:t>
            </w:r>
          </w:p>
        </w:tc>
        <w:tc>
          <w:tcPr>
            <w:tcW w:w="511" w:type="pct"/>
            <w:tcBorders>
              <w:top w:val="nil"/>
              <w:left w:val="nil"/>
              <w:bottom w:val="nil"/>
              <w:right w:val="nil"/>
            </w:tcBorders>
            <w:noWrap/>
            <w:hideMark/>
          </w:tcPr>
          <w:p w14:paraId="1313441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93.32</w:t>
            </w:r>
          </w:p>
        </w:tc>
        <w:tc>
          <w:tcPr>
            <w:tcW w:w="598" w:type="pct"/>
            <w:tcBorders>
              <w:top w:val="nil"/>
              <w:left w:val="nil"/>
              <w:bottom w:val="nil"/>
              <w:right w:val="nil"/>
            </w:tcBorders>
            <w:noWrap/>
            <w:hideMark/>
          </w:tcPr>
          <w:p w14:paraId="6528772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142.29</w:t>
            </w:r>
          </w:p>
        </w:tc>
        <w:tc>
          <w:tcPr>
            <w:tcW w:w="521" w:type="pct"/>
            <w:tcBorders>
              <w:top w:val="nil"/>
              <w:left w:val="nil"/>
              <w:bottom w:val="nil"/>
              <w:right w:val="nil"/>
            </w:tcBorders>
            <w:noWrap/>
            <w:hideMark/>
          </w:tcPr>
          <w:p w14:paraId="5C71027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119.07</w:t>
            </w:r>
          </w:p>
        </w:tc>
        <w:tc>
          <w:tcPr>
            <w:tcW w:w="538" w:type="pct"/>
            <w:tcBorders>
              <w:top w:val="nil"/>
              <w:left w:val="nil"/>
              <w:bottom w:val="nil"/>
              <w:right w:val="nil"/>
            </w:tcBorders>
            <w:noWrap/>
            <w:hideMark/>
          </w:tcPr>
          <w:p w14:paraId="7678788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113.02</w:t>
            </w:r>
          </w:p>
        </w:tc>
        <w:tc>
          <w:tcPr>
            <w:tcW w:w="434" w:type="pct"/>
            <w:tcBorders>
              <w:top w:val="nil"/>
              <w:left w:val="nil"/>
              <w:bottom w:val="nil"/>
              <w:right w:val="nil"/>
            </w:tcBorders>
            <w:noWrap/>
            <w:hideMark/>
          </w:tcPr>
          <w:p w14:paraId="06B3CE9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71.79</w:t>
            </w:r>
          </w:p>
        </w:tc>
        <w:tc>
          <w:tcPr>
            <w:tcW w:w="472" w:type="pct"/>
            <w:tcBorders>
              <w:top w:val="nil"/>
              <w:left w:val="nil"/>
              <w:bottom w:val="nil"/>
              <w:right w:val="nil"/>
            </w:tcBorders>
            <w:noWrap/>
            <w:hideMark/>
          </w:tcPr>
          <w:p w14:paraId="3B088B7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81.7</w:t>
            </w:r>
          </w:p>
        </w:tc>
      </w:tr>
      <w:tr w:rsidR="00BB7067" w:rsidRPr="00AE54B1" w14:paraId="34F129C2" w14:textId="77777777" w:rsidTr="00AE54B1">
        <w:trPr>
          <w:trHeight w:val="20"/>
          <w:jc w:val="center"/>
        </w:trPr>
        <w:tc>
          <w:tcPr>
            <w:tcW w:w="530" w:type="pct"/>
            <w:tcBorders>
              <w:top w:val="nil"/>
              <w:left w:val="nil"/>
              <w:bottom w:val="nil"/>
              <w:right w:val="nil"/>
            </w:tcBorders>
            <w:noWrap/>
            <w:hideMark/>
          </w:tcPr>
          <w:p w14:paraId="7B95A26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27</w:t>
            </w:r>
          </w:p>
        </w:tc>
        <w:tc>
          <w:tcPr>
            <w:tcW w:w="403" w:type="pct"/>
            <w:tcBorders>
              <w:top w:val="nil"/>
              <w:left w:val="nil"/>
              <w:bottom w:val="nil"/>
              <w:right w:val="nil"/>
            </w:tcBorders>
            <w:noWrap/>
            <w:hideMark/>
          </w:tcPr>
          <w:p w14:paraId="3684496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118.81</w:t>
            </w:r>
          </w:p>
        </w:tc>
        <w:tc>
          <w:tcPr>
            <w:tcW w:w="412" w:type="pct"/>
            <w:tcBorders>
              <w:top w:val="nil"/>
              <w:left w:val="nil"/>
              <w:bottom w:val="nil"/>
              <w:right w:val="nil"/>
            </w:tcBorders>
            <w:noWrap/>
            <w:hideMark/>
          </w:tcPr>
          <w:p w14:paraId="0C008AD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100.1</w:t>
            </w:r>
          </w:p>
        </w:tc>
        <w:tc>
          <w:tcPr>
            <w:tcW w:w="581" w:type="pct"/>
            <w:tcBorders>
              <w:top w:val="nil"/>
              <w:left w:val="nil"/>
              <w:bottom w:val="nil"/>
              <w:right w:val="nil"/>
            </w:tcBorders>
            <w:noWrap/>
            <w:hideMark/>
          </w:tcPr>
          <w:p w14:paraId="0BDA800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101.86</w:t>
            </w:r>
          </w:p>
        </w:tc>
        <w:tc>
          <w:tcPr>
            <w:tcW w:w="511" w:type="pct"/>
            <w:tcBorders>
              <w:top w:val="nil"/>
              <w:left w:val="nil"/>
              <w:bottom w:val="nil"/>
              <w:right w:val="nil"/>
            </w:tcBorders>
            <w:noWrap/>
            <w:hideMark/>
          </w:tcPr>
          <w:p w14:paraId="586EF31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133.46</w:t>
            </w:r>
          </w:p>
        </w:tc>
        <w:tc>
          <w:tcPr>
            <w:tcW w:w="598" w:type="pct"/>
            <w:tcBorders>
              <w:top w:val="nil"/>
              <w:left w:val="nil"/>
              <w:bottom w:val="nil"/>
              <w:right w:val="nil"/>
            </w:tcBorders>
            <w:noWrap/>
            <w:hideMark/>
          </w:tcPr>
          <w:p w14:paraId="3370DC6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154.79</w:t>
            </w:r>
          </w:p>
        </w:tc>
        <w:tc>
          <w:tcPr>
            <w:tcW w:w="521" w:type="pct"/>
            <w:tcBorders>
              <w:top w:val="nil"/>
              <w:left w:val="nil"/>
              <w:bottom w:val="nil"/>
              <w:right w:val="nil"/>
            </w:tcBorders>
            <w:noWrap/>
            <w:hideMark/>
          </w:tcPr>
          <w:p w14:paraId="0BC4187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97.12</w:t>
            </w:r>
          </w:p>
        </w:tc>
        <w:tc>
          <w:tcPr>
            <w:tcW w:w="538" w:type="pct"/>
            <w:tcBorders>
              <w:top w:val="nil"/>
              <w:left w:val="nil"/>
              <w:bottom w:val="nil"/>
              <w:right w:val="nil"/>
            </w:tcBorders>
            <w:noWrap/>
            <w:hideMark/>
          </w:tcPr>
          <w:p w14:paraId="7CEC284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118.7</w:t>
            </w:r>
          </w:p>
        </w:tc>
        <w:tc>
          <w:tcPr>
            <w:tcW w:w="434" w:type="pct"/>
            <w:tcBorders>
              <w:top w:val="nil"/>
              <w:left w:val="nil"/>
              <w:bottom w:val="nil"/>
              <w:right w:val="nil"/>
            </w:tcBorders>
            <w:noWrap/>
            <w:hideMark/>
          </w:tcPr>
          <w:p w14:paraId="0AD341A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93.46</w:t>
            </w:r>
          </w:p>
        </w:tc>
        <w:tc>
          <w:tcPr>
            <w:tcW w:w="472" w:type="pct"/>
            <w:tcBorders>
              <w:top w:val="nil"/>
              <w:left w:val="nil"/>
              <w:bottom w:val="nil"/>
              <w:right w:val="nil"/>
            </w:tcBorders>
            <w:noWrap/>
            <w:hideMark/>
          </w:tcPr>
          <w:p w14:paraId="658B881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78.69</w:t>
            </w:r>
          </w:p>
        </w:tc>
      </w:tr>
      <w:tr w:rsidR="00BB7067" w:rsidRPr="00AE54B1" w14:paraId="591D175F" w14:textId="77777777" w:rsidTr="00AE54B1">
        <w:trPr>
          <w:trHeight w:val="20"/>
          <w:jc w:val="center"/>
        </w:trPr>
        <w:tc>
          <w:tcPr>
            <w:tcW w:w="530" w:type="pct"/>
            <w:tcBorders>
              <w:top w:val="nil"/>
              <w:left w:val="nil"/>
              <w:bottom w:val="nil"/>
              <w:right w:val="nil"/>
            </w:tcBorders>
            <w:noWrap/>
            <w:hideMark/>
          </w:tcPr>
          <w:p w14:paraId="22DBC8E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28</w:t>
            </w:r>
          </w:p>
        </w:tc>
        <w:tc>
          <w:tcPr>
            <w:tcW w:w="403" w:type="pct"/>
            <w:tcBorders>
              <w:top w:val="nil"/>
              <w:left w:val="nil"/>
              <w:bottom w:val="nil"/>
              <w:right w:val="nil"/>
            </w:tcBorders>
            <w:noWrap/>
            <w:hideMark/>
          </w:tcPr>
          <w:p w14:paraId="64B7F09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103.75</w:t>
            </w:r>
          </w:p>
        </w:tc>
        <w:tc>
          <w:tcPr>
            <w:tcW w:w="412" w:type="pct"/>
            <w:tcBorders>
              <w:top w:val="nil"/>
              <w:left w:val="nil"/>
              <w:bottom w:val="nil"/>
              <w:right w:val="nil"/>
            </w:tcBorders>
            <w:noWrap/>
            <w:hideMark/>
          </w:tcPr>
          <w:p w14:paraId="7F955EB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94.84</w:t>
            </w:r>
          </w:p>
        </w:tc>
        <w:tc>
          <w:tcPr>
            <w:tcW w:w="581" w:type="pct"/>
            <w:tcBorders>
              <w:top w:val="nil"/>
              <w:left w:val="nil"/>
              <w:bottom w:val="nil"/>
              <w:right w:val="nil"/>
            </w:tcBorders>
            <w:noWrap/>
            <w:hideMark/>
          </w:tcPr>
          <w:p w14:paraId="205F837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87.25</w:t>
            </w:r>
          </w:p>
        </w:tc>
        <w:tc>
          <w:tcPr>
            <w:tcW w:w="511" w:type="pct"/>
            <w:tcBorders>
              <w:top w:val="nil"/>
              <w:left w:val="nil"/>
              <w:bottom w:val="nil"/>
              <w:right w:val="nil"/>
            </w:tcBorders>
            <w:noWrap/>
            <w:hideMark/>
          </w:tcPr>
          <w:p w14:paraId="0B438F8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129.24</w:t>
            </w:r>
          </w:p>
        </w:tc>
        <w:tc>
          <w:tcPr>
            <w:tcW w:w="598" w:type="pct"/>
            <w:tcBorders>
              <w:top w:val="nil"/>
              <w:left w:val="nil"/>
              <w:bottom w:val="nil"/>
              <w:right w:val="nil"/>
            </w:tcBorders>
            <w:noWrap/>
            <w:hideMark/>
          </w:tcPr>
          <w:p w14:paraId="39E4F37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135.32</w:t>
            </w:r>
          </w:p>
        </w:tc>
        <w:tc>
          <w:tcPr>
            <w:tcW w:w="521" w:type="pct"/>
            <w:tcBorders>
              <w:top w:val="nil"/>
              <w:left w:val="nil"/>
              <w:bottom w:val="nil"/>
              <w:right w:val="nil"/>
            </w:tcBorders>
            <w:noWrap/>
            <w:hideMark/>
          </w:tcPr>
          <w:p w14:paraId="1F5D37D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85.69</w:t>
            </w:r>
          </w:p>
        </w:tc>
        <w:tc>
          <w:tcPr>
            <w:tcW w:w="538" w:type="pct"/>
            <w:tcBorders>
              <w:top w:val="nil"/>
              <w:left w:val="nil"/>
              <w:bottom w:val="nil"/>
              <w:right w:val="nil"/>
            </w:tcBorders>
            <w:noWrap/>
            <w:hideMark/>
          </w:tcPr>
          <w:p w14:paraId="5634B0A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92.45</w:t>
            </w:r>
          </w:p>
        </w:tc>
        <w:tc>
          <w:tcPr>
            <w:tcW w:w="434" w:type="pct"/>
            <w:tcBorders>
              <w:top w:val="nil"/>
              <w:left w:val="nil"/>
              <w:bottom w:val="nil"/>
              <w:right w:val="nil"/>
            </w:tcBorders>
            <w:noWrap/>
            <w:hideMark/>
          </w:tcPr>
          <w:p w14:paraId="3E6A370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74.02</w:t>
            </w:r>
          </w:p>
        </w:tc>
        <w:tc>
          <w:tcPr>
            <w:tcW w:w="472" w:type="pct"/>
            <w:tcBorders>
              <w:top w:val="nil"/>
              <w:left w:val="nil"/>
              <w:bottom w:val="nil"/>
              <w:right w:val="nil"/>
            </w:tcBorders>
            <w:noWrap/>
            <w:hideMark/>
          </w:tcPr>
          <w:p w14:paraId="0BCD2BF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64.08</w:t>
            </w:r>
          </w:p>
        </w:tc>
      </w:tr>
      <w:tr w:rsidR="00BB7067" w:rsidRPr="00AE54B1" w14:paraId="6EC60C15" w14:textId="77777777" w:rsidTr="00AE54B1">
        <w:trPr>
          <w:trHeight w:val="20"/>
          <w:jc w:val="center"/>
        </w:trPr>
        <w:tc>
          <w:tcPr>
            <w:tcW w:w="530" w:type="pct"/>
            <w:tcBorders>
              <w:top w:val="nil"/>
              <w:left w:val="nil"/>
              <w:bottom w:val="nil"/>
              <w:right w:val="nil"/>
            </w:tcBorders>
            <w:noWrap/>
            <w:hideMark/>
          </w:tcPr>
          <w:p w14:paraId="4C16738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29</w:t>
            </w:r>
          </w:p>
        </w:tc>
        <w:tc>
          <w:tcPr>
            <w:tcW w:w="403" w:type="pct"/>
            <w:tcBorders>
              <w:top w:val="nil"/>
              <w:left w:val="nil"/>
              <w:bottom w:val="nil"/>
              <w:right w:val="nil"/>
            </w:tcBorders>
            <w:noWrap/>
            <w:hideMark/>
          </w:tcPr>
          <w:p w14:paraId="145AB79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84.59</w:t>
            </w:r>
          </w:p>
        </w:tc>
        <w:tc>
          <w:tcPr>
            <w:tcW w:w="412" w:type="pct"/>
            <w:tcBorders>
              <w:top w:val="nil"/>
              <w:left w:val="nil"/>
              <w:bottom w:val="nil"/>
              <w:right w:val="nil"/>
            </w:tcBorders>
            <w:noWrap/>
            <w:hideMark/>
          </w:tcPr>
          <w:p w14:paraId="7742FD5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75.82</w:t>
            </w:r>
          </w:p>
        </w:tc>
        <w:tc>
          <w:tcPr>
            <w:tcW w:w="581" w:type="pct"/>
            <w:tcBorders>
              <w:top w:val="nil"/>
              <w:left w:val="nil"/>
              <w:bottom w:val="nil"/>
              <w:right w:val="nil"/>
            </w:tcBorders>
            <w:noWrap/>
            <w:hideMark/>
          </w:tcPr>
          <w:p w14:paraId="5FFED83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100.74</w:t>
            </w:r>
          </w:p>
        </w:tc>
        <w:tc>
          <w:tcPr>
            <w:tcW w:w="511" w:type="pct"/>
            <w:tcBorders>
              <w:top w:val="nil"/>
              <w:left w:val="nil"/>
              <w:bottom w:val="nil"/>
              <w:right w:val="nil"/>
            </w:tcBorders>
            <w:noWrap/>
            <w:hideMark/>
          </w:tcPr>
          <w:p w14:paraId="4EBA74F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124.03</w:t>
            </w:r>
          </w:p>
        </w:tc>
        <w:tc>
          <w:tcPr>
            <w:tcW w:w="598" w:type="pct"/>
            <w:tcBorders>
              <w:top w:val="nil"/>
              <w:left w:val="nil"/>
              <w:bottom w:val="nil"/>
              <w:right w:val="nil"/>
            </w:tcBorders>
            <w:noWrap/>
            <w:hideMark/>
          </w:tcPr>
          <w:p w14:paraId="6225717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128.55</w:t>
            </w:r>
          </w:p>
        </w:tc>
        <w:tc>
          <w:tcPr>
            <w:tcW w:w="521" w:type="pct"/>
            <w:tcBorders>
              <w:top w:val="nil"/>
              <w:left w:val="nil"/>
              <w:bottom w:val="nil"/>
              <w:right w:val="nil"/>
            </w:tcBorders>
            <w:noWrap/>
            <w:hideMark/>
          </w:tcPr>
          <w:p w14:paraId="517F686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97.39</w:t>
            </w:r>
          </w:p>
        </w:tc>
        <w:tc>
          <w:tcPr>
            <w:tcW w:w="538" w:type="pct"/>
            <w:tcBorders>
              <w:top w:val="nil"/>
              <w:left w:val="nil"/>
              <w:bottom w:val="nil"/>
              <w:right w:val="nil"/>
            </w:tcBorders>
            <w:noWrap/>
            <w:hideMark/>
          </w:tcPr>
          <w:p w14:paraId="1FD526C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116.17</w:t>
            </w:r>
          </w:p>
        </w:tc>
        <w:tc>
          <w:tcPr>
            <w:tcW w:w="434" w:type="pct"/>
            <w:tcBorders>
              <w:top w:val="nil"/>
              <w:left w:val="nil"/>
              <w:bottom w:val="nil"/>
              <w:right w:val="nil"/>
            </w:tcBorders>
            <w:noWrap/>
            <w:hideMark/>
          </w:tcPr>
          <w:p w14:paraId="4F3CDD8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52.71</w:t>
            </w:r>
          </w:p>
        </w:tc>
        <w:tc>
          <w:tcPr>
            <w:tcW w:w="472" w:type="pct"/>
            <w:tcBorders>
              <w:top w:val="nil"/>
              <w:left w:val="nil"/>
              <w:bottom w:val="nil"/>
              <w:right w:val="nil"/>
            </w:tcBorders>
            <w:noWrap/>
            <w:hideMark/>
          </w:tcPr>
          <w:p w14:paraId="6D0B8A5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52.93</w:t>
            </w:r>
          </w:p>
        </w:tc>
      </w:tr>
      <w:tr w:rsidR="00BB7067" w:rsidRPr="00AE54B1" w14:paraId="238EE8C6" w14:textId="77777777" w:rsidTr="00AE54B1">
        <w:trPr>
          <w:trHeight w:val="20"/>
          <w:jc w:val="center"/>
        </w:trPr>
        <w:tc>
          <w:tcPr>
            <w:tcW w:w="530" w:type="pct"/>
            <w:tcBorders>
              <w:top w:val="nil"/>
              <w:left w:val="nil"/>
              <w:bottom w:val="nil"/>
              <w:right w:val="nil"/>
            </w:tcBorders>
            <w:noWrap/>
            <w:hideMark/>
          </w:tcPr>
          <w:p w14:paraId="3ECA668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30</w:t>
            </w:r>
          </w:p>
        </w:tc>
        <w:tc>
          <w:tcPr>
            <w:tcW w:w="403" w:type="pct"/>
            <w:tcBorders>
              <w:top w:val="nil"/>
              <w:left w:val="nil"/>
              <w:bottom w:val="nil"/>
              <w:right w:val="nil"/>
            </w:tcBorders>
            <w:noWrap/>
            <w:hideMark/>
          </w:tcPr>
          <w:p w14:paraId="75CD493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74.17</w:t>
            </w:r>
          </w:p>
        </w:tc>
        <w:tc>
          <w:tcPr>
            <w:tcW w:w="412" w:type="pct"/>
            <w:tcBorders>
              <w:top w:val="nil"/>
              <w:left w:val="nil"/>
              <w:bottom w:val="nil"/>
              <w:right w:val="nil"/>
            </w:tcBorders>
            <w:noWrap/>
            <w:hideMark/>
          </w:tcPr>
          <w:p w14:paraId="5F7E0DC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74.52</w:t>
            </w:r>
          </w:p>
        </w:tc>
        <w:tc>
          <w:tcPr>
            <w:tcW w:w="581" w:type="pct"/>
            <w:tcBorders>
              <w:top w:val="nil"/>
              <w:left w:val="nil"/>
              <w:bottom w:val="nil"/>
              <w:right w:val="nil"/>
            </w:tcBorders>
            <w:noWrap/>
            <w:hideMark/>
          </w:tcPr>
          <w:p w14:paraId="01E38CF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82.68</w:t>
            </w:r>
          </w:p>
        </w:tc>
        <w:tc>
          <w:tcPr>
            <w:tcW w:w="511" w:type="pct"/>
            <w:tcBorders>
              <w:top w:val="nil"/>
              <w:left w:val="nil"/>
              <w:bottom w:val="nil"/>
              <w:right w:val="nil"/>
            </w:tcBorders>
            <w:noWrap/>
            <w:hideMark/>
          </w:tcPr>
          <w:p w14:paraId="11A4D63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126.78</w:t>
            </w:r>
          </w:p>
        </w:tc>
        <w:tc>
          <w:tcPr>
            <w:tcW w:w="598" w:type="pct"/>
            <w:tcBorders>
              <w:top w:val="nil"/>
              <w:left w:val="nil"/>
              <w:bottom w:val="nil"/>
              <w:right w:val="nil"/>
            </w:tcBorders>
            <w:noWrap/>
            <w:hideMark/>
          </w:tcPr>
          <w:p w14:paraId="7BBB1C6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155.86</w:t>
            </w:r>
          </w:p>
        </w:tc>
        <w:tc>
          <w:tcPr>
            <w:tcW w:w="521" w:type="pct"/>
            <w:tcBorders>
              <w:top w:val="nil"/>
              <w:left w:val="nil"/>
              <w:bottom w:val="nil"/>
              <w:right w:val="nil"/>
            </w:tcBorders>
            <w:noWrap/>
            <w:hideMark/>
          </w:tcPr>
          <w:p w14:paraId="543D882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100.14</w:t>
            </w:r>
          </w:p>
        </w:tc>
        <w:tc>
          <w:tcPr>
            <w:tcW w:w="538" w:type="pct"/>
            <w:tcBorders>
              <w:top w:val="nil"/>
              <w:left w:val="nil"/>
              <w:bottom w:val="nil"/>
              <w:right w:val="nil"/>
            </w:tcBorders>
            <w:noWrap/>
            <w:hideMark/>
          </w:tcPr>
          <w:p w14:paraId="579C962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82.27</w:t>
            </w:r>
          </w:p>
        </w:tc>
        <w:tc>
          <w:tcPr>
            <w:tcW w:w="434" w:type="pct"/>
            <w:tcBorders>
              <w:top w:val="nil"/>
              <w:left w:val="nil"/>
              <w:bottom w:val="nil"/>
              <w:right w:val="nil"/>
            </w:tcBorders>
            <w:noWrap/>
            <w:hideMark/>
          </w:tcPr>
          <w:p w14:paraId="2D38740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44.16</w:t>
            </w:r>
          </w:p>
        </w:tc>
        <w:tc>
          <w:tcPr>
            <w:tcW w:w="472" w:type="pct"/>
            <w:tcBorders>
              <w:top w:val="nil"/>
              <w:left w:val="nil"/>
              <w:bottom w:val="nil"/>
              <w:right w:val="nil"/>
            </w:tcBorders>
            <w:noWrap/>
            <w:hideMark/>
          </w:tcPr>
          <w:p w14:paraId="69C772E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65.29</w:t>
            </w:r>
          </w:p>
        </w:tc>
      </w:tr>
      <w:tr w:rsidR="00BB7067" w:rsidRPr="00AE54B1" w14:paraId="27C550FB" w14:textId="77777777" w:rsidTr="00AE54B1">
        <w:trPr>
          <w:trHeight w:val="20"/>
          <w:jc w:val="center"/>
        </w:trPr>
        <w:tc>
          <w:tcPr>
            <w:tcW w:w="530" w:type="pct"/>
            <w:tcBorders>
              <w:top w:val="nil"/>
              <w:left w:val="nil"/>
              <w:bottom w:val="nil"/>
              <w:right w:val="nil"/>
            </w:tcBorders>
            <w:noWrap/>
            <w:hideMark/>
          </w:tcPr>
          <w:p w14:paraId="3C84AEE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31</w:t>
            </w:r>
          </w:p>
        </w:tc>
        <w:tc>
          <w:tcPr>
            <w:tcW w:w="403" w:type="pct"/>
            <w:tcBorders>
              <w:top w:val="nil"/>
              <w:left w:val="nil"/>
              <w:bottom w:val="nil"/>
              <w:right w:val="nil"/>
            </w:tcBorders>
            <w:noWrap/>
            <w:hideMark/>
          </w:tcPr>
          <w:p w14:paraId="4936858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60.11</w:t>
            </w:r>
          </w:p>
        </w:tc>
        <w:tc>
          <w:tcPr>
            <w:tcW w:w="412" w:type="pct"/>
            <w:tcBorders>
              <w:top w:val="nil"/>
              <w:left w:val="nil"/>
              <w:bottom w:val="nil"/>
              <w:right w:val="nil"/>
            </w:tcBorders>
            <w:noWrap/>
            <w:hideMark/>
          </w:tcPr>
          <w:p w14:paraId="4BAD229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62.52</w:t>
            </w:r>
          </w:p>
        </w:tc>
        <w:tc>
          <w:tcPr>
            <w:tcW w:w="581" w:type="pct"/>
            <w:tcBorders>
              <w:top w:val="nil"/>
              <w:left w:val="nil"/>
              <w:bottom w:val="nil"/>
              <w:right w:val="nil"/>
            </w:tcBorders>
            <w:noWrap/>
            <w:hideMark/>
          </w:tcPr>
          <w:p w14:paraId="4C1514E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70.88</w:t>
            </w:r>
          </w:p>
        </w:tc>
        <w:tc>
          <w:tcPr>
            <w:tcW w:w="511" w:type="pct"/>
            <w:tcBorders>
              <w:top w:val="nil"/>
              <w:left w:val="nil"/>
              <w:bottom w:val="nil"/>
              <w:right w:val="nil"/>
            </w:tcBorders>
            <w:noWrap/>
            <w:hideMark/>
          </w:tcPr>
          <w:p w14:paraId="5FCFF38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107.18</w:t>
            </w:r>
          </w:p>
        </w:tc>
        <w:tc>
          <w:tcPr>
            <w:tcW w:w="598" w:type="pct"/>
            <w:tcBorders>
              <w:top w:val="nil"/>
              <w:left w:val="nil"/>
              <w:bottom w:val="nil"/>
              <w:right w:val="nil"/>
            </w:tcBorders>
            <w:noWrap/>
            <w:hideMark/>
          </w:tcPr>
          <w:p w14:paraId="47BD72E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136.42</w:t>
            </w:r>
          </w:p>
        </w:tc>
        <w:tc>
          <w:tcPr>
            <w:tcW w:w="521" w:type="pct"/>
            <w:tcBorders>
              <w:top w:val="nil"/>
              <w:left w:val="nil"/>
              <w:bottom w:val="nil"/>
              <w:right w:val="nil"/>
            </w:tcBorders>
            <w:noWrap/>
            <w:hideMark/>
          </w:tcPr>
          <w:p w14:paraId="49EEF0D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101.69</w:t>
            </w:r>
          </w:p>
        </w:tc>
        <w:tc>
          <w:tcPr>
            <w:tcW w:w="538" w:type="pct"/>
            <w:tcBorders>
              <w:top w:val="nil"/>
              <w:left w:val="nil"/>
              <w:bottom w:val="nil"/>
              <w:right w:val="nil"/>
            </w:tcBorders>
            <w:noWrap/>
            <w:hideMark/>
          </w:tcPr>
          <w:p w14:paraId="6E9A8D3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89.79</w:t>
            </w:r>
          </w:p>
        </w:tc>
        <w:tc>
          <w:tcPr>
            <w:tcW w:w="434" w:type="pct"/>
            <w:tcBorders>
              <w:top w:val="nil"/>
              <w:left w:val="nil"/>
              <w:bottom w:val="nil"/>
              <w:right w:val="nil"/>
            </w:tcBorders>
            <w:noWrap/>
            <w:hideMark/>
          </w:tcPr>
          <w:p w14:paraId="3A29909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23.76</w:t>
            </w:r>
          </w:p>
        </w:tc>
        <w:tc>
          <w:tcPr>
            <w:tcW w:w="472" w:type="pct"/>
            <w:tcBorders>
              <w:top w:val="nil"/>
              <w:left w:val="nil"/>
              <w:bottom w:val="nil"/>
              <w:right w:val="nil"/>
            </w:tcBorders>
            <w:noWrap/>
            <w:hideMark/>
          </w:tcPr>
          <w:p w14:paraId="679DB21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50.31</w:t>
            </w:r>
          </w:p>
        </w:tc>
      </w:tr>
      <w:tr w:rsidR="00BB7067" w:rsidRPr="00AE54B1" w14:paraId="4B515600" w14:textId="77777777" w:rsidTr="00AE54B1">
        <w:trPr>
          <w:trHeight w:val="20"/>
          <w:jc w:val="center"/>
        </w:trPr>
        <w:tc>
          <w:tcPr>
            <w:tcW w:w="530" w:type="pct"/>
            <w:tcBorders>
              <w:top w:val="nil"/>
              <w:left w:val="nil"/>
              <w:bottom w:val="nil"/>
              <w:right w:val="nil"/>
            </w:tcBorders>
            <w:noWrap/>
            <w:hideMark/>
          </w:tcPr>
          <w:p w14:paraId="57C06B0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32</w:t>
            </w:r>
          </w:p>
        </w:tc>
        <w:tc>
          <w:tcPr>
            <w:tcW w:w="403" w:type="pct"/>
            <w:tcBorders>
              <w:top w:val="nil"/>
              <w:left w:val="nil"/>
              <w:bottom w:val="nil"/>
              <w:right w:val="nil"/>
            </w:tcBorders>
            <w:noWrap/>
            <w:hideMark/>
          </w:tcPr>
          <w:p w14:paraId="0BD5B33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47.29</w:t>
            </w:r>
          </w:p>
        </w:tc>
        <w:tc>
          <w:tcPr>
            <w:tcW w:w="412" w:type="pct"/>
            <w:tcBorders>
              <w:top w:val="nil"/>
              <w:left w:val="nil"/>
              <w:bottom w:val="nil"/>
              <w:right w:val="nil"/>
            </w:tcBorders>
            <w:noWrap/>
            <w:hideMark/>
          </w:tcPr>
          <w:p w14:paraId="20494B7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52.95</w:t>
            </w:r>
          </w:p>
        </w:tc>
        <w:tc>
          <w:tcPr>
            <w:tcW w:w="581" w:type="pct"/>
            <w:tcBorders>
              <w:top w:val="nil"/>
              <w:left w:val="nil"/>
              <w:bottom w:val="nil"/>
              <w:right w:val="nil"/>
            </w:tcBorders>
            <w:noWrap/>
            <w:hideMark/>
          </w:tcPr>
          <w:p w14:paraId="36E162E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74.74</w:t>
            </w:r>
          </w:p>
        </w:tc>
        <w:tc>
          <w:tcPr>
            <w:tcW w:w="511" w:type="pct"/>
            <w:tcBorders>
              <w:top w:val="nil"/>
              <w:left w:val="nil"/>
              <w:bottom w:val="nil"/>
              <w:right w:val="nil"/>
            </w:tcBorders>
            <w:noWrap/>
            <w:hideMark/>
          </w:tcPr>
          <w:p w14:paraId="7F9B509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103.27</w:t>
            </w:r>
          </w:p>
        </w:tc>
        <w:tc>
          <w:tcPr>
            <w:tcW w:w="598" w:type="pct"/>
            <w:tcBorders>
              <w:top w:val="nil"/>
              <w:left w:val="nil"/>
              <w:bottom w:val="nil"/>
              <w:right w:val="nil"/>
            </w:tcBorders>
            <w:noWrap/>
            <w:hideMark/>
          </w:tcPr>
          <w:p w14:paraId="046F9E8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99.42</w:t>
            </w:r>
          </w:p>
        </w:tc>
        <w:tc>
          <w:tcPr>
            <w:tcW w:w="521" w:type="pct"/>
            <w:tcBorders>
              <w:top w:val="nil"/>
              <w:left w:val="nil"/>
              <w:bottom w:val="nil"/>
              <w:right w:val="nil"/>
            </w:tcBorders>
            <w:noWrap/>
            <w:hideMark/>
          </w:tcPr>
          <w:p w14:paraId="49225E1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75.92</w:t>
            </w:r>
          </w:p>
        </w:tc>
        <w:tc>
          <w:tcPr>
            <w:tcW w:w="538" w:type="pct"/>
            <w:tcBorders>
              <w:top w:val="nil"/>
              <w:left w:val="nil"/>
              <w:bottom w:val="nil"/>
              <w:right w:val="nil"/>
            </w:tcBorders>
            <w:noWrap/>
            <w:hideMark/>
          </w:tcPr>
          <w:p w14:paraId="467F79A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76.74</w:t>
            </w:r>
          </w:p>
        </w:tc>
        <w:tc>
          <w:tcPr>
            <w:tcW w:w="434" w:type="pct"/>
            <w:tcBorders>
              <w:top w:val="nil"/>
              <w:left w:val="nil"/>
              <w:bottom w:val="nil"/>
              <w:right w:val="nil"/>
            </w:tcBorders>
            <w:noWrap/>
            <w:hideMark/>
          </w:tcPr>
          <w:p w14:paraId="236B06D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73.61</w:t>
            </w:r>
          </w:p>
        </w:tc>
        <w:tc>
          <w:tcPr>
            <w:tcW w:w="472" w:type="pct"/>
            <w:tcBorders>
              <w:top w:val="nil"/>
              <w:left w:val="nil"/>
              <w:bottom w:val="nil"/>
              <w:right w:val="nil"/>
            </w:tcBorders>
            <w:noWrap/>
            <w:hideMark/>
          </w:tcPr>
          <w:p w14:paraId="5BF118C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40.68</w:t>
            </w:r>
          </w:p>
        </w:tc>
      </w:tr>
      <w:tr w:rsidR="00BB7067" w:rsidRPr="00AE54B1" w14:paraId="78BE0E67" w14:textId="77777777" w:rsidTr="00AE54B1">
        <w:trPr>
          <w:trHeight w:val="20"/>
          <w:jc w:val="center"/>
        </w:trPr>
        <w:tc>
          <w:tcPr>
            <w:tcW w:w="530" w:type="pct"/>
            <w:tcBorders>
              <w:top w:val="nil"/>
              <w:left w:val="nil"/>
              <w:bottom w:val="nil"/>
              <w:right w:val="nil"/>
            </w:tcBorders>
            <w:noWrap/>
            <w:hideMark/>
          </w:tcPr>
          <w:p w14:paraId="0A5D1C9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33</w:t>
            </w:r>
          </w:p>
        </w:tc>
        <w:tc>
          <w:tcPr>
            <w:tcW w:w="403" w:type="pct"/>
            <w:tcBorders>
              <w:top w:val="nil"/>
              <w:left w:val="nil"/>
              <w:bottom w:val="nil"/>
              <w:right w:val="nil"/>
            </w:tcBorders>
            <w:noWrap/>
            <w:hideMark/>
          </w:tcPr>
          <w:p w14:paraId="311D7CA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38.26</w:t>
            </w:r>
          </w:p>
        </w:tc>
        <w:tc>
          <w:tcPr>
            <w:tcW w:w="412" w:type="pct"/>
            <w:tcBorders>
              <w:top w:val="nil"/>
              <w:left w:val="nil"/>
              <w:bottom w:val="nil"/>
              <w:right w:val="nil"/>
            </w:tcBorders>
            <w:noWrap/>
            <w:hideMark/>
          </w:tcPr>
          <w:p w14:paraId="53430EC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43.09</w:t>
            </w:r>
          </w:p>
        </w:tc>
        <w:tc>
          <w:tcPr>
            <w:tcW w:w="581" w:type="pct"/>
            <w:tcBorders>
              <w:top w:val="nil"/>
              <w:left w:val="nil"/>
              <w:bottom w:val="nil"/>
              <w:right w:val="nil"/>
            </w:tcBorders>
            <w:noWrap/>
            <w:hideMark/>
          </w:tcPr>
          <w:p w14:paraId="4E9B679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61.26</w:t>
            </w:r>
          </w:p>
        </w:tc>
        <w:tc>
          <w:tcPr>
            <w:tcW w:w="511" w:type="pct"/>
            <w:tcBorders>
              <w:top w:val="nil"/>
              <w:left w:val="nil"/>
              <w:bottom w:val="nil"/>
              <w:right w:val="nil"/>
            </w:tcBorders>
            <w:noWrap/>
            <w:hideMark/>
          </w:tcPr>
          <w:p w14:paraId="3AE1467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73.3</w:t>
            </w:r>
          </w:p>
        </w:tc>
        <w:tc>
          <w:tcPr>
            <w:tcW w:w="598" w:type="pct"/>
            <w:tcBorders>
              <w:top w:val="nil"/>
              <w:left w:val="nil"/>
              <w:bottom w:val="nil"/>
              <w:right w:val="nil"/>
            </w:tcBorders>
            <w:noWrap/>
            <w:hideMark/>
          </w:tcPr>
          <w:p w14:paraId="6F59622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136.71</w:t>
            </w:r>
          </w:p>
        </w:tc>
        <w:tc>
          <w:tcPr>
            <w:tcW w:w="521" w:type="pct"/>
            <w:tcBorders>
              <w:top w:val="nil"/>
              <w:left w:val="nil"/>
              <w:bottom w:val="nil"/>
              <w:right w:val="nil"/>
            </w:tcBorders>
            <w:noWrap/>
            <w:hideMark/>
          </w:tcPr>
          <w:p w14:paraId="531755F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72.49</w:t>
            </w:r>
          </w:p>
        </w:tc>
        <w:tc>
          <w:tcPr>
            <w:tcW w:w="538" w:type="pct"/>
            <w:tcBorders>
              <w:top w:val="nil"/>
              <w:left w:val="nil"/>
              <w:bottom w:val="nil"/>
              <w:right w:val="nil"/>
            </w:tcBorders>
            <w:noWrap/>
            <w:hideMark/>
          </w:tcPr>
          <w:p w14:paraId="414A093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89.43</w:t>
            </w:r>
          </w:p>
        </w:tc>
        <w:tc>
          <w:tcPr>
            <w:tcW w:w="434" w:type="pct"/>
            <w:tcBorders>
              <w:top w:val="nil"/>
              <w:left w:val="nil"/>
              <w:bottom w:val="nil"/>
              <w:right w:val="nil"/>
            </w:tcBorders>
            <w:noWrap/>
            <w:hideMark/>
          </w:tcPr>
          <w:p w14:paraId="504FB7E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36.5</w:t>
            </w:r>
          </w:p>
        </w:tc>
        <w:tc>
          <w:tcPr>
            <w:tcW w:w="472" w:type="pct"/>
            <w:tcBorders>
              <w:top w:val="nil"/>
              <w:left w:val="nil"/>
              <w:bottom w:val="nil"/>
              <w:right w:val="nil"/>
            </w:tcBorders>
            <w:noWrap/>
            <w:hideMark/>
          </w:tcPr>
          <w:p w14:paraId="1D4EF29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29.13</w:t>
            </w:r>
          </w:p>
        </w:tc>
      </w:tr>
      <w:tr w:rsidR="00BB7067" w:rsidRPr="00AE54B1" w14:paraId="165B38DD" w14:textId="77777777" w:rsidTr="00AE54B1">
        <w:trPr>
          <w:trHeight w:val="20"/>
          <w:jc w:val="center"/>
        </w:trPr>
        <w:tc>
          <w:tcPr>
            <w:tcW w:w="530" w:type="pct"/>
            <w:tcBorders>
              <w:top w:val="nil"/>
              <w:left w:val="nil"/>
              <w:bottom w:val="nil"/>
              <w:right w:val="nil"/>
            </w:tcBorders>
            <w:noWrap/>
            <w:hideMark/>
          </w:tcPr>
          <w:p w14:paraId="2E3B8D6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34</w:t>
            </w:r>
          </w:p>
        </w:tc>
        <w:tc>
          <w:tcPr>
            <w:tcW w:w="403" w:type="pct"/>
            <w:tcBorders>
              <w:top w:val="nil"/>
              <w:left w:val="nil"/>
              <w:bottom w:val="nil"/>
              <w:right w:val="nil"/>
            </w:tcBorders>
            <w:noWrap/>
            <w:hideMark/>
          </w:tcPr>
          <w:p w14:paraId="3DACE90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30.67</w:t>
            </w:r>
          </w:p>
        </w:tc>
        <w:tc>
          <w:tcPr>
            <w:tcW w:w="412" w:type="pct"/>
            <w:tcBorders>
              <w:top w:val="nil"/>
              <w:left w:val="nil"/>
              <w:bottom w:val="nil"/>
              <w:right w:val="nil"/>
            </w:tcBorders>
            <w:noWrap/>
            <w:hideMark/>
          </w:tcPr>
          <w:p w14:paraId="2D75BE3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36.09</w:t>
            </w:r>
          </w:p>
        </w:tc>
        <w:tc>
          <w:tcPr>
            <w:tcW w:w="581" w:type="pct"/>
            <w:tcBorders>
              <w:top w:val="nil"/>
              <w:left w:val="nil"/>
              <w:bottom w:val="nil"/>
              <w:right w:val="nil"/>
            </w:tcBorders>
            <w:noWrap/>
            <w:hideMark/>
          </w:tcPr>
          <w:p w14:paraId="190F0EB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63.42</w:t>
            </w:r>
          </w:p>
        </w:tc>
        <w:tc>
          <w:tcPr>
            <w:tcW w:w="511" w:type="pct"/>
            <w:tcBorders>
              <w:top w:val="nil"/>
              <w:left w:val="nil"/>
              <w:bottom w:val="nil"/>
              <w:right w:val="nil"/>
            </w:tcBorders>
            <w:noWrap/>
            <w:hideMark/>
          </w:tcPr>
          <w:p w14:paraId="71B32D1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87.52</w:t>
            </w:r>
          </w:p>
        </w:tc>
        <w:tc>
          <w:tcPr>
            <w:tcW w:w="598" w:type="pct"/>
            <w:tcBorders>
              <w:top w:val="nil"/>
              <w:left w:val="nil"/>
              <w:bottom w:val="nil"/>
              <w:right w:val="nil"/>
            </w:tcBorders>
            <w:noWrap/>
            <w:hideMark/>
          </w:tcPr>
          <w:p w14:paraId="01D572D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107.57</w:t>
            </w:r>
          </w:p>
        </w:tc>
        <w:tc>
          <w:tcPr>
            <w:tcW w:w="521" w:type="pct"/>
            <w:tcBorders>
              <w:top w:val="nil"/>
              <w:left w:val="nil"/>
              <w:bottom w:val="nil"/>
              <w:right w:val="nil"/>
            </w:tcBorders>
            <w:noWrap/>
            <w:hideMark/>
          </w:tcPr>
          <w:p w14:paraId="74A397D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95.98</w:t>
            </w:r>
          </w:p>
        </w:tc>
        <w:tc>
          <w:tcPr>
            <w:tcW w:w="538" w:type="pct"/>
            <w:tcBorders>
              <w:top w:val="nil"/>
              <w:left w:val="nil"/>
              <w:bottom w:val="nil"/>
              <w:right w:val="nil"/>
            </w:tcBorders>
            <w:noWrap/>
            <w:hideMark/>
          </w:tcPr>
          <w:p w14:paraId="4304147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68.3</w:t>
            </w:r>
          </w:p>
        </w:tc>
        <w:tc>
          <w:tcPr>
            <w:tcW w:w="434" w:type="pct"/>
            <w:tcBorders>
              <w:top w:val="nil"/>
              <w:left w:val="nil"/>
              <w:bottom w:val="nil"/>
              <w:right w:val="nil"/>
            </w:tcBorders>
            <w:noWrap/>
            <w:hideMark/>
          </w:tcPr>
          <w:p w14:paraId="0E927E4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42.07</w:t>
            </w:r>
          </w:p>
        </w:tc>
        <w:tc>
          <w:tcPr>
            <w:tcW w:w="472" w:type="pct"/>
            <w:tcBorders>
              <w:top w:val="nil"/>
              <w:left w:val="nil"/>
              <w:bottom w:val="nil"/>
              <w:right w:val="nil"/>
            </w:tcBorders>
            <w:noWrap/>
            <w:hideMark/>
          </w:tcPr>
          <w:p w14:paraId="25039AE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21.84</w:t>
            </w:r>
          </w:p>
        </w:tc>
      </w:tr>
      <w:tr w:rsidR="00BB7067" w:rsidRPr="00AE54B1" w14:paraId="3530C55C" w14:textId="77777777" w:rsidTr="00AE54B1">
        <w:trPr>
          <w:trHeight w:val="20"/>
          <w:jc w:val="center"/>
        </w:trPr>
        <w:tc>
          <w:tcPr>
            <w:tcW w:w="530" w:type="pct"/>
            <w:tcBorders>
              <w:top w:val="nil"/>
              <w:left w:val="nil"/>
              <w:bottom w:val="nil"/>
              <w:right w:val="nil"/>
            </w:tcBorders>
            <w:noWrap/>
            <w:hideMark/>
          </w:tcPr>
          <w:p w14:paraId="44A123B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35</w:t>
            </w:r>
          </w:p>
        </w:tc>
        <w:tc>
          <w:tcPr>
            <w:tcW w:w="403" w:type="pct"/>
            <w:tcBorders>
              <w:top w:val="nil"/>
              <w:left w:val="nil"/>
              <w:bottom w:val="nil"/>
              <w:right w:val="nil"/>
            </w:tcBorders>
            <w:noWrap/>
            <w:hideMark/>
          </w:tcPr>
          <w:p w14:paraId="74E319F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22.8</w:t>
            </w:r>
          </w:p>
        </w:tc>
        <w:tc>
          <w:tcPr>
            <w:tcW w:w="412" w:type="pct"/>
            <w:tcBorders>
              <w:top w:val="nil"/>
              <w:left w:val="nil"/>
              <w:bottom w:val="nil"/>
              <w:right w:val="nil"/>
            </w:tcBorders>
            <w:noWrap/>
            <w:hideMark/>
          </w:tcPr>
          <w:p w14:paraId="4768CCD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37.55</w:t>
            </w:r>
          </w:p>
        </w:tc>
        <w:tc>
          <w:tcPr>
            <w:tcW w:w="581" w:type="pct"/>
            <w:tcBorders>
              <w:top w:val="nil"/>
              <w:left w:val="nil"/>
              <w:bottom w:val="nil"/>
              <w:right w:val="nil"/>
            </w:tcBorders>
            <w:noWrap/>
            <w:hideMark/>
          </w:tcPr>
          <w:p w14:paraId="1A8703F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42.41</w:t>
            </w:r>
          </w:p>
        </w:tc>
        <w:tc>
          <w:tcPr>
            <w:tcW w:w="511" w:type="pct"/>
            <w:tcBorders>
              <w:top w:val="nil"/>
              <w:left w:val="nil"/>
              <w:bottom w:val="nil"/>
              <w:right w:val="nil"/>
            </w:tcBorders>
            <w:noWrap/>
            <w:hideMark/>
          </w:tcPr>
          <w:p w14:paraId="48B0B70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93.11</w:t>
            </w:r>
          </w:p>
        </w:tc>
        <w:tc>
          <w:tcPr>
            <w:tcW w:w="598" w:type="pct"/>
            <w:tcBorders>
              <w:top w:val="nil"/>
              <w:left w:val="nil"/>
              <w:bottom w:val="nil"/>
              <w:right w:val="nil"/>
            </w:tcBorders>
            <w:noWrap/>
            <w:hideMark/>
          </w:tcPr>
          <w:p w14:paraId="3E69A71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101.4</w:t>
            </w:r>
          </w:p>
        </w:tc>
        <w:tc>
          <w:tcPr>
            <w:tcW w:w="521" w:type="pct"/>
            <w:tcBorders>
              <w:top w:val="nil"/>
              <w:left w:val="nil"/>
              <w:bottom w:val="nil"/>
              <w:right w:val="nil"/>
            </w:tcBorders>
            <w:noWrap/>
            <w:hideMark/>
          </w:tcPr>
          <w:p w14:paraId="763CBFC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78.32</w:t>
            </w:r>
          </w:p>
        </w:tc>
        <w:tc>
          <w:tcPr>
            <w:tcW w:w="538" w:type="pct"/>
            <w:tcBorders>
              <w:top w:val="nil"/>
              <w:left w:val="nil"/>
              <w:bottom w:val="nil"/>
              <w:right w:val="nil"/>
            </w:tcBorders>
            <w:noWrap/>
            <w:hideMark/>
          </w:tcPr>
          <w:p w14:paraId="139610A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52.92</w:t>
            </w:r>
          </w:p>
        </w:tc>
        <w:tc>
          <w:tcPr>
            <w:tcW w:w="434" w:type="pct"/>
            <w:tcBorders>
              <w:top w:val="nil"/>
              <w:left w:val="nil"/>
              <w:bottom w:val="nil"/>
              <w:right w:val="nil"/>
            </w:tcBorders>
            <w:noWrap/>
            <w:hideMark/>
          </w:tcPr>
          <w:p w14:paraId="7F08DA8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20.78</w:t>
            </w:r>
          </w:p>
        </w:tc>
        <w:tc>
          <w:tcPr>
            <w:tcW w:w="472" w:type="pct"/>
            <w:tcBorders>
              <w:top w:val="nil"/>
              <w:left w:val="nil"/>
              <w:bottom w:val="nil"/>
              <w:right w:val="nil"/>
            </w:tcBorders>
            <w:noWrap/>
            <w:hideMark/>
          </w:tcPr>
          <w:p w14:paraId="11B3AE4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9.15</w:t>
            </w:r>
          </w:p>
        </w:tc>
      </w:tr>
      <w:tr w:rsidR="00BB7067" w:rsidRPr="00AE54B1" w14:paraId="205BB9C9" w14:textId="77777777" w:rsidTr="00AE54B1">
        <w:trPr>
          <w:trHeight w:val="20"/>
          <w:jc w:val="center"/>
        </w:trPr>
        <w:tc>
          <w:tcPr>
            <w:tcW w:w="530" w:type="pct"/>
            <w:tcBorders>
              <w:top w:val="nil"/>
              <w:left w:val="nil"/>
              <w:bottom w:val="nil"/>
              <w:right w:val="nil"/>
            </w:tcBorders>
            <w:noWrap/>
            <w:hideMark/>
          </w:tcPr>
          <w:p w14:paraId="2B103AC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36</w:t>
            </w:r>
          </w:p>
        </w:tc>
        <w:tc>
          <w:tcPr>
            <w:tcW w:w="403" w:type="pct"/>
            <w:tcBorders>
              <w:top w:val="nil"/>
              <w:left w:val="nil"/>
              <w:bottom w:val="nil"/>
              <w:right w:val="nil"/>
            </w:tcBorders>
            <w:noWrap/>
            <w:hideMark/>
          </w:tcPr>
          <w:p w14:paraId="28ABD4C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17.49</w:t>
            </w:r>
          </w:p>
        </w:tc>
        <w:tc>
          <w:tcPr>
            <w:tcW w:w="412" w:type="pct"/>
            <w:tcBorders>
              <w:top w:val="nil"/>
              <w:left w:val="nil"/>
              <w:bottom w:val="nil"/>
              <w:right w:val="nil"/>
            </w:tcBorders>
            <w:noWrap/>
            <w:hideMark/>
          </w:tcPr>
          <w:p w14:paraId="630E08F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23.77</w:t>
            </w:r>
          </w:p>
        </w:tc>
        <w:tc>
          <w:tcPr>
            <w:tcW w:w="581" w:type="pct"/>
            <w:tcBorders>
              <w:top w:val="nil"/>
              <w:left w:val="nil"/>
              <w:bottom w:val="nil"/>
              <w:right w:val="nil"/>
            </w:tcBorders>
            <w:noWrap/>
            <w:hideMark/>
          </w:tcPr>
          <w:p w14:paraId="2C7ADA8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44.21</w:t>
            </w:r>
          </w:p>
        </w:tc>
        <w:tc>
          <w:tcPr>
            <w:tcW w:w="511" w:type="pct"/>
            <w:tcBorders>
              <w:top w:val="nil"/>
              <w:left w:val="nil"/>
              <w:bottom w:val="nil"/>
              <w:right w:val="nil"/>
            </w:tcBorders>
            <w:noWrap/>
            <w:hideMark/>
          </w:tcPr>
          <w:p w14:paraId="001F1F8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63.99</w:t>
            </w:r>
          </w:p>
        </w:tc>
        <w:tc>
          <w:tcPr>
            <w:tcW w:w="598" w:type="pct"/>
            <w:tcBorders>
              <w:top w:val="nil"/>
              <w:left w:val="nil"/>
              <w:bottom w:val="nil"/>
              <w:right w:val="nil"/>
            </w:tcBorders>
            <w:noWrap/>
            <w:hideMark/>
          </w:tcPr>
          <w:p w14:paraId="450847E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78.82</w:t>
            </w:r>
          </w:p>
        </w:tc>
        <w:tc>
          <w:tcPr>
            <w:tcW w:w="521" w:type="pct"/>
            <w:tcBorders>
              <w:top w:val="nil"/>
              <w:left w:val="nil"/>
              <w:bottom w:val="nil"/>
              <w:right w:val="nil"/>
            </w:tcBorders>
            <w:noWrap/>
            <w:hideMark/>
          </w:tcPr>
          <w:p w14:paraId="69BAE03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60.94</w:t>
            </w:r>
          </w:p>
        </w:tc>
        <w:tc>
          <w:tcPr>
            <w:tcW w:w="538" w:type="pct"/>
            <w:tcBorders>
              <w:top w:val="nil"/>
              <w:left w:val="nil"/>
              <w:bottom w:val="nil"/>
              <w:right w:val="nil"/>
            </w:tcBorders>
            <w:noWrap/>
            <w:hideMark/>
          </w:tcPr>
          <w:p w14:paraId="4138F69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65.58</w:t>
            </w:r>
          </w:p>
        </w:tc>
        <w:tc>
          <w:tcPr>
            <w:tcW w:w="434" w:type="pct"/>
            <w:tcBorders>
              <w:top w:val="nil"/>
              <w:left w:val="nil"/>
              <w:bottom w:val="nil"/>
              <w:right w:val="nil"/>
            </w:tcBorders>
            <w:noWrap/>
            <w:hideMark/>
          </w:tcPr>
          <w:p w14:paraId="41592A2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18.2</w:t>
            </w:r>
          </w:p>
        </w:tc>
        <w:tc>
          <w:tcPr>
            <w:tcW w:w="472" w:type="pct"/>
            <w:tcBorders>
              <w:top w:val="nil"/>
              <w:left w:val="nil"/>
              <w:bottom w:val="nil"/>
              <w:right w:val="nil"/>
            </w:tcBorders>
            <w:noWrap/>
            <w:hideMark/>
          </w:tcPr>
          <w:p w14:paraId="14B289C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20.6</w:t>
            </w:r>
          </w:p>
        </w:tc>
      </w:tr>
      <w:tr w:rsidR="00BB7067" w:rsidRPr="00AE54B1" w14:paraId="0ED6011E" w14:textId="77777777" w:rsidTr="00AE54B1">
        <w:trPr>
          <w:trHeight w:val="20"/>
          <w:jc w:val="center"/>
        </w:trPr>
        <w:tc>
          <w:tcPr>
            <w:tcW w:w="530" w:type="pct"/>
            <w:tcBorders>
              <w:top w:val="nil"/>
              <w:left w:val="nil"/>
              <w:bottom w:val="nil"/>
              <w:right w:val="nil"/>
            </w:tcBorders>
            <w:noWrap/>
            <w:hideMark/>
          </w:tcPr>
          <w:p w14:paraId="79F3137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37</w:t>
            </w:r>
          </w:p>
        </w:tc>
        <w:tc>
          <w:tcPr>
            <w:tcW w:w="403" w:type="pct"/>
            <w:tcBorders>
              <w:top w:val="nil"/>
              <w:left w:val="nil"/>
              <w:bottom w:val="nil"/>
              <w:right w:val="nil"/>
            </w:tcBorders>
            <w:noWrap/>
            <w:hideMark/>
          </w:tcPr>
          <w:p w14:paraId="7D3F501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12.99</w:t>
            </w:r>
          </w:p>
        </w:tc>
        <w:tc>
          <w:tcPr>
            <w:tcW w:w="412" w:type="pct"/>
            <w:tcBorders>
              <w:top w:val="nil"/>
              <w:left w:val="nil"/>
              <w:bottom w:val="nil"/>
              <w:right w:val="nil"/>
            </w:tcBorders>
            <w:noWrap/>
            <w:hideMark/>
          </w:tcPr>
          <w:p w14:paraId="00F1614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15.4</w:t>
            </w:r>
          </w:p>
        </w:tc>
        <w:tc>
          <w:tcPr>
            <w:tcW w:w="581" w:type="pct"/>
            <w:tcBorders>
              <w:top w:val="nil"/>
              <w:left w:val="nil"/>
              <w:bottom w:val="nil"/>
              <w:right w:val="nil"/>
            </w:tcBorders>
            <w:noWrap/>
            <w:hideMark/>
          </w:tcPr>
          <w:p w14:paraId="472C795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32.2</w:t>
            </w:r>
          </w:p>
        </w:tc>
        <w:tc>
          <w:tcPr>
            <w:tcW w:w="511" w:type="pct"/>
            <w:tcBorders>
              <w:top w:val="nil"/>
              <w:left w:val="nil"/>
              <w:bottom w:val="nil"/>
              <w:right w:val="nil"/>
            </w:tcBorders>
            <w:noWrap/>
            <w:hideMark/>
          </w:tcPr>
          <w:p w14:paraId="1037D51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50.19</w:t>
            </w:r>
          </w:p>
        </w:tc>
        <w:tc>
          <w:tcPr>
            <w:tcW w:w="598" w:type="pct"/>
            <w:tcBorders>
              <w:top w:val="nil"/>
              <w:left w:val="nil"/>
              <w:bottom w:val="nil"/>
              <w:right w:val="nil"/>
            </w:tcBorders>
            <w:noWrap/>
            <w:hideMark/>
          </w:tcPr>
          <w:p w14:paraId="48F6105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80.92</w:t>
            </w:r>
          </w:p>
        </w:tc>
        <w:tc>
          <w:tcPr>
            <w:tcW w:w="521" w:type="pct"/>
            <w:tcBorders>
              <w:top w:val="nil"/>
              <w:left w:val="nil"/>
              <w:bottom w:val="nil"/>
              <w:right w:val="nil"/>
            </w:tcBorders>
            <w:noWrap/>
            <w:hideMark/>
          </w:tcPr>
          <w:p w14:paraId="22DED78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42.23</w:t>
            </w:r>
          </w:p>
        </w:tc>
        <w:tc>
          <w:tcPr>
            <w:tcW w:w="538" w:type="pct"/>
            <w:tcBorders>
              <w:top w:val="nil"/>
              <w:left w:val="nil"/>
              <w:bottom w:val="nil"/>
              <w:right w:val="nil"/>
            </w:tcBorders>
            <w:noWrap/>
            <w:hideMark/>
          </w:tcPr>
          <w:p w14:paraId="59FEB5F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17.05</w:t>
            </w:r>
          </w:p>
        </w:tc>
        <w:tc>
          <w:tcPr>
            <w:tcW w:w="434" w:type="pct"/>
            <w:tcBorders>
              <w:top w:val="nil"/>
              <w:left w:val="nil"/>
              <w:bottom w:val="nil"/>
              <w:right w:val="nil"/>
            </w:tcBorders>
            <w:noWrap/>
            <w:hideMark/>
          </w:tcPr>
          <w:p w14:paraId="1B97F53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26.62</w:t>
            </w:r>
          </w:p>
        </w:tc>
        <w:tc>
          <w:tcPr>
            <w:tcW w:w="472" w:type="pct"/>
            <w:tcBorders>
              <w:top w:val="nil"/>
              <w:left w:val="nil"/>
              <w:bottom w:val="nil"/>
              <w:right w:val="nil"/>
            </w:tcBorders>
            <w:noWrap/>
            <w:hideMark/>
          </w:tcPr>
          <w:p w14:paraId="2FA6033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2.15</w:t>
            </w:r>
          </w:p>
        </w:tc>
      </w:tr>
      <w:tr w:rsidR="00BB7067" w:rsidRPr="00AE54B1" w14:paraId="190BCA2C" w14:textId="77777777" w:rsidTr="00AE54B1">
        <w:trPr>
          <w:trHeight w:val="20"/>
          <w:jc w:val="center"/>
        </w:trPr>
        <w:tc>
          <w:tcPr>
            <w:tcW w:w="530" w:type="pct"/>
            <w:tcBorders>
              <w:top w:val="nil"/>
              <w:left w:val="nil"/>
              <w:bottom w:val="nil"/>
              <w:right w:val="nil"/>
            </w:tcBorders>
            <w:noWrap/>
            <w:hideMark/>
          </w:tcPr>
          <w:p w14:paraId="42F58ED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38</w:t>
            </w:r>
          </w:p>
        </w:tc>
        <w:tc>
          <w:tcPr>
            <w:tcW w:w="403" w:type="pct"/>
            <w:tcBorders>
              <w:top w:val="nil"/>
              <w:left w:val="nil"/>
              <w:bottom w:val="nil"/>
              <w:right w:val="nil"/>
            </w:tcBorders>
            <w:noWrap/>
            <w:hideMark/>
          </w:tcPr>
          <w:p w14:paraId="6176087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10.37</w:t>
            </w:r>
          </w:p>
        </w:tc>
        <w:tc>
          <w:tcPr>
            <w:tcW w:w="412" w:type="pct"/>
            <w:tcBorders>
              <w:top w:val="nil"/>
              <w:left w:val="nil"/>
              <w:bottom w:val="nil"/>
              <w:right w:val="nil"/>
            </w:tcBorders>
            <w:noWrap/>
            <w:hideMark/>
          </w:tcPr>
          <w:p w14:paraId="082F1A0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19.72</w:t>
            </w:r>
          </w:p>
        </w:tc>
        <w:tc>
          <w:tcPr>
            <w:tcW w:w="581" w:type="pct"/>
            <w:tcBorders>
              <w:top w:val="nil"/>
              <w:left w:val="nil"/>
              <w:bottom w:val="nil"/>
              <w:right w:val="nil"/>
            </w:tcBorders>
            <w:noWrap/>
            <w:hideMark/>
          </w:tcPr>
          <w:p w14:paraId="1205D70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13.48</w:t>
            </w:r>
          </w:p>
        </w:tc>
        <w:tc>
          <w:tcPr>
            <w:tcW w:w="511" w:type="pct"/>
            <w:tcBorders>
              <w:top w:val="nil"/>
              <w:left w:val="nil"/>
              <w:bottom w:val="nil"/>
              <w:right w:val="nil"/>
            </w:tcBorders>
            <w:noWrap/>
            <w:hideMark/>
          </w:tcPr>
          <w:p w14:paraId="0518187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35.34</w:t>
            </w:r>
          </w:p>
        </w:tc>
        <w:tc>
          <w:tcPr>
            <w:tcW w:w="598" w:type="pct"/>
            <w:tcBorders>
              <w:top w:val="nil"/>
              <w:left w:val="nil"/>
              <w:bottom w:val="nil"/>
              <w:right w:val="nil"/>
            </w:tcBorders>
            <w:noWrap/>
            <w:hideMark/>
          </w:tcPr>
          <w:p w14:paraId="08705C8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69.69</w:t>
            </w:r>
          </w:p>
        </w:tc>
        <w:tc>
          <w:tcPr>
            <w:tcW w:w="521" w:type="pct"/>
            <w:tcBorders>
              <w:top w:val="nil"/>
              <w:left w:val="nil"/>
              <w:bottom w:val="nil"/>
              <w:right w:val="nil"/>
            </w:tcBorders>
            <w:noWrap/>
            <w:hideMark/>
          </w:tcPr>
          <w:p w14:paraId="599AC78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43.31</w:t>
            </w:r>
          </w:p>
        </w:tc>
        <w:tc>
          <w:tcPr>
            <w:tcW w:w="538" w:type="pct"/>
            <w:tcBorders>
              <w:top w:val="nil"/>
              <w:left w:val="nil"/>
              <w:bottom w:val="nil"/>
              <w:right w:val="nil"/>
            </w:tcBorders>
            <w:noWrap/>
            <w:hideMark/>
          </w:tcPr>
          <w:p w14:paraId="21E5D5D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27.03</w:t>
            </w:r>
          </w:p>
        </w:tc>
        <w:tc>
          <w:tcPr>
            <w:tcW w:w="434" w:type="pct"/>
            <w:tcBorders>
              <w:top w:val="nil"/>
              <w:left w:val="nil"/>
              <w:bottom w:val="nil"/>
              <w:right w:val="nil"/>
            </w:tcBorders>
            <w:noWrap/>
            <w:hideMark/>
          </w:tcPr>
          <w:p w14:paraId="0948A73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3.81</w:t>
            </w:r>
          </w:p>
        </w:tc>
        <w:tc>
          <w:tcPr>
            <w:tcW w:w="472" w:type="pct"/>
            <w:tcBorders>
              <w:top w:val="nil"/>
              <w:left w:val="nil"/>
              <w:bottom w:val="nil"/>
              <w:right w:val="nil"/>
            </w:tcBorders>
            <w:noWrap/>
            <w:hideMark/>
          </w:tcPr>
          <w:p w14:paraId="4343BF3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8.25</w:t>
            </w:r>
          </w:p>
        </w:tc>
      </w:tr>
      <w:tr w:rsidR="00BB7067" w:rsidRPr="00AE54B1" w14:paraId="513C854A" w14:textId="77777777" w:rsidTr="00AE54B1">
        <w:trPr>
          <w:trHeight w:val="20"/>
          <w:jc w:val="center"/>
        </w:trPr>
        <w:tc>
          <w:tcPr>
            <w:tcW w:w="530" w:type="pct"/>
            <w:tcBorders>
              <w:top w:val="nil"/>
              <w:left w:val="nil"/>
              <w:bottom w:val="nil"/>
              <w:right w:val="nil"/>
            </w:tcBorders>
            <w:noWrap/>
            <w:hideMark/>
          </w:tcPr>
          <w:p w14:paraId="7457B30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39</w:t>
            </w:r>
          </w:p>
        </w:tc>
        <w:tc>
          <w:tcPr>
            <w:tcW w:w="403" w:type="pct"/>
            <w:tcBorders>
              <w:top w:val="nil"/>
              <w:left w:val="nil"/>
              <w:bottom w:val="nil"/>
              <w:right w:val="nil"/>
            </w:tcBorders>
            <w:noWrap/>
            <w:hideMark/>
          </w:tcPr>
          <w:p w14:paraId="637B0FF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6.76</w:t>
            </w:r>
          </w:p>
        </w:tc>
        <w:tc>
          <w:tcPr>
            <w:tcW w:w="412" w:type="pct"/>
            <w:tcBorders>
              <w:top w:val="nil"/>
              <w:left w:val="nil"/>
              <w:bottom w:val="nil"/>
              <w:right w:val="nil"/>
            </w:tcBorders>
            <w:noWrap/>
            <w:hideMark/>
          </w:tcPr>
          <w:p w14:paraId="0320786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7.1</w:t>
            </w:r>
          </w:p>
        </w:tc>
        <w:tc>
          <w:tcPr>
            <w:tcW w:w="581" w:type="pct"/>
            <w:tcBorders>
              <w:top w:val="nil"/>
              <w:left w:val="nil"/>
              <w:bottom w:val="nil"/>
              <w:right w:val="nil"/>
            </w:tcBorders>
            <w:noWrap/>
            <w:hideMark/>
          </w:tcPr>
          <w:p w14:paraId="0FB8FDE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16.92</w:t>
            </w:r>
          </w:p>
        </w:tc>
        <w:tc>
          <w:tcPr>
            <w:tcW w:w="511" w:type="pct"/>
            <w:tcBorders>
              <w:top w:val="nil"/>
              <w:left w:val="nil"/>
              <w:bottom w:val="nil"/>
              <w:right w:val="nil"/>
            </w:tcBorders>
            <w:noWrap/>
            <w:hideMark/>
          </w:tcPr>
          <w:p w14:paraId="46F1A75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26.97</w:t>
            </w:r>
          </w:p>
        </w:tc>
        <w:tc>
          <w:tcPr>
            <w:tcW w:w="598" w:type="pct"/>
            <w:tcBorders>
              <w:top w:val="nil"/>
              <w:left w:val="nil"/>
              <w:bottom w:val="nil"/>
              <w:right w:val="nil"/>
            </w:tcBorders>
            <w:noWrap/>
            <w:hideMark/>
          </w:tcPr>
          <w:p w14:paraId="3FADA15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48.95</w:t>
            </w:r>
          </w:p>
        </w:tc>
        <w:tc>
          <w:tcPr>
            <w:tcW w:w="521" w:type="pct"/>
            <w:tcBorders>
              <w:top w:val="nil"/>
              <w:left w:val="nil"/>
              <w:bottom w:val="nil"/>
              <w:right w:val="nil"/>
            </w:tcBorders>
            <w:noWrap/>
            <w:hideMark/>
          </w:tcPr>
          <w:p w14:paraId="0312DC8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33.13</w:t>
            </w:r>
          </w:p>
        </w:tc>
        <w:tc>
          <w:tcPr>
            <w:tcW w:w="538" w:type="pct"/>
            <w:tcBorders>
              <w:top w:val="nil"/>
              <w:left w:val="nil"/>
              <w:bottom w:val="nil"/>
              <w:right w:val="nil"/>
            </w:tcBorders>
            <w:noWrap/>
            <w:hideMark/>
          </w:tcPr>
          <w:p w14:paraId="05A1CAD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16.91</w:t>
            </w:r>
          </w:p>
        </w:tc>
        <w:tc>
          <w:tcPr>
            <w:tcW w:w="434" w:type="pct"/>
            <w:tcBorders>
              <w:top w:val="nil"/>
              <w:left w:val="nil"/>
              <w:bottom w:val="nil"/>
              <w:right w:val="nil"/>
            </w:tcBorders>
            <w:noWrap/>
            <w:hideMark/>
          </w:tcPr>
          <w:p w14:paraId="2AEF06E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4.19</w:t>
            </w:r>
          </w:p>
        </w:tc>
        <w:tc>
          <w:tcPr>
            <w:tcW w:w="472" w:type="pct"/>
            <w:tcBorders>
              <w:top w:val="nil"/>
              <w:left w:val="nil"/>
              <w:bottom w:val="nil"/>
              <w:right w:val="nil"/>
            </w:tcBorders>
            <w:noWrap/>
            <w:hideMark/>
          </w:tcPr>
          <w:p w14:paraId="2EE98FC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10.53</w:t>
            </w:r>
          </w:p>
        </w:tc>
      </w:tr>
      <w:tr w:rsidR="00BB7067" w:rsidRPr="00AE54B1" w14:paraId="3B8BBCE0" w14:textId="77777777" w:rsidTr="00AE54B1">
        <w:trPr>
          <w:trHeight w:val="20"/>
          <w:jc w:val="center"/>
        </w:trPr>
        <w:tc>
          <w:tcPr>
            <w:tcW w:w="530" w:type="pct"/>
            <w:tcBorders>
              <w:top w:val="nil"/>
              <w:left w:val="nil"/>
              <w:bottom w:val="nil"/>
              <w:right w:val="nil"/>
            </w:tcBorders>
            <w:noWrap/>
            <w:hideMark/>
          </w:tcPr>
          <w:p w14:paraId="19D2437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40</w:t>
            </w:r>
          </w:p>
        </w:tc>
        <w:tc>
          <w:tcPr>
            <w:tcW w:w="403" w:type="pct"/>
            <w:tcBorders>
              <w:top w:val="nil"/>
              <w:left w:val="nil"/>
              <w:bottom w:val="nil"/>
              <w:right w:val="nil"/>
            </w:tcBorders>
            <w:noWrap/>
            <w:hideMark/>
          </w:tcPr>
          <w:p w14:paraId="3273B4E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5.57</w:t>
            </w:r>
          </w:p>
        </w:tc>
        <w:tc>
          <w:tcPr>
            <w:tcW w:w="412" w:type="pct"/>
            <w:tcBorders>
              <w:top w:val="nil"/>
              <w:left w:val="nil"/>
              <w:bottom w:val="nil"/>
              <w:right w:val="nil"/>
            </w:tcBorders>
            <w:noWrap/>
            <w:hideMark/>
          </w:tcPr>
          <w:p w14:paraId="1BEEE47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4.7</w:t>
            </w:r>
          </w:p>
        </w:tc>
        <w:tc>
          <w:tcPr>
            <w:tcW w:w="581" w:type="pct"/>
            <w:tcBorders>
              <w:top w:val="nil"/>
              <w:left w:val="nil"/>
              <w:bottom w:val="nil"/>
              <w:right w:val="nil"/>
            </w:tcBorders>
            <w:noWrap/>
            <w:hideMark/>
          </w:tcPr>
          <w:p w14:paraId="36C09DE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16.84</w:t>
            </w:r>
          </w:p>
        </w:tc>
        <w:tc>
          <w:tcPr>
            <w:tcW w:w="511" w:type="pct"/>
            <w:tcBorders>
              <w:top w:val="nil"/>
              <w:left w:val="nil"/>
              <w:bottom w:val="nil"/>
              <w:right w:val="nil"/>
            </w:tcBorders>
            <w:noWrap/>
            <w:hideMark/>
          </w:tcPr>
          <w:p w14:paraId="1677530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13.47</w:t>
            </w:r>
          </w:p>
        </w:tc>
        <w:tc>
          <w:tcPr>
            <w:tcW w:w="598" w:type="pct"/>
            <w:tcBorders>
              <w:top w:val="nil"/>
              <w:left w:val="nil"/>
              <w:bottom w:val="nil"/>
              <w:right w:val="nil"/>
            </w:tcBorders>
            <w:noWrap/>
            <w:hideMark/>
          </w:tcPr>
          <w:p w14:paraId="7AB8394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46.7</w:t>
            </w:r>
          </w:p>
        </w:tc>
        <w:tc>
          <w:tcPr>
            <w:tcW w:w="521" w:type="pct"/>
            <w:tcBorders>
              <w:top w:val="nil"/>
              <w:left w:val="nil"/>
              <w:bottom w:val="nil"/>
              <w:right w:val="nil"/>
            </w:tcBorders>
            <w:noWrap/>
            <w:hideMark/>
          </w:tcPr>
          <w:p w14:paraId="0879886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16.35</w:t>
            </w:r>
          </w:p>
        </w:tc>
        <w:tc>
          <w:tcPr>
            <w:tcW w:w="538" w:type="pct"/>
            <w:tcBorders>
              <w:top w:val="nil"/>
              <w:left w:val="nil"/>
              <w:bottom w:val="nil"/>
              <w:right w:val="nil"/>
            </w:tcBorders>
            <w:noWrap/>
            <w:hideMark/>
          </w:tcPr>
          <w:p w14:paraId="3972686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19.44</w:t>
            </w:r>
          </w:p>
        </w:tc>
        <w:tc>
          <w:tcPr>
            <w:tcW w:w="434" w:type="pct"/>
            <w:tcBorders>
              <w:top w:val="nil"/>
              <w:left w:val="nil"/>
              <w:bottom w:val="nil"/>
              <w:right w:val="nil"/>
            </w:tcBorders>
            <w:noWrap/>
            <w:hideMark/>
          </w:tcPr>
          <w:p w14:paraId="751D005A"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6.57</w:t>
            </w:r>
          </w:p>
        </w:tc>
        <w:tc>
          <w:tcPr>
            <w:tcW w:w="472" w:type="pct"/>
            <w:tcBorders>
              <w:top w:val="nil"/>
              <w:left w:val="nil"/>
              <w:bottom w:val="nil"/>
              <w:right w:val="nil"/>
            </w:tcBorders>
            <w:noWrap/>
            <w:hideMark/>
          </w:tcPr>
          <w:p w14:paraId="74A365F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2.87</w:t>
            </w:r>
          </w:p>
        </w:tc>
      </w:tr>
      <w:tr w:rsidR="00BB7067" w:rsidRPr="00AE54B1" w14:paraId="60ED2B66" w14:textId="77777777" w:rsidTr="00AE54B1">
        <w:trPr>
          <w:trHeight w:val="20"/>
          <w:jc w:val="center"/>
        </w:trPr>
        <w:tc>
          <w:tcPr>
            <w:tcW w:w="530" w:type="pct"/>
            <w:tcBorders>
              <w:top w:val="nil"/>
              <w:left w:val="nil"/>
              <w:bottom w:val="nil"/>
              <w:right w:val="nil"/>
            </w:tcBorders>
            <w:noWrap/>
            <w:hideMark/>
          </w:tcPr>
          <w:p w14:paraId="7AD9B8D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41</w:t>
            </w:r>
          </w:p>
        </w:tc>
        <w:tc>
          <w:tcPr>
            <w:tcW w:w="403" w:type="pct"/>
            <w:tcBorders>
              <w:top w:val="nil"/>
              <w:left w:val="nil"/>
              <w:bottom w:val="nil"/>
              <w:right w:val="nil"/>
            </w:tcBorders>
            <w:noWrap/>
            <w:hideMark/>
          </w:tcPr>
          <w:p w14:paraId="0D95C7C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3.65</w:t>
            </w:r>
          </w:p>
        </w:tc>
        <w:tc>
          <w:tcPr>
            <w:tcW w:w="412" w:type="pct"/>
            <w:tcBorders>
              <w:top w:val="nil"/>
              <w:left w:val="nil"/>
              <w:bottom w:val="nil"/>
              <w:right w:val="nil"/>
            </w:tcBorders>
            <w:noWrap/>
            <w:hideMark/>
          </w:tcPr>
          <w:p w14:paraId="461F1BA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6.39</w:t>
            </w:r>
          </w:p>
        </w:tc>
        <w:tc>
          <w:tcPr>
            <w:tcW w:w="581" w:type="pct"/>
            <w:tcBorders>
              <w:top w:val="nil"/>
              <w:left w:val="nil"/>
              <w:bottom w:val="nil"/>
              <w:right w:val="nil"/>
            </w:tcBorders>
            <w:noWrap/>
            <w:hideMark/>
          </w:tcPr>
          <w:p w14:paraId="3274AC2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5.42</w:t>
            </w:r>
          </w:p>
        </w:tc>
        <w:tc>
          <w:tcPr>
            <w:tcW w:w="511" w:type="pct"/>
            <w:tcBorders>
              <w:top w:val="nil"/>
              <w:left w:val="nil"/>
              <w:bottom w:val="nil"/>
              <w:right w:val="nil"/>
            </w:tcBorders>
            <w:noWrap/>
            <w:hideMark/>
          </w:tcPr>
          <w:p w14:paraId="40FC85B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3.52</w:t>
            </w:r>
          </w:p>
        </w:tc>
        <w:tc>
          <w:tcPr>
            <w:tcW w:w="598" w:type="pct"/>
            <w:tcBorders>
              <w:top w:val="nil"/>
              <w:left w:val="nil"/>
              <w:bottom w:val="nil"/>
              <w:right w:val="nil"/>
            </w:tcBorders>
            <w:noWrap/>
            <w:hideMark/>
          </w:tcPr>
          <w:p w14:paraId="32A2B6D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47.84</w:t>
            </w:r>
          </w:p>
        </w:tc>
        <w:tc>
          <w:tcPr>
            <w:tcW w:w="521" w:type="pct"/>
            <w:tcBorders>
              <w:top w:val="nil"/>
              <w:left w:val="nil"/>
              <w:bottom w:val="nil"/>
              <w:right w:val="nil"/>
            </w:tcBorders>
            <w:noWrap/>
            <w:hideMark/>
          </w:tcPr>
          <w:p w14:paraId="274E200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8.82</w:t>
            </w:r>
          </w:p>
        </w:tc>
        <w:tc>
          <w:tcPr>
            <w:tcW w:w="538" w:type="pct"/>
            <w:tcBorders>
              <w:top w:val="nil"/>
              <w:left w:val="nil"/>
              <w:bottom w:val="nil"/>
              <w:right w:val="nil"/>
            </w:tcBorders>
            <w:noWrap/>
            <w:hideMark/>
          </w:tcPr>
          <w:p w14:paraId="7B2F0A3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19.19</w:t>
            </w:r>
          </w:p>
        </w:tc>
        <w:tc>
          <w:tcPr>
            <w:tcW w:w="434" w:type="pct"/>
            <w:tcBorders>
              <w:top w:val="nil"/>
              <w:left w:val="nil"/>
              <w:bottom w:val="nil"/>
              <w:right w:val="nil"/>
            </w:tcBorders>
            <w:noWrap/>
            <w:hideMark/>
          </w:tcPr>
          <w:p w14:paraId="56A8259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3.48</w:t>
            </w:r>
          </w:p>
        </w:tc>
        <w:tc>
          <w:tcPr>
            <w:tcW w:w="472" w:type="pct"/>
            <w:tcBorders>
              <w:top w:val="nil"/>
              <w:left w:val="nil"/>
              <w:bottom w:val="nil"/>
              <w:right w:val="nil"/>
            </w:tcBorders>
            <w:noWrap/>
            <w:hideMark/>
          </w:tcPr>
          <w:p w14:paraId="0BB6051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2.03</w:t>
            </w:r>
          </w:p>
        </w:tc>
      </w:tr>
      <w:tr w:rsidR="00BB7067" w:rsidRPr="00AE54B1" w14:paraId="331983C0" w14:textId="77777777" w:rsidTr="00AE54B1">
        <w:trPr>
          <w:trHeight w:val="20"/>
          <w:jc w:val="center"/>
        </w:trPr>
        <w:tc>
          <w:tcPr>
            <w:tcW w:w="530" w:type="pct"/>
            <w:tcBorders>
              <w:top w:val="nil"/>
              <w:left w:val="nil"/>
              <w:bottom w:val="nil"/>
              <w:right w:val="nil"/>
            </w:tcBorders>
            <w:noWrap/>
            <w:hideMark/>
          </w:tcPr>
          <w:p w14:paraId="05A6DA2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42</w:t>
            </w:r>
          </w:p>
        </w:tc>
        <w:tc>
          <w:tcPr>
            <w:tcW w:w="403" w:type="pct"/>
            <w:tcBorders>
              <w:top w:val="nil"/>
              <w:left w:val="nil"/>
              <w:bottom w:val="nil"/>
              <w:right w:val="nil"/>
            </w:tcBorders>
            <w:noWrap/>
            <w:hideMark/>
          </w:tcPr>
          <w:p w14:paraId="6D0C95F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2.55</w:t>
            </w:r>
          </w:p>
        </w:tc>
        <w:tc>
          <w:tcPr>
            <w:tcW w:w="412" w:type="pct"/>
            <w:tcBorders>
              <w:top w:val="nil"/>
              <w:left w:val="nil"/>
              <w:bottom w:val="nil"/>
              <w:right w:val="nil"/>
            </w:tcBorders>
            <w:noWrap/>
            <w:hideMark/>
          </w:tcPr>
          <w:p w14:paraId="16E1DF4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2.87</w:t>
            </w:r>
          </w:p>
        </w:tc>
        <w:tc>
          <w:tcPr>
            <w:tcW w:w="581" w:type="pct"/>
            <w:tcBorders>
              <w:top w:val="nil"/>
              <w:left w:val="nil"/>
              <w:bottom w:val="nil"/>
              <w:right w:val="nil"/>
            </w:tcBorders>
            <w:noWrap/>
            <w:hideMark/>
          </w:tcPr>
          <w:p w14:paraId="723E6ED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7.61</w:t>
            </w:r>
          </w:p>
        </w:tc>
        <w:tc>
          <w:tcPr>
            <w:tcW w:w="511" w:type="pct"/>
            <w:tcBorders>
              <w:top w:val="nil"/>
              <w:left w:val="nil"/>
              <w:bottom w:val="nil"/>
              <w:right w:val="nil"/>
            </w:tcBorders>
            <w:noWrap/>
            <w:hideMark/>
          </w:tcPr>
          <w:p w14:paraId="602F311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8.49</w:t>
            </w:r>
          </w:p>
        </w:tc>
        <w:tc>
          <w:tcPr>
            <w:tcW w:w="598" w:type="pct"/>
            <w:tcBorders>
              <w:top w:val="nil"/>
              <w:left w:val="nil"/>
              <w:bottom w:val="nil"/>
              <w:right w:val="nil"/>
            </w:tcBorders>
            <w:noWrap/>
            <w:hideMark/>
          </w:tcPr>
          <w:p w14:paraId="0D7AB99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31.75</w:t>
            </w:r>
          </w:p>
        </w:tc>
        <w:tc>
          <w:tcPr>
            <w:tcW w:w="521" w:type="pct"/>
            <w:tcBorders>
              <w:top w:val="nil"/>
              <w:left w:val="nil"/>
              <w:bottom w:val="nil"/>
              <w:right w:val="nil"/>
            </w:tcBorders>
            <w:noWrap/>
            <w:hideMark/>
          </w:tcPr>
          <w:p w14:paraId="382E89D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20.83</w:t>
            </w:r>
          </w:p>
        </w:tc>
        <w:tc>
          <w:tcPr>
            <w:tcW w:w="538" w:type="pct"/>
            <w:tcBorders>
              <w:top w:val="nil"/>
              <w:left w:val="nil"/>
              <w:bottom w:val="nil"/>
              <w:right w:val="nil"/>
            </w:tcBorders>
            <w:noWrap/>
            <w:hideMark/>
          </w:tcPr>
          <w:p w14:paraId="6C6B72A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5.47</w:t>
            </w:r>
          </w:p>
        </w:tc>
        <w:tc>
          <w:tcPr>
            <w:tcW w:w="434" w:type="pct"/>
            <w:tcBorders>
              <w:top w:val="nil"/>
              <w:left w:val="nil"/>
              <w:bottom w:val="nil"/>
              <w:right w:val="nil"/>
            </w:tcBorders>
            <w:noWrap/>
            <w:hideMark/>
          </w:tcPr>
          <w:p w14:paraId="711A06D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72" w:type="pct"/>
            <w:tcBorders>
              <w:top w:val="nil"/>
              <w:left w:val="nil"/>
              <w:bottom w:val="nil"/>
              <w:right w:val="nil"/>
            </w:tcBorders>
            <w:noWrap/>
            <w:hideMark/>
          </w:tcPr>
          <w:p w14:paraId="0E8583A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2.21</w:t>
            </w:r>
          </w:p>
        </w:tc>
      </w:tr>
      <w:tr w:rsidR="00BB7067" w:rsidRPr="00AE54B1" w14:paraId="55F400F6" w14:textId="77777777" w:rsidTr="00AE54B1">
        <w:trPr>
          <w:trHeight w:val="20"/>
          <w:jc w:val="center"/>
        </w:trPr>
        <w:tc>
          <w:tcPr>
            <w:tcW w:w="530" w:type="pct"/>
            <w:tcBorders>
              <w:top w:val="nil"/>
              <w:left w:val="nil"/>
              <w:bottom w:val="nil"/>
              <w:right w:val="nil"/>
            </w:tcBorders>
            <w:noWrap/>
            <w:hideMark/>
          </w:tcPr>
          <w:p w14:paraId="74E038E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43</w:t>
            </w:r>
          </w:p>
        </w:tc>
        <w:tc>
          <w:tcPr>
            <w:tcW w:w="403" w:type="pct"/>
            <w:tcBorders>
              <w:top w:val="nil"/>
              <w:left w:val="nil"/>
              <w:bottom w:val="nil"/>
              <w:right w:val="nil"/>
            </w:tcBorders>
            <w:noWrap/>
            <w:hideMark/>
          </w:tcPr>
          <w:p w14:paraId="58F42C8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1.68</w:t>
            </w:r>
          </w:p>
        </w:tc>
        <w:tc>
          <w:tcPr>
            <w:tcW w:w="412" w:type="pct"/>
            <w:tcBorders>
              <w:top w:val="nil"/>
              <w:left w:val="nil"/>
              <w:bottom w:val="nil"/>
              <w:right w:val="nil"/>
            </w:tcBorders>
            <w:noWrap/>
            <w:hideMark/>
          </w:tcPr>
          <w:p w14:paraId="2A5CB71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5.56</w:t>
            </w:r>
          </w:p>
        </w:tc>
        <w:tc>
          <w:tcPr>
            <w:tcW w:w="581" w:type="pct"/>
            <w:tcBorders>
              <w:top w:val="nil"/>
              <w:left w:val="nil"/>
              <w:bottom w:val="nil"/>
              <w:right w:val="nil"/>
            </w:tcBorders>
            <w:noWrap/>
            <w:hideMark/>
          </w:tcPr>
          <w:p w14:paraId="41E9DAB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6.92</w:t>
            </w:r>
          </w:p>
        </w:tc>
        <w:tc>
          <w:tcPr>
            <w:tcW w:w="511" w:type="pct"/>
            <w:tcBorders>
              <w:top w:val="nil"/>
              <w:left w:val="nil"/>
              <w:bottom w:val="nil"/>
              <w:right w:val="nil"/>
            </w:tcBorders>
            <w:noWrap/>
            <w:hideMark/>
          </w:tcPr>
          <w:p w14:paraId="43781F4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3.78</w:t>
            </w:r>
          </w:p>
        </w:tc>
        <w:tc>
          <w:tcPr>
            <w:tcW w:w="598" w:type="pct"/>
            <w:tcBorders>
              <w:top w:val="nil"/>
              <w:left w:val="nil"/>
              <w:bottom w:val="nil"/>
              <w:right w:val="nil"/>
            </w:tcBorders>
            <w:noWrap/>
            <w:hideMark/>
          </w:tcPr>
          <w:p w14:paraId="7255CD1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21.7</w:t>
            </w:r>
          </w:p>
        </w:tc>
        <w:tc>
          <w:tcPr>
            <w:tcW w:w="521" w:type="pct"/>
            <w:tcBorders>
              <w:top w:val="nil"/>
              <w:left w:val="nil"/>
              <w:bottom w:val="nil"/>
              <w:right w:val="nil"/>
            </w:tcBorders>
            <w:noWrap/>
            <w:hideMark/>
          </w:tcPr>
          <w:p w14:paraId="60AA292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4.87</w:t>
            </w:r>
          </w:p>
        </w:tc>
        <w:tc>
          <w:tcPr>
            <w:tcW w:w="538" w:type="pct"/>
            <w:tcBorders>
              <w:top w:val="nil"/>
              <w:left w:val="nil"/>
              <w:bottom w:val="nil"/>
              <w:right w:val="nil"/>
            </w:tcBorders>
            <w:noWrap/>
            <w:hideMark/>
          </w:tcPr>
          <w:p w14:paraId="7AF9746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6.44</w:t>
            </w:r>
          </w:p>
        </w:tc>
        <w:tc>
          <w:tcPr>
            <w:tcW w:w="434" w:type="pct"/>
            <w:tcBorders>
              <w:top w:val="nil"/>
              <w:left w:val="nil"/>
              <w:bottom w:val="nil"/>
              <w:right w:val="nil"/>
            </w:tcBorders>
            <w:noWrap/>
            <w:hideMark/>
          </w:tcPr>
          <w:p w14:paraId="4EF2F52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72" w:type="pct"/>
            <w:tcBorders>
              <w:top w:val="nil"/>
              <w:left w:val="nil"/>
              <w:bottom w:val="nil"/>
              <w:right w:val="nil"/>
            </w:tcBorders>
            <w:noWrap/>
            <w:hideMark/>
          </w:tcPr>
          <w:p w14:paraId="59B37DF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2.1</w:t>
            </w:r>
          </w:p>
        </w:tc>
      </w:tr>
      <w:tr w:rsidR="00BB7067" w:rsidRPr="00AE54B1" w14:paraId="5129D160" w14:textId="77777777" w:rsidTr="00AE54B1">
        <w:trPr>
          <w:trHeight w:val="20"/>
          <w:jc w:val="center"/>
        </w:trPr>
        <w:tc>
          <w:tcPr>
            <w:tcW w:w="530" w:type="pct"/>
            <w:tcBorders>
              <w:top w:val="nil"/>
              <w:left w:val="nil"/>
              <w:bottom w:val="nil"/>
              <w:right w:val="nil"/>
            </w:tcBorders>
            <w:noWrap/>
            <w:hideMark/>
          </w:tcPr>
          <w:p w14:paraId="0CD5B8D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44</w:t>
            </w:r>
          </w:p>
        </w:tc>
        <w:tc>
          <w:tcPr>
            <w:tcW w:w="403" w:type="pct"/>
            <w:tcBorders>
              <w:top w:val="nil"/>
              <w:left w:val="nil"/>
              <w:bottom w:val="nil"/>
              <w:right w:val="nil"/>
            </w:tcBorders>
            <w:noWrap/>
            <w:hideMark/>
          </w:tcPr>
          <w:p w14:paraId="7E217B1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1.79</w:t>
            </w:r>
          </w:p>
        </w:tc>
        <w:tc>
          <w:tcPr>
            <w:tcW w:w="412" w:type="pct"/>
            <w:tcBorders>
              <w:top w:val="nil"/>
              <w:left w:val="nil"/>
              <w:bottom w:val="nil"/>
              <w:right w:val="nil"/>
            </w:tcBorders>
            <w:noWrap/>
            <w:hideMark/>
          </w:tcPr>
          <w:p w14:paraId="657BA01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1.48</w:t>
            </w:r>
          </w:p>
        </w:tc>
        <w:tc>
          <w:tcPr>
            <w:tcW w:w="581" w:type="pct"/>
            <w:tcBorders>
              <w:top w:val="nil"/>
              <w:left w:val="nil"/>
              <w:bottom w:val="nil"/>
              <w:right w:val="nil"/>
            </w:tcBorders>
            <w:noWrap/>
            <w:hideMark/>
          </w:tcPr>
          <w:p w14:paraId="52B91C2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10.44</w:t>
            </w:r>
          </w:p>
        </w:tc>
        <w:tc>
          <w:tcPr>
            <w:tcW w:w="511" w:type="pct"/>
            <w:tcBorders>
              <w:top w:val="nil"/>
              <w:left w:val="nil"/>
              <w:bottom w:val="nil"/>
              <w:right w:val="nil"/>
            </w:tcBorders>
            <w:noWrap/>
            <w:hideMark/>
          </w:tcPr>
          <w:p w14:paraId="227A95F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2.09</w:t>
            </w:r>
          </w:p>
        </w:tc>
        <w:tc>
          <w:tcPr>
            <w:tcW w:w="598" w:type="pct"/>
            <w:tcBorders>
              <w:top w:val="nil"/>
              <w:left w:val="nil"/>
              <w:bottom w:val="nil"/>
              <w:right w:val="nil"/>
            </w:tcBorders>
            <w:noWrap/>
            <w:hideMark/>
          </w:tcPr>
          <w:p w14:paraId="53D7A6E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14.42</w:t>
            </w:r>
          </w:p>
        </w:tc>
        <w:tc>
          <w:tcPr>
            <w:tcW w:w="521" w:type="pct"/>
            <w:tcBorders>
              <w:top w:val="nil"/>
              <w:left w:val="nil"/>
              <w:bottom w:val="nil"/>
              <w:right w:val="nil"/>
            </w:tcBorders>
            <w:noWrap/>
            <w:hideMark/>
          </w:tcPr>
          <w:p w14:paraId="132AD00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3.32</w:t>
            </w:r>
          </w:p>
        </w:tc>
        <w:tc>
          <w:tcPr>
            <w:tcW w:w="538" w:type="pct"/>
            <w:tcBorders>
              <w:top w:val="nil"/>
              <w:left w:val="nil"/>
              <w:bottom w:val="nil"/>
              <w:right w:val="nil"/>
            </w:tcBorders>
            <w:noWrap/>
            <w:hideMark/>
          </w:tcPr>
          <w:p w14:paraId="6C7B436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2.33</w:t>
            </w:r>
          </w:p>
        </w:tc>
        <w:tc>
          <w:tcPr>
            <w:tcW w:w="434" w:type="pct"/>
            <w:tcBorders>
              <w:top w:val="nil"/>
              <w:left w:val="nil"/>
              <w:bottom w:val="nil"/>
              <w:right w:val="nil"/>
            </w:tcBorders>
            <w:noWrap/>
            <w:hideMark/>
          </w:tcPr>
          <w:p w14:paraId="4FD6B73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5.52</w:t>
            </w:r>
          </w:p>
        </w:tc>
        <w:tc>
          <w:tcPr>
            <w:tcW w:w="472" w:type="pct"/>
            <w:tcBorders>
              <w:top w:val="nil"/>
              <w:left w:val="nil"/>
              <w:bottom w:val="nil"/>
              <w:right w:val="nil"/>
            </w:tcBorders>
            <w:noWrap/>
            <w:hideMark/>
          </w:tcPr>
          <w:p w14:paraId="7B3F945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r>
      <w:tr w:rsidR="00BB7067" w:rsidRPr="00AE54B1" w14:paraId="3437F834" w14:textId="77777777" w:rsidTr="00AE54B1">
        <w:trPr>
          <w:trHeight w:val="20"/>
          <w:jc w:val="center"/>
        </w:trPr>
        <w:tc>
          <w:tcPr>
            <w:tcW w:w="530" w:type="pct"/>
            <w:tcBorders>
              <w:top w:val="nil"/>
              <w:left w:val="nil"/>
              <w:bottom w:val="nil"/>
              <w:right w:val="nil"/>
            </w:tcBorders>
            <w:noWrap/>
            <w:hideMark/>
          </w:tcPr>
          <w:p w14:paraId="4C5223B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45</w:t>
            </w:r>
          </w:p>
        </w:tc>
        <w:tc>
          <w:tcPr>
            <w:tcW w:w="403" w:type="pct"/>
            <w:tcBorders>
              <w:top w:val="nil"/>
              <w:left w:val="nil"/>
              <w:bottom w:val="nil"/>
              <w:right w:val="nil"/>
            </w:tcBorders>
            <w:noWrap/>
            <w:hideMark/>
          </w:tcPr>
          <w:p w14:paraId="06312D8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1.17</w:t>
            </w:r>
          </w:p>
        </w:tc>
        <w:tc>
          <w:tcPr>
            <w:tcW w:w="412" w:type="pct"/>
            <w:tcBorders>
              <w:top w:val="nil"/>
              <w:left w:val="nil"/>
              <w:bottom w:val="nil"/>
              <w:right w:val="nil"/>
            </w:tcBorders>
            <w:noWrap/>
            <w:hideMark/>
          </w:tcPr>
          <w:p w14:paraId="27AB514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1.78</w:t>
            </w:r>
          </w:p>
        </w:tc>
        <w:tc>
          <w:tcPr>
            <w:tcW w:w="581" w:type="pct"/>
            <w:tcBorders>
              <w:top w:val="nil"/>
              <w:left w:val="nil"/>
              <w:bottom w:val="nil"/>
              <w:right w:val="nil"/>
            </w:tcBorders>
            <w:noWrap/>
            <w:hideMark/>
          </w:tcPr>
          <w:p w14:paraId="725AF3F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4.07</w:t>
            </w:r>
          </w:p>
        </w:tc>
        <w:tc>
          <w:tcPr>
            <w:tcW w:w="511" w:type="pct"/>
            <w:tcBorders>
              <w:top w:val="nil"/>
              <w:left w:val="nil"/>
              <w:bottom w:val="nil"/>
              <w:right w:val="nil"/>
            </w:tcBorders>
            <w:noWrap/>
            <w:hideMark/>
          </w:tcPr>
          <w:p w14:paraId="264DB09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1.91</w:t>
            </w:r>
          </w:p>
        </w:tc>
        <w:tc>
          <w:tcPr>
            <w:tcW w:w="598" w:type="pct"/>
            <w:tcBorders>
              <w:top w:val="nil"/>
              <w:left w:val="nil"/>
              <w:bottom w:val="nil"/>
              <w:right w:val="nil"/>
            </w:tcBorders>
            <w:noWrap/>
            <w:hideMark/>
          </w:tcPr>
          <w:p w14:paraId="0D7C0EF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20.78</w:t>
            </w:r>
          </w:p>
        </w:tc>
        <w:tc>
          <w:tcPr>
            <w:tcW w:w="521" w:type="pct"/>
            <w:tcBorders>
              <w:top w:val="nil"/>
              <w:left w:val="nil"/>
              <w:bottom w:val="nil"/>
              <w:right w:val="nil"/>
            </w:tcBorders>
            <w:noWrap/>
            <w:hideMark/>
          </w:tcPr>
          <w:p w14:paraId="6B579EA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1.64</w:t>
            </w:r>
          </w:p>
        </w:tc>
        <w:tc>
          <w:tcPr>
            <w:tcW w:w="538" w:type="pct"/>
            <w:tcBorders>
              <w:top w:val="nil"/>
              <w:left w:val="nil"/>
              <w:bottom w:val="nil"/>
              <w:right w:val="nil"/>
            </w:tcBorders>
            <w:noWrap/>
            <w:hideMark/>
          </w:tcPr>
          <w:p w14:paraId="1B6D727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34" w:type="pct"/>
            <w:tcBorders>
              <w:top w:val="nil"/>
              <w:left w:val="nil"/>
              <w:bottom w:val="nil"/>
              <w:right w:val="nil"/>
            </w:tcBorders>
            <w:noWrap/>
            <w:hideMark/>
          </w:tcPr>
          <w:p w14:paraId="50CCE8F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72" w:type="pct"/>
            <w:tcBorders>
              <w:top w:val="nil"/>
              <w:left w:val="nil"/>
              <w:bottom w:val="nil"/>
              <w:right w:val="nil"/>
            </w:tcBorders>
            <w:noWrap/>
            <w:hideMark/>
          </w:tcPr>
          <w:p w14:paraId="60122C3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r>
      <w:tr w:rsidR="00BB7067" w:rsidRPr="00AE54B1" w14:paraId="595B2D1B" w14:textId="77777777" w:rsidTr="00AE54B1">
        <w:trPr>
          <w:trHeight w:val="20"/>
          <w:jc w:val="center"/>
        </w:trPr>
        <w:tc>
          <w:tcPr>
            <w:tcW w:w="530" w:type="pct"/>
            <w:tcBorders>
              <w:top w:val="nil"/>
              <w:left w:val="nil"/>
              <w:bottom w:val="nil"/>
              <w:right w:val="nil"/>
            </w:tcBorders>
            <w:noWrap/>
            <w:hideMark/>
          </w:tcPr>
          <w:p w14:paraId="6239A6C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46</w:t>
            </w:r>
          </w:p>
        </w:tc>
        <w:tc>
          <w:tcPr>
            <w:tcW w:w="403" w:type="pct"/>
            <w:tcBorders>
              <w:top w:val="nil"/>
              <w:left w:val="nil"/>
              <w:bottom w:val="nil"/>
              <w:right w:val="nil"/>
            </w:tcBorders>
            <w:noWrap/>
            <w:hideMark/>
          </w:tcPr>
          <w:p w14:paraId="58BFE97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0.33</w:t>
            </w:r>
          </w:p>
        </w:tc>
        <w:tc>
          <w:tcPr>
            <w:tcW w:w="412" w:type="pct"/>
            <w:tcBorders>
              <w:top w:val="nil"/>
              <w:left w:val="nil"/>
              <w:bottom w:val="nil"/>
              <w:right w:val="nil"/>
            </w:tcBorders>
            <w:noWrap/>
            <w:hideMark/>
          </w:tcPr>
          <w:p w14:paraId="556D98B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581" w:type="pct"/>
            <w:tcBorders>
              <w:top w:val="nil"/>
              <w:left w:val="nil"/>
              <w:bottom w:val="nil"/>
              <w:right w:val="nil"/>
            </w:tcBorders>
            <w:noWrap/>
            <w:hideMark/>
          </w:tcPr>
          <w:p w14:paraId="688937D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4.78</w:t>
            </w:r>
          </w:p>
        </w:tc>
        <w:tc>
          <w:tcPr>
            <w:tcW w:w="511" w:type="pct"/>
            <w:tcBorders>
              <w:top w:val="nil"/>
              <w:left w:val="nil"/>
              <w:bottom w:val="nil"/>
              <w:right w:val="nil"/>
            </w:tcBorders>
            <w:noWrap/>
            <w:hideMark/>
          </w:tcPr>
          <w:p w14:paraId="7330213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1.53</w:t>
            </w:r>
          </w:p>
        </w:tc>
        <w:tc>
          <w:tcPr>
            <w:tcW w:w="598" w:type="pct"/>
            <w:tcBorders>
              <w:top w:val="nil"/>
              <w:left w:val="nil"/>
              <w:bottom w:val="nil"/>
              <w:right w:val="nil"/>
            </w:tcBorders>
            <w:noWrap/>
            <w:hideMark/>
          </w:tcPr>
          <w:p w14:paraId="18786E8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2.27</w:t>
            </w:r>
          </w:p>
        </w:tc>
        <w:tc>
          <w:tcPr>
            <w:tcW w:w="521" w:type="pct"/>
            <w:tcBorders>
              <w:top w:val="nil"/>
              <w:left w:val="nil"/>
              <w:bottom w:val="nil"/>
              <w:right w:val="nil"/>
            </w:tcBorders>
            <w:noWrap/>
            <w:hideMark/>
          </w:tcPr>
          <w:p w14:paraId="5F35795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538" w:type="pct"/>
            <w:tcBorders>
              <w:top w:val="nil"/>
              <w:left w:val="nil"/>
              <w:bottom w:val="nil"/>
              <w:right w:val="nil"/>
            </w:tcBorders>
            <w:noWrap/>
            <w:hideMark/>
          </w:tcPr>
          <w:p w14:paraId="217C532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3.08</w:t>
            </w:r>
          </w:p>
        </w:tc>
        <w:tc>
          <w:tcPr>
            <w:tcW w:w="434" w:type="pct"/>
            <w:tcBorders>
              <w:top w:val="nil"/>
              <w:left w:val="nil"/>
              <w:bottom w:val="nil"/>
              <w:right w:val="nil"/>
            </w:tcBorders>
            <w:noWrap/>
            <w:hideMark/>
          </w:tcPr>
          <w:p w14:paraId="398EA52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72" w:type="pct"/>
            <w:tcBorders>
              <w:top w:val="nil"/>
              <w:left w:val="nil"/>
              <w:bottom w:val="nil"/>
              <w:right w:val="nil"/>
            </w:tcBorders>
            <w:noWrap/>
            <w:hideMark/>
          </w:tcPr>
          <w:p w14:paraId="3062CCE5"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r>
      <w:tr w:rsidR="00BB7067" w:rsidRPr="00AE54B1" w14:paraId="3286A764" w14:textId="77777777" w:rsidTr="00AE54B1">
        <w:trPr>
          <w:trHeight w:val="20"/>
          <w:jc w:val="center"/>
        </w:trPr>
        <w:tc>
          <w:tcPr>
            <w:tcW w:w="530" w:type="pct"/>
            <w:tcBorders>
              <w:top w:val="nil"/>
              <w:left w:val="nil"/>
              <w:bottom w:val="nil"/>
              <w:right w:val="nil"/>
            </w:tcBorders>
            <w:noWrap/>
            <w:hideMark/>
          </w:tcPr>
          <w:p w14:paraId="19DE3C5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47</w:t>
            </w:r>
          </w:p>
        </w:tc>
        <w:tc>
          <w:tcPr>
            <w:tcW w:w="403" w:type="pct"/>
            <w:tcBorders>
              <w:top w:val="nil"/>
              <w:left w:val="nil"/>
              <w:bottom w:val="nil"/>
              <w:right w:val="nil"/>
            </w:tcBorders>
            <w:noWrap/>
            <w:hideMark/>
          </w:tcPr>
          <w:p w14:paraId="7DBD1BF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0.55</w:t>
            </w:r>
          </w:p>
        </w:tc>
        <w:tc>
          <w:tcPr>
            <w:tcW w:w="412" w:type="pct"/>
            <w:tcBorders>
              <w:top w:val="nil"/>
              <w:left w:val="nil"/>
              <w:bottom w:val="nil"/>
              <w:right w:val="nil"/>
            </w:tcBorders>
            <w:noWrap/>
            <w:hideMark/>
          </w:tcPr>
          <w:p w14:paraId="5AE7789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581" w:type="pct"/>
            <w:tcBorders>
              <w:top w:val="nil"/>
              <w:left w:val="nil"/>
              <w:bottom w:val="nil"/>
              <w:right w:val="nil"/>
            </w:tcBorders>
            <w:noWrap/>
            <w:hideMark/>
          </w:tcPr>
          <w:p w14:paraId="7D0A6EB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5.48</w:t>
            </w:r>
          </w:p>
        </w:tc>
        <w:tc>
          <w:tcPr>
            <w:tcW w:w="511" w:type="pct"/>
            <w:tcBorders>
              <w:top w:val="nil"/>
              <w:left w:val="nil"/>
              <w:bottom w:val="nil"/>
              <w:right w:val="nil"/>
            </w:tcBorders>
            <w:noWrap/>
            <w:hideMark/>
          </w:tcPr>
          <w:p w14:paraId="1445E98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0.67</w:t>
            </w:r>
          </w:p>
        </w:tc>
        <w:tc>
          <w:tcPr>
            <w:tcW w:w="598" w:type="pct"/>
            <w:tcBorders>
              <w:top w:val="nil"/>
              <w:left w:val="nil"/>
              <w:bottom w:val="nil"/>
              <w:right w:val="nil"/>
            </w:tcBorders>
            <w:noWrap/>
            <w:hideMark/>
          </w:tcPr>
          <w:p w14:paraId="591C968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10.78</w:t>
            </w:r>
          </w:p>
        </w:tc>
        <w:tc>
          <w:tcPr>
            <w:tcW w:w="521" w:type="pct"/>
            <w:tcBorders>
              <w:top w:val="nil"/>
              <w:left w:val="nil"/>
              <w:bottom w:val="nil"/>
              <w:right w:val="nil"/>
            </w:tcBorders>
            <w:noWrap/>
            <w:hideMark/>
          </w:tcPr>
          <w:p w14:paraId="38C721D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538" w:type="pct"/>
            <w:tcBorders>
              <w:top w:val="nil"/>
              <w:left w:val="nil"/>
              <w:bottom w:val="nil"/>
              <w:right w:val="nil"/>
            </w:tcBorders>
            <w:noWrap/>
            <w:hideMark/>
          </w:tcPr>
          <w:p w14:paraId="4A691CE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34" w:type="pct"/>
            <w:tcBorders>
              <w:top w:val="nil"/>
              <w:left w:val="nil"/>
              <w:bottom w:val="nil"/>
              <w:right w:val="nil"/>
            </w:tcBorders>
            <w:noWrap/>
            <w:hideMark/>
          </w:tcPr>
          <w:p w14:paraId="3D878D4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72" w:type="pct"/>
            <w:tcBorders>
              <w:top w:val="nil"/>
              <w:left w:val="nil"/>
              <w:bottom w:val="nil"/>
              <w:right w:val="nil"/>
            </w:tcBorders>
            <w:noWrap/>
            <w:hideMark/>
          </w:tcPr>
          <w:p w14:paraId="1444E80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w:t>
            </w:r>
          </w:p>
        </w:tc>
      </w:tr>
      <w:tr w:rsidR="00BB7067" w:rsidRPr="00AE54B1" w14:paraId="05566CE8" w14:textId="77777777" w:rsidTr="00AE54B1">
        <w:trPr>
          <w:trHeight w:val="20"/>
          <w:jc w:val="center"/>
        </w:trPr>
        <w:tc>
          <w:tcPr>
            <w:tcW w:w="530" w:type="pct"/>
            <w:tcBorders>
              <w:top w:val="nil"/>
              <w:left w:val="nil"/>
              <w:bottom w:val="nil"/>
              <w:right w:val="nil"/>
            </w:tcBorders>
            <w:noWrap/>
            <w:hideMark/>
          </w:tcPr>
          <w:p w14:paraId="72D0866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48</w:t>
            </w:r>
          </w:p>
        </w:tc>
        <w:tc>
          <w:tcPr>
            <w:tcW w:w="403" w:type="pct"/>
            <w:tcBorders>
              <w:top w:val="nil"/>
              <w:left w:val="nil"/>
              <w:bottom w:val="nil"/>
              <w:right w:val="nil"/>
            </w:tcBorders>
            <w:noWrap/>
            <w:hideMark/>
          </w:tcPr>
          <w:p w14:paraId="44C1573D"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0.3</w:t>
            </w:r>
          </w:p>
        </w:tc>
        <w:tc>
          <w:tcPr>
            <w:tcW w:w="412" w:type="pct"/>
            <w:tcBorders>
              <w:top w:val="nil"/>
              <w:left w:val="nil"/>
              <w:bottom w:val="nil"/>
              <w:right w:val="nil"/>
            </w:tcBorders>
            <w:noWrap/>
            <w:hideMark/>
          </w:tcPr>
          <w:p w14:paraId="483CAAFB"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581" w:type="pct"/>
            <w:tcBorders>
              <w:top w:val="nil"/>
              <w:left w:val="nil"/>
              <w:bottom w:val="nil"/>
              <w:right w:val="nil"/>
            </w:tcBorders>
            <w:noWrap/>
            <w:hideMark/>
          </w:tcPr>
          <w:p w14:paraId="5A7847A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1.25</w:t>
            </w:r>
          </w:p>
        </w:tc>
        <w:tc>
          <w:tcPr>
            <w:tcW w:w="511" w:type="pct"/>
            <w:tcBorders>
              <w:top w:val="nil"/>
              <w:left w:val="nil"/>
              <w:bottom w:val="nil"/>
              <w:right w:val="nil"/>
            </w:tcBorders>
            <w:noWrap/>
            <w:hideMark/>
          </w:tcPr>
          <w:p w14:paraId="5360F3A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598" w:type="pct"/>
            <w:tcBorders>
              <w:top w:val="nil"/>
              <w:left w:val="nil"/>
              <w:bottom w:val="nil"/>
              <w:right w:val="nil"/>
            </w:tcBorders>
            <w:noWrap/>
            <w:hideMark/>
          </w:tcPr>
          <w:p w14:paraId="496F6944"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3.21</w:t>
            </w:r>
          </w:p>
        </w:tc>
        <w:tc>
          <w:tcPr>
            <w:tcW w:w="521" w:type="pct"/>
            <w:tcBorders>
              <w:top w:val="nil"/>
              <w:left w:val="nil"/>
              <w:bottom w:val="nil"/>
              <w:right w:val="nil"/>
            </w:tcBorders>
            <w:noWrap/>
            <w:hideMark/>
          </w:tcPr>
          <w:p w14:paraId="52262042"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538" w:type="pct"/>
            <w:tcBorders>
              <w:top w:val="nil"/>
              <w:left w:val="nil"/>
              <w:bottom w:val="nil"/>
              <w:right w:val="nil"/>
            </w:tcBorders>
            <w:noWrap/>
            <w:hideMark/>
          </w:tcPr>
          <w:p w14:paraId="1BB0538E"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34" w:type="pct"/>
            <w:tcBorders>
              <w:top w:val="nil"/>
              <w:left w:val="nil"/>
              <w:bottom w:val="nil"/>
              <w:right w:val="nil"/>
            </w:tcBorders>
            <w:noWrap/>
            <w:hideMark/>
          </w:tcPr>
          <w:p w14:paraId="56821E5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72" w:type="pct"/>
            <w:tcBorders>
              <w:top w:val="nil"/>
              <w:left w:val="nil"/>
              <w:bottom w:val="nil"/>
              <w:right w:val="nil"/>
            </w:tcBorders>
            <w:noWrap/>
            <w:hideMark/>
          </w:tcPr>
          <w:p w14:paraId="58D1D7F3"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r>
      <w:tr w:rsidR="00BB7067" w:rsidRPr="00AE54B1" w14:paraId="1E305F24" w14:textId="77777777" w:rsidTr="00AE54B1">
        <w:trPr>
          <w:trHeight w:val="20"/>
          <w:jc w:val="center"/>
        </w:trPr>
        <w:tc>
          <w:tcPr>
            <w:tcW w:w="530" w:type="pct"/>
            <w:tcBorders>
              <w:top w:val="nil"/>
              <w:left w:val="nil"/>
              <w:bottom w:val="nil"/>
              <w:right w:val="nil"/>
            </w:tcBorders>
            <w:noWrap/>
            <w:hideMark/>
          </w:tcPr>
          <w:p w14:paraId="5F9CBBC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49</w:t>
            </w:r>
          </w:p>
        </w:tc>
        <w:tc>
          <w:tcPr>
            <w:tcW w:w="403" w:type="pct"/>
            <w:tcBorders>
              <w:top w:val="nil"/>
              <w:left w:val="nil"/>
              <w:bottom w:val="nil"/>
              <w:right w:val="nil"/>
            </w:tcBorders>
            <w:noWrap/>
            <w:hideMark/>
          </w:tcPr>
          <w:p w14:paraId="1ADC7D50"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0.46</w:t>
            </w:r>
          </w:p>
        </w:tc>
        <w:tc>
          <w:tcPr>
            <w:tcW w:w="412" w:type="pct"/>
            <w:tcBorders>
              <w:top w:val="nil"/>
              <w:left w:val="nil"/>
              <w:bottom w:val="nil"/>
              <w:right w:val="nil"/>
            </w:tcBorders>
            <w:noWrap/>
            <w:hideMark/>
          </w:tcPr>
          <w:p w14:paraId="17C02C7F"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581" w:type="pct"/>
            <w:tcBorders>
              <w:top w:val="nil"/>
              <w:left w:val="nil"/>
              <w:bottom w:val="nil"/>
              <w:right w:val="nil"/>
            </w:tcBorders>
            <w:noWrap/>
            <w:hideMark/>
          </w:tcPr>
          <w:p w14:paraId="4277D41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17.67</w:t>
            </w:r>
          </w:p>
        </w:tc>
        <w:tc>
          <w:tcPr>
            <w:tcW w:w="511" w:type="pct"/>
            <w:tcBorders>
              <w:top w:val="nil"/>
              <w:left w:val="nil"/>
              <w:bottom w:val="nil"/>
              <w:right w:val="nil"/>
            </w:tcBorders>
            <w:noWrap/>
            <w:hideMark/>
          </w:tcPr>
          <w:p w14:paraId="0A102291"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598" w:type="pct"/>
            <w:tcBorders>
              <w:top w:val="nil"/>
              <w:left w:val="nil"/>
              <w:bottom w:val="nil"/>
              <w:right w:val="nil"/>
            </w:tcBorders>
            <w:noWrap/>
            <w:hideMark/>
          </w:tcPr>
          <w:p w14:paraId="280ACE99"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521" w:type="pct"/>
            <w:tcBorders>
              <w:top w:val="nil"/>
              <w:left w:val="nil"/>
              <w:bottom w:val="nil"/>
              <w:right w:val="nil"/>
            </w:tcBorders>
            <w:noWrap/>
            <w:hideMark/>
          </w:tcPr>
          <w:p w14:paraId="41A486B8"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538" w:type="pct"/>
            <w:tcBorders>
              <w:top w:val="nil"/>
              <w:left w:val="nil"/>
              <w:bottom w:val="nil"/>
              <w:right w:val="nil"/>
            </w:tcBorders>
            <w:noWrap/>
            <w:hideMark/>
          </w:tcPr>
          <w:p w14:paraId="5FD11117"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34" w:type="pct"/>
            <w:tcBorders>
              <w:top w:val="nil"/>
              <w:left w:val="nil"/>
              <w:bottom w:val="nil"/>
              <w:right w:val="nil"/>
            </w:tcBorders>
            <w:noWrap/>
            <w:hideMark/>
          </w:tcPr>
          <w:p w14:paraId="72898DCC"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c>
          <w:tcPr>
            <w:tcW w:w="472" w:type="pct"/>
            <w:tcBorders>
              <w:top w:val="nil"/>
              <w:left w:val="nil"/>
              <w:bottom w:val="nil"/>
              <w:right w:val="nil"/>
            </w:tcBorders>
            <w:noWrap/>
            <w:hideMark/>
          </w:tcPr>
          <w:p w14:paraId="2211C146" w14:textId="77777777" w:rsidR="00BB7067" w:rsidRPr="00AE54B1" w:rsidRDefault="00BB7067" w:rsidP="00AE54B1">
            <w:pPr>
              <w:spacing w:after="0"/>
              <w:rPr>
                <w:rFonts w:eastAsia="Times New Roman" w:cs="Times New Roman"/>
                <w:sz w:val="16"/>
                <w:szCs w:val="16"/>
                <w:lang w:eastAsia="en-IN" w:bidi="as-IN"/>
              </w:rPr>
            </w:pPr>
            <w:r w:rsidRPr="00AE54B1">
              <w:rPr>
                <w:rFonts w:eastAsia="Times New Roman" w:cs="Times New Roman"/>
                <w:sz w:val="16"/>
                <w:szCs w:val="16"/>
                <w:lang w:eastAsia="en-IN" w:bidi="as-IN"/>
              </w:rPr>
              <w:t>0</w:t>
            </w:r>
          </w:p>
        </w:tc>
      </w:tr>
      <w:tr w:rsidR="00BB7067" w:rsidRPr="00AE54B1" w14:paraId="0DDFB6B4" w14:textId="77777777" w:rsidTr="00AE54B1">
        <w:trPr>
          <w:trHeight w:val="20"/>
          <w:jc w:val="center"/>
        </w:trPr>
        <w:tc>
          <w:tcPr>
            <w:tcW w:w="530" w:type="pct"/>
            <w:tcBorders>
              <w:top w:val="single" w:sz="4" w:space="0" w:color="auto"/>
              <w:left w:val="nil"/>
              <w:bottom w:val="single" w:sz="4" w:space="0" w:color="auto"/>
              <w:right w:val="nil"/>
            </w:tcBorders>
            <w:noWrap/>
            <w:hideMark/>
          </w:tcPr>
          <w:p w14:paraId="40BEB135"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TFR</w:t>
            </w:r>
          </w:p>
        </w:tc>
        <w:tc>
          <w:tcPr>
            <w:tcW w:w="403" w:type="pct"/>
            <w:tcBorders>
              <w:top w:val="single" w:sz="4" w:space="0" w:color="auto"/>
              <w:left w:val="nil"/>
              <w:bottom w:val="single" w:sz="4" w:space="0" w:color="auto"/>
              <w:right w:val="nil"/>
            </w:tcBorders>
            <w:noWrap/>
            <w:hideMark/>
          </w:tcPr>
          <w:p w14:paraId="6EA122E1"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2.00</w:t>
            </w:r>
          </w:p>
        </w:tc>
        <w:tc>
          <w:tcPr>
            <w:tcW w:w="412" w:type="pct"/>
            <w:tcBorders>
              <w:top w:val="single" w:sz="4" w:space="0" w:color="auto"/>
              <w:left w:val="nil"/>
              <w:bottom w:val="single" w:sz="4" w:space="0" w:color="auto"/>
              <w:right w:val="nil"/>
            </w:tcBorders>
            <w:noWrap/>
            <w:hideMark/>
          </w:tcPr>
          <w:p w14:paraId="36C40FC5"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1.87</w:t>
            </w:r>
          </w:p>
        </w:tc>
        <w:tc>
          <w:tcPr>
            <w:tcW w:w="581" w:type="pct"/>
            <w:tcBorders>
              <w:top w:val="single" w:sz="4" w:space="0" w:color="auto"/>
              <w:left w:val="nil"/>
              <w:bottom w:val="single" w:sz="4" w:space="0" w:color="auto"/>
              <w:right w:val="nil"/>
            </w:tcBorders>
            <w:noWrap/>
            <w:hideMark/>
          </w:tcPr>
          <w:p w14:paraId="1A9DC020"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1.81</w:t>
            </w:r>
          </w:p>
        </w:tc>
        <w:tc>
          <w:tcPr>
            <w:tcW w:w="511" w:type="pct"/>
            <w:tcBorders>
              <w:top w:val="single" w:sz="4" w:space="0" w:color="auto"/>
              <w:left w:val="nil"/>
              <w:bottom w:val="single" w:sz="4" w:space="0" w:color="auto"/>
              <w:right w:val="nil"/>
            </w:tcBorders>
            <w:noWrap/>
            <w:hideMark/>
          </w:tcPr>
          <w:p w14:paraId="30E05103"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2.17</w:t>
            </w:r>
          </w:p>
        </w:tc>
        <w:tc>
          <w:tcPr>
            <w:tcW w:w="598" w:type="pct"/>
            <w:tcBorders>
              <w:top w:val="single" w:sz="4" w:space="0" w:color="auto"/>
              <w:left w:val="nil"/>
              <w:bottom w:val="single" w:sz="4" w:space="0" w:color="auto"/>
              <w:right w:val="nil"/>
            </w:tcBorders>
            <w:noWrap/>
            <w:hideMark/>
          </w:tcPr>
          <w:p w14:paraId="28909B36"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2.89</w:t>
            </w:r>
          </w:p>
        </w:tc>
        <w:tc>
          <w:tcPr>
            <w:tcW w:w="521" w:type="pct"/>
            <w:tcBorders>
              <w:top w:val="single" w:sz="4" w:space="0" w:color="auto"/>
              <w:left w:val="nil"/>
              <w:bottom w:val="single" w:sz="4" w:space="0" w:color="auto"/>
              <w:right w:val="nil"/>
            </w:tcBorders>
            <w:noWrap/>
            <w:hideMark/>
          </w:tcPr>
          <w:p w14:paraId="4E9F2628"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1.86</w:t>
            </w:r>
          </w:p>
        </w:tc>
        <w:tc>
          <w:tcPr>
            <w:tcW w:w="538" w:type="pct"/>
            <w:tcBorders>
              <w:top w:val="single" w:sz="4" w:space="0" w:color="auto"/>
              <w:left w:val="nil"/>
              <w:bottom w:val="single" w:sz="4" w:space="0" w:color="auto"/>
              <w:right w:val="nil"/>
            </w:tcBorders>
            <w:noWrap/>
            <w:hideMark/>
          </w:tcPr>
          <w:p w14:paraId="4A87A792"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1.71</w:t>
            </w:r>
          </w:p>
        </w:tc>
        <w:tc>
          <w:tcPr>
            <w:tcW w:w="434" w:type="pct"/>
            <w:tcBorders>
              <w:top w:val="single" w:sz="4" w:space="0" w:color="auto"/>
              <w:left w:val="nil"/>
              <w:bottom w:val="single" w:sz="4" w:space="0" w:color="auto"/>
              <w:right w:val="nil"/>
            </w:tcBorders>
            <w:noWrap/>
            <w:hideMark/>
          </w:tcPr>
          <w:p w14:paraId="51345A1D"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1.04</w:t>
            </w:r>
          </w:p>
        </w:tc>
        <w:tc>
          <w:tcPr>
            <w:tcW w:w="472" w:type="pct"/>
            <w:tcBorders>
              <w:top w:val="single" w:sz="4" w:space="0" w:color="auto"/>
              <w:left w:val="nil"/>
              <w:bottom w:val="single" w:sz="4" w:space="0" w:color="auto"/>
              <w:right w:val="nil"/>
            </w:tcBorders>
            <w:noWrap/>
            <w:hideMark/>
          </w:tcPr>
          <w:p w14:paraId="6071EEB6" w14:textId="77777777" w:rsidR="00BB7067" w:rsidRPr="00AE54B1" w:rsidRDefault="00BB7067" w:rsidP="00AE54B1">
            <w:pPr>
              <w:spacing w:after="0"/>
              <w:rPr>
                <w:rFonts w:eastAsia="Times New Roman" w:cs="Times New Roman"/>
                <w:b/>
                <w:bCs/>
                <w:sz w:val="16"/>
                <w:szCs w:val="16"/>
                <w:lang w:eastAsia="en-IN" w:bidi="as-IN"/>
              </w:rPr>
            </w:pPr>
            <w:r w:rsidRPr="00AE54B1">
              <w:rPr>
                <w:rFonts w:eastAsia="Times New Roman" w:cs="Times New Roman"/>
                <w:b/>
                <w:bCs/>
                <w:sz w:val="16"/>
                <w:szCs w:val="16"/>
                <w:lang w:eastAsia="en-IN" w:bidi="as-IN"/>
              </w:rPr>
              <w:t>1.71</w:t>
            </w:r>
          </w:p>
        </w:tc>
      </w:tr>
      <w:tr w:rsidR="00BB7067" w:rsidRPr="00AE54B1" w14:paraId="3514ED75" w14:textId="77777777" w:rsidTr="00AE54B1">
        <w:trPr>
          <w:trHeight w:val="269"/>
          <w:jc w:val="center"/>
        </w:trPr>
        <w:tc>
          <w:tcPr>
            <w:tcW w:w="5000" w:type="pct"/>
            <w:gridSpan w:val="10"/>
            <w:tcBorders>
              <w:top w:val="single" w:sz="4" w:space="0" w:color="auto"/>
              <w:left w:val="nil"/>
              <w:right w:val="nil"/>
            </w:tcBorders>
            <w:noWrap/>
          </w:tcPr>
          <w:p w14:paraId="5A70D129" w14:textId="77777777" w:rsidR="00BB7067" w:rsidRPr="00AE54B1" w:rsidRDefault="00BB7067" w:rsidP="00AE54B1">
            <w:pPr>
              <w:spacing w:after="0"/>
              <w:rPr>
                <w:rFonts w:eastAsia="Times New Roman" w:cs="Times New Roman"/>
                <w:b/>
                <w:bCs/>
                <w:sz w:val="18"/>
                <w:szCs w:val="18"/>
                <w:lang w:eastAsia="en-IN" w:bidi="as-IN"/>
              </w:rPr>
            </w:pPr>
            <w:r w:rsidRPr="00C20297">
              <w:rPr>
                <w:rFonts w:eastAsia="Times New Roman" w:cs="Times New Roman"/>
                <w:b/>
                <w:bCs/>
                <w:sz w:val="18"/>
                <w:szCs w:val="18"/>
                <w:lang w:eastAsia="en-IN" w:bidi="as-IN"/>
              </w:rPr>
              <w:t>Source: National Family Health Survey 5 (2019-2021)</w:t>
            </w:r>
          </w:p>
        </w:tc>
      </w:tr>
    </w:tbl>
    <w:p w14:paraId="295BA50C" w14:textId="2CAB9355" w:rsidR="00AE54B1" w:rsidRDefault="00AE54B1" w:rsidP="008278DC">
      <w:pPr>
        <w:pStyle w:val="BodyText"/>
        <w:jc w:val="center"/>
        <w:rPr>
          <w:rFonts w:cs="Times New Roman"/>
        </w:rPr>
      </w:pPr>
      <w:r>
        <w:rPr>
          <w:noProof/>
        </w:rPr>
        <w:drawing>
          <wp:inline distT="0" distB="0" distL="0" distR="0" wp14:anchorId="65C90286" wp14:editId="128BD7E0">
            <wp:extent cx="4114800" cy="2571750"/>
            <wp:effectExtent l="0" t="0" r="0" b="0"/>
            <wp:docPr id="605429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24815" cy="2640509"/>
                    </a:xfrm>
                    <a:prstGeom prst="rect">
                      <a:avLst/>
                    </a:prstGeom>
                    <a:noFill/>
                    <a:ln>
                      <a:noFill/>
                    </a:ln>
                  </pic:spPr>
                </pic:pic>
              </a:graphicData>
            </a:graphic>
          </wp:inline>
        </w:drawing>
      </w:r>
    </w:p>
    <w:p w14:paraId="5B1CB144" w14:textId="7129C206" w:rsidR="00AE54B1" w:rsidRPr="00003985" w:rsidRDefault="008832C9" w:rsidP="00003985">
      <w:pPr>
        <w:pStyle w:val="BodyText"/>
        <w:jc w:val="both"/>
        <w:rPr>
          <w:rFonts w:cs="Times New Roman"/>
          <w:b/>
          <w:bCs/>
          <w:sz w:val="18"/>
          <w:szCs w:val="20"/>
        </w:rPr>
      </w:pPr>
      <w:r w:rsidRPr="00003985">
        <w:rPr>
          <w:rFonts w:cs="Times New Roman"/>
          <w:b/>
          <w:bCs/>
          <w:sz w:val="18"/>
          <w:szCs w:val="20"/>
        </w:rPr>
        <w:t xml:space="preserve">Figure </w:t>
      </w:r>
      <w:r w:rsidR="0025400C">
        <w:rPr>
          <w:rFonts w:cs="Times New Roman"/>
          <w:b/>
          <w:bCs/>
          <w:sz w:val="18"/>
          <w:szCs w:val="20"/>
        </w:rPr>
        <w:t>2</w:t>
      </w:r>
      <w:r w:rsidRPr="00003985">
        <w:rPr>
          <w:rFonts w:cs="Times New Roman"/>
          <w:b/>
          <w:bCs/>
          <w:sz w:val="18"/>
          <w:szCs w:val="20"/>
        </w:rPr>
        <w:t xml:space="preserve">: </w:t>
      </w:r>
      <w:r w:rsidR="00003985" w:rsidRPr="00003985">
        <w:rPr>
          <w:rFonts w:cs="Times New Roman"/>
          <w:b/>
          <w:bCs/>
          <w:sz w:val="18"/>
          <w:szCs w:val="20"/>
        </w:rPr>
        <w:t>A line plot of the ASFR of the eight northeastern states in comparison to national fertility trend calculated based on the fifth round of NFHS (2019-21)</w:t>
      </w:r>
    </w:p>
    <w:p w14:paraId="3E9153AD" w14:textId="0AFD1001" w:rsidR="00BB7067" w:rsidRPr="007031A3" w:rsidRDefault="008278DC" w:rsidP="008278DC">
      <w:pPr>
        <w:pStyle w:val="BodyText"/>
        <w:jc w:val="center"/>
        <w:rPr>
          <w:rFonts w:cs="Times New Roman"/>
        </w:rPr>
      </w:pPr>
      <w:r w:rsidRPr="007031A3">
        <w:rPr>
          <w:rFonts w:cs="Times New Roman"/>
          <w:noProof/>
        </w:rPr>
        <w:lastRenderedPageBreak/>
        <w:drawing>
          <wp:inline distT="0" distB="0" distL="0" distR="0" wp14:anchorId="01ACD4D6" wp14:editId="5A2F9F27">
            <wp:extent cx="4274622" cy="2671639"/>
            <wp:effectExtent l="0" t="0" r="0" b="0"/>
            <wp:docPr id="16666838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32087" cy="2707555"/>
                    </a:xfrm>
                    <a:prstGeom prst="rect">
                      <a:avLst/>
                    </a:prstGeom>
                    <a:noFill/>
                    <a:ln>
                      <a:noFill/>
                    </a:ln>
                  </pic:spPr>
                </pic:pic>
              </a:graphicData>
            </a:graphic>
          </wp:inline>
        </w:drawing>
      </w:r>
    </w:p>
    <w:p w14:paraId="106CD156" w14:textId="67BA6A87" w:rsidR="00BB7067" w:rsidRPr="00003985" w:rsidRDefault="00BB7067" w:rsidP="00003985">
      <w:pPr>
        <w:pStyle w:val="tablefigurecaption"/>
        <w:spacing w:after="0"/>
        <w:jc w:val="both"/>
        <w:rPr>
          <w:rFonts w:cs="Times New Roman"/>
          <w:b/>
          <w:bCs/>
          <w:i w:val="0"/>
          <w:iCs/>
          <w:sz w:val="18"/>
          <w:szCs w:val="20"/>
        </w:rPr>
      </w:pPr>
      <w:r w:rsidRPr="00003985">
        <w:rPr>
          <w:rFonts w:cs="Times New Roman"/>
          <w:b/>
          <w:bCs/>
          <w:i w:val="0"/>
          <w:iCs/>
          <w:sz w:val="18"/>
          <w:szCs w:val="20"/>
        </w:rPr>
        <w:t>Fig</w:t>
      </w:r>
      <w:r w:rsidR="00003985" w:rsidRPr="00003985">
        <w:rPr>
          <w:rFonts w:cs="Times New Roman"/>
          <w:b/>
          <w:bCs/>
          <w:i w:val="0"/>
          <w:iCs/>
          <w:sz w:val="18"/>
          <w:szCs w:val="20"/>
        </w:rPr>
        <w:t>ure</w:t>
      </w:r>
      <w:r w:rsidRPr="00003985">
        <w:rPr>
          <w:rFonts w:cs="Times New Roman"/>
          <w:b/>
          <w:bCs/>
          <w:i w:val="0"/>
          <w:iCs/>
          <w:sz w:val="18"/>
          <w:szCs w:val="20"/>
        </w:rPr>
        <w:t xml:space="preserve"> </w:t>
      </w:r>
      <w:r w:rsidR="0025400C">
        <w:rPr>
          <w:rFonts w:cs="Times New Roman"/>
          <w:b/>
          <w:bCs/>
          <w:i w:val="0"/>
          <w:iCs/>
          <w:sz w:val="18"/>
          <w:szCs w:val="20"/>
        </w:rPr>
        <w:t>3</w:t>
      </w:r>
      <w:r w:rsidRPr="00003985">
        <w:rPr>
          <w:rFonts w:cs="Times New Roman"/>
          <w:b/>
          <w:bCs/>
          <w:i w:val="0"/>
          <w:iCs/>
          <w:sz w:val="18"/>
          <w:szCs w:val="20"/>
        </w:rPr>
        <w:t xml:space="preserve">: A heatmap for the ASFR’s (per 1000 women) of all the </w:t>
      </w:r>
      <w:r w:rsidR="001E014F">
        <w:rPr>
          <w:rFonts w:cs="Times New Roman"/>
          <w:b/>
          <w:bCs/>
          <w:i w:val="0"/>
          <w:iCs/>
          <w:sz w:val="18"/>
          <w:szCs w:val="20"/>
        </w:rPr>
        <w:t xml:space="preserve">northeastern states of India </w:t>
      </w:r>
      <w:r w:rsidRPr="00003985">
        <w:rPr>
          <w:rFonts w:cs="Times New Roman"/>
          <w:b/>
          <w:bCs/>
          <w:i w:val="0"/>
          <w:iCs/>
          <w:sz w:val="18"/>
          <w:szCs w:val="20"/>
        </w:rPr>
        <w:t xml:space="preserve">calculated from NFHS-5 data. </w:t>
      </w:r>
      <w:r w:rsidR="00FB5AD3" w:rsidRPr="00003985">
        <w:rPr>
          <w:rFonts w:cs="Times New Roman"/>
          <w:b/>
          <w:bCs/>
          <w:i w:val="0"/>
          <w:iCs/>
          <w:sz w:val="18"/>
          <w:szCs w:val="20"/>
        </w:rPr>
        <w:t>The rectangular box</w:t>
      </w:r>
      <w:r w:rsidRPr="00003985">
        <w:rPr>
          <w:rFonts w:cs="Times New Roman"/>
          <w:b/>
          <w:bCs/>
          <w:i w:val="0"/>
          <w:iCs/>
          <w:sz w:val="18"/>
          <w:szCs w:val="20"/>
        </w:rPr>
        <w:t xml:space="preserve"> </w:t>
      </w:r>
      <w:r w:rsidR="00FB5AD3" w:rsidRPr="00003985">
        <w:rPr>
          <w:rFonts w:cs="Times New Roman"/>
          <w:b/>
          <w:bCs/>
          <w:i w:val="0"/>
          <w:iCs/>
          <w:sz w:val="18"/>
          <w:szCs w:val="20"/>
        </w:rPr>
        <w:t xml:space="preserve">indicates </w:t>
      </w:r>
      <w:r w:rsidRPr="00003985">
        <w:rPr>
          <w:rFonts w:cs="Times New Roman"/>
          <w:b/>
          <w:bCs/>
          <w:i w:val="0"/>
          <w:iCs/>
          <w:sz w:val="18"/>
          <w:szCs w:val="20"/>
        </w:rPr>
        <w:t>the highest fertility rate (modal age of fertility curve).</w:t>
      </w:r>
    </w:p>
    <w:p w14:paraId="312B0370" w14:textId="77777777" w:rsidR="00257881" w:rsidRDefault="00257881" w:rsidP="00BB7067">
      <w:pPr>
        <w:pStyle w:val="BodyText"/>
        <w:jc w:val="both"/>
        <w:rPr>
          <w:rFonts w:cs="Times New Roman"/>
        </w:rPr>
      </w:pPr>
    </w:p>
    <w:p w14:paraId="0EEE87A1" w14:textId="78E883EF" w:rsidR="0025400C" w:rsidRDefault="0025400C" w:rsidP="0025400C">
      <w:pPr>
        <w:pStyle w:val="FirstParagraph"/>
        <w:jc w:val="both"/>
        <w:rPr>
          <w:rFonts w:cs="Times New Roman"/>
        </w:rPr>
      </w:pPr>
      <w:r w:rsidRPr="00003985">
        <w:rPr>
          <w:rFonts w:cs="Times New Roman"/>
          <w:b/>
          <w:bCs/>
        </w:rPr>
        <w:t>State Level K-Means Clustering:</w:t>
      </w:r>
      <w:r>
        <w:rPr>
          <w:rFonts w:cs="Times New Roman"/>
        </w:rPr>
        <w:t xml:space="preserve"> </w:t>
      </w:r>
      <w:r w:rsidRPr="007031A3">
        <w:rPr>
          <w:rFonts w:cs="Times New Roman"/>
        </w:rPr>
        <w:t>To determine whether the data had a meaningful cluster structure (i.e., non-randomness), the Hopkins statistic was calculated. The value of the statistic was found as, H = 0.</w:t>
      </w:r>
      <w:r>
        <w:rPr>
          <w:rFonts w:cs="Times New Roman"/>
        </w:rPr>
        <w:t>73</w:t>
      </w:r>
      <w:r w:rsidRPr="007031A3">
        <w:rPr>
          <w:rFonts w:cs="Times New Roman"/>
        </w:rPr>
        <w:t>, which is significantly greater than the 0.5 threshold, suggesting a high likelihood of grouping and hence supporting the use of a clustering algorithm.</w:t>
      </w:r>
      <w:r w:rsidRPr="008E5092">
        <w:rPr>
          <w:rFonts w:cs="Times New Roman"/>
          <w:vertAlign w:val="superscript"/>
        </w:rPr>
        <w:t>33</w:t>
      </w:r>
      <w:r>
        <w:rPr>
          <w:rFonts w:cs="Times New Roman"/>
          <w:vertAlign w:val="superscript"/>
        </w:rPr>
        <w:t>,34</w:t>
      </w:r>
    </w:p>
    <w:p w14:paraId="53ED62D4" w14:textId="34C3EEA2" w:rsidR="00BB7067" w:rsidRPr="007031A3" w:rsidRDefault="00BB7067" w:rsidP="00BB7067">
      <w:pPr>
        <w:pStyle w:val="BodyText"/>
        <w:jc w:val="both"/>
        <w:rPr>
          <w:rFonts w:cs="Times New Roman"/>
        </w:rPr>
      </w:pPr>
      <w:r w:rsidRPr="007031A3">
        <w:rPr>
          <w:rFonts w:cs="Times New Roman"/>
        </w:rPr>
        <w:t xml:space="preserve">A visual inspection using </w:t>
      </w:r>
      <w:r w:rsidR="000943EE">
        <w:rPr>
          <w:rStyle w:val="VerbatimChar"/>
          <w:rFonts w:ascii="Times New Roman" w:hAnsi="Times New Roman" w:cs="Times New Roman"/>
          <w:b/>
          <w:bCs/>
          <w:i w:val="0"/>
          <w:iCs/>
        </w:rPr>
        <w:t>“</w:t>
      </w:r>
      <w:r w:rsidRPr="007031A3">
        <w:rPr>
          <w:rStyle w:val="VerbatimChar"/>
          <w:rFonts w:ascii="Times New Roman" w:hAnsi="Times New Roman" w:cs="Times New Roman"/>
          <w:b/>
          <w:bCs/>
          <w:i w:val="0"/>
          <w:iCs/>
        </w:rPr>
        <w:t>silhouette</w:t>
      </w:r>
      <w:r w:rsidR="000943EE">
        <w:rPr>
          <w:rStyle w:val="VerbatimChar"/>
          <w:rFonts w:ascii="Times New Roman" w:hAnsi="Times New Roman" w:cs="Times New Roman"/>
          <w:b/>
          <w:bCs/>
          <w:i w:val="0"/>
          <w:iCs/>
        </w:rPr>
        <w:t>”</w:t>
      </w:r>
      <w:r w:rsidRPr="007031A3">
        <w:rPr>
          <w:rFonts w:cs="Times New Roman"/>
        </w:rPr>
        <w:t xml:space="preserve"> (for average silhouette width), </w:t>
      </w:r>
      <w:r w:rsidR="000943EE">
        <w:rPr>
          <w:rStyle w:val="VerbatimChar"/>
          <w:rFonts w:ascii="Times New Roman" w:hAnsi="Times New Roman" w:cs="Times New Roman"/>
          <w:b/>
          <w:bCs/>
          <w:i w:val="0"/>
          <w:iCs/>
        </w:rPr>
        <w:t>“</w:t>
      </w:r>
      <w:proofErr w:type="spellStart"/>
      <w:r w:rsidRPr="007031A3">
        <w:rPr>
          <w:rStyle w:val="VerbatimChar"/>
          <w:rFonts w:ascii="Times New Roman" w:hAnsi="Times New Roman" w:cs="Times New Roman"/>
          <w:b/>
          <w:bCs/>
          <w:i w:val="0"/>
          <w:iCs/>
        </w:rPr>
        <w:t>wss</w:t>
      </w:r>
      <w:proofErr w:type="spellEnd"/>
      <w:r w:rsidR="000943EE">
        <w:rPr>
          <w:rStyle w:val="VerbatimChar"/>
          <w:rFonts w:ascii="Times New Roman" w:hAnsi="Times New Roman" w:cs="Times New Roman"/>
          <w:b/>
          <w:bCs/>
          <w:i w:val="0"/>
          <w:iCs/>
        </w:rPr>
        <w:t>”</w:t>
      </w:r>
      <w:r w:rsidRPr="007031A3">
        <w:rPr>
          <w:rFonts w:cs="Times New Roman"/>
        </w:rPr>
        <w:t xml:space="preserve"> (for total within sum of square), and </w:t>
      </w:r>
      <w:r w:rsidR="000943EE">
        <w:rPr>
          <w:rStyle w:val="VerbatimChar"/>
          <w:rFonts w:ascii="Times New Roman" w:hAnsi="Times New Roman" w:cs="Times New Roman"/>
          <w:b/>
          <w:bCs/>
          <w:i w:val="0"/>
          <w:iCs/>
        </w:rPr>
        <w:t>“</w:t>
      </w:r>
      <w:proofErr w:type="spellStart"/>
      <w:r w:rsidRPr="007031A3">
        <w:rPr>
          <w:rStyle w:val="VerbatimChar"/>
          <w:rFonts w:ascii="Times New Roman" w:hAnsi="Times New Roman" w:cs="Times New Roman"/>
          <w:b/>
          <w:bCs/>
          <w:i w:val="0"/>
          <w:iCs/>
        </w:rPr>
        <w:t>gap_stat</w:t>
      </w:r>
      <w:proofErr w:type="spellEnd"/>
      <w:r w:rsidR="000943EE">
        <w:rPr>
          <w:rStyle w:val="VerbatimChar"/>
          <w:rFonts w:ascii="Times New Roman" w:hAnsi="Times New Roman" w:cs="Times New Roman"/>
          <w:b/>
          <w:bCs/>
          <w:i w:val="0"/>
          <w:iCs/>
        </w:rPr>
        <w:t>”</w:t>
      </w:r>
      <w:r w:rsidRPr="007031A3">
        <w:rPr>
          <w:rFonts w:cs="Times New Roman"/>
        </w:rPr>
        <w:t xml:space="preserve"> (for gap statistics) along with the KL Index </w:t>
      </w:r>
      <w:r w:rsidR="000943EE">
        <w:rPr>
          <w:rFonts w:cs="Times New Roman"/>
        </w:rPr>
        <w:t>[</w:t>
      </w:r>
      <w:r w:rsidRPr="007031A3">
        <w:rPr>
          <w:rFonts w:cs="Times New Roman"/>
        </w:rPr>
        <w:t>Fig</w:t>
      </w:r>
      <w:r w:rsidR="000943EE">
        <w:rPr>
          <w:rFonts w:cs="Times New Roman"/>
        </w:rPr>
        <w:t>ure</w:t>
      </w:r>
      <w:r w:rsidRPr="007031A3">
        <w:rPr>
          <w:rFonts w:cs="Times New Roman"/>
        </w:rPr>
        <w:t xml:space="preserve"> </w:t>
      </w:r>
      <w:r w:rsidR="005E661D">
        <w:rPr>
          <w:rFonts w:cs="Times New Roman"/>
        </w:rPr>
        <w:t>4</w:t>
      </w:r>
      <w:r w:rsidRPr="007031A3">
        <w:rPr>
          <w:rFonts w:cs="Times New Roman"/>
        </w:rPr>
        <w:t>a</w:t>
      </w:r>
      <w:r w:rsidR="000943EE">
        <w:rPr>
          <w:rFonts w:cs="Times New Roman"/>
        </w:rPr>
        <w:t>]</w:t>
      </w:r>
      <w:r w:rsidRPr="007031A3">
        <w:rPr>
          <w:rFonts w:cs="Times New Roman"/>
        </w:rPr>
        <w:t xml:space="preserve"> suggests that </w:t>
      </w:r>
      <w:r w:rsidR="00160AE6" w:rsidRPr="007031A3">
        <w:rPr>
          <w:rFonts w:cs="Times New Roman"/>
        </w:rPr>
        <w:t>four</w:t>
      </w:r>
      <w:r w:rsidRPr="007031A3">
        <w:rPr>
          <w:rFonts w:cs="Times New Roman"/>
        </w:rPr>
        <w:t xml:space="preserve"> clusters are optimum to capture the distinct fertility pattern of the </w:t>
      </w:r>
      <w:r w:rsidR="00160AE6" w:rsidRPr="007031A3">
        <w:rPr>
          <w:rFonts w:cs="Times New Roman"/>
        </w:rPr>
        <w:t>states</w:t>
      </w:r>
      <w:r w:rsidRPr="007031A3">
        <w:rPr>
          <w:rFonts w:cs="Times New Roman"/>
        </w:rPr>
        <w:t xml:space="preserve">. Accordingly, K-mean clustering is performed in R with </w:t>
      </w:r>
      <w:r w:rsidR="00160AE6" w:rsidRPr="007031A3">
        <w:rPr>
          <w:rFonts w:cs="Times New Roman"/>
        </w:rPr>
        <w:t>four</w:t>
      </w:r>
      <w:r w:rsidRPr="007031A3">
        <w:rPr>
          <w:rFonts w:cs="Times New Roman"/>
        </w:rPr>
        <w:t xml:space="preserve"> centres. The spherical clusters are found to be non-overlapping, indicating maximum between cluster distance and minimal within cluster distance </w:t>
      </w:r>
      <w:r w:rsidR="000943EE">
        <w:rPr>
          <w:rFonts w:cs="Times New Roman"/>
        </w:rPr>
        <w:t>[</w:t>
      </w:r>
      <w:r w:rsidRPr="007031A3">
        <w:rPr>
          <w:rFonts w:cs="Times New Roman"/>
        </w:rPr>
        <w:t>Fig</w:t>
      </w:r>
      <w:r w:rsidR="000943EE">
        <w:rPr>
          <w:rFonts w:cs="Times New Roman"/>
        </w:rPr>
        <w:t>ure</w:t>
      </w:r>
      <w:r w:rsidRPr="007031A3">
        <w:rPr>
          <w:rFonts w:cs="Times New Roman"/>
        </w:rPr>
        <w:t xml:space="preserve"> </w:t>
      </w:r>
      <w:r w:rsidR="005E661D">
        <w:rPr>
          <w:rFonts w:cs="Times New Roman"/>
        </w:rPr>
        <w:t>4</w:t>
      </w:r>
      <w:r w:rsidRPr="007031A3">
        <w:rPr>
          <w:rFonts w:cs="Times New Roman"/>
        </w:rPr>
        <w:t>b</w:t>
      </w:r>
      <w:r w:rsidR="000943EE">
        <w:rPr>
          <w:rFonts w:cs="Times New Roman"/>
        </w:rPr>
        <w:t>]</w:t>
      </w:r>
      <w:r w:rsidRPr="007031A3">
        <w:rPr>
          <w:rFonts w:cs="Times New Roman"/>
        </w:rPr>
        <w:t xml:space="preserve">. Sensitivity analyses using hierarchical clustering confirmed the robustness of the </w:t>
      </w:r>
      <w:r w:rsidR="00160AE6" w:rsidRPr="007031A3">
        <w:rPr>
          <w:rFonts w:cs="Times New Roman"/>
        </w:rPr>
        <w:t>four</w:t>
      </w:r>
      <w:r w:rsidRPr="007031A3">
        <w:rPr>
          <w:rFonts w:cs="Times New Roman"/>
        </w:rPr>
        <w:t xml:space="preserve">-cluster solution, with similar </w:t>
      </w:r>
      <w:r w:rsidR="001F0502">
        <w:rPr>
          <w:rFonts w:cs="Times New Roman"/>
        </w:rPr>
        <w:t>state</w:t>
      </w:r>
      <w:r w:rsidRPr="007031A3">
        <w:rPr>
          <w:rFonts w:cs="Times New Roman"/>
        </w:rPr>
        <w:t xml:space="preserve"> groupings (results available upon request).</w:t>
      </w:r>
    </w:p>
    <w:p w14:paraId="5D96069C" w14:textId="4653D160" w:rsidR="00BB7067" w:rsidRPr="007031A3" w:rsidRDefault="00BE2B23" w:rsidP="00BB7067">
      <w:pPr>
        <w:pStyle w:val="BodyText"/>
        <w:jc w:val="both"/>
        <w:rPr>
          <w:rFonts w:cs="Times New Roman"/>
        </w:rPr>
      </w:pPr>
      <w:r w:rsidRPr="00BE2B23">
        <w:rPr>
          <w:rFonts w:cs="Times New Roman"/>
        </w:rPr>
        <w:t>At the national level, ASFRs follow a U-shaped curve, with low teenage fertility, a peak around 22–24, and a gradual decline, reflecting delayed marriage and concentrated childbearing in prime reproductive years. The four clusters show distinct trajectories: Cluster 1 (orange) features high adolescent fertility, peaking in the early 20s, suggesting early marriage and prolonged childbearing. Cluster 2 (blue) displays a moderate rise with a later peak (25–27), indicating a more balanced fertility schedule. Cluster 3 (red) shows sustained fertility across 20–35, pointing to delayed marriage or extended reproductive behaviour. Cluster 4 (green) has the lowest overall rates, with a sharp peak in the mid-20s followed by rapid decline, reflecting advanced fertility transitions</w:t>
      </w:r>
      <w:r>
        <w:rPr>
          <w:rFonts w:cs="Times New Roman"/>
        </w:rPr>
        <w:t xml:space="preserve"> </w:t>
      </w:r>
      <w:r w:rsidR="000943EE">
        <w:rPr>
          <w:rFonts w:cs="Times New Roman"/>
        </w:rPr>
        <w:t>[</w:t>
      </w:r>
      <w:r>
        <w:rPr>
          <w:rFonts w:cs="Times New Roman"/>
        </w:rPr>
        <w:t>See Fig</w:t>
      </w:r>
      <w:r w:rsidR="007C38CD">
        <w:rPr>
          <w:rFonts w:cs="Times New Roman"/>
        </w:rPr>
        <w:t>ure</w:t>
      </w:r>
      <w:r w:rsidRPr="00BE2B23">
        <w:rPr>
          <w:rFonts w:cs="Times New Roman"/>
        </w:rPr>
        <w:t xml:space="preserve"> </w:t>
      </w:r>
      <w:r w:rsidR="0025400C">
        <w:rPr>
          <w:rFonts w:cs="Times New Roman"/>
        </w:rPr>
        <w:t>5</w:t>
      </w:r>
      <w:r w:rsidR="000943EE">
        <w:rPr>
          <w:rFonts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gridCol w:w="4426"/>
      </w:tblGrid>
      <w:tr w:rsidR="001B70A7" w:rsidRPr="007031A3" w14:paraId="749C7830" w14:textId="77777777" w:rsidTr="00160AE6">
        <w:tc>
          <w:tcPr>
            <w:tcW w:w="4955" w:type="dxa"/>
            <w:vAlign w:val="center"/>
          </w:tcPr>
          <w:p w14:paraId="6FFDCE04" w14:textId="492A5096" w:rsidR="00BB7067" w:rsidRPr="007031A3" w:rsidRDefault="001B70A7" w:rsidP="00176A8E">
            <w:pPr>
              <w:pStyle w:val="CaptionedFigure"/>
              <w:jc w:val="center"/>
              <w:rPr>
                <w:rFonts w:ascii="Times New Roman" w:hAnsi="Times New Roman" w:cs="Times New Roman"/>
              </w:rPr>
            </w:pPr>
            <w:bookmarkStart w:id="8" w:name="fig:optClust"/>
            <w:r w:rsidRPr="007031A3">
              <w:rPr>
                <w:rFonts w:cs="Times New Roman"/>
                <w:noProof/>
              </w:rPr>
              <w:lastRenderedPageBreak/>
              <w:drawing>
                <wp:inline distT="0" distB="0" distL="0" distR="0" wp14:anchorId="7762727D" wp14:editId="5BDB0E06">
                  <wp:extent cx="3009900" cy="1881188"/>
                  <wp:effectExtent l="0" t="0" r="0" b="5080"/>
                  <wp:docPr id="16792581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7024" cy="1885641"/>
                          </a:xfrm>
                          <a:prstGeom prst="rect">
                            <a:avLst/>
                          </a:prstGeom>
                          <a:noFill/>
                          <a:ln>
                            <a:noFill/>
                          </a:ln>
                        </pic:spPr>
                      </pic:pic>
                    </a:graphicData>
                  </a:graphic>
                </wp:inline>
              </w:drawing>
            </w:r>
          </w:p>
        </w:tc>
        <w:tc>
          <w:tcPr>
            <w:tcW w:w="4405" w:type="dxa"/>
            <w:vAlign w:val="center"/>
          </w:tcPr>
          <w:p w14:paraId="76D56BFB" w14:textId="63310B85" w:rsidR="00BB7067" w:rsidRPr="007031A3" w:rsidRDefault="001B70A7" w:rsidP="00176A8E">
            <w:pPr>
              <w:pStyle w:val="CaptionedFigure"/>
              <w:jc w:val="center"/>
              <w:rPr>
                <w:rFonts w:ascii="Times New Roman" w:hAnsi="Times New Roman" w:cs="Times New Roman"/>
              </w:rPr>
            </w:pPr>
            <w:r w:rsidRPr="007031A3">
              <w:rPr>
                <w:rFonts w:cs="Times New Roman"/>
                <w:noProof/>
              </w:rPr>
              <w:drawing>
                <wp:inline distT="0" distB="0" distL="0" distR="0" wp14:anchorId="4B3AC861" wp14:editId="091DEB5D">
                  <wp:extent cx="2686050" cy="2014538"/>
                  <wp:effectExtent l="0" t="0" r="0" b="5080"/>
                  <wp:docPr id="16829417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5044" cy="2028783"/>
                          </a:xfrm>
                          <a:prstGeom prst="rect">
                            <a:avLst/>
                          </a:prstGeom>
                          <a:noFill/>
                          <a:ln>
                            <a:noFill/>
                          </a:ln>
                        </pic:spPr>
                      </pic:pic>
                    </a:graphicData>
                  </a:graphic>
                </wp:inline>
              </w:drawing>
            </w:r>
          </w:p>
        </w:tc>
      </w:tr>
      <w:tr w:rsidR="001B70A7" w:rsidRPr="007031A3" w14:paraId="3D99BFF1" w14:textId="77777777" w:rsidTr="00160AE6">
        <w:tc>
          <w:tcPr>
            <w:tcW w:w="4955" w:type="dxa"/>
          </w:tcPr>
          <w:p w14:paraId="31BBBAF4" w14:textId="12E3402F" w:rsidR="00BB7067" w:rsidRPr="008B5ABB" w:rsidRDefault="0025400C" w:rsidP="00B96205">
            <w:pPr>
              <w:pStyle w:val="tablefigurecaption"/>
              <w:jc w:val="both"/>
              <w:rPr>
                <w:rFonts w:ascii="Times New Roman" w:hAnsi="Times New Roman" w:cs="Times New Roman"/>
                <w:b/>
                <w:bCs/>
                <w:i w:val="0"/>
                <w:iCs/>
                <w:sz w:val="18"/>
                <w:szCs w:val="20"/>
              </w:rPr>
            </w:pPr>
            <w:r>
              <w:rPr>
                <w:rFonts w:ascii="Times New Roman" w:hAnsi="Times New Roman" w:cs="Times New Roman"/>
                <w:b/>
                <w:bCs/>
                <w:i w:val="0"/>
                <w:iCs/>
                <w:sz w:val="18"/>
                <w:szCs w:val="20"/>
              </w:rPr>
              <w:t>4</w:t>
            </w:r>
            <w:r w:rsidR="00BB7067" w:rsidRPr="008B5ABB">
              <w:rPr>
                <w:rFonts w:ascii="Times New Roman" w:hAnsi="Times New Roman" w:cs="Times New Roman"/>
                <w:b/>
                <w:bCs/>
                <w:i w:val="0"/>
                <w:iCs/>
                <w:sz w:val="18"/>
                <w:szCs w:val="20"/>
              </w:rPr>
              <w:t xml:space="preserve">(a): Optimum number of clusters for </w:t>
            </w:r>
            <w:r w:rsidR="001F0502">
              <w:rPr>
                <w:rFonts w:ascii="Times New Roman" w:hAnsi="Times New Roman" w:cs="Times New Roman"/>
                <w:b/>
                <w:bCs/>
                <w:i w:val="0"/>
                <w:iCs/>
                <w:sz w:val="18"/>
                <w:szCs w:val="20"/>
              </w:rPr>
              <w:t>the states</w:t>
            </w:r>
            <w:r w:rsidR="00BB7067" w:rsidRPr="008B5ABB">
              <w:rPr>
                <w:rFonts w:ascii="Times New Roman" w:hAnsi="Times New Roman" w:cs="Times New Roman"/>
                <w:b/>
                <w:bCs/>
                <w:i w:val="0"/>
                <w:iCs/>
                <w:sz w:val="18"/>
                <w:szCs w:val="20"/>
              </w:rPr>
              <w:t xml:space="preserve"> based on KL Index.</w:t>
            </w:r>
          </w:p>
        </w:tc>
        <w:tc>
          <w:tcPr>
            <w:tcW w:w="4405" w:type="dxa"/>
          </w:tcPr>
          <w:p w14:paraId="0A0003AD" w14:textId="3BA20836" w:rsidR="00BB7067" w:rsidRPr="00984F7D" w:rsidRDefault="0025400C" w:rsidP="00B96205">
            <w:pPr>
              <w:pStyle w:val="tablefigurecaption"/>
              <w:jc w:val="both"/>
              <w:rPr>
                <w:rFonts w:ascii="Times New Roman" w:hAnsi="Times New Roman" w:cs="Times New Roman"/>
                <w:b/>
                <w:bCs/>
                <w:i w:val="0"/>
                <w:iCs/>
              </w:rPr>
            </w:pPr>
            <w:r>
              <w:rPr>
                <w:rFonts w:ascii="Times New Roman" w:hAnsi="Times New Roman" w:cs="Times New Roman"/>
                <w:b/>
                <w:bCs/>
                <w:i w:val="0"/>
                <w:iCs/>
                <w:sz w:val="18"/>
                <w:szCs w:val="20"/>
              </w:rPr>
              <w:t>4</w:t>
            </w:r>
            <w:r w:rsidR="00BB7067" w:rsidRPr="00984F7D">
              <w:rPr>
                <w:rFonts w:ascii="Times New Roman" w:hAnsi="Times New Roman" w:cs="Times New Roman"/>
                <w:b/>
                <w:bCs/>
                <w:i w:val="0"/>
                <w:iCs/>
                <w:sz w:val="18"/>
                <w:szCs w:val="20"/>
              </w:rPr>
              <w:t xml:space="preserve">(b): A visual presentation of the K-Mean Clustering for the </w:t>
            </w:r>
            <w:r w:rsidR="001F0502">
              <w:rPr>
                <w:rFonts w:ascii="Times New Roman" w:hAnsi="Times New Roman" w:cs="Times New Roman"/>
                <w:b/>
                <w:bCs/>
                <w:i w:val="0"/>
                <w:iCs/>
                <w:sz w:val="18"/>
                <w:szCs w:val="20"/>
              </w:rPr>
              <w:t>northeastern states.</w:t>
            </w:r>
          </w:p>
        </w:tc>
      </w:tr>
      <w:tr w:rsidR="00BB7067" w:rsidRPr="007031A3" w14:paraId="1F6C5578" w14:textId="77777777" w:rsidTr="00176A8E">
        <w:trPr>
          <w:trHeight w:val="4395"/>
        </w:trPr>
        <w:tc>
          <w:tcPr>
            <w:tcW w:w="9360" w:type="dxa"/>
            <w:gridSpan w:val="2"/>
            <w:vAlign w:val="center"/>
          </w:tcPr>
          <w:p w14:paraId="4E654DF3" w14:textId="09349FF7" w:rsidR="00BB7067" w:rsidRPr="007031A3" w:rsidRDefault="00BB7067" w:rsidP="007C38CD">
            <w:pPr>
              <w:pStyle w:val="tablefigurecaption"/>
              <w:rPr>
                <w:rFonts w:ascii="Times New Roman" w:hAnsi="Times New Roman" w:cs="Times New Roman"/>
              </w:rPr>
            </w:pPr>
            <w:bookmarkStart w:id="9" w:name="fig:clusterMap"/>
            <w:r w:rsidRPr="007031A3">
              <w:rPr>
                <w:rFonts w:ascii="Times New Roman" w:hAnsi="Times New Roman" w:cs="Times New Roman"/>
              </w:rPr>
              <w:br w:type="page"/>
            </w:r>
            <w:bookmarkEnd w:id="9"/>
            <w:r w:rsidR="007C38CD">
              <w:rPr>
                <w:noProof/>
              </w:rPr>
              <w:drawing>
                <wp:inline distT="0" distB="0" distL="0" distR="0" wp14:anchorId="3A19DDCE" wp14:editId="7180D28D">
                  <wp:extent cx="5050465" cy="3156541"/>
                  <wp:effectExtent l="0" t="0" r="0" b="6350"/>
                  <wp:docPr id="558496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66481" cy="3166551"/>
                          </a:xfrm>
                          <a:prstGeom prst="rect">
                            <a:avLst/>
                          </a:prstGeom>
                          <a:noFill/>
                          <a:ln>
                            <a:noFill/>
                          </a:ln>
                        </pic:spPr>
                      </pic:pic>
                    </a:graphicData>
                  </a:graphic>
                </wp:inline>
              </w:drawing>
            </w:r>
          </w:p>
        </w:tc>
      </w:tr>
      <w:tr w:rsidR="00BB7067" w:rsidRPr="007031A3" w14:paraId="7AA5AF15" w14:textId="77777777" w:rsidTr="00176A8E">
        <w:trPr>
          <w:trHeight w:val="647"/>
        </w:trPr>
        <w:tc>
          <w:tcPr>
            <w:tcW w:w="9360" w:type="dxa"/>
            <w:gridSpan w:val="2"/>
          </w:tcPr>
          <w:p w14:paraId="1A17AF8B" w14:textId="244FA873" w:rsidR="00BB7067" w:rsidRPr="00B96205" w:rsidRDefault="0025400C" w:rsidP="00B96205">
            <w:pPr>
              <w:pStyle w:val="tablefigurecaption"/>
              <w:jc w:val="both"/>
              <w:rPr>
                <w:rFonts w:ascii="Times New Roman" w:hAnsi="Times New Roman" w:cs="Times New Roman"/>
                <w:b/>
                <w:bCs/>
                <w:i w:val="0"/>
                <w:iCs/>
                <w:sz w:val="18"/>
                <w:szCs w:val="20"/>
              </w:rPr>
            </w:pPr>
            <w:r>
              <w:rPr>
                <w:rFonts w:ascii="Times New Roman" w:hAnsi="Times New Roman" w:cs="Times New Roman"/>
                <w:b/>
                <w:bCs/>
                <w:i w:val="0"/>
                <w:iCs/>
                <w:sz w:val="18"/>
                <w:szCs w:val="20"/>
              </w:rPr>
              <w:t>4</w:t>
            </w:r>
            <w:r w:rsidR="00BB7067" w:rsidRPr="00B96205">
              <w:rPr>
                <w:rFonts w:ascii="Times New Roman" w:hAnsi="Times New Roman" w:cs="Times New Roman"/>
                <w:b/>
                <w:bCs/>
                <w:i w:val="0"/>
                <w:iCs/>
                <w:sz w:val="18"/>
                <w:szCs w:val="20"/>
              </w:rPr>
              <w:t xml:space="preserve">(c): A Spatial presentation of the </w:t>
            </w:r>
            <w:r w:rsidR="00984F7D" w:rsidRPr="00B96205">
              <w:rPr>
                <w:rFonts w:ascii="Times New Roman" w:hAnsi="Times New Roman" w:cs="Times New Roman"/>
                <w:b/>
                <w:bCs/>
                <w:i w:val="0"/>
                <w:iCs/>
                <w:sz w:val="18"/>
                <w:szCs w:val="20"/>
              </w:rPr>
              <w:t>four clusters of northeastern states</w:t>
            </w:r>
          </w:p>
          <w:p w14:paraId="19B61DE6" w14:textId="0842BCD6" w:rsidR="00BB7067" w:rsidRPr="00962594" w:rsidRDefault="00BB7067" w:rsidP="00B96205">
            <w:pPr>
              <w:pStyle w:val="tablefigurecaption"/>
              <w:jc w:val="both"/>
              <w:rPr>
                <w:rFonts w:ascii="Times New Roman" w:hAnsi="Times New Roman" w:cs="Times New Roman"/>
                <w:b/>
                <w:bCs/>
                <w:i w:val="0"/>
                <w:iCs/>
              </w:rPr>
            </w:pPr>
            <w:r w:rsidRPr="00B96205">
              <w:rPr>
                <w:rFonts w:ascii="Times New Roman" w:hAnsi="Times New Roman" w:cs="Times New Roman"/>
                <w:b/>
                <w:bCs/>
                <w:i w:val="0"/>
                <w:iCs/>
                <w:sz w:val="18"/>
                <w:szCs w:val="20"/>
              </w:rPr>
              <w:t>Fig</w:t>
            </w:r>
            <w:r w:rsidR="00962594" w:rsidRPr="00B96205">
              <w:rPr>
                <w:rFonts w:ascii="Times New Roman" w:hAnsi="Times New Roman" w:cs="Times New Roman"/>
                <w:b/>
                <w:bCs/>
                <w:i w:val="0"/>
                <w:iCs/>
                <w:sz w:val="18"/>
                <w:szCs w:val="20"/>
              </w:rPr>
              <w:t>ure</w:t>
            </w:r>
            <w:r w:rsidRPr="00B96205">
              <w:rPr>
                <w:rFonts w:ascii="Times New Roman" w:hAnsi="Times New Roman" w:cs="Times New Roman"/>
                <w:b/>
                <w:bCs/>
                <w:i w:val="0"/>
                <w:iCs/>
                <w:sz w:val="18"/>
                <w:szCs w:val="20"/>
              </w:rPr>
              <w:t xml:space="preserve"> </w:t>
            </w:r>
            <w:r w:rsidR="0025400C">
              <w:rPr>
                <w:rFonts w:ascii="Times New Roman" w:hAnsi="Times New Roman" w:cs="Times New Roman"/>
                <w:b/>
                <w:bCs/>
                <w:i w:val="0"/>
                <w:iCs/>
                <w:sz w:val="18"/>
                <w:szCs w:val="20"/>
              </w:rPr>
              <w:t>4</w:t>
            </w:r>
            <w:r w:rsidRPr="00B96205">
              <w:rPr>
                <w:rFonts w:ascii="Times New Roman" w:hAnsi="Times New Roman" w:cs="Times New Roman"/>
                <w:b/>
                <w:bCs/>
                <w:i w:val="0"/>
                <w:iCs/>
                <w:sz w:val="18"/>
                <w:szCs w:val="20"/>
              </w:rPr>
              <w:t xml:space="preserve">: Cluster Analysis of </w:t>
            </w:r>
            <w:r w:rsidR="00984F7D" w:rsidRPr="00B96205">
              <w:rPr>
                <w:rFonts w:ascii="Times New Roman" w:hAnsi="Times New Roman" w:cs="Times New Roman"/>
                <w:b/>
                <w:bCs/>
                <w:i w:val="0"/>
                <w:iCs/>
                <w:sz w:val="18"/>
                <w:szCs w:val="20"/>
              </w:rPr>
              <w:t>the eight northeastern states</w:t>
            </w:r>
            <w:r w:rsidR="0050516D" w:rsidRPr="00B96205">
              <w:rPr>
                <w:rFonts w:ascii="Times New Roman" w:hAnsi="Times New Roman" w:cs="Times New Roman"/>
                <w:b/>
                <w:bCs/>
                <w:i w:val="0"/>
                <w:iCs/>
                <w:sz w:val="18"/>
                <w:szCs w:val="20"/>
              </w:rPr>
              <w:t xml:space="preserve"> of India based on their fertility curve</w:t>
            </w:r>
            <w:r w:rsidRPr="00B96205">
              <w:rPr>
                <w:rFonts w:ascii="Times New Roman" w:hAnsi="Times New Roman" w:cs="Times New Roman"/>
                <w:b/>
                <w:bCs/>
                <w:i w:val="0"/>
                <w:iCs/>
                <w:sz w:val="18"/>
                <w:szCs w:val="20"/>
              </w:rPr>
              <w:t>.</w:t>
            </w:r>
          </w:p>
        </w:tc>
      </w:tr>
      <w:bookmarkEnd w:id="8"/>
    </w:tbl>
    <w:p w14:paraId="413AB11D" w14:textId="6995DC49" w:rsidR="001B70A7" w:rsidRPr="007031A3" w:rsidRDefault="001B70A7" w:rsidP="00BB7067">
      <w:pPr>
        <w:pStyle w:val="CaptionedFigure"/>
        <w:rPr>
          <w:rFonts w:cs="Times New Roman"/>
        </w:rPr>
      </w:pPr>
    </w:p>
    <w:p w14:paraId="1FC8B4CF" w14:textId="77777777" w:rsidR="00160AE6" w:rsidRPr="007031A3" w:rsidRDefault="00160AE6">
      <w:pPr>
        <w:spacing w:after="160" w:line="259" w:lineRule="auto"/>
        <w:rPr>
          <w:rFonts w:cs="Times New Roman"/>
          <w:i/>
          <w:szCs w:val="22"/>
        </w:rPr>
      </w:pPr>
      <w:bookmarkStart w:id="10" w:name="district-level-clustering"/>
      <w:bookmarkStart w:id="11" w:name="distlist"/>
      <w:r w:rsidRPr="007031A3">
        <w:rPr>
          <w:rFonts w:cs="Times New Roman"/>
          <w:szCs w:val="22"/>
        </w:rPr>
        <w:br w:type="page"/>
      </w:r>
    </w:p>
    <w:p w14:paraId="03A98260" w14:textId="2946E4EA" w:rsidR="00BB7067" w:rsidRPr="00B44AC5" w:rsidRDefault="00BB7067" w:rsidP="00BB7067">
      <w:pPr>
        <w:pStyle w:val="TableCaption"/>
        <w:jc w:val="center"/>
        <w:rPr>
          <w:rFonts w:cs="Times New Roman"/>
          <w:b/>
          <w:bCs/>
          <w:i w:val="0"/>
          <w:iCs/>
          <w:szCs w:val="22"/>
        </w:rPr>
      </w:pPr>
      <w:r w:rsidRPr="00B44AC5">
        <w:rPr>
          <w:rFonts w:cs="Times New Roman"/>
          <w:b/>
          <w:bCs/>
          <w:i w:val="0"/>
          <w:iCs/>
          <w:szCs w:val="22"/>
        </w:rPr>
        <w:lastRenderedPageBreak/>
        <w:t>Table</w:t>
      </w:r>
      <w:r w:rsidR="001B70A7" w:rsidRPr="00B44AC5">
        <w:rPr>
          <w:rFonts w:cs="Times New Roman"/>
          <w:b/>
          <w:bCs/>
          <w:i w:val="0"/>
          <w:iCs/>
          <w:szCs w:val="22"/>
        </w:rPr>
        <w:t xml:space="preserve"> </w:t>
      </w:r>
      <w:r w:rsidRPr="00B44AC5">
        <w:rPr>
          <w:rFonts w:cs="Times New Roman"/>
          <w:b/>
          <w:bCs/>
          <w:i w:val="0"/>
          <w:iCs/>
          <w:szCs w:val="22"/>
        </w:rPr>
        <w:t xml:space="preserve">2: Member </w:t>
      </w:r>
      <w:r w:rsidR="001B70A7" w:rsidRPr="00B44AC5">
        <w:rPr>
          <w:rFonts w:cs="Times New Roman"/>
          <w:b/>
          <w:bCs/>
          <w:i w:val="0"/>
          <w:iCs/>
          <w:szCs w:val="22"/>
        </w:rPr>
        <w:t>states</w:t>
      </w:r>
      <w:r w:rsidRPr="00B44AC5">
        <w:rPr>
          <w:rFonts w:cs="Times New Roman"/>
          <w:b/>
          <w:bCs/>
          <w:i w:val="0"/>
          <w:iCs/>
          <w:szCs w:val="22"/>
        </w:rPr>
        <w:t xml:space="preserve"> in the clusters</w:t>
      </w:r>
    </w:p>
    <w:tbl>
      <w:tblPr>
        <w:tblStyle w:val="Table"/>
        <w:tblW w:w="0" w:type="auto"/>
        <w:jc w:val="center"/>
        <w:tblLook w:val="0020" w:firstRow="1" w:lastRow="0" w:firstColumn="0" w:lastColumn="0" w:noHBand="0" w:noVBand="0"/>
      </w:tblPr>
      <w:tblGrid>
        <w:gridCol w:w="944"/>
        <w:gridCol w:w="4221"/>
      </w:tblGrid>
      <w:tr w:rsidR="00BB7067" w:rsidRPr="007031A3" w14:paraId="540C4096" w14:textId="77777777" w:rsidTr="00176A8E">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18FB5260" w14:textId="77777777" w:rsidR="00BB7067" w:rsidRPr="007031A3" w:rsidRDefault="00BB7067" w:rsidP="00176A8E">
            <w:pPr>
              <w:pStyle w:val="Compact"/>
              <w:jc w:val="both"/>
              <w:rPr>
                <w:rFonts w:ascii="Times New Roman" w:hAnsi="Times New Roman" w:cs="Times New Roman"/>
              </w:rPr>
            </w:pPr>
            <w:r w:rsidRPr="007031A3">
              <w:rPr>
                <w:rFonts w:ascii="Times New Roman" w:hAnsi="Times New Roman" w:cs="Times New Roman"/>
                <w:b/>
                <w:bCs/>
              </w:rPr>
              <w:t>Clusters</w:t>
            </w:r>
          </w:p>
        </w:tc>
        <w:tc>
          <w:tcPr>
            <w:tcW w:w="0" w:type="auto"/>
          </w:tcPr>
          <w:p w14:paraId="7C93FADF" w14:textId="6DCE72F8" w:rsidR="00BB7067" w:rsidRPr="007031A3" w:rsidRDefault="001B70A7" w:rsidP="00176A8E">
            <w:pPr>
              <w:pStyle w:val="Compact"/>
              <w:jc w:val="both"/>
              <w:rPr>
                <w:rFonts w:ascii="Times New Roman" w:hAnsi="Times New Roman" w:cs="Times New Roman"/>
                <w:b/>
                <w:bCs/>
              </w:rPr>
            </w:pPr>
            <w:r w:rsidRPr="007031A3">
              <w:rPr>
                <w:rFonts w:ascii="Times New Roman" w:hAnsi="Times New Roman" w:cs="Times New Roman"/>
                <w:b/>
                <w:bCs/>
              </w:rPr>
              <w:t>States</w:t>
            </w:r>
          </w:p>
        </w:tc>
      </w:tr>
      <w:tr w:rsidR="00BB7067" w:rsidRPr="007031A3" w14:paraId="26FC7EF3" w14:textId="77777777" w:rsidTr="00176A8E">
        <w:trPr>
          <w:jc w:val="center"/>
        </w:trPr>
        <w:tc>
          <w:tcPr>
            <w:tcW w:w="0" w:type="auto"/>
          </w:tcPr>
          <w:p w14:paraId="751692D4" w14:textId="77777777" w:rsidR="00BB7067" w:rsidRPr="007031A3" w:rsidRDefault="00BB7067" w:rsidP="00176A8E">
            <w:pPr>
              <w:pStyle w:val="Compact"/>
              <w:jc w:val="both"/>
              <w:rPr>
                <w:rFonts w:ascii="Times New Roman" w:hAnsi="Times New Roman" w:cs="Times New Roman"/>
              </w:rPr>
            </w:pPr>
            <w:r w:rsidRPr="007031A3">
              <w:rPr>
                <w:rFonts w:ascii="Times New Roman" w:hAnsi="Times New Roman" w:cs="Times New Roman"/>
              </w:rPr>
              <w:t>Cluster 1</w:t>
            </w:r>
          </w:p>
        </w:tc>
        <w:tc>
          <w:tcPr>
            <w:tcW w:w="0" w:type="auto"/>
          </w:tcPr>
          <w:p w14:paraId="7E0BD522" w14:textId="6D3112B4" w:rsidR="00BB7067" w:rsidRPr="007031A3" w:rsidRDefault="00C850A4" w:rsidP="00176A8E">
            <w:pPr>
              <w:pStyle w:val="Compact"/>
              <w:jc w:val="both"/>
              <w:rPr>
                <w:rFonts w:ascii="Times New Roman" w:hAnsi="Times New Roman" w:cs="Times New Roman"/>
              </w:rPr>
            </w:pPr>
            <w:r w:rsidRPr="007031A3">
              <w:rPr>
                <w:rFonts w:ascii="Times New Roman" w:hAnsi="Times New Roman" w:cs="Times New Roman"/>
              </w:rPr>
              <w:t>Arunachal Pradesh, Manipur, Mizoram, Nagaland</w:t>
            </w:r>
          </w:p>
        </w:tc>
      </w:tr>
      <w:tr w:rsidR="00BB7067" w:rsidRPr="007031A3" w14:paraId="0BD983DE" w14:textId="77777777" w:rsidTr="00176A8E">
        <w:trPr>
          <w:jc w:val="center"/>
        </w:trPr>
        <w:tc>
          <w:tcPr>
            <w:tcW w:w="0" w:type="auto"/>
          </w:tcPr>
          <w:p w14:paraId="3F9F0506" w14:textId="017ECC55" w:rsidR="00BB7067" w:rsidRPr="007031A3" w:rsidRDefault="001B70A7" w:rsidP="00176A8E">
            <w:pPr>
              <w:pStyle w:val="Compact"/>
              <w:jc w:val="both"/>
              <w:rPr>
                <w:rFonts w:ascii="Times New Roman" w:hAnsi="Times New Roman" w:cs="Times New Roman"/>
              </w:rPr>
            </w:pPr>
            <w:r w:rsidRPr="007031A3">
              <w:rPr>
                <w:rFonts w:ascii="Times New Roman" w:hAnsi="Times New Roman" w:cs="Times New Roman"/>
              </w:rPr>
              <w:t>Cluster 2</w:t>
            </w:r>
          </w:p>
        </w:tc>
        <w:tc>
          <w:tcPr>
            <w:tcW w:w="0" w:type="auto"/>
          </w:tcPr>
          <w:p w14:paraId="52907B5D" w14:textId="072FD6D9" w:rsidR="00BB7067" w:rsidRPr="007031A3" w:rsidRDefault="00626A3E" w:rsidP="00176A8E">
            <w:pPr>
              <w:pStyle w:val="Compact"/>
              <w:jc w:val="both"/>
              <w:rPr>
                <w:rFonts w:ascii="Times New Roman" w:hAnsi="Times New Roman" w:cs="Times New Roman"/>
              </w:rPr>
            </w:pPr>
            <w:r w:rsidRPr="007031A3">
              <w:rPr>
                <w:rFonts w:ascii="Times New Roman" w:hAnsi="Times New Roman" w:cs="Times New Roman"/>
              </w:rPr>
              <w:t>Assam, Tripura</w:t>
            </w:r>
          </w:p>
        </w:tc>
      </w:tr>
      <w:tr w:rsidR="00BB7067" w:rsidRPr="007031A3" w14:paraId="52409524" w14:textId="77777777" w:rsidTr="00176A8E">
        <w:trPr>
          <w:jc w:val="center"/>
        </w:trPr>
        <w:tc>
          <w:tcPr>
            <w:tcW w:w="0" w:type="auto"/>
          </w:tcPr>
          <w:p w14:paraId="32A49066" w14:textId="3BFE2946" w:rsidR="00BB7067" w:rsidRPr="007031A3" w:rsidRDefault="001B70A7" w:rsidP="00176A8E">
            <w:pPr>
              <w:pStyle w:val="Compact"/>
              <w:jc w:val="both"/>
              <w:rPr>
                <w:rFonts w:ascii="Times New Roman" w:hAnsi="Times New Roman" w:cs="Times New Roman"/>
              </w:rPr>
            </w:pPr>
            <w:r w:rsidRPr="007031A3">
              <w:rPr>
                <w:rFonts w:ascii="Times New Roman" w:hAnsi="Times New Roman" w:cs="Times New Roman"/>
              </w:rPr>
              <w:t>Cluster 3</w:t>
            </w:r>
          </w:p>
        </w:tc>
        <w:tc>
          <w:tcPr>
            <w:tcW w:w="0" w:type="auto"/>
          </w:tcPr>
          <w:p w14:paraId="6E446E19" w14:textId="10D9F384" w:rsidR="00BB7067" w:rsidRPr="007031A3" w:rsidRDefault="00626A3E" w:rsidP="00176A8E">
            <w:pPr>
              <w:pStyle w:val="Compact"/>
              <w:jc w:val="both"/>
              <w:rPr>
                <w:rFonts w:ascii="Times New Roman" w:hAnsi="Times New Roman" w:cs="Times New Roman"/>
              </w:rPr>
            </w:pPr>
            <w:r w:rsidRPr="007031A3">
              <w:rPr>
                <w:rFonts w:ascii="Times New Roman" w:hAnsi="Times New Roman" w:cs="Times New Roman"/>
              </w:rPr>
              <w:t>Meghalaya</w:t>
            </w:r>
          </w:p>
        </w:tc>
      </w:tr>
      <w:tr w:rsidR="00BB7067" w:rsidRPr="007031A3" w14:paraId="2BE73AD2" w14:textId="77777777" w:rsidTr="00176A8E">
        <w:trPr>
          <w:jc w:val="center"/>
        </w:trPr>
        <w:tc>
          <w:tcPr>
            <w:tcW w:w="0" w:type="auto"/>
          </w:tcPr>
          <w:p w14:paraId="12A65AD3" w14:textId="3C3E380B" w:rsidR="00BB7067" w:rsidRPr="007031A3" w:rsidRDefault="00BB7067" w:rsidP="00176A8E">
            <w:pPr>
              <w:pStyle w:val="Compact"/>
              <w:jc w:val="both"/>
              <w:rPr>
                <w:rFonts w:ascii="Times New Roman" w:hAnsi="Times New Roman" w:cs="Times New Roman"/>
              </w:rPr>
            </w:pPr>
            <w:r w:rsidRPr="007031A3">
              <w:rPr>
                <w:rFonts w:ascii="Times New Roman" w:hAnsi="Times New Roman" w:cs="Times New Roman"/>
              </w:rPr>
              <w:t xml:space="preserve">Cluster </w:t>
            </w:r>
            <w:r w:rsidR="001B70A7" w:rsidRPr="007031A3">
              <w:rPr>
                <w:rFonts w:ascii="Times New Roman" w:hAnsi="Times New Roman" w:cs="Times New Roman"/>
              </w:rPr>
              <w:t>4</w:t>
            </w:r>
          </w:p>
        </w:tc>
        <w:tc>
          <w:tcPr>
            <w:tcW w:w="0" w:type="auto"/>
          </w:tcPr>
          <w:p w14:paraId="12F714D7" w14:textId="6B9D02CD" w:rsidR="00BB7067" w:rsidRPr="007031A3" w:rsidRDefault="00626A3E" w:rsidP="00176A8E">
            <w:pPr>
              <w:pStyle w:val="Compact"/>
              <w:jc w:val="both"/>
              <w:rPr>
                <w:rFonts w:ascii="Times New Roman" w:hAnsi="Times New Roman" w:cs="Times New Roman"/>
              </w:rPr>
            </w:pPr>
            <w:r w:rsidRPr="007031A3">
              <w:rPr>
                <w:rFonts w:ascii="Times New Roman" w:hAnsi="Times New Roman" w:cs="Times New Roman"/>
              </w:rPr>
              <w:t>Sikkim</w:t>
            </w:r>
          </w:p>
        </w:tc>
      </w:tr>
      <w:bookmarkEnd w:id="10"/>
      <w:bookmarkEnd w:id="11"/>
    </w:tbl>
    <w:p w14:paraId="21B0068D" w14:textId="77777777" w:rsidR="00EC5532" w:rsidRPr="007031A3" w:rsidRDefault="00EC5532" w:rsidP="00BB7067">
      <w:pPr>
        <w:pStyle w:val="CaptionedFigure"/>
        <w:jc w:val="center"/>
        <w:rPr>
          <w:rFonts w:cs="Times New Roman"/>
        </w:rPr>
      </w:pPr>
    </w:p>
    <w:p w14:paraId="13954BB2" w14:textId="7B3B7590" w:rsidR="00BB7067" w:rsidRPr="007031A3" w:rsidRDefault="00A62E03" w:rsidP="00BB7067">
      <w:pPr>
        <w:pStyle w:val="CaptionedFigure"/>
        <w:jc w:val="center"/>
        <w:rPr>
          <w:rFonts w:cs="Times New Roman"/>
        </w:rPr>
      </w:pPr>
      <w:r w:rsidRPr="007031A3">
        <w:rPr>
          <w:rFonts w:cs="Times New Roman"/>
          <w:noProof/>
        </w:rPr>
        <w:drawing>
          <wp:inline distT="0" distB="0" distL="0" distR="0" wp14:anchorId="15CEAD41" wp14:editId="5902C395">
            <wp:extent cx="4805916" cy="3003697"/>
            <wp:effectExtent l="0" t="0" r="0" b="6350"/>
            <wp:docPr id="53548128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30848" cy="3019280"/>
                    </a:xfrm>
                    <a:prstGeom prst="rect">
                      <a:avLst/>
                    </a:prstGeom>
                    <a:noFill/>
                    <a:ln>
                      <a:noFill/>
                    </a:ln>
                  </pic:spPr>
                </pic:pic>
              </a:graphicData>
            </a:graphic>
          </wp:inline>
        </w:drawing>
      </w:r>
    </w:p>
    <w:p w14:paraId="6185B8EA" w14:textId="7721E078" w:rsidR="00BB7067" w:rsidRPr="007C38CD" w:rsidRDefault="00BB7067" w:rsidP="00B96205">
      <w:pPr>
        <w:pStyle w:val="tablefigurecaption"/>
        <w:jc w:val="both"/>
        <w:rPr>
          <w:rFonts w:cs="Times New Roman"/>
          <w:b/>
          <w:bCs/>
          <w:i w:val="0"/>
          <w:iCs/>
          <w:sz w:val="18"/>
          <w:szCs w:val="20"/>
        </w:rPr>
      </w:pPr>
      <w:r w:rsidRPr="007C38CD">
        <w:rPr>
          <w:rFonts w:cs="Times New Roman"/>
          <w:b/>
          <w:bCs/>
          <w:i w:val="0"/>
          <w:iCs/>
          <w:sz w:val="18"/>
          <w:szCs w:val="20"/>
        </w:rPr>
        <w:t>Fig</w:t>
      </w:r>
      <w:r w:rsidR="007C38CD" w:rsidRPr="007C38CD">
        <w:rPr>
          <w:rFonts w:cs="Times New Roman"/>
          <w:b/>
          <w:bCs/>
          <w:i w:val="0"/>
          <w:iCs/>
          <w:sz w:val="18"/>
          <w:szCs w:val="20"/>
        </w:rPr>
        <w:t>ure</w:t>
      </w:r>
      <w:r w:rsidRPr="007C38CD">
        <w:rPr>
          <w:rFonts w:cs="Times New Roman"/>
          <w:b/>
          <w:bCs/>
          <w:i w:val="0"/>
          <w:iCs/>
          <w:sz w:val="18"/>
          <w:szCs w:val="20"/>
        </w:rPr>
        <w:t xml:space="preserve"> </w:t>
      </w:r>
      <w:r w:rsidR="0025400C">
        <w:rPr>
          <w:rFonts w:cs="Times New Roman"/>
          <w:b/>
          <w:bCs/>
          <w:i w:val="0"/>
          <w:iCs/>
          <w:sz w:val="18"/>
          <w:szCs w:val="20"/>
        </w:rPr>
        <w:t>5</w:t>
      </w:r>
      <w:r w:rsidRPr="007C38CD">
        <w:rPr>
          <w:rFonts w:cs="Times New Roman"/>
          <w:b/>
          <w:bCs/>
          <w:i w:val="0"/>
          <w:iCs/>
          <w:sz w:val="18"/>
          <w:szCs w:val="20"/>
        </w:rPr>
        <w:t xml:space="preserve">: A comparison of the ASFR pattern between the </w:t>
      </w:r>
      <w:r w:rsidR="00A44263" w:rsidRPr="007C38CD">
        <w:rPr>
          <w:rFonts w:cs="Times New Roman"/>
          <w:b/>
          <w:bCs/>
          <w:i w:val="0"/>
          <w:iCs/>
          <w:sz w:val="18"/>
          <w:szCs w:val="20"/>
        </w:rPr>
        <w:t>four</w:t>
      </w:r>
      <w:r w:rsidRPr="007C38CD">
        <w:rPr>
          <w:rFonts w:cs="Times New Roman"/>
          <w:b/>
          <w:bCs/>
          <w:i w:val="0"/>
          <w:iCs/>
          <w:sz w:val="18"/>
          <w:szCs w:val="20"/>
        </w:rPr>
        <w:t xml:space="preserve"> clusters of </w:t>
      </w:r>
      <w:r w:rsidR="00A44263" w:rsidRPr="007C38CD">
        <w:rPr>
          <w:rFonts w:cs="Times New Roman"/>
          <w:b/>
          <w:bCs/>
          <w:i w:val="0"/>
          <w:iCs/>
          <w:sz w:val="18"/>
          <w:szCs w:val="20"/>
        </w:rPr>
        <w:t xml:space="preserve">ne states </w:t>
      </w:r>
      <w:r w:rsidRPr="007C38CD">
        <w:rPr>
          <w:rFonts w:cs="Times New Roman"/>
          <w:b/>
          <w:bCs/>
          <w:i w:val="0"/>
          <w:iCs/>
          <w:sz w:val="18"/>
          <w:szCs w:val="20"/>
        </w:rPr>
        <w:t>with that of India.</w:t>
      </w:r>
    </w:p>
    <w:p w14:paraId="6213CD43" w14:textId="77777777" w:rsidR="00BB7067" w:rsidRPr="007031A3" w:rsidRDefault="00BB7067" w:rsidP="00BB7067">
      <w:pPr>
        <w:rPr>
          <w:rFonts w:eastAsiaTheme="majorEastAsia" w:cs="Times New Roman"/>
          <w:b/>
          <w:bCs/>
          <w:sz w:val="28"/>
          <w:szCs w:val="28"/>
        </w:rPr>
      </w:pPr>
      <w:bookmarkStart w:id="12" w:name="between-cluster-comparison"/>
      <w:bookmarkEnd w:id="6"/>
    </w:p>
    <w:p w14:paraId="40141E06" w14:textId="067F93FA" w:rsidR="00BB7067" w:rsidRPr="007031A3" w:rsidRDefault="00B44AC5" w:rsidP="00BB7067">
      <w:pPr>
        <w:pStyle w:val="FirstParagraph"/>
        <w:jc w:val="both"/>
        <w:rPr>
          <w:rFonts w:cs="Times New Roman"/>
        </w:rPr>
      </w:pPr>
      <w:r w:rsidRPr="00B44AC5">
        <w:rPr>
          <w:rFonts w:cs="Times New Roman"/>
          <w:b/>
          <w:bCs/>
        </w:rPr>
        <w:t xml:space="preserve">Between Cluster Comparison: </w:t>
      </w:r>
      <w:r w:rsidR="00BB7067" w:rsidRPr="007031A3">
        <w:rPr>
          <w:rFonts w:cs="Times New Roman"/>
        </w:rPr>
        <w:t>Pearson’s Chi Square test of independence</w:t>
      </w:r>
      <w:r w:rsidR="000A7C8C">
        <w:rPr>
          <w:rFonts w:cs="Times New Roman"/>
        </w:rPr>
        <w:t xml:space="preserve"> has been used to </w:t>
      </w:r>
      <w:r w:rsidR="00BB7067" w:rsidRPr="007031A3">
        <w:rPr>
          <w:rFonts w:cs="Times New Roman"/>
        </w:rPr>
        <w:t xml:space="preserve">compare a few socio - demographic characteristics, which may affect the fertility of the women in the </w:t>
      </w:r>
      <w:r w:rsidR="000A7C8C">
        <w:rPr>
          <w:rFonts w:cs="Times New Roman"/>
        </w:rPr>
        <w:t xml:space="preserve">four </w:t>
      </w:r>
      <w:r w:rsidR="00BB7067" w:rsidRPr="007031A3">
        <w:rPr>
          <w:rFonts w:cs="Times New Roman"/>
        </w:rPr>
        <w:t>clusters for a better characterization of the clusters. Chi-square tests assume independence of observations, which may be violated due to geographic clustering. Future studies should validate findings with larger samples. Initially a median test using the Wilcoxon signed rank test was performed to compare the total children ever born and the total number of living children of mothers in the two clusters but since the median and inter-quartile range (IQR) are identical we opted for the Yuen’s robust t-test for trimmed mean.</w:t>
      </w:r>
      <w:r w:rsidR="00B96205" w:rsidRPr="00B96205">
        <w:rPr>
          <w:rFonts w:cs="Times New Roman"/>
          <w:vertAlign w:val="superscript"/>
        </w:rPr>
        <w:t>35</w:t>
      </w:r>
      <w:r w:rsidR="00BB7067" w:rsidRPr="007031A3">
        <w:rPr>
          <w:rFonts w:cs="Times New Roman"/>
        </w:rPr>
        <w:t xml:space="preserve"> [</w:t>
      </w:r>
      <w:r w:rsidR="00BB2FE4">
        <w:rPr>
          <w:rFonts w:cs="Times New Roman"/>
        </w:rPr>
        <w:t xml:space="preserve">See </w:t>
      </w:r>
      <w:r w:rsidR="00BB7067" w:rsidRPr="007031A3">
        <w:rPr>
          <w:rFonts w:cs="Times New Roman"/>
        </w:rPr>
        <w:t>Table 3].</w:t>
      </w:r>
    </w:p>
    <w:p w14:paraId="5ED0A139" w14:textId="77777777" w:rsidR="00BB7067" w:rsidRPr="007031A3" w:rsidRDefault="00BB7067" w:rsidP="00BB7067">
      <w:pPr>
        <w:pStyle w:val="FirstParagraph"/>
        <w:jc w:val="both"/>
        <w:rPr>
          <w:rFonts w:cs="Times New Roman"/>
        </w:rPr>
      </w:pPr>
    </w:p>
    <w:p w14:paraId="04C5E7C5" w14:textId="53C91B4A" w:rsidR="00BB7067" w:rsidRPr="007031A3" w:rsidRDefault="00A54FDE" w:rsidP="00BB7067">
      <w:pPr>
        <w:pStyle w:val="BodyText"/>
        <w:jc w:val="center"/>
        <w:rPr>
          <w:rFonts w:cs="Times New Roman"/>
        </w:rPr>
      </w:pPr>
      <w:r w:rsidRPr="007031A3">
        <w:rPr>
          <w:rFonts w:cs="Times New Roman"/>
          <w:noProof/>
        </w:rPr>
        <w:lastRenderedPageBreak/>
        <w:drawing>
          <wp:inline distT="0" distB="0" distL="0" distR="0" wp14:anchorId="2D95BEA8" wp14:editId="1431E3F4">
            <wp:extent cx="4572000" cy="2857500"/>
            <wp:effectExtent l="0" t="0" r="0" b="0"/>
            <wp:docPr id="1181095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91330" cy="2869581"/>
                    </a:xfrm>
                    <a:prstGeom prst="rect">
                      <a:avLst/>
                    </a:prstGeom>
                    <a:noFill/>
                    <a:ln>
                      <a:noFill/>
                    </a:ln>
                  </pic:spPr>
                </pic:pic>
              </a:graphicData>
            </a:graphic>
          </wp:inline>
        </w:drawing>
      </w:r>
    </w:p>
    <w:p w14:paraId="37591ECC" w14:textId="37ADB534" w:rsidR="00BB7067" w:rsidRPr="00B96205" w:rsidRDefault="00BB7067" w:rsidP="00B96205">
      <w:pPr>
        <w:pStyle w:val="tablefigurecaption"/>
        <w:jc w:val="both"/>
        <w:rPr>
          <w:rFonts w:cs="Times New Roman"/>
          <w:b/>
          <w:bCs/>
          <w:i w:val="0"/>
          <w:iCs/>
          <w:sz w:val="18"/>
          <w:szCs w:val="20"/>
        </w:rPr>
      </w:pPr>
      <w:r w:rsidRPr="00B96205">
        <w:rPr>
          <w:rFonts w:cs="Times New Roman"/>
          <w:b/>
          <w:bCs/>
          <w:i w:val="0"/>
          <w:iCs/>
          <w:sz w:val="18"/>
          <w:szCs w:val="20"/>
        </w:rPr>
        <w:t>Fig</w:t>
      </w:r>
      <w:r w:rsidR="00B96205" w:rsidRPr="00B96205">
        <w:rPr>
          <w:rFonts w:cs="Times New Roman"/>
          <w:b/>
          <w:bCs/>
          <w:i w:val="0"/>
          <w:iCs/>
          <w:sz w:val="18"/>
          <w:szCs w:val="20"/>
        </w:rPr>
        <w:t>ure</w:t>
      </w:r>
      <w:r w:rsidRPr="00B96205">
        <w:rPr>
          <w:rFonts w:cs="Times New Roman"/>
          <w:b/>
          <w:bCs/>
          <w:i w:val="0"/>
          <w:iCs/>
          <w:sz w:val="18"/>
          <w:szCs w:val="20"/>
        </w:rPr>
        <w:t xml:space="preserve"> </w:t>
      </w:r>
      <w:r w:rsidR="0025400C">
        <w:rPr>
          <w:rFonts w:cs="Times New Roman"/>
          <w:b/>
          <w:bCs/>
          <w:i w:val="0"/>
          <w:iCs/>
          <w:sz w:val="18"/>
          <w:szCs w:val="20"/>
        </w:rPr>
        <w:t>6</w:t>
      </w:r>
      <w:r w:rsidRPr="00B96205">
        <w:rPr>
          <w:rFonts w:cs="Times New Roman"/>
          <w:b/>
          <w:bCs/>
          <w:i w:val="0"/>
          <w:iCs/>
          <w:sz w:val="18"/>
          <w:szCs w:val="20"/>
        </w:rPr>
        <w:t xml:space="preserve">: An area plot comparing the distribution of number of children ever born </w:t>
      </w:r>
      <w:r w:rsidR="009B062D" w:rsidRPr="00B96205">
        <w:rPr>
          <w:rFonts w:cs="Times New Roman"/>
          <w:b/>
          <w:bCs/>
          <w:i w:val="0"/>
          <w:iCs/>
          <w:sz w:val="18"/>
          <w:szCs w:val="20"/>
        </w:rPr>
        <w:t>among</w:t>
      </w:r>
      <w:r w:rsidRPr="00B96205">
        <w:rPr>
          <w:rFonts w:cs="Times New Roman"/>
          <w:b/>
          <w:bCs/>
          <w:i w:val="0"/>
          <w:iCs/>
          <w:sz w:val="18"/>
          <w:szCs w:val="20"/>
        </w:rPr>
        <w:t xml:space="preserve"> the </w:t>
      </w:r>
      <w:r w:rsidR="009B062D" w:rsidRPr="00B96205">
        <w:rPr>
          <w:rFonts w:cs="Times New Roman"/>
          <w:b/>
          <w:bCs/>
          <w:i w:val="0"/>
          <w:iCs/>
          <w:sz w:val="18"/>
          <w:szCs w:val="20"/>
        </w:rPr>
        <w:t xml:space="preserve">four </w:t>
      </w:r>
      <w:r w:rsidRPr="00B96205">
        <w:rPr>
          <w:rFonts w:cs="Times New Roman"/>
          <w:b/>
          <w:bCs/>
          <w:i w:val="0"/>
          <w:iCs/>
          <w:sz w:val="18"/>
          <w:szCs w:val="20"/>
        </w:rPr>
        <w:t xml:space="preserve">cluster of </w:t>
      </w:r>
      <w:r w:rsidR="009B062D" w:rsidRPr="00B96205">
        <w:rPr>
          <w:rFonts w:cs="Times New Roman"/>
          <w:b/>
          <w:bCs/>
          <w:i w:val="0"/>
          <w:iCs/>
          <w:sz w:val="18"/>
          <w:szCs w:val="20"/>
        </w:rPr>
        <w:t>northeastern states</w:t>
      </w:r>
      <w:r w:rsidRPr="00B96205">
        <w:rPr>
          <w:rFonts w:cs="Times New Roman"/>
          <w:b/>
          <w:bCs/>
          <w:i w:val="0"/>
          <w:iCs/>
          <w:sz w:val="18"/>
          <w:szCs w:val="20"/>
        </w:rPr>
        <w:t>.</w:t>
      </w:r>
    </w:p>
    <w:p w14:paraId="433DCD72" w14:textId="77777777" w:rsidR="00B44AC5" w:rsidRDefault="00B44AC5" w:rsidP="002C0E9F">
      <w:pPr>
        <w:pStyle w:val="FirstParagraph"/>
        <w:jc w:val="both"/>
        <w:rPr>
          <w:rFonts w:cs="Times New Roman"/>
          <w:b/>
          <w:bCs/>
        </w:rPr>
      </w:pPr>
    </w:p>
    <w:p w14:paraId="1539F50F" w14:textId="7BE2B4C4" w:rsidR="00B44AC5" w:rsidRPr="00B44AC5" w:rsidRDefault="00B44AC5" w:rsidP="002C0E9F">
      <w:pPr>
        <w:pStyle w:val="FirstParagraph"/>
        <w:jc w:val="both"/>
        <w:rPr>
          <w:rFonts w:cs="Times New Roman"/>
          <w:b/>
          <w:bCs/>
        </w:rPr>
      </w:pPr>
      <w:r w:rsidRPr="00B44AC5">
        <w:rPr>
          <w:rFonts w:cs="Times New Roman"/>
          <w:b/>
          <w:bCs/>
        </w:rPr>
        <w:t>DISCUSSION</w:t>
      </w:r>
    </w:p>
    <w:p w14:paraId="7EB8F5D9" w14:textId="730046A9" w:rsidR="002C0E9F" w:rsidRDefault="002C0E9F" w:rsidP="002C0E9F">
      <w:pPr>
        <w:pStyle w:val="FirstParagraph"/>
        <w:jc w:val="both"/>
        <w:rPr>
          <w:rFonts w:cs="Times New Roman"/>
        </w:rPr>
      </w:pPr>
      <w:r w:rsidRPr="007031A3">
        <w:rPr>
          <w:rFonts w:cs="Times New Roman"/>
        </w:rPr>
        <w:t xml:space="preserve">A Geo-spatial visualization of the clusters showed a distinct pattern. </w:t>
      </w:r>
      <w:r>
        <w:rPr>
          <w:rFonts w:cs="Times New Roman"/>
        </w:rPr>
        <w:t>States</w:t>
      </w:r>
      <w:r w:rsidRPr="007031A3">
        <w:rPr>
          <w:rFonts w:cs="Times New Roman"/>
        </w:rPr>
        <w:t xml:space="preserve"> in a particular belt or region are found to be members of the same cluster. While cluster 1 of </w:t>
      </w:r>
      <w:r>
        <w:rPr>
          <w:rFonts w:cs="Times New Roman"/>
        </w:rPr>
        <w:t>states</w:t>
      </w:r>
      <w:r w:rsidRPr="007031A3">
        <w:rPr>
          <w:rFonts w:cs="Times New Roman"/>
        </w:rPr>
        <w:t xml:space="preserve"> </w:t>
      </w:r>
      <w:r>
        <w:rPr>
          <w:rFonts w:cs="Times New Roman"/>
        </w:rPr>
        <w:t>share international border with Myanmar (Burma), states in cluster 2 and 3 share international border with Bangladesh. On the other hand, cluster 4 (Sikkim) share international border with Nepal and Bhutan</w:t>
      </w:r>
      <w:r w:rsidR="006F223E">
        <w:rPr>
          <w:rFonts w:cs="Times New Roman"/>
        </w:rPr>
        <w:t xml:space="preserve"> [See Figure 4c]</w:t>
      </w:r>
      <w:r>
        <w:rPr>
          <w:rFonts w:cs="Times New Roman"/>
        </w:rPr>
        <w:t xml:space="preserve">. </w:t>
      </w:r>
    </w:p>
    <w:p w14:paraId="18BC8EA7" w14:textId="6F3E29E6" w:rsidR="002C0E9F" w:rsidRDefault="002C0E9F" w:rsidP="002C0E9F">
      <w:pPr>
        <w:pStyle w:val="FirstParagraph"/>
        <w:jc w:val="both"/>
        <w:rPr>
          <w:rFonts w:cs="Times New Roman"/>
        </w:rPr>
      </w:pPr>
      <w:r w:rsidRPr="002C0E9F">
        <w:rPr>
          <w:rFonts w:cs="Times New Roman"/>
        </w:rPr>
        <w:t>Cluster 4 (purple), characterized by the lowest overall fertility rates, exhibits a pronounced concentration of women with fewer children, particularly those having one or two offspring. The distribution peaks sharply at lower birth counts, with a steep decline in proportions as the number of children increases, indicating a strong preference for smaller family sizes and rapid fertility decline.</w:t>
      </w:r>
      <w:r>
        <w:rPr>
          <w:rFonts w:cs="Times New Roman"/>
        </w:rPr>
        <w:t xml:space="preserve"> </w:t>
      </w:r>
      <w:r w:rsidRPr="002C0E9F">
        <w:rPr>
          <w:rFonts w:cs="Times New Roman"/>
        </w:rPr>
        <w:t>Cluster 1 (red) and Cluster 2 (blue) display more moderate distributions, though Cluster 1 shows a slightly higher proportion of women with two to three children. Both clusters demonstrate a broader spread of reproductive outcomes compared to Cluster 4, with a noticeable presence of women having four or more children, though still maintaining a higher proportion of lower birth counts than Cluster 3.</w:t>
      </w:r>
      <w:r>
        <w:rPr>
          <w:rFonts w:cs="Times New Roman"/>
        </w:rPr>
        <w:t xml:space="preserve"> </w:t>
      </w:r>
      <w:r w:rsidRPr="002C0E9F">
        <w:rPr>
          <w:rFonts w:cs="Times New Roman"/>
        </w:rPr>
        <w:t>Cluster 3 (green), which exhibits the highest fertility rates, presents a more dispersed distribution with a significant proportion of women having three to five children. The curve is relatively flatter across higher birth counts, suggesting a greater prevalence of extended family sizes and a less abrupt fertility transition compared to the other clusters</w:t>
      </w:r>
      <w:r>
        <w:rPr>
          <w:rFonts w:cs="Times New Roman"/>
        </w:rPr>
        <w:t xml:space="preserve"> </w:t>
      </w:r>
      <w:r w:rsidR="00FA15FF">
        <w:rPr>
          <w:rFonts w:cs="Times New Roman"/>
        </w:rPr>
        <w:t>[</w:t>
      </w:r>
      <w:r>
        <w:rPr>
          <w:rFonts w:cs="Times New Roman"/>
        </w:rPr>
        <w:t>See Fig</w:t>
      </w:r>
      <w:r w:rsidR="00FA15FF">
        <w:rPr>
          <w:rFonts w:cs="Times New Roman"/>
        </w:rPr>
        <w:t>ure</w:t>
      </w:r>
      <w:r>
        <w:rPr>
          <w:rFonts w:cs="Times New Roman"/>
        </w:rPr>
        <w:t xml:space="preserve"> </w:t>
      </w:r>
      <w:r w:rsidR="000943EE">
        <w:rPr>
          <w:rFonts w:cs="Times New Roman"/>
        </w:rPr>
        <w:t>6</w:t>
      </w:r>
      <w:r w:rsidR="00FA15FF">
        <w:rPr>
          <w:rFonts w:cs="Times New Roman"/>
        </w:rPr>
        <w:t>]</w:t>
      </w:r>
      <w:r w:rsidR="006F223E">
        <w:rPr>
          <w:rFonts w:cs="Times New Roman"/>
        </w:rPr>
        <w:t>.</w:t>
      </w:r>
    </w:p>
    <w:p w14:paraId="70FF54B8" w14:textId="77777777" w:rsidR="00BB7067" w:rsidRPr="007031A3" w:rsidRDefault="00BB7067" w:rsidP="00BB7067">
      <w:pPr>
        <w:pStyle w:val="FirstParagraph"/>
        <w:jc w:val="both"/>
        <w:rPr>
          <w:rFonts w:cs="Times New Roman"/>
        </w:rPr>
      </w:pPr>
      <w:r w:rsidRPr="007031A3">
        <w:rPr>
          <w:rFonts w:cs="Times New Roman"/>
        </w:rPr>
        <w:br w:type="page"/>
      </w:r>
    </w:p>
    <w:p w14:paraId="0E62042B" w14:textId="77777777" w:rsidR="00BB7067" w:rsidRPr="007031A3" w:rsidRDefault="00BB7067" w:rsidP="00BB7067">
      <w:pPr>
        <w:pStyle w:val="tablefigurecaption"/>
        <w:rPr>
          <w:rFonts w:cs="Times New Roman"/>
        </w:rPr>
        <w:sectPr w:rsidR="00BB7067" w:rsidRPr="007031A3" w:rsidSect="00257881">
          <w:pgSz w:w="12240" w:h="15840"/>
          <w:pgMar w:top="1440" w:right="1440" w:bottom="1440" w:left="1440" w:header="720" w:footer="720" w:gutter="0"/>
          <w:cols w:space="340"/>
        </w:sectPr>
      </w:pPr>
    </w:p>
    <w:p w14:paraId="614699B2" w14:textId="66763F70" w:rsidR="00BB7067" w:rsidRPr="00FA15FF" w:rsidRDefault="00BB7067" w:rsidP="00BB7067">
      <w:pPr>
        <w:pStyle w:val="tablefigurecaption"/>
        <w:spacing w:after="0"/>
        <w:rPr>
          <w:rFonts w:cs="Times New Roman"/>
          <w:b/>
          <w:bCs/>
          <w:i w:val="0"/>
          <w:iCs/>
        </w:rPr>
      </w:pPr>
      <w:r w:rsidRPr="00FA15FF">
        <w:rPr>
          <w:rFonts w:cs="Times New Roman"/>
          <w:b/>
          <w:bCs/>
          <w:i w:val="0"/>
          <w:iCs/>
        </w:rPr>
        <w:lastRenderedPageBreak/>
        <w:t xml:space="preserve">Table 3: Comparison of some key socio-demographic characteristic of the women in the </w:t>
      </w:r>
      <w:r w:rsidR="00A54FDE" w:rsidRPr="00FA15FF">
        <w:rPr>
          <w:rFonts w:cs="Times New Roman"/>
          <w:b/>
          <w:bCs/>
          <w:i w:val="0"/>
          <w:iCs/>
        </w:rPr>
        <w:t>four</w:t>
      </w:r>
      <w:r w:rsidRPr="00FA15FF">
        <w:rPr>
          <w:rFonts w:cs="Times New Roman"/>
          <w:b/>
          <w:bCs/>
          <w:i w:val="0"/>
          <w:iCs/>
        </w:rPr>
        <w:t xml:space="preserve"> clusters.</w:t>
      </w:r>
    </w:p>
    <w:p w14:paraId="6C8324B8" w14:textId="616C9795" w:rsidR="00BB7067" w:rsidRPr="007031A3" w:rsidRDefault="00BB7067" w:rsidP="00BB7067">
      <w:pPr>
        <w:pStyle w:val="tablefigurecaption"/>
        <w:spacing w:after="0"/>
        <w:rPr>
          <w:rFonts w:cs="Times New Roman"/>
          <w:sz w:val="18"/>
          <w:szCs w:val="20"/>
        </w:rPr>
      </w:pPr>
    </w:p>
    <w:tbl>
      <w:tblPr>
        <w:tblW w:w="0" w:type="auto"/>
        <w:jc w:val="center"/>
        <w:tblLook w:val="04A0" w:firstRow="1" w:lastRow="0" w:firstColumn="1" w:lastColumn="0" w:noHBand="0" w:noVBand="1"/>
      </w:tblPr>
      <w:tblGrid>
        <w:gridCol w:w="2985"/>
        <w:gridCol w:w="826"/>
        <w:gridCol w:w="1297"/>
        <w:gridCol w:w="1296"/>
        <w:gridCol w:w="1296"/>
        <w:gridCol w:w="1296"/>
        <w:gridCol w:w="1216"/>
        <w:gridCol w:w="1563"/>
      </w:tblGrid>
      <w:tr w:rsidR="00A80EF1" w:rsidRPr="007031A3" w14:paraId="5D0C895F" w14:textId="77777777" w:rsidTr="00131290">
        <w:trPr>
          <w:trHeight w:val="20"/>
          <w:jc w:val="center"/>
        </w:trPr>
        <w:tc>
          <w:tcPr>
            <w:tcW w:w="0" w:type="auto"/>
            <w:vMerge w:val="restart"/>
            <w:tcBorders>
              <w:top w:val="single" w:sz="8" w:space="0" w:color="000000"/>
              <w:left w:val="nil"/>
              <w:bottom w:val="single" w:sz="8" w:space="0" w:color="000000"/>
              <w:right w:val="nil"/>
            </w:tcBorders>
            <w:shd w:val="clear" w:color="000000" w:fill="FFFFFF"/>
            <w:noWrap/>
            <w:vAlign w:val="center"/>
            <w:hideMark/>
          </w:tcPr>
          <w:p w14:paraId="14B3C570" w14:textId="77777777" w:rsidR="00C3559E" w:rsidRPr="007031A3" w:rsidRDefault="00C3559E" w:rsidP="00C3559E">
            <w:pPr>
              <w:spacing w:after="0"/>
              <w:rPr>
                <w:rFonts w:eastAsia="Times New Roman" w:cs="Times New Roman"/>
                <w:b/>
                <w:bCs/>
                <w:color w:val="000000"/>
                <w:sz w:val="16"/>
                <w:szCs w:val="16"/>
                <w:lang w:val="en-US" w:eastAsia="en-IN" w:bidi="as-IN"/>
                <w14:ligatures w14:val="none"/>
              </w:rPr>
            </w:pPr>
            <w:r w:rsidRPr="007031A3">
              <w:rPr>
                <w:rFonts w:eastAsia="Times New Roman" w:cs="Times New Roman"/>
                <w:b/>
                <w:bCs/>
                <w:color w:val="000000"/>
                <w:sz w:val="16"/>
                <w:szCs w:val="16"/>
                <w:lang w:val="en-US" w:eastAsia="en-IN" w:bidi="as-IN"/>
                <w14:ligatures w14:val="none"/>
              </w:rPr>
              <w:t>Demographic</w:t>
            </w:r>
          </w:p>
          <w:p w14:paraId="3B5D56C3" w14:textId="15987456" w:rsidR="00C3559E" w:rsidRPr="007031A3" w:rsidRDefault="00C3559E" w:rsidP="00C3559E">
            <w:pPr>
              <w:spacing w:after="0"/>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Characteristic</w:t>
            </w:r>
          </w:p>
        </w:tc>
        <w:tc>
          <w:tcPr>
            <w:tcW w:w="0" w:type="auto"/>
            <w:vMerge w:val="restart"/>
            <w:tcBorders>
              <w:top w:val="single" w:sz="8" w:space="0" w:color="000000"/>
              <w:left w:val="nil"/>
              <w:bottom w:val="single" w:sz="8" w:space="0" w:color="000000"/>
              <w:right w:val="nil"/>
            </w:tcBorders>
            <w:shd w:val="clear" w:color="000000" w:fill="FFFFFF"/>
            <w:noWrap/>
            <w:vAlign w:val="center"/>
            <w:hideMark/>
          </w:tcPr>
          <w:p w14:paraId="06D653E8" w14:textId="77777777" w:rsidR="00C3559E" w:rsidRPr="007031A3" w:rsidRDefault="00C3559E" w:rsidP="00C3559E">
            <w:pPr>
              <w:spacing w:after="0"/>
              <w:jc w:val="center"/>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N</w:t>
            </w:r>
          </w:p>
        </w:tc>
        <w:tc>
          <w:tcPr>
            <w:tcW w:w="0" w:type="auto"/>
            <w:tcBorders>
              <w:top w:val="single" w:sz="8" w:space="0" w:color="000000"/>
              <w:left w:val="nil"/>
              <w:bottom w:val="nil"/>
              <w:right w:val="nil"/>
            </w:tcBorders>
            <w:shd w:val="clear" w:color="000000" w:fill="FFFFFF"/>
            <w:noWrap/>
            <w:vAlign w:val="center"/>
            <w:hideMark/>
          </w:tcPr>
          <w:p w14:paraId="675D8F52" w14:textId="77777777" w:rsidR="00C3559E" w:rsidRPr="007031A3" w:rsidRDefault="00C3559E" w:rsidP="00C3559E">
            <w:pPr>
              <w:spacing w:after="0"/>
              <w:jc w:val="center"/>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Overall</w:t>
            </w:r>
            <w:r w:rsidRPr="007031A3">
              <w:rPr>
                <w:rFonts w:eastAsia="Times New Roman" w:cs="Times New Roman"/>
                <w:color w:val="000000"/>
                <w:sz w:val="16"/>
                <w:szCs w:val="16"/>
                <w:lang w:val="en-US" w:eastAsia="en-IN" w:bidi="as-IN"/>
                <w14:ligatures w14:val="none"/>
              </w:rPr>
              <w:t xml:space="preserve">  </w:t>
            </w:r>
          </w:p>
        </w:tc>
        <w:tc>
          <w:tcPr>
            <w:tcW w:w="0" w:type="auto"/>
            <w:tcBorders>
              <w:top w:val="single" w:sz="8" w:space="0" w:color="000000"/>
              <w:left w:val="nil"/>
              <w:bottom w:val="nil"/>
              <w:right w:val="nil"/>
            </w:tcBorders>
            <w:shd w:val="clear" w:color="000000" w:fill="FFFFFF"/>
            <w:noWrap/>
            <w:vAlign w:val="center"/>
            <w:hideMark/>
          </w:tcPr>
          <w:p w14:paraId="0B5024CB" w14:textId="77777777" w:rsidR="00C3559E" w:rsidRPr="007031A3" w:rsidRDefault="00C3559E" w:rsidP="00C3559E">
            <w:pPr>
              <w:spacing w:after="0"/>
              <w:jc w:val="center"/>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Cluster 1</w:t>
            </w:r>
            <w:r w:rsidRPr="007031A3">
              <w:rPr>
                <w:rFonts w:eastAsia="Times New Roman" w:cs="Times New Roman"/>
                <w:color w:val="000000"/>
                <w:sz w:val="16"/>
                <w:szCs w:val="16"/>
                <w:lang w:val="en-US" w:eastAsia="en-IN" w:bidi="as-IN"/>
                <w14:ligatures w14:val="none"/>
              </w:rPr>
              <w:t xml:space="preserve">  </w:t>
            </w:r>
          </w:p>
        </w:tc>
        <w:tc>
          <w:tcPr>
            <w:tcW w:w="0" w:type="auto"/>
            <w:tcBorders>
              <w:top w:val="single" w:sz="8" w:space="0" w:color="000000"/>
              <w:left w:val="nil"/>
              <w:bottom w:val="nil"/>
              <w:right w:val="nil"/>
            </w:tcBorders>
            <w:shd w:val="clear" w:color="000000" w:fill="FFFFFF"/>
            <w:noWrap/>
            <w:vAlign w:val="center"/>
            <w:hideMark/>
          </w:tcPr>
          <w:p w14:paraId="1CA037B8" w14:textId="77777777" w:rsidR="00C3559E" w:rsidRPr="007031A3" w:rsidRDefault="00C3559E" w:rsidP="00C3559E">
            <w:pPr>
              <w:spacing w:after="0"/>
              <w:jc w:val="center"/>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Cluster 2</w:t>
            </w:r>
            <w:r w:rsidRPr="007031A3">
              <w:rPr>
                <w:rFonts w:eastAsia="Times New Roman" w:cs="Times New Roman"/>
                <w:color w:val="000000"/>
                <w:sz w:val="16"/>
                <w:szCs w:val="16"/>
                <w:lang w:val="en-US" w:eastAsia="en-IN" w:bidi="as-IN"/>
                <w14:ligatures w14:val="none"/>
              </w:rPr>
              <w:t xml:space="preserve">  </w:t>
            </w:r>
          </w:p>
        </w:tc>
        <w:tc>
          <w:tcPr>
            <w:tcW w:w="0" w:type="auto"/>
            <w:tcBorders>
              <w:top w:val="single" w:sz="8" w:space="0" w:color="000000"/>
              <w:left w:val="nil"/>
              <w:bottom w:val="nil"/>
              <w:right w:val="nil"/>
            </w:tcBorders>
            <w:shd w:val="clear" w:color="000000" w:fill="FFFFFF"/>
            <w:noWrap/>
            <w:vAlign w:val="center"/>
            <w:hideMark/>
          </w:tcPr>
          <w:p w14:paraId="49865B9E" w14:textId="77777777" w:rsidR="00C3559E" w:rsidRPr="007031A3" w:rsidRDefault="00C3559E" w:rsidP="00C3559E">
            <w:pPr>
              <w:spacing w:after="0"/>
              <w:jc w:val="center"/>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Cluster 3</w:t>
            </w:r>
            <w:r w:rsidRPr="007031A3">
              <w:rPr>
                <w:rFonts w:eastAsia="Times New Roman" w:cs="Times New Roman"/>
                <w:color w:val="000000"/>
                <w:sz w:val="16"/>
                <w:szCs w:val="16"/>
                <w:lang w:val="en-US" w:eastAsia="en-IN" w:bidi="as-IN"/>
                <w14:ligatures w14:val="none"/>
              </w:rPr>
              <w:t xml:space="preserve">  </w:t>
            </w:r>
          </w:p>
        </w:tc>
        <w:tc>
          <w:tcPr>
            <w:tcW w:w="0" w:type="auto"/>
            <w:tcBorders>
              <w:top w:val="single" w:sz="8" w:space="0" w:color="000000"/>
              <w:left w:val="nil"/>
              <w:bottom w:val="nil"/>
              <w:right w:val="nil"/>
            </w:tcBorders>
            <w:shd w:val="clear" w:color="000000" w:fill="FFFFFF"/>
            <w:noWrap/>
            <w:vAlign w:val="center"/>
            <w:hideMark/>
          </w:tcPr>
          <w:p w14:paraId="4275AB11" w14:textId="77777777" w:rsidR="00C3559E" w:rsidRPr="007031A3" w:rsidRDefault="00C3559E" w:rsidP="00C3559E">
            <w:pPr>
              <w:spacing w:after="0"/>
              <w:jc w:val="center"/>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Cluster 4</w:t>
            </w:r>
            <w:r w:rsidRPr="007031A3">
              <w:rPr>
                <w:rFonts w:eastAsia="Times New Roman" w:cs="Times New Roman"/>
                <w:color w:val="000000"/>
                <w:sz w:val="16"/>
                <w:szCs w:val="16"/>
                <w:lang w:val="en-US" w:eastAsia="en-IN" w:bidi="as-IN"/>
                <w14:ligatures w14:val="none"/>
              </w:rPr>
              <w:t xml:space="preserve">  </w:t>
            </w:r>
          </w:p>
        </w:tc>
        <w:tc>
          <w:tcPr>
            <w:tcW w:w="0" w:type="auto"/>
            <w:vMerge w:val="restart"/>
            <w:tcBorders>
              <w:top w:val="single" w:sz="8" w:space="0" w:color="000000"/>
              <w:left w:val="nil"/>
              <w:bottom w:val="single" w:sz="8" w:space="0" w:color="000000"/>
              <w:right w:val="nil"/>
            </w:tcBorders>
            <w:shd w:val="clear" w:color="000000" w:fill="FFFFFF"/>
            <w:vAlign w:val="center"/>
            <w:hideMark/>
          </w:tcPr>
          <w:p w14:paraId="37308FE1" w14:textId="77777777" w:rsidR="00C3559E" w:rsidRPr="007031A3" w:rsidRDefault="00C3559E" w:rsidP="00C3559E">
            <w:pPr>
              <w:spacing w:after="0"/>
              <w:jc w:val="center"/>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 xml:space="preserve">Comparison among </w:t>
            </w:r>
            <w:r w:rsidRPr="007031A3">
              <w:rPr>
                <w:rFonts w:eastAsia="Times New Roman" w:cs="Times New Roman"/>
                <w:b/>
                <w:bCs/>
                <w:color w:val="000000"/>
                <w:sz w:val="16"/>
                <w:szCs w:val="16"/>
                <w:lang w:val="en-US" w:eastAsia="en-IN" w:bidi="as-IN"/>
                <w14:ligatures w14:val="none"/>
              </w:rPr>
              <w:br/>
              <w:t>the clusters</w:t>
            </w:r>
          </w:p>
        </w:tc>
      </w:tr>
      <w:tr w:rsidR="00A01483" w:rsidRPr="007031A3" w14:paraId="0B2455A7" w14:textId="77777777" w:rsidTr="00131290">
        <w:trPr>
          <w:trHeight w:val="20"/>
          <w:jc w:val="center"/>
        </w:trPr>
        <w:tc>
          <w:tcPr>
            <w:tcW w:w="0" w:type="auto"/>
            <w:vMerge/>
            <w:tcBorders>
              <w:top w:val="single" w:sz="8" w:space="0" w:color="000000"/>
              <w:left w:val="nil"/>
              <w:bottom w:val="single" w:sz="8" w:space="0" w:color="000000"/>
              <w:right w:val="nil"/>
            </w:tcBorders>
            <w:vAlign w:val="center"/>
            <w:hideMark/>
          </w:tcPr>
          <w:p w14:paraId="44FEEB29" w14:textId="77777777" w:rsidR="00C3559E" w:rsidRPr="007031A3" w:rsidRDefault="00C3559E" w:rsidP="00C3559E">
            <w:pPr>
              <w:spacing w:after="0"/>
              <w:rPr>
                <w:rFonts w:eastAsia="Times New Roman" w:cs="Times New Roman"/>
                <w:b/>
                <w:bCs/>
                <w:color w:val="000000"/>
                <w:sz w:val="16"/>
                <w:szCs w:val="16"/>
                <w:lang w:eastAsia="en-IN" w:bidi="as-IN"/>
                <w14:ligatures w14:val="none"/>
              </w:rPr>
            </w:pPr>
          </w:p>
        </w:tc>
        <w:tc>
          <w:tcPr>
            <w:tcW w:w="0" w:type="auto"/>
            <w:vMerge/>
            <w:tcBorders>
              <w:top w:val="single" w:sz="8" w:space="0" w:color="000000"/>
              <w:left w:val="nil"/>
              <w:bottom w:val="single" w:sz="8" w:space="0" w:color="000000"/>
              <w:right w:val="nil"/>
            </w:tcBorders>
            <w:vAlign w:val="center"/>
            <w:hideMark/>
          </w:tcPr>
          <w:p w14:paraId="02906215" w14:textId="77777777" w:rsidR="00C3559E" w:rsidRPr="007031A3" w:rsidRDefault="00C3559E" w:rsidP="00C3559E">
            <w:pPr>
              <w:spacing w:after="0"/>
              <w:rPr>
                <w:rFonts w:eastAsia="Times New Roman" w:cs="Times New Roman"/>
                <w:b/>
                <w:bCs/>
                <w:color w:val="000000"/>
                <w:sz w:val="16"/>
                <w:szCs w:val="16"/>
                <w:lang w:eastAsia="en-IN" w:bidi="as-IN"/>
                <w14:ligatures w14:val="none"/>
              </w:rPr>
            </w:pPr>
          </w:p>
        </w:tc>
        <w:tc>
          <w:tcPr>
            <w:tcW w:w="0" w:type="auto"/>
            <w:tcBorders>
              <w:top w:val="nil"/>
              <w:left w:val="nil"/>
              <w:bottom w:val="single" w:sz="8" w:space="0" w:color="000000"/>
              <w:right w:val="nil"/>
            </w:tcBorders>
            <w:shd w:val="clear" w:color="000000" w:fill="FFFFFF"/>
            <w:noWrap/>
            <w:vAlign w:val="center"/>
            <w:hideMark/>
          </w:tcPr>
          <w:p w14:paraId="780F7F77" w14:textId="41E8CFBC" w:rsidR="00C3559E" w:rsidRPr="007031A3" w:rsidRDefault="00C3559E" w:rsidP="00C3559E">
            <w:pPr>
              <w:spacing w:after="0"/>
              <w:jc w:val="center"/>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eastAsia="en-IN" w:bidi="as-IN"/>
                <w14:ligatures w14:val="none"/>
              </w:rPr>
              <w:t>Northeast India</w:t>
            </w:r>
          </w:p>
        </w:tc>
        <w:tc>
          <w:tcPr>
            <w:tcW w:w="0" w:type="auto"/>
            <w:tcBorders>
              <w:top w:val="nil"/>
              <w:left w:val="nil"/>
              <w:bottom w:val="single" w:sz="8" w:space="0" w:color="000000"/>
              <w:right w:val="nil"/>
            </w:tcBorders>
            <w:shd w:val="clear" w:color="000000" w:fill="FFFFFF"/>
            <w:noWrap/>
            <w:vAlign w:val="center"/>
            <w:hideMark/>
          </w:tcPr>
          <w:p w14:paraId="0599EF26"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N = 44,780</w:t>
            </w:r>
          </w:p>
        </w:tc>
        <w:tc>
          <w:tcPr>
            <w:tcW w:w="0" w:type="auto"/>
            <w:tcBorders>
              <w:top w:val="nil"/>
              <w:left w:val="nil"/>
              <w:bottom w:val="single" w:sz="8" w:space="0" w:color="000000"/>
              <w:right w:val="nil"/>
            </w:tcBorders>
            <w:shd w:val="clear" w:color="000000" w:fill="FFFFFF"/>
            <w:noWrap/>
            <w:vAlign w:val="center"/>
            <w:hideMark/>
          </w:tcPr>
          <w:p w14:paraId="7D783308"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N = 42,293</w:t>
            </w:r>
          </w:p>
        </w:tc>
        <w:tc>
          <w:tcPr>
            <w:tcW w:w="0" w:type="auto"/>
            <w:tcBorders>
              <w:top w:val="nil"/>
              <w:left w:val="nil"/>
              <w:bottom w:val="single" w:sz="8" w:space="0" w:color="000000"/>
              <w:right w:val="nil"/>
            </w:tcBorders>
            <w:shd w:val="clear" w:color="000000" w:fill="FFFFFF"/>
            <w:noWrap/>
            <w:vAlign w:val="center"/>
            <w:hideMark/>
          </w:tcPr>
          <w:p w14:paraId="074ABCE2"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N = 13,089</w:t>
            </w:r>
          </w:p>
        </w:tc>
        <w:tc>
          <w:tcPr>
            <w:tcW w:w="0" w:type="auto"/>
            <w:tcBorders>
              <w:top w:val="nil"/>
              <w:left w:val="nil"/>
              <w:bottom w:val="single" w:sz="8" w:space="0" w:color="000000"/>
              <w:right w:val="nil"/>
            </w:tcBorders>
            <w:shd w:val="clear" w:color="000000" w:fill="FFFFFF"/>
            <w:noWrap/>
            <w:vAlign w:val="center"/>
            <w:hideMark/>
          </w:tcPr>
          <w:p w14:paraId="593CF10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N = 3,271</w:t>
            </w:r>
          </w:p>
        </w:tc>
        <w:tc>
          <w:tcPr>
            <w:tcW w:w="0" w:type="auto"/>
            <w:vMerge/>
            <w:tcBorders>
              <w:top w:val="single" w:sz="8" w:space="0" w:color="000000"/>
              <w:left w:val="nil"/>
              <w:bottom w:val="single" w:sz="8" w:space="0" w:color="000000"/>
              <w:right w:val="nil"/>
            </w:tcBorders>
            <w:vAlign w:val="center"/>
            <w:hideMark/>
          </w:tcPr>
          <w:p w14:paraId="11F8A6D1" w14:textId="77777777" w:rsidR="00C3559E" w:rsidRPr="007031A3" w:rsidRDefault="00C3559E" w:rsidP="00C3559E">
            <w:pPr>
              <w:spacing w:after="0"/>
              <w:rPr>
                <w:rFonts w:eastAsia="Times New Roman" w:cs="Times New Roman"/>
                <w:b/>
                <w:bCs/>
                <w:color w:val="000000"/>
                <w:sz w:val="16"/>
                <w:szCs w:val="16"/>
                <w:lang w:eastAsia="en-IN" w:bidi="as-IN"/>
                <w14:ligatures w14:val="none"/>
              </w:rPr>
            </w:pPr>
          </w:p>
        </w:tc>
      </w:tr>
      <w:tr w:rsidR="00A01483" w:rsidRPr="007031A3" w14:paraId="75CF2C4E"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0BF6A437" w14:textId="60A0DE86" w:rsidR="00C3559E" w:rsidRPr="007031A3" w:rsidRDefault="00C3559E" w:rsidP="00C3559E">
            <w:pPr>
              <w:spacing w:after="0"/>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Highest educational level</w:t>
            </w:r>
            <w:r w:rsidR="00A01483" w:rsidRPr="007031A3">
              <w:rPr>
                <w:rFonts w:eastAsia="Times New Roman" w:cs="Times New Roman"/>
                <w:b/>
                <w:bCs/>
                <w:color w:val="000000"/>
                <w:sz w:val="16"/>
                <w:szCs w:val="16"/>
                <w:lang w:val="en-US" w:eastAsia="en-IN" w:bidi="as-IN"/>
                <w14:ligatures w14:val="none"/>
              </w:rPr>
              <w:t xml:space="preserve">, </w:t>
            </w:r>
            <w:proofErr w:type="gramStart"/>
            <w:r w:rsidR="00A01483" w:rsidRPr="007031A3">
              <w:rPr>
                <w:rFonts w:eastAsia="Times New Roman" w:cs="Times New Roman"/>
                <w:b/>
                <w:bCs/>
                <w:color w:val="000000"/>
                <w:sz w:val="16"/>
                <w:szCs w:val="16"/>
                <w:lang w:val="en-US" w:eastAsia="en-IN" w:bidi="as-IN"/>
                <w14:ligatures w14:val="none"/>
              </w:rPr>
              <w:t>n(</w:t>
            </w:r>
            <w:proofErr w:type="gramEnd"/>
            <w:r w:rsidR="00A01483" w:rsidRPr="007031A3">
              <w:rPr>
                <w:rFonts w:eastAsia="Times New Roman" w:cs="Times New Roman"/>
                <w:b/>
                <w:bCs/>
                <w:color w:val="000000"/>
                <w:sz w:val="16"/>
                <w:szCs w:val="16"/>
                <w:lang w:val="en-US" w:eastAsia="en-IN" w:bidi="as-IN"/>
                <w14:ligatures w14:val="none"/>
              </w:rPr>
              <w:t>%)</w:t>
            </w:r>
          </w:p>
        </w:tc>
        <w:tc>
          <w:tcPr>
            <w:tcW w:w="0" w:type="auto"/>
            <w:tcBorders>
              <w:top w:val="nil"/>
              <w:left w:val="nil"/>
              <w:bottom w:val="nil"/>
              <w:right w:val="nil"/>
            </w:tcBorders>
            <w:shd w:val="clear" w:color="000000" w:fill="FFFFFF"/>
            <w:noWrap/>
            <w:vAlign w:val="center"/>
            <w:hideMark/>
          </w:tcPr>
          <w:p w14:paraId="10067C78"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1,03,433</w:t>
            </w:r>
          </w:p>
        </w:tc>
        <w:tc>
          <w:tcPr>
            <w:tcW w:w="0" w:type="auto"/>
            <w:tcBorders>
              <w:top w:val="nil"/>
              <w:left w:val="nil"/>
              <w:bottom w:val="nil"/>
              <w:right w:val="nil"/>
            </w:tcBorders>
            <w:shd w:val="clear" w:color="000000" w:fill="FFFFFF"/>
            <w:noWrap/>
            <w:vAlign w:val="center"/>
            <w:hideMark/>
          </w:tcPr>
          <w:p w14:paraId="63E1BAB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65C413D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2E3AA68E"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1B1461F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77FE118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68F40E22" w14:textId="71FC72FD"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1575 (&lt;0.001)</w:t>
            </w:r>
            <w:r w:rsidR="0043199E" w:rsidRPr="007031A3">
              <w:rPr>
                <w:rFonts w:eastAsia="Times New Roman" w:cs="Times New Roman"/>
                <w:color w:val="000000"/>
                <w:sz w:val="16"/>
                <w:szCs w:val="16"/>
                <w:vertAlign w:val="superscript"/>
                <w:lang w:eastAsia="en-IN" w:bidi="as-IN"/>
                <w14:ligatures w14:val="none"/>
              </w:rPr>
              <w:t>1</w:t>
            </w:r>
          </w:p>
        </w:tc>
      </w:tr>
      <w:tr w:rsidR="00A01483" w:rsidRPr="007031A3" w14:paraId="0CCA297F"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27E39324" w14:textId="2726E6CD" w:rsidR="00C3559E" w:rsidRPr="007031A3" w:rsidRDefault="00C355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No education</w:t>
            </w:r>
          </w:p>
        </w:tc>
        <w:tc>
          <w:tcPr>
            <w:tcW w:w="0" w:type="auto"/>
            <w:tcBorders>
              <w:top w:val="nil"/>
              <w:left w:val="nil"/>
              <w:bottom w:val="nil"/>
              <w:right w:val="nil"/>
            </w:tcBorders>
            <w:shd w:val="clear" w:color="000000" w:fill="FFFFFF"/>
            <w:noWrap/>
            <w:vAlign w:val="center"/>
            <w:hideMark/>
          </w:tcPr>
          <w:p w14:paraId="609087A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23B0AE4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16,337 (15.79%)</w:t>
            </w:r>
          </w:p>
        </w:tc>
        <w:tc>
          <w:tcPr>
            <w:tcW w:w="0" w:type="auto"/>
            <w:tcBorders>
              <w:top w:val="nil"/>
              <w:left w:val="nil"/>
              <w:bottom w:val="nil"/>
              <w:right w:val="nil"/>
            </w:tcBorders>
            <w:shd w:val="clear" w:color="000000" w:fill="FFFFFF"/>
            <w:noWrap/>
            <w:vAlign w:val="center"/>
            <w:hideMark/>
          </w:tcPr>
          <w:p w14:paraId="4C1B358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6,760 (15.10%)</w:t>
            </w:r>
          </w:p>
        </w:tc>
        <w:tc>
          <w:tcPr>
            <w:tcW w:w="0" w:type="auto"/>
            <w:tcBorders>
              <w:top w:val="nil"/>
              <w:left w:val="nil"/>
              <w:bottom w:val="nil"/>
              <w:right w:val="nil"/>
            </w:tcBorders>
            <w:shd w:val="clear" w:color="000000" w:fill="FFFFFF"/>
            <w:noWrap/>
            <w:vAlign w:val="center"/>
            <w:hideMark/>
          </w:tcPr>
          <w:p w14:paraId="4AE27F46"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7,409 (17.52%)</w:t>
            </w:r>
          </w:p>
        </w:tc>
        <w:tc>
          <w:tcPr>
            <w:tcW w:w="0" w:type="auto"/>
            <w:tcBorders>
              <w:top w:val="nil"/>
              <w:left w:val="nil"/>
              <w:bottom w:val="nil"/>
              <w:right w:val="nil"/>
            </w:tcBorders>
            <w:shd w:val="clear" w:color="000000" w:fill="FFFFFF"/>
            <w:noWrap/>
            <w:vAlign w:val="center"/>
            <w:hideMark/>
          </w:tcPr>
          <w:p w14:paraId="6E396F7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1,844 (14.09%)</w:t>
            </w:r>
          </w:p>
        </w:tc>
        <w:tc>
          <w:tcPr>
            <w:tcW w:w="0" w:type="auto"/>
            <w:tcBorders>
              <w:top w:val="nil"/>
              <w:left w:val="nil"/>
              <w:bottom w:val="nil"/>
              <w:right w:val="nil"/>
            </w:tcBorders>
            <w:shd w:val="clear" w:color="000000" w:fill="FFFFFF"/>
            <w:noWrap/>
            <w:vAlign w:val="center"/>
            <w:hideMark/>
          </w:tcPr>
          <w:p w14:paraId="2C768D5D"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324 (9.91%)</w:t>
            </w:r>
          </w:p>
        </w:tc>
        <w:tc>
          <w:tcPr>
            <w:tcW w:w="0" w:type="auto"/>
            <w:tcBorders>
              <w:top w:val="nil"/>
              <w:left w:val="nil"/>
              <w:bottom w:val="nil"/>
              <w:right w:val="nil"/>
            </w:tcBorders>
            <w:shd w:val="clear" w:color="000000" w:fill="FFFFFF"/>
            <w:noWrap/>
            <w:vAlign w:val="center"/>
            <w:hideMark/>
          </w:tcPr>
          <w:p w14:paraId="5B19EDF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23B1F782"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42A692AD" w14:textId="7FB81CD4" w:rsidR="00C3559E" w:rsidRPr="007031A3" w:rsidRDefault="00C355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Primary</w:t>
            </w:r>
          </w:p>
        </w:tc>
        <w:tc>
          <w:tcPr>
            <w:tcW w:w="0" w:type="auto"/>
            <w:tcBorders>
              <w:top w:val="nil"/>
              <w:left w:val="nil"/>
              <w:bottom w:val="nil"/>
              <w:right w:val="nil"/>
            </w:tcBorders>
            <w:shd w:val="clear" w:color="000000" w:fill="FFFFFF"/>
            <w:noWrap/>
            <w:vAlign w:val="center"/>
            <w:hideMark/>
          </w:tcPr>
          <w:p w14:paraId="0B55D0C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7636A17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14,504 (14.02%)</w:t>
            </w:r>
          </w:p>
        </w:tc>
        <w:tc>
          <w:tcPr>
            <w:tcW w:w="0" w:type="auto"/>
            <w:tcBorders>
              <w:top w:val="nil"/>
              <w:left w:val="nil"/>
              <w:bottom w:val="nil"/>
              <w:right w:val="nil"/>
            </w:tcBorders>
            <w:shd w:val="clear" w:color="000000" w:fill="FFFFFF"/>
            <w:noWrap/>
            <w:vAlign w:val="center"/>
            <w:hideMark/>
          </w:tcPr>
          <w:p w14:paraId="28DDC0F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5,242 (11.71%)</w:t>
            </w:r>
          </w:p>
        </w:tc>
        <w:tc>
          <w:tcPr>
            <w:tcW w:w="0" w:type="auto"/>
            <w:tcBorders>
              <w:top w:val="nil"/>
              <w:left w:val="nil"/>
              <w:bottom w:val="nil"/>
              <w:right w:val="nil"/>
            </w:tcBorders>
            <w:shd w:val="clear" w:color="000000" w:fill="FFFFFF"/>
            <w:noWrap/>
            <w:vAlign w:val="center"/>
            <w:hideMark/>
          </w:tcPr>
          <w:p w14:paraId="5E401F6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6,098 (14.42%)</w:t>
            </w:r>
          </w:p>
        </w:tc>
        <w:tc>
          <w:tcPr>
            <w:tcW w:w="0" w:type="auto"/>
            <w:tcBorders>
              <w:top w:val="nil"/>
              <w:left w:val="nil"/>
              <w:bottom w:val="nil"/>
              <w:right w:val="nil"/>
            </w:tcBorders>
            <w:shd w:val="clear" w:color="000000" w:fill="FFFFFF"/>
            <w:noWrap/>
            <w:vAlign w:val="center"/>
            <w:hideMark/>
          </w:tcPr>
          <w:p w14:paraId="5D01157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2,576 (19.68%)</w:t>
            </w:r>
          </w:p>
        </w:tc>
        <w:tc>
          <w:tcPr>
            <w:tcW w:w="0" w:type="auto"/>
            <w:tcBorders>
              <w:top w:val="nil"/>
              <w:left w:val="nil"/>
              <w:bottom w:val="nil"/>
              <w:right w:val="nil"/>
            </w:tcBorders>
            <w:shd w:val="clear" w:color="000000" w:fill="FFFFFF"/>
            <w:noWrap/>
            <w:vAlign w:val="center"/>
            <w:hideMark/>
          </w:tcPr>
          <w:p w14:paraId="0DA27EA2"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588 (17.98%)</w:t>
            </w:r>
          </w:p>
        </w:tc>
        <w:tc>
          <w:tcPr>
            <w:tcW w:w="0" w:type="auto"/>
            <w:tcBorders>
              <w:top w:val="nil"/>
              <w:left w:val="nil"/>
              <w:bottom w:val="nil"/>
              <w:right w:val="nil"/>
            </w:tcBorders>
            <w:shd w:val="clear" w:color="000000" w:fill="FFFFFF"/>
            <w:noWrap/>
            <w:vAlign w:val="center"/>
            <w:hideMark/>
          </w:tcPr>
          <w:p w14:paraId="2DE0C9F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5089EDB7"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7D70EEB8" w14:textId="36133710" w:rsidR="00C3559E" w:rsidRPr="007031A3" w:rsidRDefault="00C355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Secondary</w:t>
            </w:r>
          </w:p>
        </w:tc>
        <w:tc>
          <w:tcPr>
            <w:tcW w:w="0" w:type="auto"/>
            <w:tcBorders>
              <w:top w:val="nil"/>
              <w:left w:val="nil"/>
              <w:bottom w:val="nil"/>
              <w:right w:val="nil"/>
            </w:tcBorders>
            <w:shd w:val="clear" w:color="000000" w:fill="FFFFFF"/>
            <w:noWrap/>
            <w:vAlign w:val="center"/>
            <w:hideMark/>
          </w:tcPr>
          <w:p w14:paraId="7083076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6DBFA5F3"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61,879 (59.83%)</w:t>
            </w:r>
          </w:p>
        </w:tc>
        <w:tc>
          <w:tcPr>
            <w:tcW w:w="0" w:type="auto"/>
            <w:tcBorders>
              <w:top w:val="nil"/>
              <w:left w:val="nil"/>
              <w:bottom w:val="nil"/>
              <w:right w:val="nil"/>
            </w:tcBorders>
            <w:shd w:val="clear" w:color="000000" w:fill="FFFFFF"/>
            <w:noWrap/>
            <w:vAlign w:val="center"/>
            <w:hideMark/>
          </w:tcPr>
          <w:p w14:paraId="6C4E49A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26,835 (59.93%)</w:t>
            </w:r>
          </w:p>
        </w:tc>
        <w:tc>
          <w:tcPr>
            <w:tcW w:w="0" w:type="auto"/>
            <w:tcBorders>
              <w:top w:val="nil"/>
              <w:left w:val="nil"/>
              <w:bottom w:val="nil"/>
              <w:right w:val="nil"/>
            </w:tcBorders>
            <w:shd w:val="clear" w:color="000000" w:fill="FFFFFF"/>
            <w:noWrap/>
            <w:vAlign w:val="center"/>
            <w:hideMark/>
          </w:tcPr>
          <w:p w14:paraId="126C2E3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25,597 (60.52%)</w:t>
            </w:r>
          </w:p>
        </w:tc>
        <w:tc>
          <w:tcPr>
            <w:tcW w:w="0" w:type="auto"/>
            <w:tcBorders>
              <w:top w:val="nil"/>
              <w:left w:val="nil"/>
              <w:bottom w:val="nil"/>
              <w:right w:val="nil"/>
            </w:tcBorders>
            <w:shd w:val="clear" w:color="000000" w:fill="FFFFFF"/>
            <w:noWrap/>
            <w:vAlign w:val="center"/>
            <w:hideMark/>
          </w:tcPr>
          <w:p w14:paraId="5B359D6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7,611 (58.15%)</w:t>
            </w:r>
          </w:p>
        </w:tc>
        <w:tc>
          <w:tcPr>
            <w:tcW w:w="0" w:type="auto"/>
            <w:tcBorders>
              <w:top w:val="nil"/>
              <w:left w:val="nil"/>
              <w:bottom w:val="nil"/>
              <w:right w:val="nil"/>
            </w:tcBorders>
            <w:shd w:val="clear" w:color="000000" w:fill="FFFFFF"/>
            <w:noWrap/>
            <w:vAlign w:val="center"/>
            <w:hideMark/>
          </w:tcPr>
          <w:p w14:paraId="32E4D682"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1,836 (56.13%)</w:t>
            </w:r>
          </w:p>
        </w:tc>
        <w:tc>
          <w:tcPr>
            <w:tcW w:w="0" w:type="auto"/>
            <w:tcBorders>
              <w:top w:val="nil"/>
              <w:left w:val="nil"/>
              <w:bottom w:val="nil"/>
              <w:right w:val="nil"/>
            </w:tcBorders>
            <w:shd w:val="clear" w:color="000000" w:fill="FFFFFF"/>
            <w:noWrap/>
            <w:vAlign w:val="center"/>
            <w:hideMark/>
          </w:tcPr>
          <w:p w14:paraId="1005FB6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5632109B"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56715CC5" w14:textId="5EA72243" w:rsidR="00C3559E" w:rsidRPr="007031A3" w:rsidRDefault="00C355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Higher</w:t>
            </w:r>
          </w:p>
        </w:tc>
        <w:tc>
          <w:tcPr>
            <w:tcW w:w="0" w:type="auto"/>
            <w:tcBorders>
              <w:top w:val="nil"/>
              <w:left w:val="nil"/>
              <w:bottom w:val="nil"/>
              <w:right w:val="nil"/>
            </w:tcBorders>
            <w:shd w:val="clear" w:color="000000" w:fill="FFFFFF"/>
            <w:noWrap/>
            <w:vAlign w:val="center"/>
            <w:hideMark/>
          </w:tcPr>
          <w:p w14:paraId="5600E2D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7B0BDDF9"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10,713 (10.36%)</w:t>
            </w:r>
          </w:p>
        </w:tc>
        <w:tc>
          <w:tcPr>
            <w:tcW w:w="0" w:type="auto"/>
            <w:tcBorders>
              <w:top w:val="nil"/>
              <w:left w:val="nil"/>
              <w:bottom w:val="nil"/>
              <w:right w:val="nil"/>
            </w:tcBorders>
            <w:shd w:val="clear" w:color="000000" w:fill="FFFFFF"/>
            <w:noWrap/>
            <w:vAlign w:val="center"/>
            <w:hideMark/>
          </w:tcPr>
          <w:p w14:paraId="114F8150"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5,943 (13.27%)</w:t>
            </w:r>
          </w:p>
        </w:tc>
        <w:tc>
          <w:tcPr>
            <w:tcW w:w="0" w:type="auto"/>
            <w:tcBorders>
              <w:top w:val="nil"/>
              <w:left w:val="nil"/>
              <w:bottom w:val="nil"/>
              <w:right w:val="nil"/>
            </w:tcBorders>
            <w:shd w:val="clear" w:color="000000" w:fill="FFFFFF"/>
            <w:noWrap/>
            <w:vAlign w:val="center"/>
            <w:hideMark/>
          </w:tcPr>
          <w:p w14:paraId="32208440"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3,189 (7.54%)</w:t>
            </w:r>
          </w:p>
        </w:tc>
        <w:tc>
          <w:tcPr>
            <w:tcW w:w="0" w:type="auto"/>
            <w:tcBorders>
              <w:top w:val="nil"/>
              <w:left w:val="nil"/>
              <w:bottom w:val="nil"/>
              <w:right w:val="nil"/>
            </w:tcBorders>
            <w:shd w:val="clear" w:color="000000" w:fill="FFFFFF"/>
            <w:noWrap/>
            <w:vAlign w:val="center"/>
            <w:hideMark/>
          </w:tcPr>
          <w:p w14:paraId="247E48D8"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1,058 (8.08%)</w:t>
            </w:r>
          </w:p>
        </w:tc>
        <w:tc>
          <w:tcPr>
            <w:tcW w:w="0" w:type="auto"/>
            <w:tcBorders>
              <w:top w:val="nil"/>
              <w:left w:val="nil"/>
              <w:bottom w:val="nil"/>
              <w:right w:val="nil"/>
            </w:tcBorders>
            <w:shd w:val="clear" w:color="000000" w:fill="FFFFFF"/>
            <w:noWrap/>
            <w:vAlign w:val="center"/>
            <w:hideMark/>
          </w:tcPr>
          <w:p w14:paraId="1BBD45C9"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523 (15.99%)</w:t>
            </w:r>
          </w:p>
        </w:tc>
        <w:tc>
          <w:tcPr>
            <w:tcW w:w="0" w:type="auto"/>
            <w:tcBorders>
              <w:top w:val="nil"/>
              <w:left w:val="nil"/>
              <w:bottom w:val="nil"/>
              <w:right w:val="nil"/>
            </w:tcBorders>
            <w:shd w:val="clear" w:color="000000" w:fill="FFFFFF"/>
            <w:noWrap/>
            <w:vAlign w:val="center"/>
            <w:hideMark/>
          </w:tcPr>
          <w:p w14:paraId="472AF62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4085B975"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59B3ED5D" w14:textId="1DF2E03D" w:rsidR="00C3559E" w:rsidRPr="007031A3" w:rsidRDefault="00C3559E" w:rsidP="00C3559E">
            <w:pPr>
              <w:spacing w:after="0"/>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Type of place of residence</w:t>
            </w:r>
            <w:r w:rsidR="00A01483" w:rsidRPr="007031A3">
              <w:rPr>
                <w:rFonts w:eastAsia="Times New Roman" w:cs="Times New Roman"/>
                <w:b/>
                <w:bCs/>
                <w:color w:val="000000"/>
                <w:sz w:val="16"/>
                <w:szCs w:val="16"/>
                <w:lang w:val="en-US" w:eastAsia="en-IN" w:bidi="as-IN"/>
                <w14:ligatures w14:val="none"/>
              </w:rPr>
              <w:t xml:space="preserve">, </w:t>
            </w:r>
            <w:proofErr w:type="gramStart"/>
            <w:r w:rsidR="00A01483" w:rsidRPr="007031A3">
              <w:rPr>
                <w:rFonts w:eastAsia="Times New Roman" w:cs="Times New Roman"/>
                <w:b/>
                <w:bCs/>
                <w:color w:val="000000"/>
                <w:sz w:val="16"/>
                <w:szCs w:val="16"/>
                <w:lang w:val="en-US" w:eastAsia="en-IN" w:bidi="as-IN"/>
                <w14:ligatures w14:val="none"/>
              </w:rPr>
              <w:t>n(</w:t>
            </w:r>
            <w:proofErr w:type="gramEnd"/>
            <w:r w:rsidR="00A01483" w:rsidRPr="007031A3">
              <w:rPr>
                <w:rFonts w:eastAsia="Times New Roman" w:cs="Times New Roman"/>
                <w:b/>
                <w:bCs/>
                <w:color w:val="000000"/>
                <w:sz w:val="16"/>
                <w:szCs w:val="16"/>
                <w:lang w:val="en-US" w:eastAsia="en-IN" w:bidi="as-IN"/>
                <w14:ligatures w14:val="none"/>
              </w:rPr>
              <w:t>%)</w:t>
            </w:r>
          </w:p>
        </w:tc>
        <w:tc>
          <w:tcPr>
            <w:tcW w:w="0" w:type="auto"/>
            <w:tcBorders>
              <w:top w:val="nil"/>
              <w:left w:val="nil"/>
              <w:bottom w:val="nil"/>
              <w:right w:val="nil"/>
            </w:tcBorders>
            <w:shd w:val="clear" w:color="000000" w:fill="FFFFFF"/>
            <w:noWrap/>
            <w:vAlign w:val="center"/>
            <w:hideMark/>
          </w:tcPr>
          <w:p w14:paraId="66A5E79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1,03,433</w:t>
            </w:r>
          </w:p>
        </w:tc>
        <w:tc>
          <w:tcPr>
            <w:tcW w:w="0" w:type="auto"/>
            <w:tcBorders>
              <w:top w:val="nil"/>
              <w:left w:val="nil"/>
              <w:bottom w:val="nil"/>
              <w:right w:val="nil"/>
            </w:tcBorders>
            <w:shd w:val="clear" w:color="000000" w:fill="FFFFFF"/>
            <w:noWrap/>
            <w:vAlign w:val="center"/>
            <w:hideMark/>
          </w:tcPr>
          <w:p w14:paraId="05B19D4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09EAE949"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1404561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056839AE"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0A7982F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72A1B410" w14:textId="76BD4486"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3264 (&lt;0.001)</w:t>
            </w:r>
            <w:r w:rsidR="0043199E" w:rsidRPr="007031A3">
              <w:rPr>
                <w:rFonts w:eastAsia="Times New Roman" w:cs="Times New Roman"/>
                <w:color w:val="000000"/>
                <w:sz w:val="16"/>
                <w:szCs w:val="16"/>
                <w:vertAlign w:val="superscript"/>
                <w:lang w:eastAsia="en-IN" w:bidi="as-IN"/>
                <w14:ligatures w14:val="none"/>
              </w:rPr>
              <w:t>1</w:t>
            </w:r>
          </w:p>
        </w:tc>
      </w:tr>
      <w:tr w:rsidR="00A01483" w:rsidRPr="007031A3" w14:paraId="708A9F28"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652889DB" w14:textId="7083E359" w:rsidR="00C3559E" w:rsidRPr="007031A3" w:rsidRDefault="00C355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Urban</w:t>
            </w:r>
          </w:p>
        </w:tc>
        <w:tc>
          <w:tcPr>
            <w:tcW w:w="0" w:type="auto"/>
            <w:tcBorders>
              <w:top w:val="nil"/>
              <w:left w:val="nil"/>
              <w:bottom w:val="nil"/>
              <w:right w:val="nil"/>
            </w:tcBorders>
            <w:shd w:val="clear" w:color="000000" w:fill="FFFFFF"/>
            <w:noWrap/>
            <w:vAlign w:val="center"/>
            <w:hideMark/>
          </w:tcPr>
          <w:p w14:paraId="5F3D73E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5394E4A6"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19,994 (19.33%)</w:t>
            </w:r>
          </w:p>
        </w:tc>
        <w:tc>
          <w:tcPr>
            <w:tcW w:w="0" w:type="auto"/>
            <w:tcBorders>
              <w:top w:val="nil"/>
              <w:left w:val="nil"/>
              <w:bottom w:val="nil"/>
              <w:right w:val="nil"/>
            </w:tcBorders>
            <w:shd w:val="clear" w:color="000000" w:fill="FFFFFF"/>
            <w:noWrap/>
            <w:vAlign w:val="center"/>
            <w:hideMark/>
          </w:tcPr>
          <w:p w14:paraId="12148BD3"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12,238 (27.33%)</w:t>
            </w:r>
          </w:p>
        </w:tc>
        <w:tc>
          <w:tcPr>
            <w:tcW w:w="0" w:type="auto"/>
            <w:tcBorders>
              <w:top w:val="nil"/>
              <w:left w:val="nil"/>
              <w:bottom w:val="nil"/>
              <w:right w:val="nil"/>
            </w:tcBorders>
            <w:shd w:val="clear" w:color="000000" w:fill="FFFFFF"/>
            <w:noWrap/>
            <w:vAlign w:val="center"/>
            <w:hideMark/>
          </w:tcPr>
          <w:p w14:paraId="3944D720"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5,638 (13.33%)</w:t>
            </w:r>
          </w:p>
        </w:tc>
        <w:tc>
          <w:tcPr>
            <w:tcW w:w="0" w:type="auto"/>
            <w:tcBorders>
              <w:top w:val="nil"/>
              <w:left w:val="nil"/>
              <w:bottom w:val="nil"/>
              <w:right w:val="nil"/>
            </w:tcBorders>
            <w:shd w:val="clear" w:color="000000" w:fill="FFFFFF"/>
            <w:noWrap/>
            <w:vAlign w:val="center"/>
            <w:hideMark/>
          </w:tcPr>
          <w:p w14:paraId="20FDA65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1,598 (12.21%)</w:t>
            </w:r>
          </w:p>
        </w:tc>
        <w:tc>
          <w:tcPr>
            <w:tcW w:w="0" w:type="auto"/>
            <w:tcBorders>
              <w:top w:val="nil"/>
              <w:left w:val="nil"/>
              <w:bottom w:val="nil"/>
              <w:right w:val="nil"/>
            </w:tcBorders>
            <w:shd w:val="clear" w:color="000000" w:fill="FFFFFF"/>
            <w:noWrap/>
            <w:vAlign w:val="center"/>
            <w:hideMark/>
          </w:tcPr>
          <w:p w14:paraId="3DE2340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520 (15.90%)</w:t>
            </w:r>
          </w:p>
        </w:tc>
        <w:tc>
          <w:tcPr>
            <w:tcW w:w="0" w:type="auto"/>
            <w:tcBorders>
              <w:top w:val="nil"/>
              <w:left w:val="nil"/>
              <w:bottom w:val="nil"/>
              <w:right w:val="nil"/>
            </w:tcBorders>
            <w:shd w:val="clear" w:color="000000" w:fill="FFFFFF"/>
            <w:noWrap/>
            <w:vAlign w:val="center"/>
            <w:hideMark/>
          </w:tcPr>
          <w:p w14:paraId="29F32978"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272AE1AC"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1108B513" w14:textId="6D648C11" w:rsidR="00C3559E" w:rsidRPr="007031A3" w:rsidRDefault="00C355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Rural</w:t>
            </w:r>
          </w:p>
        </w:tc>
        <w:tc>
          <w:tcPr>
            <w:tcW w:w="0" w:type="auto"/>
            <w:tcBorders>
              <w:top w:val="nil"/>
              <w:left w:val="nil"/>
              <w:bottom w:val="nil"/>
              <w:right w:val="nil"/>
            </w:tcBorders>
            <w:shd w:val="clear" w:color="000000" w:fill="FFFFFF"/>
            <w:noWrap/>
            <w:vAlign w:val="center"/>
            <w:hideMark/>
          </w:tcPr>
          <w:p w14:paraId="161750F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178A4DB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83,439 (80.67%)</w:t>
            </w:r>
          </w:p>
        </w:tc>
        <w:tc>
          <w:tcPr>
            <w:tcW w:w="0" w:type="auto"/>
            <w:tcBorders>
              <w:top w:val="nil"/>
              <w:left w:val="nil"/>
              <w:bottom w:val="nil"/>
              <w:right w:val="nil"/>
            </w:tcBorders>
            <w:shd w:val="clear" w:color="000000" w:fill="FFFFFF"/>
            <w:noWrap/>
            <w:vAlign w:val="center"/>
            <w:hideMark/>
          </w:tcPr>
          <w:p w14:paraId="2FD3C5C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32,542 (72.67%)</w:t>
            </w:r>
          </w:p>
        </w:tc>
        <w:tc>
          <w:tcPr>
            <w:tcW w:w="0" w:type="auto"/>
            <w:tcBorders>
              <w:top w:val="nil"/>
              <w:left w:val="nil"/>
              <w:bottom w:val="nil"/>
              <w:right w:val="nil"/>
            </w:tcBorders>
            <w:shd w:val="clear" w:color="000000" w:fill="FFFFFF"/>
            <w:noWrap/>
            <w:vAlign w:val="center"/>
            <w:hideMark/>
          </w:tcPr>
          <w:p w14:paraId="6A57903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36,655 (86.67%)</w:t>
            </w:r>
          </w:p>
        </w:tc>
        <w:tc>
          <w:tcPr>
            <w:tcW w:w="0" w:type="auto"/>
            <w:tcBorders>
              <w:top w:val="nil"/>
              <w:left w:val="nil"/>
              <w:bottom w:val="nil"/>
              <w:right w:val="nil"/>
            </w:tcBorders>
            <w:shd w:val="clear" w:color="000000" w:fill="FFFFFF"/>
            <w:noWrap/>
            <w:vAlign w:val="center"/>
            <w:hideMark/>
          </w:tcPr>
          <w:p w14:paraId="3C44E39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11,491 (87.79%)</w:t>
            </w:r>
          </w:p>
        </w:tc>
        <w:tc>
          <w:tcPr>
            <w:tcW w:w="0" w:type="auto"/>
            <w:tcBorders>
              <w:top w:val="nil"/>
              <w:left w:val="nil"/>
              <w:bottom w:val="nil"/>
              <w:right w:val="nil"/>
            </w:tcBorders>
            <w:shd w:val="clear" w:color="000000" w:fill="FFFFFF"/>
            <w:noWrap/>
            <w:vAlign w:val="center"/>
            <w:hideMark/>
          </w:tcPr>
          <w:p w14:paraId="39DC5F5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2,751 (84.10%)</w:t>
            </w:r>
          </w:p>
        </w:tc>
        <w:tc>
          <w:tcPr>
            <w:tcW w:w="0" w:type="auto"/>
            <w:tcBorders>
              <w:top w:val="nil"/>
              <w:left w:val="nil"/>
              <w:bottom w:val="nil"/>
              <w:right w:val="nil"/>
            </w:tcBorders>
            <w:shd w:val="clear" w:color="000000" w:fill="FFFFFF"/>
            <w:noWrap/>
            <w:vAlign w:val="center"/>
            <w:hideMark/>
          </w:tcPr>
          <w:p w14:paraId="56416E22"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687D9225"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33205CBA" w14:textId="08377AA5" w:rsidR="00C3559E" w:rsidRPr="007031A3" w:rsidRDefault="00C3559E" w:rsidP="00C3559E">
            <w:pPr>
              <w:spacing w:after="0"/>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Religion</w:t>
            </w:r>
            <w:r w:rsidR="00A01483" w:rsidRPr="007031A3">
              <w:rPr>
                <w:rFonts w:eastAsia="Times New Roman" w:cs="Times New Roman"/>
                <w:b/>
                <w:bCs/>
                <w:color w:val="000000"/>
                <w:sz w:val="16"/>
                <w:szCs w:val="16"/>
                <w:lang w:val="en-US" w:eastAsia="en-IN" w:bidi="as-IN"/>
                <w14:ligatures w14:val="none"/>
              </w:rPr>
              <w:t xml:space="preserve">, </w:t>
            </w:r>
            <w:proofErr w:type="gramStart"/>
            <w:r w:rsidR="00A01483" w:rsidRPr="007031A3">
              <w:rPr>
                <w:rFonts w:eastAsia="Times New Roman" w:cs="Times New Roman"/>
                <w:b/>
                <w:bCs/>
                <w:color w:val="000000"/>
                <w:sz w:val="16"/>
                <w:szCs w:val="16"/>
                <w:lang w:val="en-US" w:eastAsia="en-IN" w:bidi="as-IN"/>
                <w14:ligatures w14:val="none"/>
              </w:rPr>
              <w:t>n(</w:t>
            </w:r>
            <w:proofErr w:type="gramEnd"/>
            <w:r w:rsidR="00A01483" w:rsidRPr="007031A3">
              <w:rPr>
                <w:rFonts w:eastAsia="Times New Roman" w:cs="Times New Roman"/>
                <w:b/>
                <w:bCs/>
                <w:color w:val="000000"/>
                <w:sz w:val="16"/>
                <w:szCs w:val="16"/>
                <w:lang w:val="en-US" w:eastAsia="en-IN" w:bidi="as-IN"/>
                <w14:ligatures w14:val="none"/>
              </w:rPr>
              <w:t>%)</w:t>
            </w:r>
          </w:p>
        </w:tc>
        <w:tc>
          <w:tcPr>
            <w:tcW w:w="0" w:type="auto"/>
            <w:tcBorders>
              <w:top w:val="nil"/>
              <w:left w:val="nil"/>
              <w:bottom w:val="nil"/>
              <w:right w:val="nil"/>
            </w:tcBorders>
            <w:shd w:val="clear" w:color="000000" w:fill="FFFFFF"/>
            <w:noWrap/>
            <w:vAlign w:val="center"/>
            <w:hideMark/>
          </w:tcPr>
          <w:p w14:paraId="7B920BD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1,03,433</w:t>
            </w:r>
          </w:p>
        </w:tc>
        <w:tc>
          <w:tcPr>
            <w:tcW w:w="0" w:type="auto"/>
            <w:tcBorders>
              <w:top w:val="nil"/>
              <w:left w:val="nil"/>
              <w:bottom w:val="nil"/>
              <w:right w:val="nil"/>
            </w:tcBorders>
            <w:shd w:val="clear" w:color="000000" w:fill="FFFFFF"/>
            <w:noWrap/>
            <w:vAlign w:val="center"/>
            <w:hideMark/>
          </w:tcPr>
          <w:p w14:paraId="2CDDCAE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53BE64A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4A29096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2359A17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4094E452"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2B07E233" w14:textId="5BD09EDD"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72210 (&lt;0.001)</w:t>
            </w:r>
            <w:r w:rsidR="0043199E" w:rsidRPr="007031A3">
              <w:rPr>
                <w:rFonts w:eastAsia="Times New Roman" w:cs="Times New Roman"/>
                <w:color w:val="000000"/>
                <w:sz w:val="16"/>
                <w:szCs w:val="16"/>
                <w:vertAlign w:val="superscript"/>
                <w:lang w:eastAsia="en-IN" w:bidi="as-IN"/>
                <w14:ligatures w14:val="none"/>
              </w:rPr>
              <w:t>1</w:t>
            </w:r>
          </w:p>
        </w:tc>
      </w:tr>
      <w:tr w:rsidR="00A01483" w:rsidRPr="007031A3" w14:paraId="66303F1D"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345C8A8E" w14:textId="793EBBBE"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Buddhist</w:t>
            </w:r>
          </w:p>
        </w:tc>
        <w:tc>
          <w:tcPr>
            <w:tcW w:w="0" w:type="auto"/>
            <w:tcBorders>
              <w:top w:val="nil"/>
              <w:left w:val="nil"/>
              <w:bottom w:val="nil"/>
              <w:right w:val="nil"/>
            </w:tcBorders>
            <w:shd w:val="clear" w:color="000000" w:fill="FFFFFF"/>
            <w:noWrap/>
            <w:vAlign w:val="center"/>
            <w:hideMark/>
          </w:tcPr>
          <w:p w14:paraId="5D3C3FC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6B66A49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4,894 (4.73%)</w:t>
            </w:r>
          </w:p>
        </w:tc>
        <w:tc>
          <w:tcPr>
            <w:tcW w:w="0" w:type="auto"/>
            <w:tcBorders>
              <w:top w:val="nil"/>
              <w:left w:val="nil"/>
              <w:bottom w:val="nil"/>
              <w:right w:val="nil"/>
            </w:tcBorders>
            <w:shd w:val="clear" w:color="000000" w:fill="FFFFFF"/>
            <w:noWrap/>
            <w:vAlign w:val="center"/>
            <w:hideMark/>
          </w:tcPr>
          <w:p w14:paraId="5BC5B1D0"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3,391 (7.57%)</w:t>
            </w:r>
          </w:p>
        </w:tc>
        <w:tc>
          <w:tcPr>
            <w:tcW w:w="0" w:type="auto"/>
            <w:tcBorders>
              <w:top w:val="nil"/>
              <w:left w:val="nil"/>
              <w:bottom w:val="nil"/>
              <w:right w:val="nil"/>
            </w:tcBorders>
            <w:shd w:val="clear" w:color="000000" w:fill="FFFFFF"/>
            <w:noWrap/>
            <w:vAlign w:val="center"/>
            <w:hideMark/>
          </w:tcPr>
          <w:p w14:paraId="4A435AC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338 (0.80%)</w:t>
            </w:r>
          </w:p>
        </w:tc>
        <w:tc>
          <w:tcPr>
            <w:tcW w:w="0" w:type="auto"/>
            <w:tcBorders>
              <w:top w:val="nil"/>
              <w:left w:val="nil"/>
              <w:bottom w:val="nil"/>
              <w:right w:val="nil"/>
            </w:tcBorders>
            <w:shd w:val="clear" w:color="000000" w:fill="FFFFFF"/>
            <w:noWrap/>
            <w:vAlign w:val="center"/>
            <w:hideMark/>
          </w:tcPr>
          <w:p w14:paraId="14FEFC9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 (0.01%)</w:t>
            </w:r>
          </w:p>
        </w:tc>
        <w:tc>
          <w:tcPr>
            <w:tcW w:w="0" w:type="auto"/>
            <w:tcBorders>
              <w:top w:val="nil"/>
              <w:left w:val="nil"/>
              <w:bottom w:val="nil"/>
              <w:right w:val="nil"/>
            </w:tcBorders>
            <w:shd w:val="clear" w:color="000000" w:fill="FFFFFF"/>
            <w:noWrap/>
            <w:vAlign w:val="center"/>
            <w:hideMark/>
          </w:tcPr>
          <w:p w14:paraId="152D9E8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1,164 (35.59%)</w:t>
            </w:r>
          </w:p>
        </w:tc>
        <w:tc>
          <w:tcPr>
            <w:tcW w:w="0" w:type="auto"/>
            <w:tcBorders>
              <w:top w:val="nil"/>
              <w:left w:val="nil"/>
              <w:bottom w:val="nil"/>
              <w:right w:val="nil"/>
            </w:tcBorders>
            <w:shd w:val="clear" w:color="000000" w:fill="FFFFFF"/>
            <w:noWrap/>
            <w:vAlign w:val="center"/>
            <w:hideMark/>
          </w:tcPr>
          <w:p w14:paraId="12266653"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1B54EDF1"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63F227E1" w14:textId="25AC0A94"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Christian</w:t>
            </w:r>
          </w:p>
        </w:tc>
        <w:tc>
          <w:tcPr>
            <w:tcW w:w="0" w:type="auto"/>
            <w:tcBorders>
              <w:top w:val="nil"/>
              <w:left w:val="nil"/>
              <w:bottom w:val="nil"/>
              <w:right w:val="nil"/>
            </w:tcBorders>
            <w:shd w:val="clear" w:color="000000" w:fill="FFFFFF"/>
            <w:noWrap/>
            <w:vAlign w:val="center"/>
            <w:hideMark/>
          </w:tcPr>
          <w:p w14:paraId="5BF0D59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413F603E"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40,951 (39.59%)</w:t>
            </w:r>
          </w:p>
        </w:tc>
        <w:tc>
          <w:tcPr>
            <w:tcW w:w="0" w:type="auto"/>
            <w:tcBorders>
              <w:top w:val="nil"/>
              <w:left w:val="nil"/>
              <w:bottom w:val="nil"/>
              <w:right w:val="nil"/>
            </w:tcBorders>
            <w:shd w:val="clear" w:color="000000" w:fill="FFFFFF"/>
            <w:noWrap/>
            <w:vAlign w:val="center"/>
            <w:hideMark/>
          </w:tcPr>
          <w:p w14:paraId="375C088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27,697 (61.85%)</w:t>
            </w:r>
          </w:p>
        </w:tc>
        <w:tc>
          <w:tcPr>
            <w:tcW w:w="0" w:type="auto"/>
            <w:tcBorders>
              <w:top w:val="nil"/>
              <w:left w:val="nil"/>
              <w:bottom w:val="nil"/>
              <w:right w:val="nil"/>
            </w:tcBorders>
            <w:shd w:val="clear" w:color="000000" w:fill="FFFFFF"/>
            <w:noWrap/>
            <w:vAlign w:val="center"/>
            <w:hideMark/>
          </w:tcPr>
          <w:p w14:paraId="60C12E3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1,839 (4.35%)</w:t>
            </w:r>
          </w:p>
        </w:tc>
        <w:tc>
          <w:tcPr>
            <w:tcW w:w="0" w:type="auto"/>
            <w:tcBorders>
              <w:top w:val="nil"/>
              <w:left w:val="nil"/>
              <w:bottom w:val="nil"/>
              <w:right w:val="nil"/>
            </w:tcBorders>
            <w:shd w:val="clear" w:color="000000" w:fill="FFFFFF"/>
            <w:noWrap/>
            <w:vAlign w:val="center"/>
            <w:hideMark/>
          </w:tcPr>
          <w:p w14:paraId="6E16CCC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11,030 (84.27%)</w:t>
            </w:r>
          </w:p>
        </w:tc>
        <w:tc>
          <w:tcPr>
            <w:tcW w:w="0" w:type="auto"/>
            <w:tcBorders>
              <w:top w:val="nil"/>
              <w:left w:val="nil"/>
              <w:bottom w:val="nil"/>
              <w:right w:val="nil"/>
            </w:tcBorders>
            <w:shd w:val="clear" w:color="000000" w:fill="FFFFFF"/>
            <w:noWrap/>
            <w:vAlign w:val="center"/>
            <w:hideMark/>
          </w:tcPr>
          <w:p w14:paraId="7BBA84C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385 (11.77%)</w:t>
            </w:r>
          </w:p>
        </w:tc>
        <w:tc>
          <w:tcPr>
            <w:tcW w:w="0" w:type="auto"/>
            <w:tcBorders>
              <w:top w:val="nil"/>
              <w:left w:val="nil"/>
              <w:bottom w:val="nil"/>
              <w:right w:val="nil"/>
            </w:tcBorders>
            <w:shd w:val="clear" w:color="000000" w:fill="FFFFFF"/>
            <w:noWrap/>
            <w:vAlign w:val="center"/>
            <w:hideMark/>
          </w:tcPr>
          <w:p w14:paraId="3D84664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43DB7169"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2438EDDA" w14:textId="357A86B5"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Hindu</w:t>
            </w:r>
          </w:p>
        </w:tc>
        <w:tc>
          <w:tcPr>
            <w:tcW w:w="0" w:type="auto"/>
            <w:tcBorders>
              <w:top w:val="nil"/>
              <w:left w:val="nil"/>
              <w:bottom w:val="nil"/>
              <w:right w:val="nil"/>
            </w:tcBorders>
            <w:shd w:val="clear" w:color="000000" w:fill="FFFFFF"/>
            <w:noWrap/>
            <w:vAlign w:val="center"/>
            <w:hideMark/>
          </w:tcPr>
          <w:p w14:paraId="3709799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018B8FC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38,901 (37.61%)</w:t>
            </w:r>
          </w:p>
        </w:tc>
        <w:tc>
          <w:tcPr>
            <w:tcW w:w="0" w:type="auto"/>
            <w:tcBorders>
              <w:top w:val="nil"/>
              <w:left w:val="nil"/>
              <w:bottom w:val="nil"/>
              <w:right w:val="nil"/>
            </w:tcBorders>
            <w:shd w:val="clear" w:color="000000" w:fill="FFFFFF"/>
            <w:noWrap/>
            <w:vAlign w:val="center"/>
            <w:hideMark/>
          </w:tcPr>
          <w:p w14:paraId="6218401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7,411 (16.55%)</w:t>
            </w:r>
          </w:p>
        </w:tc>
        <w:tc>
          <w:tcPr>
            <w:tcW w:w="0" w:type="auto"/>
            <w:tcBorders>
              <w:top w:val="nil"/>
              <w:left w:val="nil"/>
              <w:bottom w:val="nil"/>
              <w:right w:val="nil"/>
            </w:tcBorders>
            <w:shd w:val="clear" w:color="000000" w:fill="FFFFFF"/>
            <w:noWrap/>
            <w:vAlign w:val="center"/>
            <w:hideMark/>
          </w:tcPr>
          <w:p w14:paraId="575F173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28,755 (67.99%)</w:t>
            </w:r>
          </w:p>
        </w:tc>
        <w:tc>
          <w:tcPr>
            <w:tcW w:w="0" w:type="auto"/>
            <w:tcBorders>
              <w:top w:val="nil"/>
              <w:left w:val="nil"/>
              <w:bottom w:val="nil"/>
              <w:right w:val="nil"/>
            </w:tcBorders>
            <w:shd w:val="clear" w:color="000000" w:fill="FFFFFF"/>
            <w:noWrap/>
            <w:vAlign w:val="center"/>
            <w:hideMark/>
          </w:tcPr>
          <w:p w14:paraId="760B212D"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1,056 (8.07%)</w:t>
            </w:r>
          </w:p>
        </w:tc>
        <w:tc>
          <w:tcPr>
            <w:tcW w:w="0" w:type="auto"/>
            <w:tcBorders>
              <w:top w:val="nil"/>
              <w:left w:val="nil"/>
              <w:bottom w:val="nil"/>
              <w:right w:val="nil"/>
            </w:tcBorders>
            <w:shd w:val="clear" w:color="000000" w:fill="FFFFFF"/>
            <w:noWrap/>
            <w:vAlign w:val="center"/>
            <w:hideMark/>
          </w:tcPr>
          <w:p w14:paraId="2404A706"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1,679 (51.33%)</w:t>
            </w:r>
          </w:p>
        </w:tc>
        <w:tc>
          <w:tcPr>
            <w:tcW w:w="0" w:type="auto"/>
            <w:tcBorders>
              <w:top w:val="nil"/>
              <w:left w:val="nil"/>
              <w:bottom w:val="nil"/>
              <w:right w:val="nil"/>
            </w:tcBorders>
            <w:shd w:val="clear" w:color="000000" w:fill="FFFFFF"/>
            <w:noWrap/>
            <w:vAlign w:val="center"/>
            <w:hideMark/>
          </w:tcPr>
          <w:p w14:paraId="6188456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1A7465CF"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549A9FB0" w14:textId="53F40190"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Muslim</w:t>
            </w:r>
          </w:p>
        </w:tc>
        <w:tc>
          <w:tcPr>
            <w:tcW w:w="0" w:type="auto"/>
            <w:tcBorders>
              <w:top w:val="nil"/>
              <w:left w:val="nil"/>
              <w:bottom w:val="nil"/>
              <w:right w:val="nil"/>
            </w:tcBorders>
            <w:shd w:val="clear" w:color="000000" w:fill="FFFFFF"/>
            <w:noWrap/>
            <w:vAlign w:val="center"/>
            <w:hideMark/>
          </w:tcPr>
          <w:p w14:paraId="4AECF4E9"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7F7C5D8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12,598 (12.18%)</w:t>
            </w:r>
          </w:p>
        </w:tc>
        <w:tc>
          <w:tcPr>
            <w:tcW w:w="0" w:type="auto"/>
            <w:tcBorders>
              <w:top w:val="nil"/>
              <w:left w:val="nil"/>
              <w:bottom w:val="nil"/>
              <w:right w:val="nil"/>
            </w:tcBorders>
            <w:shd w:val="clear" w:color="000000" w:fill="FFFFFF"/>
            <w:noWrap/>
            <w:vAlign w:val="center"/>
            <w:hideMark/>
          </w:tcPr>
          <w:p w14:paraId="611D8199"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930 (2.08%)</w:t>
            </w:r>
          </w:p>
        </w:tc>
        <w:tc>
          <w:tcPr>
            <w:tcW w:w="0" w:type="auto"/>
            <w:tcBorders>
              <w:top w:val="nil"/>
              <w:left w:val="nil"/>
              <w:bottom w:val="nil"/>
              <w:right w:val="nil"/>
            </w:tcBorders>
            <w:shd w:val="clear" w:color="000000" w:fill="FFFFFF"/>
            <w:noWrap/>
            <w:vAlign w:val="center"/>
            <w:hideMark/>
          </w:tcPr>
          <w:p w14:paraId="4401BE32"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11,321 (26.77%)</w:t>
            </w:r>
          </w:p>
        </w:tc>
        <w:tc>
          <w:tcPr>
            <w:tcW w:w="0" w:type="auto"/>
            <w:tcBorders>
              <w:top w:val="nil"/>
              <w:left w:val="nil"/>
              <w:bottom w:val="nil"/>
              <w:right w:val="nil"/>
            </w:tcBorders>
            <w:shd w:val="clear" w:color="000000" w:fill="FFFFFF"/>
            <w:noWrap/>
            <w:vAlign w:val="center"/>
            <w:hideMark/>
          </w:tcPr>
          <w:p w14:paraId="11EA686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314 (2.40%)</w:t>
            </w:r>
          </w:p>
        </w:tc>
        <w:tc>
          <w:tcPr>
            <w:tcW w:w="0" w:type="auto"/>
            <w:tcBorders>
              <w:top w:val="nil"/>
              <w:left w:val="nil"/>
              <w:bottom w:val="nil"/>
              <w:right w:val="nil"/>
            </w:tcBorders>
            <w:shd w:val="clear" w:color="000000" w:fill="FFFFFF"/>
            <w:noWrap/>
            <w:vAlign w:val="center"/>
            <w:hideMark/>
          </w:tcPr>
          <w:p w14:paraId="68B4AC0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33 (1.01%)</w:t>
            </w:r>
          </w:p>
        </w:tc>
        <w:tc>
          <w:tcPr>
            <w:tcW w:w="0" w:type="auto"/>
            <w:tcBorders>
              <w:top w:val="nil"/>
              <w:left w:val="nil"/>
              <w:bottom w:val="nil"/>
              <w:right w:val="nil"/>
            </w:tcBorders>
            <w:shd w:val="clear" w:color="000000" w:fill="FFFFFF"/>
            <w:noWrap/>
            <w:vAlign w:val="center"/>
            <w:hideMark/>
          </w:tcPr>
          <w:p w14:paraId="7639977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0C3E3F7A"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7E7264E0" w14:textId="618AE538"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Others</w:t>
            </w:r>
          </w:p>
        </w:tc>
        <w:tc>
          <w:tcPr>
            <w:tcW w:w="0" w:type="auto"/>
            <w:tcBorders>
              <w:top w:val="nil"/>
              <w:left w:val="nil"/>
              <w:bottom w:val="nil"/>
              <w:right w:val="nil"/>
            </w:tcBorders>
            <w:shd w:val="clear" w:color="000000" w:fill="FFFFFF"/>
            <w:noWrap/>
            <w:vAlign w:val="center"/>
            <w:hideMark/>
          </w:tcPr>
          <w:p w14:paraId="0594EBCD"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3D26C5D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6,089 (5.89%)</w:t>
            </w:r>
          </w:p>
        </w:tc>
        <w:tc>
          <w:tcPr>
            <w:tcW w:w="0" w:type="auto"/>
            <w:tcBorders>
              <w:top w:val="nil"/>
              <w:left w:val="nil"/>
              <w:bottom w:val="nil"/>
              <w:right w:val="nil"/>
            </w:tcBorders>
            <w:shd w:val="clear" w:color="000000" w:fill="FFFFFF"/>
            <w:noWrap/>
            <w:vAlign w:val="center"/>
            <w:hideMark/>
          </w:tcPr>
          <w:p w14:paraId="138126B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5,351 (11.95%)</w:t>
            </w:r>
          </w:p>
        </w:tc>
        <w:tc>
          <w:tcPr>
            <w:tcW w:w="0" w:type="auto"/>
            <w:tcBorders>
              <w:top w:val="nil"/>
              <w:left w:val="nil"/>
              <w:bottom w:val="nil"/>
              <w:right w:val="nil"/>
            </w:tcBorders>
            <w:shd w:val="clear" w:color="000000" w:fill="FFFFFF"/>
            <w:noWrap/>
            <w:vAlign w:val="center"/>
            <w:hideMark/>
          </w:tcPr>
          <w:p w14:paraId="5CB82C1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40 (0.09%)</w:t>
            </w:r>
          </w:p>
        </w:tc>
        <w:tc>
          <w:tcPr>
            <w:tcW w:w="0" w:type="auto"/>
            <w:tcBorders>
              <w:top w:val="nil"/>
              <w:left w:val="nil"/>
              <w:bottom w:val="nil"/>
              <w:right w:val="nil"/>
            </w:tcBorders>
            <w:shd w:val="clear" w:color="000000" w:fill="FFFFFF"/>
            <w:noWrap/>
            <w:vAlign w:val="center"/>
            <w:hideMark/>
          </w:tcPr>
          <w:p w14:paraId="2080BC8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688 (5.26%)</w:t>
            </w:r>
          </w:p>
        </w:tc>
        <w:tc>
          <w:tcPr>
            <w:tcW w:w="0" w:type="auto"/>
            <w:tcBorders>
              <w:top w:val="nil"/>
              <w:left w:val="nil"/>
              <w:bottom w:val="nil"/>
              <w:right w:val="nil"/>
            </w:tcBorders>
            <w:shd w:val="clear" w:color="000000" w:fill="FFFFFF"/>
            <w:noWrap/>
            <w:vAlign w:val="center"/>
            <w:hideMark/>
          </w:tcPr>
          <w:p w14:paraId="05CE8EF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10 (0.31%)</w:t>
            </w:r>
          </w:p>
        </w:tc>
        <w:tc>
          <w:tcPr>
            <w:tcW w:w="0" w:type="auto"/>
            <w:tcBorders>
              <w:top w:val="nil"/>
              <w:left w:val="nil"/>
              <w:bottom w:val="nil"/>
              <w:right w:val="nil"/>
            </w:tcBorders>
            <w:shd w:val="clear" w:color="000000" w:fill="FFFFFF"/>
            <w:noWrap/>
            <w:vAlign w:val="center"/>
            <w:hideMark/>
          </w:tcPr>
          <w:p w14:paraId="6050865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4921393E"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4B15E191" w14:textId="5FABA350" w:rsidR="00C3559E" w:rsidRPr="007031A3" w:rsidRDefault="00C3559E" w:rsidP="00C3559E">
            <w:pPr>
              <w:spacing w:after="0"/>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Ethnicity</w:t>
            </w:r>
            <w:r w:rsidR="00A01483" w:rsidRPr="007031A3">
              <w:rPr>
                <w:rFonts w:eastAsia="Times New Roman" w:cs="Times New Roman"/>
                <w:b/>
                <w:bCs/>
                <w:color w:val="000000"/>
                <w:sz w:val="16"/>
                <w:szCs w:val="16"/>
                <w:lang w:val="en-US" w:eastAsia="en-IN" w:bidi="as-IN"/>
                <w14:ligatures w14:val="none"/>
              </w:rPr>
              <w:t xml:space="preserve">, </w:t>
            </w:r>
            <w:proofErr w:type="gramStart"/>
            <w:r w:rsidR="00A01483" w:rsidRPr="007031A3">
              <w:rPr>
                <w:rFonts w:eastAsia="Times New Roman" w:cs="Times New Roman"/>
                <w:b/>
                <w:bCs/>
                <w:color w:val="000000"/>
                <w:sz w:val="16"/>
                <w:szCs w:val="16"/>
                <w:lang w:val="en-US" w:eastAsia="en-IN" w:bidi="as-IN"/>
                <w14:ligatures w14:val="none"/>
              </w:rPr>
              <w:t>n(</w:t>
            </w:r>
            <w:proofErr w:type="gramEnd"/>
            <w:r w:rsidR="00A01483" w:rsidRPr="007031A3">
              <w:rPr>
                <w:rFonts w:eastAsia="Times New Roman" w:cs="Times New Roman"/>
                <w:b/>
                <w:bCs/>
                <w:color w:val="000000"/>
                <w:sz w:val="16"/>
                <w:szCs w:val="16"/>
                <w:lang w:val="en-US" w:eastAsia="en-IN" w:bidi="as-IN"/>
                <w14:ligatures w14:val="none"/>
              </w:rPr>
              <w:t>%)</w:t>
            </w:r>
          </w:p>
        </w:tc>
        <w:tc>
          <w:tcPr>
            <w:tcW w:w="0" w:type="auto"/>
            <w:tcBorders>
              <w:top w:val="nil"/>
              <w:left w:val="nil"/>
              <w:bottom w:val="nil"/>
              <w:right w:val="nil"/>
            </w:tcBorders>
            <w:shd w:val="clear" w:color="000000" w:fill="FFFFFF"/>
            <w:noWrap/>
            <w:vAlign w:val="center"/>
            <w:hideMark/>
          </w:tcPr>
          <w:p w14:paraId="217B6500"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1,03,433</w:t>
            </w:r>
          </w:p>
        </w:tc>
        <w:tc>
          <w:tcPr>
            <w:tcW w:w="0" w:type="auto"/>
            <w:tcBorders>
              <w:top w:val="nil"/>
              <w:left w:val="nil"/>
              <w:bottom w:val="nil"/>
              <w:right w:val="nil"/>
            </w:tcBorders>
            <w:shd w:val="clear" w:color="000000" w:fill="FFFFFF"/>
            <w:noWrap/>
            <w:vAlign w:val="center"/>
            <w:hideMark/>
          </w:tcPr>
          <w:p w14:paraId="15DE650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0FD58D1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0E9267E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21A8B368"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5FF74FE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2DC0664C" w14:textId="4526C16F"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48106 (&lt;0.001)</w:t>
            </w:r>
            <w:r w:rsidR="0043199E" w:rsidRPr="007031A3">
              <w:rPr>
                <w:rFonts w:eastAsia="Times New Roman" w:cs="Times New Roman"/>
                <w:color w:val="000000"/>
                <w:sz w:val="16"/>
                <w:szCs w:val="16"/>
                <w:vertAlign w:val="superscript"/>
                <w:lang w:eastAsia="en-IN" w:bidi="as-IN"/>
                <w14:ligatures w14:val="none"/>
              </w:rPr>
              <w:t>1</w:t>
            </w:r>
          </w:p>
        </w:tc>
      </w:tr>
      <w:tr w:rsidR="00A01483" w:rsidRPr="007031A3" w14:paraId="0DBA5C4F"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1A9DCBE1" w14:textId="1501710B"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Caste</w:t>
            </w:r>
          </w:p>
        </w:tc>
        <w:tc>
          <w:tcPr>
            <w:tcW w:w="0" w:type="auto"/>
            <w:tcBorders>
              <w:top w:val="nil"/>
              <w:left w:val="nil"/>
              <w:bottom w:val="nil"/>
              <w:right w:val="nil"/>
            </w:tcBorders>
            <w:shd w:val="clear" w:color="000000" w:fill="FFFFFF"/>
            <w:noWrap/>
            <w:vAlign w:val="center"/>
            <w:hideMark/>
          </w:tcPr>
          <w:p w14:paraId="32A32DBD"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391E6B93"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34,291 (33.15%)</w:t>
            </w:r>
          </w:p>
        </w:tc>
        <w:tc>
          <w:tcPr>
            <w:tcW w:w="0" w:type="auto"/>
            <w:tcBorders>
              <w:top w:val="nil"/>
              <w:left w:val="nil"/>
              <w:bottom w:val="nil"/>
              <w:right w:val="nil"/>
            </w:tcBorders>
            <w:shd w:val="clear" w:color="000000" w:fill="FFFFFF"/>
            <w:noWrap/>
            <w:vAlign w:val="center"/>
            <w:hideMark/>
          </w:tcPr>
          <w:p w14:paraId="5F11BDE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7,865 (17.56%)</w:t>
            </w:r>
          </w:p>
        </w:tc>
        <w:tc>
          <w:tcPr>
            <w:tcW w:w="0" w:type="auto"/>
            <w:tcBorders>
              <w:top w:val="nil"/>
              <w:left w:val="nil"/>
              <w:bottom w:val="nil"/>
              <w:right w:val="nil"/>
            </w:tcBorders>
            <w:shd w:val="clear" w:color="000000" w:fill="FFFFFF"/>
            <w:noWrap/>
            <w:vAlign w:val="center"/>
            <w:hideMark/>
          </w:tcPr>
          <w:p w14:paraId="46AFC03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23,388 (55.30%)</w:t>
            </w:r>
          </w:p>
        </w:tc>
        <w:tc>
          <w:tcPr>
            <w:tcW w:w="0" w:type="auto"/>
            <w:tcBorders>
              <w:top w:val="nil"/>
              <w:left w:val="nil"/>
              <w:bottom w:val="nil"/>
              <w:right w:val="nil"/>
            </w:tcBorders>
            <w:shd w:val="clear" w:color="000000" w:fill="FFFFFF"/>
            <w:noWrap/>
            <w:vAlign w:val="center"/>
            <w:hideMark/>
          </w:tcPr>
          <w:p w14:paraId="5F6D70F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594 (4.54%)</w:t>
            </w:r>
          </w:p>
        </w:tc>
        <w:tc>
          <w:tcPr>
            <w:tcW w:w="0" w:type="auto"/>
            <w:tcBorders>
              <w:top w:val="nil"/>
              <w:left w:val="nil"/>
              <w:bottom w:val="nil"/>
              <w:right w:val="nil"/>
            </w:tcBorders>
            <w:shd w:val="clear" w:color="000000" w:fill="FFFFFF"/>
            <w:noWrap/>
            <w:vAlign w:val="center"/>
            <w:hideMark/>
          </w:tcPr>
          <w:p w14:paraId="0492B68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2,444 (74.72%)</w:t>
            </w:r>
          </w:p>
        </w:tc>
        <w:tc>
          <w:tcPr>
            <w:tcW w:w="0" w:type="auto"/>
            <w:tcBorders>
              <w:top w:val="nil"/>
              <w:left w:val="nil"/>
              <w:bottom w:val="nil"/>
              <w:right w:val="nil"/>
            </w:tcBorders>
            <w:shd w:val="clear" w:color="000000" w:fill="FFFFFF"/>
            <w:noWrap/>
            <w:vAlign w:val="center"/>
            <w:hideMark/>
          </w:tcPr>
          <w:p w14:paraId="0B711EE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514644C8"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4173E983" w14:textId="6E75FD7D"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Tribe</w:t>
            </w:r>
          </w:p>
        </w:tc>
        <w:tc>
          <w:tcPr>
            <w:tcW w:w="0" w:type="auto"/>
            <w:tcBorders>
              <w:top w:val="nil"/>
              <w:left w:val="nil"/>
              <w:bottom w:val="nil"/>
              <w:right w:val="nil"/>
            </w:tcBorders>
            <w:shd w:val="clear" w:color="000000" w:fill="FFFFFF"/>
            <w:noWrap/>
            <w:vAlign w:val="center"/>
            <w:hideMark/>
          </w:tcPr>
          <w:p w14:paraId="16D223E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16B727B0"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54,651 (52.84%)</w:t>
            </w:r>
          </w:p>
        </w:tc>
        <w:tc>
          <w:tcPr>
            <w:tcW w:w="0" w:type="auto"/>
            <w:tcBorders>
              <w:top w:val="nil"/>
              <w:left w:val="nil"/>
              <w:bottom w:val="nil"/>
              <w:right w:val="nil"/>
            </w:tcBorders>
            <w:shd w:val="clear" w:color="000000" w:fill="FFFFFF"/>
            <w:noWrap/>
            <w:vAlign w:val="center"/>
            <w:hideMark/>
          </w:tcPr>
          <w:p w14:paraId="0B7A403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35,425 (79.11%)</w:t>
            </w:r>
          </w:p>
        </w:tc>
        <w:tc>
          <w:tcPr>
            <w:tcW w:w="0" w:type="auto"/>
            <w:tcBorders>
              <w:top w:val="nil"/>
              <w:left w:val="nil"/>
              <w:bottom w:val="nil"/>
              <w:right w:val="nil"/>
            </w:tcBorders>
            <w:shd w:val="clear" w:color="000000" w:fill="FFFFFF"/>
            <w:noWrap/>
            <w:vAlign w:val="center"/>
            <w:hideMark/>
          </w:tcPr>
          <w:p w14:paraId="6BFE3713"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6,474 (15.31%)</w:t>
            </w:r>
          </w:p>
        </w:tc>
        <w:tc>
          <w:tcPr>
            <w:tcW w:w="0" w:type="auto"/>
            <w:tcBorders>
              <w:top w:val="nil"/>
              <w:left w:val="nil"/>
              <w:bottom w:val="nil"/>
              <w:right w:val="nil"/>
            </w:tcBorders>
            <w:shd w:val="clear" w:color="000000" w:fill="FFFFFF"/>
            <w:noWrap/>
            <w:vAlign w:val="center"/>
            <w:hideMark/>
          </w:tcPr>
          <w:p w14:paraId="1293BD7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12,050 (92.06%)</w:t>
            </w:r>
          </w:p>
        </w:tc>
        <w:tc>
          <w:tcPr>
            <w:tcW w:w="0" w:type="auto"/>
            <w:tcBorders>
              <w:top w:val="nil"/>
              <w:left w:val="nil"/>
              <w:bottom w:val="nil"/>
              <w:right w:val="nil"/>
            </w:tcBorders>
            <w:shd w:val="clear" w:color="000000" w:fill="FFFFFF"/>
            <w:noWrap/>
            <w:vAlign w:val="center"/>
            <w:hideMark/>
          </w:tcPr>
          <w:p w14:paraId="48D8C89D"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702 (21.46%)</w:t>
            </w:r>
          </w:p>
        </w:tc>
        <w:tc>
          <w:tcPr>
            <w:tcW w:w="0" w:type="auto"/>
            <w:tcBorders>
              <w:top w:val="nil"/>
              <w:left w:val="nil"/>
              <w:bottom w:val="nil"/>
              <w:right w:val="nil"/>
            </w:tcBorders>
            <w:shd w:val="clear" w:color="000000" w:fill="FFFFFF"/>
            <w:noWrap/>
            <w:vAlign w:val="center"/>
            <w:hideMark/>
          </w:tcPr>
          <w:p w14:paraId="3F94F9F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54465E90"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0FC99483" w14:textId="424A8A45"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Others</w:t>
            </w:r>
          </w:p>
        </w:tc>
        <w:tc>
          <w:tcPr>
            <w:tcW w:w="0" w:type="auto"/>
            <w:tcBorders>
              <w:top w:val="nil"/>
              <w:left w:val="nil"/>
              <w:bottom w:val="nil"/>
              <w:right w:val="nil"/>
            </w:tcBorders>
            <w:shd w:val="clear" w:color="000000" w:fill="FFFFFF"/>
            <w:noWrap/>
            <w:vAlign w:val="center"/>
            <w:hideMark/>
          </w:tcPr>
          <w:p w14:paraId="43530FA0"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648B432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14,491 (14.01%)</w:t>
            </w:r>
          </w:p>
        </w:tc>
        <w:tc>
          <w:tcPr>
            <w:tcW w:w="0" w:type="auto"/>
            <w:tcBorders>
              <w:top w:val="nil"/>
              <w:left w:val="nil"/>
              <w:bottom w:val="nil"/>
              <w:right w:val="nil"/>
            </w:tcBorders>
            <w:shd w:val="clear" w:color="000000" w:fill="FFFFFF"/>
            <w:noWrap/>
            <w:vAlign w:val="center"/>
            <w:hideMark/>
          </w:tcPr>
          <w:p w14:paraId="4D9BA9F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1,490 (3.33%)</w:t>
            </w:r>
          </w:p>
        </w:tc>
        <w:tc>
          <w:tcPr>
            <w:tcW w:w="0" w:type="auto"/>
            <w:tcBorders>
              <w:top w:val="nil"/>
              <w:left w:val="nil"/>
              <w:bottom w:val="nil"/>
              <w:right w:val="nil"/>
            </w:tcBorders>
            <w:shd w:val="clear" w:color="000000" w:fill="FFFFFF"/>
            <w:noWrap/>
            <w:vAlign w:val="center"/>
            <w:hideMark/>
          </w:tcPr>
          <w:p w14:paraId="67D58762"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12,431 (29.39%)</w:t>
            </w:r>
          </w:p>
        </w:tc>
        <w:tc>
          <w:tcPr>
            <w:tcW w:w="0" w:type="auto"/>
            <w:tcBorders>
              <w:top w:val="nil"/>
              <w:left w:val="nil"/>
              <w:bottom w:val="nil"/>
              <w:right w:val="nil"/>
            </w:tcBorders>
            <w:shd w:val="clear" w:color="000000" w:fill="FFFFFF"/>
            <w:noWrap/>
            <w:vAlign w:val="center"/>
            <w:hideMark/>
          </w:tcPr>
          <w:p w14:paraId="05B79C16"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445 (3.40%)</w:t>
            </w:r>
          </w:p>
        </w:tc>
        <w:tc>
          <w:tcPr>
            <w:tcW w:w="0" w:type="auto"/>
            <w:tcBorders>
              <w:top w:val="nil"/>
              <w:left w:val="nil"/>
              <w:bottom w:val="nil"/>
              <w:right w:val="nil"/>
            </w:tcBorders>
            <w:shd w:val="clear" w:color="000000" w:fill="FFFFFF"/>
            <w:noWrap/>
            <w:vAlign w:val="center"/>
            <w:hideMark/>
          </w:tcPr>
          <w:p w14:paraId="6FEBB78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125 (3.82%)</w:t>
            </w:r>
          </w:p>
        </w:tc>
        <w:tc>
          <w:tcPr>
            <w:tcW w:w="0" w:type="auto"/>
            <w:tcBorders>
              <w:top w:val="nil"/>
              <w:left w:val="nil"/>
              <w:bottom w:val="nil"/>
              <w:right w:val="nil"/>
            </w:tcBorders>
            <w:shd w:val="clear" w:color="000000" w:fill="FFFFFF"/>
            <w:noWrap/>
            <w:vAlign w:val="center"/>
            <w:hideMark/>
          </w:tcPr>
          <w:p w14:paraId="40ECB772"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04313441"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2AA6A576" w14:textId="2DB49FB1" w:rsidR="00C3559E" w:rsidRPr="007031A3" w:rsidRDefault="00C3559E" w:rsidP="00C3559E">
            <w:pPr>
              <w:spacing w:after="0"/>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Wealth index combined</w:t>
            </w:r>
            <w:r w:rsidR="00A01483" w:rsidRPr="007031A3">
              <w:rPr>
                <w:rFonts w:eastAsia="Times New Roman" w:cs="Times New Roman"/>
                <w:b/>
                <w:bCs/>
                <w:color w:val="000000"/>
                <w:sz w:val="16"/>
                <w:szCs w:val="16"/>
                <w:lang w:val="en-US" w:eastAsia="en-IN" w:bidi="as-IN"/>
                <w14:ligatures w14:val="none"/>
              </w:rPr>
              <w:t xml:space="preserve">, </w:t>
            </w:r>
            <w:proofErr w:type="gramStart"/>
            <w:r w:rsidR="00A01483" w:rsidRPr="007031A3">
              <w:rPr>
                <w:rFonts w:eastAsia="Times New Roman" w:cs="Times New Roman"/>
                <w:b/>
                <w:bCs/>
                <w:color w:val="000000"/>
                <w:sz w:val="16"/>
                <w:szCs w:val="16"/>
                <w:lang w:val="en-US" w:eastAsia="en-IN" w:bidi="as-IN"/>
                <w14:ligatures w14:val="none"/>
              </w:rPr>
              <w:t>n(</w:t>
            </w:r>
            <w:proofErr w:type="gramEnd"/>
            <w:r w:rsidR="00A01483" w:rsidRPr="007031A3">
              <w:rPr>
                <w:rFonts w:eastAsia="Times New Roman" w:cs="Times New Roman"/>
                <w:b/>
                <w:bCs/>
                <w:color w:val="000000"/>
                <w:sz w:val="16"/>
                <w:szCs w:val="16"/>
                <w:lang w:val="en-US" w:eastAsia="en-IN" w:bidi="as-IN"/>
                <w14:ligatures w14:val="none"/>
              </w:rPr>
              <w:t>%)</w:t>
            </w:r>
          </w:p>
        </w:tc>
        <w:tc>
          <w:tcPr>
            <w:tcW w:w="0" w:type="auto"/>
            <w:tcBorders>
              <w:top w:val="nil"/>
              <w:left w:val="nil"/>
              <w:bottom w:val="nil"/>
              <w:right w:val="nil"/>
            </w:tcBorders>
            <w:shd w:val="clear" w:color="000000" w:fill="FFFFFF"/>
            <w:noWrap/>
            <w:vAlign w:val="center"/>
            <w:hideMark/>
          </w:tcPr>
          <w:p w14:paraId="56266FF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1,03,433</w:t>
            </w:r>
          </w:p>
        </w:tc>
        <w:tc>
          <w:tcPr>
            <w:tcW w:w="0" w:type="auto"/>
            <w:tcBorders>
              <w:top w:val="nil"/>
              <w:left w:val="nil"/>
              <w:bottom w:val="nil"/>
              <w:right w:val="nil"/>
            </w:tcBorders>
            <w:shd w:val="clear" w:color="000000" w:fill="FFFFFF"/>
            <w:noWrap/>
            <w:vAlign w:val="center"/>
            <w:hideMark/>
          </w:tcPr>
          <w:p w14:paraId="1BA2373E"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392DF73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337149C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1C282080"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4A7393B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4EF766D7" w14:textId="216ABBE9"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6463 (&lt;0.001)</w:t>
            </w:r>
            <w:r w:rsidR="0043199E" w:rsidRPr="007031A3">
              <w:rPr>
                <w:rFonts w:eastAsia="Times New Roman" w:cs="Times New Roman"/>
                <w:color w:val="000000"/>
                <w:sz w:val="16"/>
                <w:szCs w:val="16"/>
                <w:vertAlign w:val="superscript"/>
                <w:lang w:eastAsia="en-IN" w:bidi="as-IN"/>
                <w14:ligatures w14:val="none"/>
              </w:rPr>
              <w:t>1</w:t>
            </w:r>
          </w:p>
        </w:tc>
      </w:tr>
      <w:tr w:rsidR="00A01483" w:rsidRPr="007031A3" w14:paraId="2234119E"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6EAE5589" w14:textId="6C331653"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Poorest</w:t>
            </w:r>
          </w:p>
        </w:tc>
        <w:tc>
          <w:tcPr>
            <w:tcW w:w="0" w:type="auto"/>
            <w:tcBorders>
              <w:top w:val="nil"/>
              <w:left w:val="nil"/>
              <w:bottom w:val="nil"/>
              <w:right w:val="nil"/>
            </w:tcBorders>
            <w:shd w:val="clear" w:color="000000" w:fill="FFFFFF"/>
            <w:noWrap/>
            <w:vAlign w:val="center"/>
            <w:hideMark/>
          </w:tcPr>
          <w:p w14:paraId="3114644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7656D246"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29,455 (28.48%)</w:t>
            </w:r>
          </w:p>
        </w:tc>
        <w:tc>
          <w:tcPr>
            <w:tcW w:w="0" w:type="auto"/>
            <w:tcBorders>
              <w:top w:val="nil"/>
              <w:left w:val="nil"/>
              <w:bottom w:val="nil"/>
              <w:right w:val="nil"/>
            </w:tcBorders>
            <w:shd w:val="clear" w:color="000000" w:fill="FFFFFF"/>
            <w:noWrap/>
            <w:vAlign w:val="center"/>
            <w:hideMark/>
          </w:tcPr>
          <w:p w14:paraId="7BCDBE43"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9,513 (21.24%)</w:t>
            </w:r>
          </w:p>
        </w:tc>
        <w:tc>
          <w:tcPr>
            <w:tcW w:w="0" w:type="auto"/>
            <w:tcBorders>
              <w:top w:val="nil"/>
              <w:left w:val="nil"/>
              <w:bottom w:val="nil"/>
              <w:right w:val="nil"/>
            </w:tcBorders>
            <w:shd w:val="clear" w:color="000000" w:fill="FFFFFF"/>
            <w:noWrap/>
            <w:vAlign w:val="center"/>
            <w:hideMark/>
          </w:tcPr>
          <w:p w14:paraId="1F0913D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15,604 (36.89%)</w:t>
            </w:r>
          </w:p>
        </w:tc>
        <w:tc>
          <w:tcPr>
            <w:tcW w:w="0" w:type="auto"/>
            <w:tcBorders>
              <w:top w:val="nil"/>
              <w:left w:val="nil"/>
              <w:bottom w:val="nil"/>
              <w:right w:val="nil"/>
            </w:tcBorders>
            <w:shd w:val="clear" w:color="000000" w:fill="FFFFFF"/>
            <w:noWrap/>
            <w:vAlign w:val="center"/>
            <w:hideMark/>
          </w:tcPr>
          <w:p w14:paraId="3A4AF08E"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4,214 (32.19%)</w:t>
            </w:r>
          </w:p>
        </w:tc>
        <w:tc>
          <w:tcPr>
            <w:tcW w:w="0" w:type="auto"/>
            <w:tcBorders>
              <w:top w:val="nil"/>
              <w:left w:val="nil"/>
              <w:bottom w:val="nil"/>
              <w:right w:val="nil"/>
            </w:tcBorders>
            <w:shd w:val="clear" w:color="000000" w:fill="FFFFFF"/>
            <w:noWrap/>
            <w:vAlign w:val="center"/>
            <w:hideMark/>
          </w:tcPr>
          <w:p w14:paraId="67FB3C1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124 (3.79%)</w:t>
            </w:r>
          </w:p>
        </w:tc>
        <w:tc>
          <w:tcPr>
            <w:tcW w:w="0" w:type="auto"/>
            <w:tcBorders>
              <w:top w:val="nil"/>
              <w:left w:val="nil"/>
              <w:bottom w:val="nil"/>
              <w:right w:val="nil"/>
            </w:tcBorders>
            <w:shd w:val="clear" w:color="000000" w:fill="FFFFFF"/>
            <w:noWrap/>
            <w:vAlign w:val="center"/>
            <w:hideMark/>
          </w:tcPr>
          <w:p w14:paraId="2C3C592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21E117AF"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4294B0F1" w14:textId="4CDCE70D"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Poorer</w:t>
            </w:r>
          </w:p>
        </w:tc>
        <w:tc>
          <w:tcPr>
            <w:tcW w:w="0" w:type="auto"/>
            <w:tcBorders>
              <w:top w:val="nil"/>
              <w:left w:val="nil"/>
              <w:bottom w:val="nil"/>
              <w:right w:val="nil"/>
            </w:tcBorders>
            <w:shd w:val="clear" w:color="000000" w:fill="FFFFFF"/>
            <w:noWrap/>
            <w:vAlign w:val="center"/>
            <w:hideMark/>
          </w:tcPr>
          <w:p w14:paraId="5D54DF8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1C0FE69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33,102 (32.00%)</w:t>
            </w:r>
          </w:p>
        </w:tc>
        <w:tc>
          <w:tcPr>
            <w:tcW w:w="0" w:type="auto"/>
            <w:tcBorders>
              <w:top w:val="nil"/>
              <w:left w:val="nil"/>
              <w:bottom w:val="nil"/>
              <w:right w:val="nil"/>
            </w:tcBorders>
            <w:shd w:val="clear" w:color="000000" w:fill="FFFFFF"/>
            <w:noWrap/>
            <w:vAlign w:val="center"/>
            <w:hideMark/>
          </w:tcPr>
          <w:p w14:paraId="290D9FD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13,396 (29.92%)</w:t>
            </w:r>
          </w:p>
        </w:tc>
        <w:tc>
          <w:tcPr>
            <w:tcW w:w="0" w:type="auto"/>
            <w:tcBorders>
              <w:top w:val="nil"/>
              <w:left w:val="nil"/>
              <w:bottom w:val="nil"/>
              <w:right w:val="nil"/>
            </w:tcBorders>
            <w:shd w:val="clear" w:color="000000" w:fill="FFFFFF"/>
            <w:noWrap/>
            <w:vAlign w:val="center"/>
            <w:hideMark/>
          </w:tcPr>
          <w:p w14:paraId="0ABAFB4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14,173 (33.51%)</w:t>
            </w:r>
          </w:p>
        </w:tc>
        <w:tc>
          <w:tcPr>
            <w:tcW w:w="0" w:type="auto"/>
            <w:tcBorders>
              <w:top w:val="nil"/>
              <w:left w:val="nil"/>
              <w:bottom w:val="nil"/>
              <w:right w:val="nil"/>
            </w:tcBorders>
            <w:shd w:val="clear" w:color="000000" w:fill="FFFFFF"/>
            <w:noWrap/>
            <w:vAlign w:val="center"/>
            <w:hideMark/>
          </w:tcPr>
          <w:p w14:paraId="42461D98"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4,715 (36.02%)</w:t>
            </w:r>
          </w:p>
        </w:tc>
        <w:tc>
          <w:tcPr>
            <w:tcW w:w="0" w:type="auto"/>
            <w:tcBorders>
              <w:top w:val="nil"/>
              <w:left w:val="nil"/>
              <w:bottom w:val="nil"/>
              <w:right w:val="nil"/>
            </w:tcBorders>
            <w:shd w:val="clear" w:color="000000" w:fill="FFFFFF"/>
            <w:noWrap/>
            <w:vAlign w:val="center"/>
            <w:hideMark/>
          </w:tcPr>
          <w:p w14:paraId="16EA2B69"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818 (25.01%)</w:t>
            </w:r>
          </w:p>
        </w:tc>
        <w:tc>
          <w:tcPr>
            <w:tcW w:w="0" w:type="auto"/>
            <w:tcBorders>
              <w:top w:val="nil"/>
              <w:left w:val="nil"/>
              <w:bottom w:val="nil"/>
              <w:right w:val="nil"/>
            </w:tcBorders>
            <w:shd w:val="clear" w:color="000000" w:fill="FFFFFF"/>
            <w:noWrap/>
            <w:vAlign w:val="center"/>
            <w:hideMark/>
          </w:tcPr>
          <w:p w14:paraId="309010CB"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4DD34C3B"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5356698B" w14:textId="6DBDBED7"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Middle</w:t>
            </w:r>
          </w:p>
        </w:tc>
        <w:tc>
          <w:tcPr>
            <w:tcW w:w="0" w:type="auto"/>
            <w:tcBorders>
              <w:top w:val="nil"/>
              <w:left w:val="nil"/>
              <w:bottom w:val="nil"/>
              <w:right w:val="nil"/>
            </w:tcBorders>
            <w:shd w:val="clear" w:color="000000" w:fill="FFFFFF"/>
            <w:noWrap/>
            <w:vAlign w:val="center"/>
            <w:hideMark/>
          </w:tcPr>
          <w:p w14:paraId="351BD296"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076A9D36"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22,531 (21.78%)</w:t>
            </w:r>
          </w:p>
        </w:tc>
        <w:tc>
          <w:tcPr>
            <w:tcW w:w="0" w:type="auto"/>
            <w:tcBorders>
              <w:top w:val="nil"/>
              <w:left w:val="nil"/>
              <w:bottom w:val="nil"/>
              <w:right w:val="nil"/>
            </w:tcBorders>
            <w:shd w:val="clear" w:color="000000" w:fill="FFFFFF"/>
            <w:noWrap/>
            <w:vAlign w:val="center"/>
            <w:hideMark/>
          </w:tcPr>
          <w:p w14:paraId="201DD67E"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10,993 (24.55%)</w:t>
            </w:r>
          </w:p>
        </w:tc>
        <w:tc>
          <w:tcPr>
            <w:tcW w:w="0" w:type="auto"/>
            <w:tcBorders>
              <w:top w:val="nil"/>
              <w:left w:val="nil"/>
              <w:bottom w:val="nil"/>
              <w:right w:val="nil"/>
            </w:tcBorders>
            <w:shd w:val="clear" w:color="000000" w:fill="FFFFFF"/>
            <w:noWrap/>
            <w:vAlign w:val="center"/>
            <w:hideMark/>
          </w:tcPr>
          <w:p w14:paraId="33BA6A4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7,479 (17.68%)</w:t>
            </w:r>
          </w:p>
        </w:tc>
        <w:tc>
          <w:tcPr>
            <w:tcW w:w="0" w:type="auto"/>
            <w:tcBorders>
              <w:top w:val="nil"/>
              <w:left w:val="nil"/>
              <w:bottom w:val="nil"/>
              <w:right w:val="nil"/>
            </w:tcBorders>
            <w:shd w:val="clear" w:color="000000" w:fill="FFFFFF"/>
            <w:noWrap/>
            <w:vAlign w:val="center"/>
            <w:hideMark/>
          </w:tcPr>
          <w:p w14:paraId="118B0839"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2,734 (20.89%)</w:t>
            </w:r>
          </w:p>
        </w:tc>
        <w:tc>
          <w:tcPr>
            <w:tcW w:w="0" w:type="auto"/>
            <w:tcBorders>
              <w:top w:val="nil"/>
              <w:left w:val="nil"/>
              <w:bottom w:val="nil"/>
              <w:right w:val="nil"/>
            </w:tcBorders>
            <w:shd w:val="clear" w:color="000000" w:fill="FFFFFF"/>
            <w:noWrap/>
            <w:vAlign w:val="center"/>
            <w:hideMark/>
          </w:tcPr>
          <w:p w14:paraId="1DC7268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1,325 (40.51%)</w:t>
            </w:r>
          </w:p>
        </w:tc>
        <w:tc>
          <w:tcPr>
            <w:tcW w:w="0" w:type="auto"/>
            <w:tcBorders>
              <w:top w:val="nil"/>
              <w:left w:val="nil"/>
              <w:bottom w:val="nil"/>
              <w:right w:val="nil"/>
            </w:tcBorders>
            <w:shd w:val="clear" w:color="000000" w:fill="FFFFFF"/>
            <w:noWrap/>
            <w:vAlign w:val="center"/>
            <w:hideMark/>
          </w:tcPr>
          <w:p w14:paraId="7C1F0A19"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32D7CA3C"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3E2043AF" w14:textId="2FF40705"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Richer</w:t>
            </w:r>
          </w:p>
        </w:tc>
        <w:tc>
          <w:tcPr>
            <w:tcW w:w="0" w:type="auto"/>
            <w:tcBorders>
              <w:top w:val="nil"/>
              <w:left w:val="nil"/>
              <w:bottom w:val="nil"/>
              <w:right w:val="nil"/>
            </w:tcBorders>
            <w:shd w:val="clear" w:color="000000" w:fill="FFFFFF"/>
            <w:noWrap/>
            <w:vAlign w:val="center"/>
            <w:hideMark/>
          </w:tcPr>
          <w:p w14:paraId="76D158A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5842F4D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13,547 (13.10%)</w:t>
            </w:r>
          </w:p>
        </w:tc>
        <w:tc>
          <w:tcPr>
            <w:tcW w:w="0" w:type="auto"/>
            <w:tcBorders>
              <w:top w:val="nil"/>
              <w:left w:val="nil"/>
              <w:bottom w:val="nil"/>
              <w:right w:val="nil"/>
            </w:tcBorders>
            <w:shd w:val="clear" w:color="000000" w:fill="FFFFFF"/>
            <w:noWrap/>
            <w:vAlign w:val="center"/>
            <w:hideMark/>
          </w:tcPr>
          <w:p w14:paraId="1BB7541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7,873 (17.58%)</w:t>
            </w:r>
          </w:p>
        </w:tc>
        <w:tc>
          <w:tcPr>
            <w:tcW w:w="0" w:type="auto"/>
            <w:tcBorders>
              <w:top w:val="nil"/>
              <w:left w:val="nil"/>
              <w:bottom w:val="nil"/>
              <w:right w:val="nil"/>
            </w:tcBorders>
            <w:shd w:val="clear" w:color="000000" w:fill="FFFFFF"/>
            <w:noWrap/>
            <w:vAlign w:val="center"/>
            <w:hideMark/>
          </w:tcPr>
          <w:p w14:paraId="6321BF7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3,781 (8.94%)</w:t>
            </w:r>
          </w:p>
        </w:tc>
        <w:tc>
          <w:tcPr>
            <w:tcW w:w="0" w:type="auto"/>
            <w:tcBorders>
              <w:top w:val="nil"/>
              <w:left w:val="nil"/>
              <w:bottom w:val="nil"/>
              <w:right w:val="nil"/>
            </w:tcBorders>
            <w:shd w:val="clear" w:color="000000" w:fill="FFFFFF"/>
            <w:noWrap/>
            <w:vAlign w:val="center"/>
            <w:hideMark/>
          </w:tcPr>
          <w:p w14:paraId="20BBDCAE"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1,094 (8.36%)</w:t>
            </w:r>
          </w:p>
        </w:tc>
        <w:tc>
          <w:tcPr>
            <w:tcW w:w="0" w:type="auto"/>
            <w:tcBorders>
              <w:top w:val="nil"/>
              <w:left w:val="nil"/>
              <w:bottom w:val="nil"/>
              <w:right w:val="nil"/>
            </w:tcBorders>
            <w:shd w:val="clear" w:color="000000" w:fill="FFFFFF"/>
            <w:noWrap/>
            <w:vAlign w:val="center"/>
            <w:hideMark/>
          </w:tcPr>
          <w:p w14:paraId="620DB083"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799 (24.43%)</w:t>
            </w:r>
          </w:p>
        </w:tc>
        <w:tc>
          <w:tcPr>
            <w:tcW w:w="0" w:type="auto"/>
            <w:tcBorders>
              <w:top w:val="nil"/>
              <w:left w:val="nil"/>
              <w:bottom w:val="nil"/>
              <w:right w:val="nil"/>
            </w:tcBorders>
            <w:shd w:val="clear" w:color="000000" w:fill="FFFFFF"/>
            <w:noWrap/>
            <w:vAlign w:val="center"/>
            <w:hideMark/>
          </w:tcPr>
          <w:p w14:paraId="42397F5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2DD44097"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1B762329" w14:textId="7A270E81"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Richest</w:t>
            </w:r>
          </w:p>
        </w:tc>
        <w:tc>
          <w:tcPr>
            <w:tcW w:w="0" w:type="auto"/>
            <w:tcBorders>
              <w:top w:val="nil"/>
              <w:left w:val="nil"/>
              <w:bottom w:val="nil"/>
              <w:right w:val="nil"/>
            </w:tcBorders>
            <w:shd w:val="clear" w:color="000000" w:fill="FFFFFF"/>
            <w:noWrap/>
            <w:vAlign w:val="center"/>
            <w:hideMark/>
          </w:tcPr>
          <w:p w14:paraId="1E2F9AB0"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234E0DA8"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4,798 (4.64%)</w:t>
            </w:r>
          </w:p>
        </w:tc>
        <w:tc>
          <w:tcPr>
            <w:tcW w:w="0" w:type="auto"/>
            <w:tcBorders>
              <w:top w:val="nil"/>
              <w:left w:val="nil"/>
              <w:bottom w:val="nil"/>
              <w:right w:val="nil"/>
            </w:tcBorders>
            <w:shd w:val="clear" w:color="000000" w:fill="FFFFFF"/>
            <w:noWrap/>
            <w:vAlign w:val="center"/>
            <w:hideMark/>
          </w:tcPr>
          <w:p w14:paraId="046EB6F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3,005 (6.71%)</w:t>
            </w:r>
          </w:p>
        </w:tc>
        <w:tc>
          <w:tcPr>
            <w:tcW w:w="0" w:type="auto"/>
            <w:tcBorders>
              <w:top w:val="nil"/>
              <w:left w:val="nil"/>
              <w:bottom w:val="nil"/>
              <w:right w:val="nil"/>
            </w:tcBorders>
            <w:shd w:val="clear" w:color="000000" w:fill="FFFFFF"/>
            <w:noWrap/>
            <w:vAlign w:val="center"/>
            <w:hideMark/>
          </w:tcPr>
          <w:p w14:paraId="266D8F13"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1,256 (2.97%)</w:t>
            </w:r>
          </w:p>
        </w:tc>
        <w:tc>
          <w:tcPr>
            <w:tcW w:w="0" w:type="auto"/>
            <w:tcBorders>
              <w:top w:val="nil"/>
              <w:left w:val="nil"/>
              <w:bottom w:val="nil"/>
              <w:right w:val="nil"/>
            </w:tcBorders>
            <w:shd w:val="clear" w:color="000000" w:fill="FFFFFF"/>
            <w:noWrap/>
            <w:vAlign w:val="center"/>
            <w:hideMark/>
          </w:tcPr>
          <w:p w14:paraId="54169CF9"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332 (2.54%)</w:t>
            </w:r>
          </w:p>
        </w:tc>
        <w:tc>
          <w:tcPr>
            <w:tcW w:w="0" w:type="auto"/>
            <w:tcBorders>
              <w:top w:val="nil"/>
              <w:left w:val="nil"/>
              <w:bottom w:val="nil"/>
              <w:right w:val="nil"/>
            </w:tcBorders>
            <w:shd w:val="clear" w:color="000000" w:fill="FFFFFF"/>
            <w:noWrap/>
            <w:vAlign w:val="center"/>
            <w:hideMark/>
          </w:tcPr>
          <w:p w14:paraId="0290EAD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205 (6.27%)</w:t>
            </w:r>
          </w:p>
        </w:tc>
        <w:tc>
          <w:tcPr>
            <w:tcW w:w="0" w:type="auto"/>
            <w:tcBorders>
              <w:top w:val="nil"/>
              <w:left w:val="nil"/>
              <w:bottom w:val="nil"/>
              <w:right w:val="nil"/>
            </w:tcBorders>
            <w:shd w:val="clear" w:color="000000" w:fill="FFFFFF"/>
            <w:noWrap/>
            <w:vAlign w:val="center"/>
            <w:hideMark/>
          </w:tcPr>
          <w:p w14:paraId="0C8D8FD9"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0A32862C"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42BEB9A3" w14:textId="08EAAE64" w:rsidR="00C3559E" w:rsidRPr="007031A3" w:rsidRDefault="00C3559E" w:rsidP="00C3559E">
            <w:pPr>
              <w:spacing w:after="0"/>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Anemia level</w:t>
            </w:r>
            <w:r w:rsidR="00A01483" w:rsidRPr="007031A3">
              <w:rPr>
                <w:rFonts w:eastAsia="Times New Roman" w:cs="Times New Roman"/>
                <w:b/>
                <w:bCs/>
                <w:color w:val="000000"/>
                <w:sz w:val="16"/>
                <w:szCs w:val="16"/>
                <w:lang w:val="en-US" w:eastAsia="en-IN" w:bidi="as-IN"/>
                <w14:ligatures w14:val="none"/>
              </w:rPr>
              <w:t xml:space="preserve">, </w:t>
            </w:r>
            <w:proofErr w:type="gramStart"/>
            <w:r w:rsidR="00A01483" w:rsidRPr="007031A3">
              <w:rPr>
                <w:rFonts w:eastAsia="Times New Roman" w:cs="Times New Roman"/>
                <w:b/>
                <w:bCs/>
                <w:color w:val="000000"/>
                <w:sz w:val="16"/>
                <w:szCs w:val="16"/>
                <w:lang w:val="en-US" w:eastAsia="en-IN" w:bidi="as-IN"/>
                <w14:ligatures w14:val="none"/>
              </w:rPr>
              <w:t>n(</w:t>
            </w:r>
            <w:proofErr w:type="gramEnd"/>
            <w:r w:rsidR="00A01483" w:rsidRPr="007031A3">
              <w:rPr>
                <w:rFonts w:eastAsia="Times New Roman" w:cs="Times New Roman"/>
                <w:b/>
                <w:bCs/>
                <w:color w:val="000000"/>
                <w:sz w:val="16"/>
                <w:szCs w:val="16"/>
                <w:lang w:val="en-US" w:eastAsia="en-IN" w:bidi="as-IN"/>
                <w14:ligatures w14:val="none"/>
              </w:rPr>
              <w:t>%)</w:t>
            </w:r>
          </w:p>
        </w:tc>
        <w:tc>
          <w:tcPr>
            <w:tcW w:w="0" w:type="auto"/>
            <w:tcBorders>
              <w:top w:val="nil"/>
              <w:left w:val="nil"/>
              <w:bottom w:val="nil"/>
              <w:right w:val="nil"/>
            </w:tcBorders>
            <w:shd w:val="clear" w:color="000000" w:fill="FFFFFF"/>
            <w:noWrap/>
            <w:vAlign w:val="center"/>
            <w:hideMark/>
          </w:tcPr>
          <w:p w14:paraId="29E4762C" w14:textId="6A847F71"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1,00,435</w:t>
            </w:r>
            <w:r w:rsidR="0062702E" w:rsidRPr="007031A3">
              <w:rPr>
                <w:rFonts w:eastAsia="Times New Roman" w:cs="Times New Roman"/>
                <w:color w:val="000000"/>
                <w:sz w:val="16"/>
                <w:szCs w:val="16"/>
                <w:vertAlign w:val="superscript"/>
                <w:lang w:val="en-US" w:eastAsia="en-IN" w:bidi="as-IN"/>
                <w14:ligatures w14:val="none"/>
              </w:rPr>
              <w:t>#</w:t>
            </w:r>
          </w:p>
        </w:tc>
        <w:tc>
          <w:tcPr>
            <w:tcW w:w="0" w:type="auto"/>
            <w:tcBorders>
              <w:top w:val="nil"/>
              <w:left w:val="nil"/>
              <w:bottom w:val="nil"/>
              <w:right w:val="nil"/>
            </w:tcBorders>
            <w:shd w:val="clear" w:color="000000" w:fill="FFFFFF"/>
            <w:noWrap/>
            <w:vAlign w:val="center"/>
            <w:hideMark/>
          </w:tcPr>
          <w:p w14:paraId="3C9650F3"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6DAC4162"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045534E8"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53DB55C3"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2075FD7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698ABAF0" w14:textId="283D62A2"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9124 (&lt;0.001)</w:t>
            </w:r>
            <w:r w:rsidR="0043199E" w:rsidRPr="007031A3">
              <w:rPr>
                <w:rFonts w:eastAsia="Times New Roman" w:cs="Times New Roman"/>
                <w:color w:val="000000"/>
                <w:sz w:val="16"/>
                <w:szCs w:val="16"/>
                <w:vertAlign w:val="superscript"/>
                <w:lang w:eastAsia="en-IN" w:bidi="as-IN"/>
                <w14:ligatures w14:val="none"/>
              </w:rPr>
              <w:t>1</w:t>
            </w:r>
          </w:p>
        </w:tc>
      </w:tr>
      <w:tr w:rsidR="00A01483" w:rsidRPr="007031A3" w14:paraId="5ABF720F"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4F51F88F" w14:textId="72E7D76F"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Severe</w:t>
            </w:r>
          </w:p>
        </w:tc>
        <w:tc>
          <w:tcPr>
            <w:tcW w:w="0" w:type="auto"/>
            <w:tcBorders>
              <w:top w:val="nil"/>
              <w:left w:val="nil"/>
              <w:bottom w:val="nil"/>
              <w:right w:val="nil"/>
            </w:tcBorders>
            <w:shd w:val="clear" w:color="000000" w:fill="FFFFFF"/>
            <w:noWrap/>
            <w:vAlign w:val="center"/>
            <w:hideMark/>
          </w:tcPr>
          <w:p w14:paraId="16B97718"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641A91D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1,686 (1.68%)</w:t>
            </w:r>
          </w:p>
        </w:tc>
        <w:tc>
          <w:tcPr>
            <w:tcW w:w="0" w:type="auto"/>
            <w:tcBorders>
              <w:top w:val="nil"/>
              <w:left w:val="nil"/>
              <w:bottom w:val="nil"/>
              <w:right w:val="nil"/>
            </w:tcBorders>
            <w:shd w:val="clear" w:color="000000" w:fill="FFFFFF"/>
            <w:noWrap/>
            <w:vAlign w:val="center"/>
            <w:hideMark/>
          </w:tcPr>
          <w:p w14:paraId="6A598878"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470 (1.08%)</w:t>
            </w:r>
          </w:p>
        </w:tc>
        <w:tc>
          <w:tcPr>
            <w:tcW w:w="0" w:type="auto"/>
            <w:tcBorders>
              <w:top w:val="nil"/>
              <w:left w:val="nil"/>
              <w:bottom w:val="nil"/>
              <w:right w:val="nil"/>
            </w:tcBorders>
            <w:shd w:val="clear" w:color="000000" w:fill="FFFFFF"/>
            <w:noWrap/>
            <w:vAlign w:val="center"/>
            <w:hideMark/>
          </w:tcPr>
          <w:p w14:paraId="07D5599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908 (2.22%)</w:t>
            </w:r>
          </w:p>
        </w:tc>
        <w:tc>
          <w:tcPr>
            <w:tcW w:w="0" w:type="auto"/>
            <w:tcBorders>
              <w:top w:val="nil"/>
              <w:left w:val="nil"/>
              <w:bottom w:val="nil"/>
              <w:right w:val="nil"/>
            </w:tcBorders>
            <w:shd w:val="clear" w:color="000000" w:fill="FFFFFF"/>
            <w:noWrap/>
            <w:vAlign w:val="center"/>
            <w:hideMark/>
          </w:tcPr>
          <w:p w14:paraId="1EDB6C5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253 (1.99%)</w:t>
            </w:r>
          </w:p>
        </w:tc>
        <w:tc>
          <w:tcPr>
            <w:tcW w:w="0" w:type="auto"/>
            <w:tcBorders>
              <w:top w:val="nil"/>
              <w:left w:val="nil"/>
              <w:bottom w:val="nil"/>
              <w:right w:val="nil"/>
            </w:tcBorders>
            <w:shd w:val="clear" w:color="000000" w:fill="FFFFFF"/>
            <w:noWrap/>
            <w:vAlign w:val="center"/>
            <w:hideMark/>
          </w:tcPr>
          <w:p w14:paraId="62D942EA"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55 (1.81%)</w:t>
            </w:r>
          </w:p>
        </w:tc>
        <w:tc>
          <w:tcPr>
            <w:tcW w:w="0" w:type="auto"/>
            <w:tcBorders>
              <w:top w:val="nil"/>
              <w:left w:val="nil"/>
              <w:bottom w:val="nil"/>
              <w:right w:val="nil"/>
            </w:tcBorders>
            <w:shd w:val="clear" w:color="000000" w:fill="FFFFFF"/>
            <w:noWrap/>
            <w:vAlign w:val="center"/>
            <w:hideMark/>
          </w:tcPr>
          <w:p w14:paraId="43E8F302"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34389928"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7D879D96" w14:textId="2429E796"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Moderate</w:t>
            </w:r>
          </w:p>
        </w:tc>
        <w:tc>
          <w:tcPr>
            <w:tcW w:w="0" w:type="auto"/>
            <w:tcBorders>
              <w:top w:val="nil"/>
              <w:left w:val="nil"/>
              <w:bottom w:val="nil"/>
              <w:right w:val="nil"/>
            </w:tcBorders>
            <w:shd w:val="clear" w:color="000000" w:fill="FFFFFF"/>
            <w:noWrap/>
            <w:vAlign w:val="center"/>
            <w:hideMark/>
          </w:tcPr>
          <w:p w14:paraId="56B57229"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09E973AD"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24,394 (24.29%)</w:t>
            </w:r>
          </w:p>
        </w:tc>
        <w:tc>
          <w:tcPr>
            <w:tcW w:w="0" w:type="auto"/>
            <w:tcBorders>
              <w:top w:val="nil"/>
              <w:left w:val="nil"/>
              <w:bottom w:val="nil"/>
              <w:right w:val="nil"/>
            </w:tcBorders>
            <w:shd w:val="clear" w:color="000000" w:fill="FFFFFF"/>
            <w:noWrap/>
            <w:vAlign w:val="center"/>
            <w:hideMark/>
          </w:tcPr>
          <w:p w14:paraId="5C077316"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6,038 (13.82%)</w:t>
            </w:r>
          </w:p>
        </w:tc>
        <w:tc>
          <w:tcPr>
            <w:tcW w:w="0" w:type="auto"/>
            <w:tcBorders>
              <w:top w:val="nil"/>
              <w:left w:val="nil"/>
              <w:bottom w:val="nil"/>
              <w:right w:val="nil"/>
            </w:tcBorders>
            <w:shd w:val="clear" w:color="000000" w:fill="FFFFFF"/>
            <w:noWrap/>
            <w:vAlign w:val="center"/>
            <w:hideMark/>
          </w:tcPr>
          <w:p w14:paraId="24D6F886"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14,165 (34.57%)</w:t>
            </w:r>
          </w:p>
        </w:tc>
        <w:tc>
          <w:tcPr>
            <w:tcW w:w="0" w:type="auto"/>
            <w:tcBorders>
              <w:top w:val="nil"/>
              <w:left w:val="nil"/>
              <w:bottom w:val="nil"/>
              <w:right w:val="nil"/>
            </w:tcBorders>
            <w:shd w:val="clear" w:color="000000" w:fill="FFFFFF"/>
            <w:noWrap/>
            <w:vAlign w:val="center"/>
            <w:hideMark/>
          </w:tcPr>
          <w:p w14:paraId="6608E4E0"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3,617 (28.45%)</w:t>
            </w:r>
          </w:p>
        </w:tc>
        <w:tc>
          <w:tcPr>
            <w:tcW w:w="0" w:type="auto"/>
            <w:tcBorders>
              <w:top w:val="nil"/>
              <w:left w:val="nil"/>
              <w:bottom w:val="nil"/>
              <w:right w:val="nil"/>
            </w:tcBorders>
            <w:shd w:val="clear" w:color="000000" w:fill="FFFFFF"/>
            <w:noWrap/>
            <w:vAlign w:val="center"/>
            <w:hideMark/>
          </w:tcPr>
          <w:p w14:paraId="7E41480D"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574 (18.84%)</w:t>
            </w:r>
          </w:p>
        </w:tc>
        <w:tc>
          <w:tcPr>
            <w:tcW w:w="0" w:type="auto"/>
            <w:tcBorders>
              <w:top w:val="nil"/>
              <w:left w:val="nil"/>
              <w:bottom w:val="nil"/>
              <w:right w:val="nil"/>
            </w:tcBorders>
            <w:shd w:val="clear" w:color="000000" w:fill="FFFFFF"/>
            <w:noWrap/>
            <w:vAlign w:val="center"/>
            <w:hideMark/>
          </w:tcPr>
          <w:p w14:paraId="2976236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2A1A56E5"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7A586799" w14:textId="5D7D4F3D"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Mild</w:t>
            </w:r>
          </w:p>
        </w:tc>
        <w:tc>
          <w:tcPr>
            <w:tcW w:w="0" w:type="auto"/>
            <w:tcBorders>
              <w:top w:val="nil"/>
              <w:left w:val="nil"/>
              <w:bottom w:val="nil"/>
              <w:right w:val="nil"/>
            </w:tcBorders>
            <w:shd w:val="clear" w:color="000000" w:fill="FFFFFF"/>
            <w:noWrap/>
            <w:vAlign w:val="center"/>
            <w:hideMark/>
          </w:tcPr>
          <w:p w14:paraId="2C8B512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77B4B5F4"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24,276 (24.17%)</w:t>
            </w:r>
          </w:p>
        </w:tc>
        <w:tc>
          <w:tcPr>
            <w:tcW w:w="0" w:type="auto"/>
            <w:tcBorders>
              <w:top w:val="nil"/>
              <w:left w:val="nil"/>
              <w:bottom w:val="nil"/>
              <w:right w:val="nil"/>
            </w:tcBorders>
            <w:shd w:val="clear" w:color="000000" w:fill="FFFFFF"/>
            <w:noWrap/>
            <w:vAlign w:val="center"/>
            <w:hideMark/>
          </w:tcPr>
          <w:p w14:paraId="6AB556B6"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8,627 (19.74%)</w:t>
            </w:r>
          </w:p>
        </w:tc>
        <w:tc>
          <w:tcPr>
            <w:tcW w:w="0" w:type="auto"/>
            <w:tcBorders>
              <w:top w:val="nil"/>
              <w:left w:val="nil"/>
              <w:bottom w:val="nil"/>
              <w:right w:val="nil"/>
            </w:tcBorders>
            <w:shd w:val="clear" w:color="000000" w:fill="FFFFFF"/>
            <w:noWrap/>
            <w:vAlign w:val="center"/>
            <w:hideMark/>
          </w:tcPr>
          <w:p w14:paraId="49CC74B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11,933 (29.13%)</w:t>
            </w:r>
          </w:p>
        </w:tc>
        <w:tc>
          <w:tcPr>
            <w:tcW w:w="0" w:type="auto"/>
            <w:tcBorders>
              <w:top w:val="nil"/>
              <w:left w:val="nil"/>
              <w:bottom w:val="nil"/>
              <w:right w:val="nil"/>
            </w:tcBorders>
            <w:shd w:val="clear" w:color="000000" w:fill="FFFFFF"/>
            <w:noWrap/>
            <w:vAlign w:val="center"/>
            <w:hideMark/>
          </w:tcPr>
          <w:p w14:paraId="43A72A5C"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3,112 (24.48%)</w:t>
            </w:r>
          </w:p>
        </w:tc>
        <w:tc>
          <w:tcPr>
            <w:tcW w:w="0" w:type="auto"/>
            <w:tcBorders>
              <w:top w:val="nil"/>
              <w:left w:val="nil"/>
              <w:bottom w:val="nil"/>
              <w:right w:val="nil"/>
            </w:tcBorders>
            <w:shd w:val="clear" w:color="000000" w:fill="FFFFFF"/>
            <w:noWrap/>
            <w:vAlign w:val="center"/>
            <w:hideMark/>
          </w:tcPr>
          <w:p w14:paraId="7F10F1FF"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604 (19.83%)</w:t>
            </w:r>
          </w:p>
        </w:tc>
        <w:tc>
          <w:tcPr>
            <w:tcW w:w="0" w:type="auto"/>
            <w:tcBorders>
              <w:top w:val="nil"/>
              <w:left w:val="nil"/>
              <w:bottom w:val="nil"/>
              <w:right w:val="nil"/>
            </w:tcBorders>
            <w:shd w:val="clear" w:color="000000" w:fill="FFFFFF"/>
            <w:noWrap/>
            <w:vAlign w:val="center"/>
            <w:hideMark/>
          </w:tcPr>
          <w:p w14:paraId="4820B707"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01483" w:rsidRPr="007031A3" w14:paraId="55543EF8" w14:textId="77777777" w:rsidTr="00131290">
        <w:trPr>
          <w:trHeight w:val="20"/>
          <w:jc w:val="center"/>
        </w:trPr>
        <w:tc>
          <w:tcPr>
            <w:tcW w:w="0" w:type="auto"/>
            <w:tcBorders>
              <w:top w:val="nil"/>
              <w:left w:val="nil"/>
              <w:bottom w:val="nil"/>
              <w:right w:val="nil"/>
            </w:tcBorders>
            <w:shd w:val="clear" w:color="000000" w:fill="FFFFFF"/>
            <w:noWrap/>
            <w:vAlign w:val="center"/>
            <w:hideMark/>
          </w:tcPr>
          <w:p w14:paraId="4F845061" w14:textId="12C74F6A" w:rsidR="00C3559E" w:rsidRPr="007031A3" w:rsidRDefault="0043199E" w:rsidP="00C3559E">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w:t>
            </w:r>
            <w:r w:rsidR="00C3559E" w:rsidRPr="007031A3">
              <w:rPr>
                <w:rFonts w:eastAsia="Times New Roman" w:cs="Times New Roman"/>
                <w:i/>
                <w:iCs/>
                <w:color w:val="000000"/>
                <w:sz w:val="16"/>
                <w:szCs w:val="16"/>
                <w:lang w:val="en-US" w:eastAsia="en-IN" w:bidi="as-IN"/>
                <w14:ligatures w14:val="none"/>
              </w:rPr>
              <w:t>Not anemic</w:t>
            </w:r>
          </w:p>
        </w:tc>
        <w:tc>
          <w:tcPr>
            <w:tcW w:w="0" w:type="auto"/>
            <w:tcBorders>
              <w:top w:val="nil"/>
              <w:left w:val="nil"/>
              <w:bottom w:val="nil"/>
              <w:right w:val="nil"/>
            </w:tcBorders>
            <w:shd w:val="clear" w:color="000000" w:fill="FFFFFF"/>
            <w:noWrap/>
            <w:vAlign w:val="center"/>
            <w:hideMark/>
          </w:tcPr>
          <w:p w14:paraId="220C7421"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 </w:t>
            </w:r>
          </w:p>
        </w:tc>
        <w:tc>
          <w:tcPr>
            <w:tcW w:w="0" w:type="auto"/>
            <w:tcBorders>
              <w:top w:val="nil"/>
              <w:left w:val="nil"/>
              <w:bottom w:val="nil"/>
              <w:right w:val="nil"/>
            </w:tcBorders>
            <w:shd w:val="clear" w:color="000000" w:fill="FFFFFF"/>
            <w:noWrap/>
            <w:vAlign w:val="center"/>
            <w:hideMark/>
          </w:tcPr>
          <w:p w14:paraId="52CFD620"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50,079 (49.86%)</w:t>
            </w:r>
          </w:p>
        </w:tc>
        <w:tc>
          <w:tcPr>
            <w:tcW w:w="0" w:type="auto"/>
            <w:tcBorders>
              <w:top w:val="nil"/>
              <w:left w:val="nil"/>
              <w:bottom w:val="nil"/>
              <w:right w:val="nil"/>
            </w:tcBorders>
            <w:shd w:val="clear" w:color="000000" w:fill="FFFFFF"/>
            <w:noWrap/>
            <w:vAlign w:val="center"/>
            <w:hideMark/>
          </w:tcPr>
          <w:p w14:paraId="0A56760D"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28,571 (65.37%)</w:t>
            </w:r>
          </w:p>
        </w:tc>
        <w:tc>
          <w:tcPr>
            <w:tcW w:w="0" w:type="auto"/>
            <w:tcBorders>
              <w:top w:val="nil"/>
              <w:left w:val="nil"/>
              <w:bottom w:val="nil"/>
              <w:right w:val="nil"/>
            </w:tcBorders>
            <w:shd w:val="clear" w:color="000000" w:fill="FFFFFF"/>
            <w:noWrap/>
            <w:vAlign w:val="center"/>
            <w:hideMark/>
          </w:tcPr>
          <w:p w14:paraId="31FB7DD5"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13,965 (34.09%)</w:t>
            </w:r>
          </w:p>
        </w:tc>
        <w:tc>
          <w:tcPr>
            <w:tcW w:w="0" w:type="auto"/>
            <w:tcBorders>
              <w:top w:val="nil"/>
              <w:left w:val="nil"/>
              <w:bottom w:val="nil"/>
              <w:right w:val="nil"/>
            </w:tcBorders>
            <w:shd w:val="clear" w:color="000000" w:fill="FFFFFF"/>
            <w:noWrap/>
            <w:vAlign w:val="center"/>
            <w:hideMark/>
          </w:tcPr>
          <w:p w14:paraId="18171532"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5,730 (45.08%)</w:t>
            </w:r>
          </w:p>
        </w:tc>
        <w:tc>
          <w:tcPr>
            <w:tcW w:w="0" w:type="auto"/>
            <w:tcBorders>
              <w:top w:val="nil"/>
              <w:left w:val="nil"/>
              <w:bottom w:val="nil"/>
              <w:right w:val="nil"/>
            </w:tcBorders>
            <w:shd w:val="clear" w:color="000000" w:fill="FFFFFF"/>
            <w:noWrap/>
            <w:vAlign w:val="center"/>
            <w:hideMark/>
          </w:tcPr>
          <w:p w14:paraId="4894D736"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1,813 (59.52%)</w:t>
            </w:r>
          </w:p>
        </w:tc>
        <w:tc>
          <w:tcPr>
            <w:tcW w:w="0" w:type="auto"/>
            <w:tcBorders>
              <w:top w:val="nil"/>
              <w:left w:val="nil"/>
              <w:bottom w:val="nil"/>
              <w:right w:val="nil"/>
            </w:tcBorders>
            <w:shd w:val="clear" w:color="000000" w:fill="FFFFFF"/>
            <w:noWrap/>
            <w:vAlign w:val="center"/>
            <w:hideMark/>
          </w:tcPr>
          <w:p w14:paraId="1111075D" w14:textId="77777777" w:rsidR="00C3559E" w:rsidRPr="007031A3" w:rsidRDefault="00C3559E"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80EF1" w:rsidRPr="007031A3" w14:paraId="2A48D169" w14:textId="77777777" w:rsidTr="00172AB0">
        <w:trPr>
          <w:trHeight w:val="20"/>
          <w:jc w:val="center"/>
        </w:trPr>
        <w:tc>
          <w:tcPr>
            <w:tcW w:w="0" w:type="auto"/>
            <w:tcBorders>
              <w:top w:val="nil"/>
              <w:left w:val="nil"/>
              <w:bottom w:val="nil"/>
              <w:right w:val="nil"/>
            </w:tcBorders>
            <w:shd w:val="clear" w:color="000000" w:fill="FFFFFF"/>
            <w:noWrap/>
            <w:vAlign w:val="center"/>
            <w:hideMark/>
          </w:tcPr>
          <w:p w14:paraId="1C00952D" w14:textId="17399586" w:rsidR="00A80EF1" w:rsidRPr="007031A3" w:rsidRDefault="00A80EF1" w:rsidP="00A80EF1">
            <w:pPr>
              <w:spacing w:after="0"/>
              <w:rPr>
                <w:rFonts w:cs="Times New Roman"/>
                <w:lang w:bidi="as-IN"/>
              </w:rPr>
            </w:pPr>
            <w:r w:rsidRPr="007031A3">
              <w:rPr>
                <w:rStyle w:val="fontstyle01"/>
                <w:rFonts w:ascii="Times New Roman" w:hAnsi="Times New Roman" w:cs="Times New Roman"/>
                <w:sz w:val="16"/>
                <w:szCs w:val="16"/>
              </w:rPr>
              <w:t>Current contraceptive method</w:t>
            </w:r>
            <w:r w:rsidR="00A01483" w:rsidRPr="007031A3">
              <w:rPr>
                <w:rFonts w:eastAsia="Times New Roman" w:cs="Times New Roman"/>
                <w:b/>
                <w:bCs/>
                <w:color w:val="000000"/>
                <w:sz w:val="16"/>
                <w:szCs w:val="16"/>
                <w:lang w:val="en-US" w:eastAsia="en-IN" w:bidi="as-IN"/>
                <w14:ligatures w14:val="none"/>
              </w:rPr>
              <w:t xml:space="preserve">, </w:t>
            </w:r>
            <w:proofErr w:type="gramStart"/>
            <w:r w:rsidR="00A01483" w:rsidRPr="007031A3">
              <w:rPr>
                <w:rFonts w:eastAsia="Times New Roman" w:cs="Times New Roman"/>
                <w:b/>
                <w:bCs/>
                <w:color w:val="000000"/>
                <w:sz w:val="16"/>
                <w:szCs w:val="16"/>
                <w:lang w:val="en-US" w:eastAsia="en-IN" w:bidi="as-IN"/>
                <w14:ligatures w14:val="none"/>
              </w:rPr>
              <w:t>n(</w:t>
            </w:r>
            <w:proofErr w:type="gramEnd"/>
            <w:r w:rsidR="00A01483" w:rsidRPr="007031A3">
              <w:rPr>
                <w:rFonts w:eastAsia="Times New Roman" w:cs="Times New Roman"/>
                <w:b/>
                <w:bCs/>
                <w:color w:val="000000"/>
                <w:sz w:val="16"/>
                <w:szCs w:val="16"/>
                <w:lang w:val="en-US" w:eastAsia="en-IN" w:bidi="as-IN"/>
                <w14:ligatures w14:val="none"/>
              </w:rPr>
              <w:t>%)</w:t>
            </w:r>
          </w:p>
        </w:tc>
        <w:tc>
          <w:tcPr>
            <w:tcW w:w="0" w:type="auto"/>
            <w:tcBorders>
              <w:top w:val="nil"/>
              <w:left w:val="nil"/>
              <w:bottom w:val="nil"/>
              <w:right w:val="nil"/>
            </w:tcBorders>
            <w:shd w:val="clear" w:color="000000" w:fill="FFFFFF"/>
            <w:noWrap/>
            <w:hideMark/>
          </w:tcPr>
          <w:p w14:paraId="5D679419" w14:textId="3AC68058"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75,743*</w:t>
            </w:r>
          </w:p>
        </w:tc>
        <w:tc>
          <w:tcPr>
            <w:tcW w:w="0" w:type="auto"/>
            <w:tcBorders>
              <w:top w:val="nil"/>
              <w:left w:val="nil"/>
              <w:bottom w:val="nil"/>
              <w:right w:val="nil"/>
            </w:tcBorders>
            <w:shd w:val="clear" w:color="000000" w:fill="FFFFFF"/>
            <w:noWrap/>
            <w:hideMark/>
          </w:tcPr>
          <w:p w14:paraId="69A95820" w14:textId="2A1C3746" w:rsidR="00A80EF1" w:rsidRPr="007031A3" w:rsidRDefault="00A80EF1" w:rsidP="00A80EF1">
            <w:pPr>
              <w:spacing w:after="0"/>
              <w:jc w:val="center"/>
              <w:rPr>
                <w:rFonts w:eastAsia="Times New Roman" w:cs="Times New Roman"/>
                <w:color w:val="000000"/>
                <w:sz w:val="16"/>
                <w:szCs w:val="16"/>
                <w:lang w:eastAsia="en-IN" w:bidi="as-IN"/>
                <w14:ligatures w14:val="none"/>
              </w:rPr>
            </w:pPr>
          </w:p>
        </w:tc>
        <w:tc>
          <w:tcPr>
            <w:tcW w:w="0" w:type="auto"/>
            <w:tcBorders>
              <w:top w:val="nil"/>
              <w:left w:val="nil"/>
              <w:bottom w:val="nil"/>
              <w:right w:val="nil"/>
            </w:tcBorders>
            <w:shd w:val="clear" w:color="000000" w:fill="FFFFFF"/>
            <w:noWrap/>
            <w:hideMark/>
          </w:tcPr>
          <w:p w14:paraId="20A6A3AF" w14:textId="1781386C" w:rsidR="00A80EF1" w:rsidRPr="007031A3" w:rsidRDefault="00A80EF1" w:rsidP="00A80EF1">
            <w:pPr>
              <w:spacing w:after="0"/>
              <w:jc w:val="center"/>
              <w:rPr>
                <w:rFonts w:eastAsia="Times New Roman" w:cs="Times New Roman"/>
                <w:color w:val="000000"/>
                <w:sz w:val="16"/>
                <w:szCs w:val="16"/>
                <w:lang w:eastAsia="en-IN" w:bidi="as-IN"/>
                <w14:ligatures w14:val="none"/>
              </w:rPr>
            </w:pPr>
          </w:p>
        </w:tc>
        <w:tc>
          <w:tcPr>
            <w:tcW w:w="0" w:type="auto"/>
            <w:tcBorders>
              <w:top w:val="nil"/>
              <w:left w:val="nil"/>
              <w:bottom w:val="nil"/>
              <w:right w:val="nil"/>
            </w:tcBorders>
            <w:shd w:val="clear" w:color="000000" w:fill="FFFFFF"/>
            <w:noWrap/>
            <w:hideMark/>
          </w:tcPr>
          <w:p w14:paraId="33E2452B" w14:textId="535E3F5B" w:rsidR="00A80EF1" w:rsidRPr="007031A3" w:rsidRDefault="00A80EF1" w:rsidP="00A80EF1">
            <w:pPr>
              <w:spacing w:after="0"/>
              <w:jc w:val="center"/>
              <w:rPr>
                <w:rFonts w:eastAsia="Times New Roman" w:cs="Times New Roman"/>
                <w:color w:val="000000"/>
                <w:sz w:val="16"/>
                <w:szCs w:val="16"/>
                <w:lang w:eastAsia="en-IN" w:bidi="as-IN"/>
                <w14:ligatures w14:val="none"/>
              </w:rPr>
            </w:pPr>
          </w:p>
        </w:tc>
        <w:tc>
          <w:tcPr>
            <w:tcW w:w="0" w:type="auto"/>
            <w:tcBorders>
              <w:top w:val="nil"/>
              <w:left w:val="nil"/>
              <w:bottom w:val="nil"/>
              <w:right w:val="nil"/>
            </w:tcBorders>
            <w:shd w:val="clear" w:color="000000" w:fill="FFFFFF"/>
            <w:noWrap/>
            <w:hideMark/>
          </w:tcPr>
          <w:p w14:paraId="0A845F3C" w14:textId="61B161C5" w:rsidR="00A80EF1" w:rsidRPr="007031A3" w:rsidRDefault="00A80EF1" w:rsidP="00A80EF1">
            <w:pPr>
              <w:spacing w:after="0"/>
              <w:jc w:val="center"/>
              <w:rPr>
                <w:rFonts w:eastAsia="Times New Roman" w:cs="Times New Roman"/>
                <w:color w:val="000000"/>
                <w:sz w:val="16"/>
                <w:szCs w:val="16"/>
                <w:lang w:eastAsia="en-IN" w:bidi="as-IN"/>
                <w14:ligatures w14:val="none"/>
              </w:rPr>
            </w:pPr>
          </w:p>
        </w:tc>
        <w:tc>
          <w:tcPr>
            <w:tcW w:w="0" w:type="auto"/>
            <w:tcBorders>
              <w:top w:val="nil"/>
              <w:left w:val="nil"/>
              <w:bottom w:val="nil"/>
              <w:right w:val="nil"/>
            </w:tcBorders>
            <w:shd w:val="clear" w:color="000000" w:fill="FFFFFF"/>
            <w:noWrap/>
            <w:hideMark/>
          </w:tcPr>
          <w:p w14:paraId="134647C2" w14:textId="6D00A8FE" w:rsidR="00A80EF1" w:rsidRPr="007031A3" w:rsidRDefault="00A80EF1" w:rsidP="00A80EF1">
            <w:pPr>
              <w:spacing w:after="0"/>
              <w:jc w:val="center"/>
              <w:rPr>
                <w:rFonts w:eastAsia="Times New Roman" w:cs="Times New Roman"/>
                <w:color w:val="000000"/>
                <w:sz w:val="16"/>
                <w:szCs w:val="16"/>
                <w:lang w:eastAsia="en-IN" w:bidi="as-IN"/>
                <w14:ligatures w14:val="none"/>
              </w:rPr>
            </w:pPr>
          </w:p>
        </w:tc>
        <w:tc>
          <w:tcPr>
            <w:tcW w:w="0" w:type="auto"/>
            <w:tcBorders>
              <w:top w:val="nil"/>
              <w:left w:val="nil"/>
              <w:bottom w:val="nil"/>
              <w:right w:val="nil"/>
            </w:tcBorders>
            <w:shd w:val="clear" w:color="000000" w:fill="FFFFFF"/>
            <w:noWrap/>
            <w:vAlign w:val="center"/>
            <w:hideMark/>
          </w:tcPr>
          <w:p w14:paraId="0A3B917B" w14:textId="27CE8F13"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3</w:t>
            </w:r>
            <w:r w:rsidR="00DD5482" w:rsidRPr="007031A3">
              <w:rPr>
                <w:rFonts w:eastAsia="Times New Roman" w:cs="Times New Roman"/>
                <w:color w:val="000000"/>
                <w:sz w:val="16"/>
                <w:szCs w:val="16"/>
                <w:lang w:eastAsia="en-IN" w:bidi="as-IN"/>
                <w14:ligatures w14:val="none"/>
              </w:rPr>
              <w:t>866</w:t>
            </w:r>
            <w:r w:rsidRPr="007031A3">
              <w:rPr>
                <w:rFonts w:eastAsia="Times New Roman" w:cs="Times New Roman"/>
                <w:color w:val="000000"/>
                <w:sz w:val="16"/>
                <w:szCs w:val="16"/>
                <w:lang w:eastAsia="en-IN" w:bidi="as-IN"/>
                <w14:ligatures w14:val="none"/>
              </w:rPr>
              <w:t xml:space="preserve"> (&lt;0.001)</w:t>
            </w:r>
            <w:r w:rsidRPr="007031A3">
              <w:rPr>
                <w:rFonts w:eastAsia="Times New Roman" w:cs="Times New Roman"/>
                <w:color w:val="000000"/>
                <w:sz w:val="16"/>
                <w:szCs w:val="16"/>
                <w:vertAlign w:val="superscript"/>
                <w:lang w:eastAsia="en-IN" w:bidi="as-IN"/>
                <w14:ligatures w14:val="none"/>
              </w:rPr>
              <w:t>1</w:t>
            </w:r>
          </w:p>
        </w:tc>
      </w:tr>
      <w:tr w:rsidR="00A80EF1" w:rsidRPr="007031A3" w14:paraId="28F0C9F6" w14:textId="77777777" w:rsidTr="00172AB0">
        <w:trPr>
          <w:trHeight w:val="20"/>
          <w:jc w:val="center"/>
        </w:trPr>
        <w:tc>
          <w:tcPr>
            <w:tcW w:w="0" w:type="auto"/>
            <w:tcBorders>
              <w:top w:val="nil"/>
              <w:left w:val="nil"/>
              <w:bottom w:val="nil"/>
              <w:right w:val="nil"/>
            </w:tcBorders>
            <w:shd w:val="clear" w:color="000000" w:fill="FFFFFF"/>
            <w:noWrap/>
            <w:vAlign w:val="center"/>
            <w:hideMark/>
          </w:tcPr>
          <w:p w14:paraId="469665B0" w14:textId="094EA888" w:rsidR="00A80EF1" w:rsidRPr="007031A3" w:rsidRDefault="00A80EF1" w:rsidP="00A80EF1">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Not using any method</w:t>
            </w:r>
          </w:p>
        </w:tc>
        <w:tc>
          <w:tcPr>
            <w:tcW w:w="0" w:type="auto"/>
            <w:tcBorders>
              <w:top w:val="nil"/>
              <w:left w:val="nil"/>
              <w:bottom w:val="nil"/>
              <w:right w:val="nil"/>
            </w:tcBorders>
            <w:shd w:val="clear" w:color="000000" w:fill="FFFFFF"/>
            <w:noWrap/>
            <w:hideMark/>
          </w:tcPr>
          <w:p w14:paraId="12C7E1CA" w14:textId="4D5FFDBA" w:rsidR="00A80EF1" w:rsidRPr="007031A3" w:rsidRDefault="00A80EF1" w:rsidP="00A80EF1">
            <w:pPr>
              <w:spacing w:after="0"/>
              <w:jc w:val="center"/>
              <w:rPr>
                <w:rFonts w:eastAsia="Times New Roman" w:cs="Times New Roman"/>
                <w:color w:val="000000"/>
                <w:sz w:val="16"/>
                <w:szCs w:val="16"/>
                <w:lang w:eastAsia="en-IN" w:bidi="as-IN"/>
                <w14:ligatures w14:val="none"/>
              </w:rPr>
            </w:pPr>
          </w:p>
        </w:tc>
        <w:tc>
          <w:tcPr>
            <w:tcW w:w="0" w:type="auto"/>
            <w:tcBorders>
              <w:top w:val="nil"/>
              <w:left w:val="nil"/>
              <w:bottom w:val="nil"/>
              <w:right w:val="nil"/>
            </w:tcBorders>
            <w:shd w:val="clear" w:color="000000" w:fill="FFFFFF"/>
            <w:noWrap/>
            <w:hideMark/>
          </w:tcPr>
          <w:p w14:paraId="192DB57D" w14:textId="6533EB70"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34,799 (45.94%)</w:t>
            </w:r>
          </w:p>
        </w:tc>
        <w:tc>
          <w:tcPr>
            <w:tcW w:w="0" w:type="auto"/>
            <w:tcBorders>
              <w:top w:val="nil"/>
              <w:left w:val="nil"/>
              <w:bottom w:val="nil"/>
              <w:right w:val="nil"/>
            </w:tcBorders>
            <w:shd w:val="clear" w:color="000000" w:fill="FFFFFF"/>
            <w:noWrap/>
            <w:hideMark/>
          </w:tcPr>
          <w:p w14:paraId="09982B3E" w14:textId="7A3369B6"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14,515 (46.93%)</w:t>
            </w:r>
          </w:p>
        </w:tc>
        <w:tc>
          <w:tcPr>
            <w:tcW w:w="0" w:type="auto"/>
            <w:tcBorders>
              <w:top w:val="nil"/>
              <w:left w:val="nil"/>
              <w:bottom w:val="nil"/>
              <w:right w:val="nil"/>
            </w:tcBorders>
            <w:shd w:val="clear" w:color="000000" w:fill="FFFFFF"/>
            <w:noWrap/>
            <w:hideMark/>
          </w:tcPr>
          <w:p w14:paraId="2DBFB128" w14:textId="30EFBB50"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13,032 (39.04%)</w:t>
            </w:r>
          </w:p>
        </w:tc>
        <w:tc>
          <w:tcPr>
            <w:tcW w:w="0" w:type="auto"/>
            <w:tcBorders>
              <w:top w:val="nil"/>
              <w:left w:val="nil"/>
              <w:bottom w:val="nil"/>
              <w:right w:val="nil"/>
            </w:tcBorders>
            <w:shd w:val="clear" w:color="000000" w:fill="FFFFFF"/>
            <w:noWrap/>
            <w:hideMark/>
          </w:tcPr>
          <w:p w14:paraId="2DFC17E2" w14:textId="1030ECE1"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6,681 (73.02%)</w:t>
            </w:r>
          </w:p>
        </w:tc>
        <w:tc>
          <w:tcPr>
            <w:tcW w:w="0" w:type="auto"/>
            <w:tcBorders>
              <w:top w:val="nil"/>
              <w:left w:val="nil"/>
              <w:bottom w:val="nil"/>
              <w:right w:val="nil"/>
            </w:tcBorders>
            <w:shd w:val="clear" w:color="000000" w:fill="FFFFFF"/>
            <w:noWrap/>
            <w:hideMark/>
          </w:tcPr>
          <w:p w14:paraId="3B2D1676" w14:textId="4898ADB8"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571 (24.98%)</w:t>
            </w:r>
          </w:p>
        </w:tc>
        <w:tc>
          <w:tcPr>
            <w:tcW w:w="0" w:type="auto"/>
            <w:tcBorders>
              <w:top w:val="nil"/>
              <w:left w:val="nil"/>
              <w:bottom w:val="nil"/>
              <w:right w:val="nil"/>
            </w:tcBorders>
            <w:shd w:val="clear" w:color="000000" w:fill="FFFFFF"/>
            <w:noWrap/>
            <w:vAlign w:val="center"/>
            <w:hideMark/>
          </w:tcPr>
          <w:p w14:paraId="4BC39325" w14:textId="77777777"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80EF1" w:rsidRPr="007031A3" w14:paraId="2F06C4BF" w14:textId="77777777" w:rsidTr="00172AB0">
        <w:trPr>
          <w:trHeight w:val="20"/>
          <w:jc w:val="center"/>
        </w:trPr>
        <w:tc>
          <w:tcPr>
            <w:tcW w:w="0" w:type="auto"/>
            <w:tcBorders>
              <w:top w:val="nil"/>
              <w:left w:val="nil"/>
              <w:bottom w:val="nil"/>
              <w:right w:val="nil"/>
            </w:tcBorders>
            <w:shd w:val="clear" w:color="000000" w:fill="FFFFFF"/>
            <w:noWrap/>
            <w:vAlign w:val="center"/>
            <w:hideMark/>
          </w:tcPr>
          <w:p w14:paraId="38809BD7" w14:textId="16CFBFF6" w:rsidR="00A80EF1" w:rsidRPr="007031A3" w:rsidRDefault="00A80EF1" w:rsidP="00A80EF1">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Traditional method</w:t>
            </w:r>
          </w:p>
        </w:tc>
        <w:tc>
          <w:tcPr>
            <w:tcW w:w="0" w:type="auto"/>
            <w:tcBorders>
              <w:top w:val="nil"/>
              <w:left w:val="nil"/>
              <w:bottom w:val="nil"/>
              <w:right w:val="nil"/>
            </w:tcBorders>
            <w:shd w:val="clear" w:color="000000" w:fill="FFFFFF"/>
            <w:noWrap/>
            <w:hideMark/>
          </w:tcPr>
          <w:p w14:paraId="38E746CC" w14:textId="244D4F20" w:rsidR="00A80EF1" w:rsidRPr="007031A3" w:rsidRDefault="00A80EF1" w:rsidP="00A80EF1">
            <w:pPr>
              <w:spacing w:after="0"/>
              <w:jc w:val="center"/>
              <w:rPr>
                <w:rFonts w:eastAsia="Times New Roman" w:cs="Times New Roman"/>
                <w:color w:val="000000"/>
                <w:sz w:val="16"/>
                <w:szCs w:val="16"/>
                <w:lang w:eastAsia="en-IN" w:bidi="as-IN"/>
                <w14:ligatures w14:val="none"/>
              </w:rPr>
            </w:pPr>
          </w:p>
        </w:tc>
        <w:tc>
          <w:tcPr>
            <w:tcW w:w="0" w:type="auto"/>
            <w:tcBorders>
              <w:top w:val="nil"/>
              <w:left w:val="nil"/>
              <w:bottom w:val="nil"/>
              <w:right w:val="nil"/>
            </w:tcBorders>
            <w:shd w:val="clear" w:color="000000" w:fill="FFFFFF"/>
            <w:noWrap/>
            <w:hideMark/>
          </w:tcPr>
          <w:p w14:paraId="1B93C2B9" w14:textId="122B9481"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11,011 (14.54%)</w:t>
            </w:r>
          </w:p>
        </w:tc>
        <w:tc>
          <w:tcPr>
            <w:tcW w:w="0" w:type="auto"/>
            <w:tcBorders>
              <w:top w:val="nil"/>
              <w:left w:val="nil"/>
              <w:bottom w:val="nil"/>
              <w:right w:val="nil"/>
            </w:tcBorders>
            <w:shd w:val="clear" w:color="000000" w:fill="FFFFFF"/>
            <w:noWrap/>
            <w:hideMark/>
          </w:tcPr>
          <w:p w14:paraId="0EA1F90B" w14:textId="12FD9C11"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4,501 (14.55%)</w:t>
            </w:r>
          </w:p>
        </w:tc>
        <w:tc>
          <w:tcPr>
            <w:tcW w:w="0" w:type="auto"/>
            <w:tcBorders>
              <w:top w:val="nil"/>
              <w:left w:val="nil"/>
              <w:bottom w:val="nil"/>
              <w:right w:val="nil"/>
            </w:tcBorders>
            <w:shd w:val="clear" w:color="000000" w:fill="FFFFFF"/>
            <w:noWrap/>
            <w:hideMark/>
          </w:tcPr>
          <w:p w14:paraId="76DBD98F" w14:textId="3C1E99CC"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5,687 (17.04%)</w:t>
            </w:r>
          </w:p>
        </w:tc>
        <w:tc>
          <w:tcPr>
            <w:tcW w:w="0" w:type="auto"/>
            <w:tcBorders>
              <w:top w:val="nil"/>
              <w:left w:val="nil"/>
              <w:bottom w:val="nil"/>
              <w:right w:val="nil"/>
            </w:tcBorders>
            <w:shd w:val="clear" w:color="000000" w:fill="FFFFFF"/>
            <w:noWrap/>
            <w:hideMark/>
          </w:tcPr>
          <w:p w14:paraId="6B36367D" w14:textId="5DFF5A02"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482 (5.27%)</w:t>
            </w:r>
          </w:p>
        </w:tc>
        <w:tc>
          <w:tcPr>
            <w:tcW w:w="0" w:type="auto"/>
            <w:tcBorders>
              <w:top w:val="nil"/>
              <w:left w:val="nil"/>
              <w:bottom w:val="nil"/>
              <w:right w:val="nil"/>
            </w:tcBorders>
            <w:shd w:val="clear" w:color="000000" w:fill="FFFFFF"/>
            <w:noWrap/>
            <w:hideMark/>
          </w:tcPr>
          <w:p w14:paraId="19D536D9" w14:textId="5DAAAB42"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341 (14.92%)</w:t>
            </w:r>
          </w:p>
        </w:tc>
        <w:tc>
          <w:tcPr>
            <w:tcW w:w="0" w:type="auto"/>
            <w:tcBorders>
              <w:top w:val="nil"/>
              <w:left w:val="nil"/>
              <w:bottom w:val="nil"/>
              <w:right w:val="nil"/>
            </w:tcBorders>
            <w:shd w:val="clear" w:color="000000" w:fill="FFFFFF"/>
            <w:noWrap/>
            <w:vAlign w:val="center"/>
            <w:hideMark/>
          </w:tcPr>
          <w:p w14:paraId="23A5E9CB" w14:textId="77777777"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80EF1" w:rsidRPr="007031A3" w14:paraId="6E2673B4" w14:textId="77777777" w:rsidTr="00172AB0">
        <w:trPr>
          <w:trHeight w:val="20"/>
          <w:jc w:val="center"/>
        </w:trPr>
        <w:tc>
          <w:tcPr>
            <w:tcW w:w="0" w:type="auto"/>
            <w:tcBorders>
              <w:top w:val="nil"/>
              <w:left w:val="nil"/>
              <w:bottom w:val="nil"/>
              <w:right w:val="nil"/>
            </w:tcBorders>
            <w:shd w:val="clear" w:color="000000" w:fill="FFFFFF"/>
            <w:noWrap/>
            <w:vAlign w:val="center"/>
            <w:hideMark/>
          </w:tcPr>
          <w:p w14:paraId="31B6AF7A" w14:textId="2378F284" w:rsidR="00A80EF1" w:rsidRPr="007031A3" w:rsidRDefault="00A80EF1" w:rsidP="00A80EF1">
            <w:pPr>
              <w:spacing w:after="0"/>
              <w:rPr>
                <w:rFonts w:eastAsia="Times New Roman" w:cs="Times New Roman"/>
                <w:i/>
                <w:iCs/>
                <w:color w:val="000000"/>
                <w:sz w:val="16"/>
                <w:szCs w:val="16"/>
                <w:lang w:eastAsia="en-IN" w:bidi="as-IN"/>
                <w14:ligatures w14:val="none"/>
              </w:rPr>
            </w:pPr>
            <w:r w:rsidRPr="007031A3">
              <w:rPr>
                <w:rFonts w:eastAsia="Times New Roman" w:cs="Times New Roman"/>
                <w:i/>
                <w:iCs/>
                <w:color w:val="000000"/>
                <w:sz w:val="16"/>
                <w:szCs w:val="16"/>
                <w:lang w:val="en-US" w:eastAsia="en-IN" w:bidi="as-IN"/>
                <w14:ligatures w14:val="none"/>
              </w:rPr>
              <w:t xml:space="preserve">  Modern method</w:t>
            </w:r>
          </w:p>
        </w:tc>
        <w:tc>
          <w:tcPr>
            <w:tcW w:w="0" w:type="auto"/>
            <w:tcBorders>
              <w:top w:val="nil"/>
              <w:left w:val="nil"/>
              <w:bottom w:val="nil"/>
              <w:right w:val="nil"/>
            </w:tcBorders>
            <w:shd w:val="clear" w:color="000000" w:fill="FFFFFF"/>
            <w:noWrap/>
            <w:hideMark/>
          </w:tcPr>
          <w:p w14:paraId="487697DD" w14:textId="7778E282" w:rsidR="00A80EF1" w:rsidRPr="007031A3" w:rsidRDefault="00A80EF1" w:rsidP="00A80EF1">
            <w:pPr>
              <w:spacing w:after="0"/>
              <w:jc w:val="center"/>
              <w:rPr>
                <w:rFonts w:eastAsia="Times New Roman" w:cs="Times New Roman"/>
                <w:color w:val="000000"/>
                <w:sz w:val="16"/>
                <w:szCs w:val="16"/>
                <w:lang w:eastAsia="en-IN" w:bidi="as-IN"/>
                <w14:ligatures w14:val="none"/>
              </w:rPr>
            </w:pPr>
          </w:p>
        </w:tc>
        <w:tc>
          <w:tcPr>
            <w:tcW w:w="0" w:type="auto"/>
            <w:tcBorders>
              <w:top w:val="nil"/>
              <w:left w:val="nil"/>
              <w:bottom w:val="nil"/>
              <w:right w:val="nil"/>
            </w:tcBorders>
            <w:shd w:val="clear" w:color="000000" w:fill="FFFFFF"/>
            <w:noWrap/>
            <w:hideMark/>
          </w:tcPr>
          <w:p w14:paraId="08ACCA23" w14:textId="7096A9CF"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29,933 (39.52%)</w:t>
            </w:r>
          </w:p>
        </w:tc>
        <w:tc>
          <w:tcPr>
            <w:tcW w:w="0" w:type="auto"/>
            <w:tcBorders>
              <w:top w:val="nil"/>
              <w:left w:val="nil"/>
              <w:bottom w:val="nil"/>
              <w:right w:val="nil"/>
            </w:tcBorders>
            <w:shd w:val="clear" w:color="000000" w:fill="FFFFFF"/>
            <w:noWrap/>
            <w:hideMark/>
          </w:tcPr>
          <w:p w14:paraId="67D353D0" w14:textId="39C85019"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11,911 (38.51%)</w:t>
            </w:r>
          </w:p>
        </w:tc>
        <w:tc>
          <w:tcPr>
            <w:tcW w:w="0" w:type="auto"/>
            <w:tcBorders>
              <w:top w:val="nil"/>
              <w:left w:val="nil"/>
              <w:bottom w:val="nil"/>
              <w:right w:val="nil"/>
            </w:tcBorders>
            <w:shd w:val="clear" w:color="000000" w:fill="FFFFFF"/>
            <w:noWrap/>
            <w:hideMark/>
          </w:tcPr>
          <w:p w14:paraId="31434E1F" w14:textId="579CDD3A"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14,661 (43.92%)</w:t>
            </w:r>
          </w:p>
        </w:tc>
        <w:tc>
          <w:tcPr>
            <w:tcW w:w="0" w:type="auto"/>
            <w:tcBorders>
              <w:top w:val="nil"/>
              <w:left w:val="nil"/>
              <w:bottom w:val="nil"/>
              <w:right w:val="nil"/>
            </w:tcBorders>
            <w:shd w:val="clear" w:color="000000" w:fill="FFFFFF"/>
            <w:noWrap/>
            <w:hideMark/>
          </w:tcPr>
          <w:p w14:paraId="7E18C2E4" w14:textId="1FCBCF16"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1,987 (21.72%)</w:t>
            </w:r>
          </w:p>
        </w:tc>
        <w:tc>
          <w:tcPr>
            <w:tcW w:w="0" w:type="auto"/>
            <w:tcBorders>
              <w:top w:val="nil"/>
              <w:left w:val="nil"/>
              <w:bottom w:val="nil"/>
              <w:right w:val="nil"/>
            </w:tcBorders>
            <w:shd w:val="clear" w:color="000000" w:fill="FFFFFF"/>
            <w:noWrap/>
            <w:hideMark/>
          </w:tcPr>
          <w:p w14:paraId="16F9978C" w14:textId="3404E4B3"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cs="Times New Roman"/>
                <w:sz w:val="16"/>
                <w:szCs w:val="16"/>
              </w:rPr>
              <w:t>1,374 (60.10%)</w:t>
            </w:r>
          </w:p>
        </w:tc>
        <w:tc>
          <w:tcPr>
            <w:tcW w:w="0" w:type="auto"/>
            <w:tcBorders>
              <w:top w:val="nil"/>
              <w:left w:val="nil"/>
              <w:bottom w:val="nil"/>
              <w:right w:val="nil"/>
            </w:tcBorders>
            <w:shd w:val="clear" w:color="000000" w:fill="FFFFFF"/>
            <w:noWrap/>
            <w:vAlign w:val="center"/>
            <w:hideMark/>
          </w:tcPr>
          <w:p w14:paraId="00378CF0" w14:textId="77777777" w:rsidR="00A80EF1" w:rsidRPr="007031A3" w:rsidRDefault="00A80EF1" w:rsidP="00A80EF1">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 </w:t>
            </w:r>
          </w:p>
        </w:tc>
      </w:tr>
      <w:tr w:rsidR="00A80EF1" w:rsidRPr="007031A3" w14:paraId="20494F91" w14:textId="77777777" w:rsidTr="00224731">
        <w:trPr>
          <w:trHeight w:val="20"/>
          <w:jc w:val="center"/>
        </w:trPr>
        <w:tc>
          <w:tcPr>
            <w:tcW w:w="0" w:type="auto"/>
            <w:tcBorders>
              <w:top w:val="nil"/>
              <w:left w:val="nil"/>
              <w:right w:val="nil"/>
            </w:tcBorders>
            <w:shd w:val="clear" w:color="000000" w:fill="FFFFFF"/>
            <w:noWrap/>
            <w:vAlign w:val="center"/>
            <w:hideMark/>
          </w:tcPr>
          <w:p w14:paraId="5431BA26" w14:textId="71745BFE" w:rsidR="00C3559E" w:rsidRPr="007031A3" w:rsidRDefault="00C3559E" w:rsidP="00C3559E">
            <w:pPr>
              <w:spacing w:after="0"/>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Total children ever born</w:t>
            </w:r>
            <w:r w:rsidR="00A01483" w:rsidRPr="007031A3">
              <w:rPr>
                <w:rFonts w:eastAsia="Times New Roman" w:cs="Times New Roman"/>
                <w:b/>
                <w:bCs/>
                <w:color w:val="000000"/>
                <w:sz w:val="16"/>
                <w:szCs w:val="16"/>
                <w:lang w:val="en-US" w:eastAsia="en-IN" w:bidi="as-IN"/>
                <w14:ligatures w14:val="none"/>
              </w:rPr>
              <w:t xml:space="preserve">, </w:t>
            </w:r>
            <w:proofErr w:type="gramStart"/>
            <w:r w:rsidR="00A01483" w:rsidRPr="007031A3">
              <w:rPr>
                <w:rFonts w:eastAsia="Times New Roman" w:cs="Times New Roman"/>
                <w:b/>
                <w:bCs/>
                <w:color w:val="000000"/>
                <w:sz w:val="16"/>
                <w:szCs w:val="16"/>
                <w:lang w:val="en-US" w:eastAsia="en-IN" w:bidi="as-IN"/>
                <w14:ligatures w14:val="none"/>
              </w:rPr>
              <w:t>median(</w:t>
            </w:r>
            <w:proofErr w:type="gramEnd"/>
            <w:r w:rsidR="00A01483" w:rsidRPr="007031A3">
              <w:rPr>
                <w:rFonts w:eastAsia="Times New Roman" w:cs="Times New Roman"/>
                <w:b/>
                <w:bCs/>
                <w:color w:val="000000"/>
                <w:sz w:val="16"/>
                <w:szCs w:val="16"/>
                <w:lang w:val="en-US" w:eastAsia="en-IN" w:bidi="as-IN"/>
                <w14:ligatures w14:val="none"/>
              </w:rPr>
              <w:t>IQR)</w:t>
            </w:r>
          </w:p>
        </w:tc>
        <w:tc>
          <w:tcPr>
            <w:tcW w:w="0" w:type="auto"/>
            <w:tcBorders>
              <w:top w:val="nil"/>
              <w:left w:val="nil"/>
              <w:right w:val="nil"/>
            </w:tcBorders>
            <w:shd w:val="clear" w:color="000000" w:fill="FFFFFF"/>
            <w:noWrap/>
            <w:vAlign w:val="center"/>
            <w:hideMark/>
          </w:tcPr>
          <w:p w14:paraId="12BF327A" w14:textId="6A574D12" w:rsidR="00C3559E" w:rsidRPr="007031A3" w:rsidRDefault="00131290"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75,743</w:t>
            </w:r>
            <w:r w:rsidR="00A80EF1" w:rsidRPr="007031A3">
              <w:rPr>
                <w:rFonts w:eastAsia="Times New Roman" w:cs="Times New Roman"/>
                <w:color w:val="000000"/>
                <w:sz w:val="16"/>
                <w:szCs w:val="16"/>
                <w:lang w:val="en-US" w:eastAsia="en-IN" w:bidi="as-IN"/>
                <w14:ligatures w14:val="none"/>
              </w:rPr>
              <w:t>*</w:t>
            </w:r>
          </w:p>
        </w:tc>
        <w:tc>
          <w:tcPr>
            <w:tcW w:w="0" w:type="auto"/>
            <w:tcBorders>
              <w:top w:val="nil"/>
              <w:left w:val="nil"/>
              <w:right w:val="nil"/>
            </w:tcBorders>
            <w:shd w:val="clear" w:color="000000" w:fill="FFFFFF"/>
            <w:noWrap/>
            <w:vAlign w:val="center"/>
            <w:hideMark/>
          </w:tcPr>
          <w:p w14:paraId="4C0030A9" w14:textId="03FA7F20" w:rsidR="00C3559E" w:rsidRPr="007031A3" w:rsidRDefault="00131290"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w:t>
            </w:r>
            <w:r w:rsidR="00C3559E" w:rsidRPr="007031A3">
              <w:rPr>
                <w:rFonts w:eastAsia="Times New Roman" w:cs="Times New Roman"/>
                <w:color w:val="000000"/>
                <w:sz w:val="16"/>
                <w:szCs w:val="16"/>
                <w:lang w:val="en-US" w:eastAsia="en-IN" w:bidi="as-IN"/>
                <w14:ligatures w14:val="none"/>
              </w:rPr>
              <w:t xml:space="preserve"> (</w:t>
            </w:r>
            <w:r w:rsidRPr="007031A3">
              <w:rPr>
                <w:rFonts w:eastAsia="Times New Roman" w:cs="Times New Roman"/>
                <w:color w:val="000000"/>
                <w:sz w:val="16"/>
                <w:szCs w:val="16"/>
                <w:lang w:val="en-US" w:eastAsia="en-IN" w:bidi="as-IN"/>
                <w14:ligatures w14:val="none"/>
              </w:rPr>
              <w:t>1</w:t>
            </w:r>
            <w:r w:rsidR="00C3559E" w:rsidRPr="007031A3">
              <w:rPr>
                <w:rFonts w:eastAsia="Times New Roman" w:cs="Times New Roman"/>
                <w:color w:val="000000"/>
                <w:sz w:val="16"/>
                <w:szCs w:val="16"/>
                <w:lang w:val="en-US" w:eastAsia="en-IN" w:bidi="as-IN"/>
                <w14:ligatures w14:val="none"/>
              </w:rPr>
              <w:t>, 3)</w:t>
            </w:r>
          </w:p>
        </w:tc>
        <w:tc>
          <w:tcPr>
            <w:tcW w:w="0" w:type="auto"/>
            <w:tcBorders>
              <w:top w:val="nil"/>
              <w:left w:val="nil"/>
              <w:right w:val="nil"/>
            </w:tcBorders>
            <w:shd w:val="clear" w:color="000000" w:fill="FFFFFF"/>
            <w:noWrap/>
            <w:vAlign w:val="center"/>
          </w:tcPr>
          <w:p w14:paraId="3E57A208" w14:textId="454E5571" w:rsidR="00C3559E" w:rsidRPr="007031A3" w:rsidRDefault="00131290"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2 (1, 3)</w:t>
            </w:r>
          </w:p>
        </w:tc>
        <w:tc>
          <w:tcPr>
            <w:tcW w:w="0" w:type="auto"/>
            <w:tcBorders>
              <w:top w:val="nil"/>
              <w:left w:val="nil"/>
              <w:right w:val="nil"/>
            </w:tcBorders>
            <w:shd w:val="clear" w:color="000000" w:fill="FFFFFF"/>
            <w:noWrap/>
            <w:vAlign w:val="center"/>
          </w:tcPr>
          <w:p w14:paraId="42EFD031" w14:textId="09969127" w:rsidR="00C3559E" w:rsidRPr="007031A3" w:rsidRDefault="00131290"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2 (1, 3)</w:t>
            </w:r>
          </w:p>
        </w:tc>
        <w:tc>
          <w:tcPr>
            <w:tcW w:w="0" w:type="auto"/>
            <w:tcBorders>
              <w:top w:val="nil"/>
              <w:left w:val="nil"/>
              <w:right w:val="nil"/>
            </w:tcBorders>
            <w:shd w:val="clear" w:color="000000" w:fill="FFFFFF"/>
            <w:noWrap/>
            <w:vAlign w:val="center"/>
          </w:tcPr>
          <w:p w14:paraId="0512C5FD" w14:textId="5B1A804A" w:rsidR="00C3559E" w:rsidRPr="007031A3" w:rsidRDefault="0080486D"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3</w:t>
            </w:r>
            <w:r w:rsidR="00131290" w:rsidRPr="007031A3">
              <w:rPr>
                <w:rFonts w:eastAsia="Times New Roman" w:cs="Times New Roman"/>
                <w:color w:val="000000"/>
                <w:sz w:val="16"/>
                <w:szCs w:val="16"/>
                <w:lang w:eastAsia="en-IN" w:bidi="as-IN"/>
                <w14:ligatures w14:val="none"/>
              </w:rPr>
              <w:t xml:space="preserve"> (</w:t>
            </w:r>
            <w:r w:rsidRPr="007031A3">
              <w:rPr>
                <w:rFonts w:eastAsia="Times New Roman" w:cs="Times New Roman"/>
                <w:color w:val="000000"/>
                <w:sz w:val="16"/>
                <w:szCs w:val="16"/>
                <w:lang w:eastAsia="en-IN" w:bidi="as-IN"/>
                <w14:ligatures w14:val="none"/>
              </w:rPr>
              <w:t>2</w:t>
            </w:r>
            <w:r w:rsidR="00131290" w:rsidRPr="007031A3">
              <w:rPr>
                <w:rFonts w:eastAsia="Times New Roman" w:cs="Times New Roman"/>
                <w:color w:val="000000"/>
                <w:sz w:val="16"/>
                <w:szCs w:val="16"/>
                <w:lang w:eastAsia="en-IN" w:bidi="as-IN"/>
                <w14:ligatures w14:val="none"/>
              </w:rPr>
              <w:t>, 4)</w:t>
            </w:r>
          </w:p>
        </w:tc>
        <w:tc>
          <w:tcPr>
            <w:tcW w:w="0" w:type="auto"/>
            <w:tcBorders>
              <w:top w:val="nil"/>
              <w:left w:val="nil"/>
              <w:right w:val="nil"/>
            </w:tcBorders>
            <w:shd w:val="clear" w:color="000000" w:fill="FFFFFF"/>
            <w:noWrap/>
            <w:vAlign w:val="center"/>
          </w:tcPr>
          <w:p w14:paraId="3C423AC0" w14:textId="74D4BE39" w:rsidR="00C3559E" w:rsidRPr="007031A3" w:rsidRDefault="00131290"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2 (1, 2)</w:t>
            </w:r>
          </w:p>
        </w:tc>
        <w:tc>
          <w:tcPr>
            <w:tcW w:w="0" w:type="auto"/>
            <w:tcBorders>
              <w:top w:val="nil"/>
              <w:left w:val="nil"/>
              <w:right w:val="nil"/>
            </w:tcBorders>
            <w:shd w:val="clear" w:color="000000" w:fill="FFFFFF"/>
            <w:noWrap/>
            <w:vAlign w:val="center"/>
            <w:hideMark/>
          </w:tcPr>
          <w:p w14:paraId="53D4A84C" w14:textId="6F418FC2" w:rsidR="00C3559E" w:rsidRPr="007031A3" w:rsidRDefault="008C2461" w:rsidP="00C3559E">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30.32</w:t>
            </w:r>
            <w:r w:rsidR="00C3559E" w:rsidRPr="007031A3">
              <w:rPr>
                <w:rFonts w:eastAsia="Times New Roman" w:cs="Times New Roman"/>
                <w:color w:val="000000"/>
                <w:sz w:val="16"/>
                <w:szCs w:val="16"/>
                <w:lang w:eastAsia="en-IN" w:bidi="as-IN"/>
                <w14:ligatures w14:val="none"/>
              </w:rPr>
              <w:t xml:space="preserve"> (&lt;0.001)</w:t>
            </w:r>
            <w:r w:rsidR="0043199E" w:rsidRPr="007031A3">
              <w:rPr>
                <w:rFonts w:eastAsia="Times New Roman" w:cs="Times New Roman"/>
                <w:color w:val="000000"/>
                <w:sz w:val="16"/>
                <w:szCs w:val="16"/>
                <w:vertAlign w:val="superscript"/>
                <w:lang w:eastAsia="en-IN" w:bidi="as-IN"/>
                <w14:ligatures w14:val="none"/>
              </w:rPr>
              <w:t>2</w:t>
            </w:r>
          </w:p>
        </w:tc>
      </w:tr>
      <w:tr w:rsidR="00A80EF1" w:rsidRPr="007031A3" w14:paraId="51A19CEA" w14:textId="77777777" w:rsidTr="00224731">
        <w:trPr>
          <w:trHeight w:val="20"/>
          <w:jc w:val="center"/>
        </w:trPr>
        <w:tc>
          <w:tcPr>
            <w:tcW w:w="0" w:type="auto"/>
            <w:tcBorders>
              <w:top w:val="nil"/>
              <w:left w:val="nil"/>
              <w:bottom w:val="single" w:sz="4" w:space="0" w:color="auto"/>
              <w:right w:val="nil"/>
            </w:tcBorders>
            <w:shd w:val="clear" w:color="000000" w:fill="FFFFFF"/>
            <w:noWrap/>
            <w:vAlign w:val="center"/>
            <w:hideMark/>
          </w:tcPr>
          <w:p w14:paraId="377E2CFE" w14:textId="684E6A6F" w:rsidR="008C2461" w:rsidRPr="007031A3" w:rsidRDefault="008C2461" w:rsidP="008C2461">
            <w:pPr>
              <w:spacing w:after="0"/>
              <w:rPr>
                <w:rFonts w:eastAsia="Times New Roman" w:cs="Times New Roman"/>
                <w:b/>
                <w:bCs/>
                <w:color w:val="000000"/>
                <w:sz w:val="16"/>
                <w:szCs w:val="16"/>
                <w:lang w:eastAsia="en-IN" w:bidi="as-IN"/>
                <w14:ligatures w14:val="none"/>
              </w:rPr>
            </w:pPr>
            <w:r w:rsidRPr="007031A3">
              <w:rPr>
                <w:rFonts w:eastAsia="Times New Roman" w:cs="Times New Roman"/>
                <w:b/>
                <w:bCs/>
                <w:color w:val="000000"/>
                <w:sz w:val="16"/>
                <w:szCs w:val="16"/>
                <w:lang w:val="en-US" w:eastAsia="en-IN" w:bidi="as-IN"/>
                <w14:ligatures w14:val="none"/>
              </w:rPr>
              <w:t>Number of living children</w:t>
            </w:r>
            <w:r w:rsidR="00A01483" w:rsidRPr="007031A3">
              <w:rPr>
                <w:rFonts w:eastAsia="Times New Roman" w:cs="Times New Roman"/>
                <w:b/>
                <w:bCs/>
                <w:color w:val="000000"/>
                <w:sz w:val="16"/>
                <w:szCs w:val="16"/>
                <w:lang w:val="en-US" w:eastAsia="en-IN" w:bidi="as-IN"/>
                <w14:ligatures w14:val="none"/>
              </w:rPr>
              <w:t xml:space="preserve">, </w:t>
            </w:r>
            <w:proofErr w:type="gramStart"/>
            <w:r w:rsidR="00A01483" w:rsidRPr="007031A3">
              <w:rPr>
                <w:rFonts w:eastAsia="Times New Roman" w:cs="Times New Roman"/>
                <w:b/>
                <w:bCs/>
                <w:color w:val="000000"/>
                <w:sz w:val="16"/>
                <w:szCs w:val="16"/>
                <w:lang w:val="en-US" w:eastAsia="en-IN" w:bidi="as-IN"/>
                <w14:ligatures w14:val="none"/>
              </w:rPr>
              <w:t>median(</w:t>
            </w:r>
            <w:proofErr w:type="gramEnd"/>
            <w:r w:rsidR="00A01483" w:rsidRPr="007031A3">
              <w:rPr>
                <w:rFonts w:eastAsia="Times New Roman" w:cs="Times New Roman"/>
                <w:b/>
                <w:bCs/>
                <w:color w:val="000000"/>
                <w:sz w:val="16"/>
                <w:szCs w:val="16"/>
                <w:lang w:val="en-US" w:eastAsia="en-IN" w:bidi="as-IN"/>
                <w14:ligatures w14:val="none"/>
              </w:rPr>
              <w:t>IQR)</w:t>
            </w:r>
          </w:p>
        </w:tc>
        <w:tc>
          <w:tcPr>
            <w:tcW w:w="0" w:type="auto"/>
            <w:tcBorders>
              <w:top w:val="nil"/>
              <w:left w:val="nil"/>
              <w:bottom w:val="single" w:sz="4" w:space="0" w:color="auto"/>
              <w:right w:val="nil"/>
            </w:tcBorders>
            <w:shd w:val="clear" w:color="000000" w:fill="FFFFFF"/>
            <w:noWrap/>
            <w:vAlign w:val="center"/>
            <w:hideMark/>
          </w:tcPr>
          <w:p w14:paraId="7E90D267" w14:textId="3234ACF1" w:rsidR="008C2461" w:rsidRPr="007031A3" w:rsidRDefault="008C2461" w:rsidP="008C2461">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75,743</w:t>
            </w:r>
            <w:r w:rsidR="00A80EF1" w:rsidRPr="007031A3">
              <w:rPr>
                <w:rFonts w:eastAsia="Times New Roman" w:cs="Times New Roman"/>
                <w:color w:val="000000"/>
                <w:sz w:val="16"/>
                <w:szCs w:val="16"/>
                <w:lang w:val="en-US" w:eastAsia="en-IN" w:bidi="as-IN"/>
                <w14:ligatures w14:val="none"/>
              </w:rPr>
              <w:t>*</w:t>
            </w:r>
          </w:p>
        </w:tc>
        <w:tc>
          <w:tcPr>
            <w:tcW w:w="0" w:type="auto"/>
            <w:tcBorders>
              <w:top w:val="nil"/>
              <w:left w:val="nil"/>
              <w:bottom w:val="single" w:sz="4" w:space="0" w:color="auto"/>
              <w:right w:val="nil"/>
            </w:tcBorders>
            <w:shd w:val="clear" w:color="000000" w:fill="FFFFFF"/>
            <w:noWrap/>
            <w:vAlign w:val="center"/>
            <w:hideMark/>
          </w:tcPr>
          <w:p w14:paraId="14E4BA39" w14:textId="3CA35795" w:rsidR="008C2461" w:rsidRPr="007031A3" w:rsidRDefault="008C2461" w:rsidP="008C2461">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val="en-US" w:eastAsia="en-IN" w:bidi="as-IN"/>
                <w14:ligatures w14:val="none"/>
              </w:rPr>
              <w:t>2 (1, 3)</w:t>
            </w:r>
          </w:p>
        </w:tc>
        <w:tc>
          <w:tcPr>
            <w:tcW w:w="0" w:type="auto"/>
            <w:tcBorders>
              <w:top w:val="nil"/>
              <w:left w:val="nil"/>
              <w:bottom w:val="single" w:sz="4" w:space="0" w:color="auto"/>
              <w:right w:val="nil"/>
            </w:tcBorders>
            <w:shd w:val="clear" w:color="000000" w:fill="FFFFFF"/>
            <w:noWrap/>
            <w:vAlign w:val="center"/>
            <w:hideMark/>
          </w:tcPr>
          <w:p w14:paraId="25C8D97A" w14:textId="4CD6BB9E" w:rsidR="008C2461" w:rsidRPr="007031A3" w:rsidRDefault="008C2461" w:rsidP="008C2461">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2 (1, 3)</w:t>
            </w:r>
          </w:p>
        </w:tc>
        <w:tc>
          <w:tcPr>
            <w:tcW w:w="0" w:type="auto"/>
            <w:tcBorders>
              <w:top w:val="nil"/>
              <w:left w:val="nil"/>
              <w:bottom w:val="single" w:sz="4" w:space="0" w:color="auto"/>
              <w:right w:val="nil"/>
            </w:tcBorders>
            <w:shd w:val="clear" w:color="000000" w:fill="FFFFFF"/>
            <w:noWrap/>
            <w:vAlign w:val="center"/>
            <w:hideMark/>
          </w:tcPr>
          <w:p w14:paraId="254BDCB6" w14:textId="4651A538" w:rsidR="008C2461" w:rsidRPr="007031A3" w:rsidRDefault="008C2461" w:rsidP="008C2461">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2 (1, 3)</w:t>
            </w:r>
          </w:p>
        </w:tc>
        <w:tc>
          <w:tcPr>
            <w:tcW w:w="0" w:type="auto"/>
            <w:tcBorders>
              <w:top w:val="nil"/>
              <w:left w:val="nil"/>
              <w:bottom w:val="single" w:sz="4" w:space="0" w:color="auto"/>
              <w:right w:val="nil"/>
            </w:tcBorders>
            <w:shd w:val="clear" w:color="000000" w:fill="FFFFFF"/>
            <w:noWrap/>
            <w:vAlign w:val="center"/>
            <w:hideMark/>
          </w:tcPr>
          <w:p w14:paraId="6A5EFF37" w14:textId="300D99B5" w:rsidR="008C2461" w:rsidRPr="007031A3" w:rsidRDefault="008C2461" w:rsidP="008C2461">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2 (1, 4)</w:t>
            </w:r>
          </w:p>
        </w:tc>
        <w:tc>
          <w:tcPr>
            <w:tcW w:w="0" w:type="auto"/>
            <w:tcBorders>
              <w:top w:val="nil"/>
              <w:left w:val="nil"/>
              <w:bottom w:val="single" w:sz="4" w:space="0" w:color="auto"/>
              <w:right w:val="nil"/>
            </w:tcBorders>
            <w:shd w:val="clear" w:color="000000" w:fill="FFFFFF"/>
            <w:noWrap/>
            <w:vAlign w:val="center"/>
            <w:hideMark/>
          </w:tcPr>
          <w:p w14:paraId="5971DDA9" w14:textId="4EFFBFE8" w:rsidR="008C2461" w:rsidRPr="007031A3" w:rsidRDefault="008C2461" w:rsidP="008C2461">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2 (1, 2)</w:t>
            </w:r>
          </w:p>
        </w:tc>
        <w:tc>
          <w:tcPr>
            <w:tcW w:w="0" w:type="auto"/>
            <w:tcBorders>
              <w:top w:val="nil"/>
              <w:left w:val="nil"/>
              <w:bottom w:val="single" w:sz="4" w:space="0" w:color="auto"/>
              <w:right w:val="nil"/>
            </w:tcBorders>
            <w:shd w:val="clear" w:color="000000" w:fill="FFFFFF"/>
            <w:noWrap/>
            <w:vAlign w:val="center"/>
            <w:hideMark/>
          </w:tcPr>
          <w:p w14:paraId="00517FD4" w14:textId="41350AA0" w:rsidR="008C2461" w:rsidRPr="007031A3" w:rsidRDefault="0043199E" w:rsidP="008C2461">
            <w:pPr>
              <w:spacing w:after="0"/>
              <w:jc w:val="center"/>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lang w:eastAsia="en-IN" w:bidi="as-IN"/>
                <w14:ligatures w14:val="none"/>
              </w:rPr>
              <w:t>31.91</w:t>
            </w:r>
            <w:r w:rsidR="008C2461" w:rsidRPr="007031A3">
              <w:rPr>
                <w:rFonts w:eastAsia="Times New Roman" w:cs="Times New Roman"/>
                <w:color w:val="000000"/>
                <w:sz w:val="16"/>
                <w:szCs w:val="16"/>
                <w:lang w:eastAsia="en-IN" w:bidi="as-IN"/>
                <w14:ligatures w14:val="none"/>
              </w:rPr>
              <w:t xml:space="preserve"> (&lt;0.001)</w:t>
            </w:r>
            <w:r w:rsidRPr="007031A3">
              <w:rPr>
                <w:rFonts w:eastAsia="Times New Roman" w:cs="Times New Roman"/>
                <w:color w:val="000000"/>
                <w:sz w:val="16"/>
                <w:szCs w:val="16"/>
                <w:vertAlign w:val="superscript"/>
                <w:lang w:eastAsia="en-IN" w:bidi="as-IN"/>
                <w14:ligatures w14:val="none"/>
              </w:rPr>
              <w:t>2</w:t>
            </w:r>
          </w:p>
        </w:tc>
      </w:tr>
      <w:tr w:rsidR="008C2461" w:rsidRPr="007031A3" w14:paraId="65BF931C" w14:textId="77777777" w:rsidTr="00224731">
        <w:trPr>
          <w:trHeight w:val="20"/>
          <w:jc w:val="center"/>
        </w:trPr>
        <w:tc>
          <w:tcPr>
            <w:tcW w:w="0" w:type="auto"/>
            <w:gridSpan w:val="8"/>
            <w:tcBorders>
              <w:top w:val="single" w:sz="4" w:space="0" w:color="auto"/>
              <w:left w:val="nil"/>
              <w:bottom w:val="nil"/>
              <w:right w:val="nil"/>
            </w:tcBorders>
            <w:shd w:val="clear" w:color="000000" w:fill="FFFFFF"/>
            <w:noWrap/>
            <w:vAlign w:val="center"/>
            <w:hideMark/>
          </w:tcPr>
          <w:p w14:paraId="400D9FFD" w14:textId="77777777" w:rsidR="008C2461" w:rsidRPr="007031A3" w:rsidRDefault="008C2461" w:rsidP="008C2461">
            <w:pPr>
              <w:spacing w:after="0"/>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vertAlign w:val="superscript"/>
                <w:lang w:val="en-US" w:eastAsia="en-IN" w:bidi="as-IN"/>
                <w14:ligatures w14:val="none"/>
              </w:rPr>
              <w:t>1</w:t>
            </w:r>
            <w:r w:rsidRPr="007031A3">
              <w:rPr>
                <w:rFonts w:eastAsia="Times New Roman" w:cs="Times New Roman"/>
                <w:color w:val="000000"/>
                <w:sz w:val="16"/>
                <w:szCs w:val="16"/>
                <w:lang w:val="en-US" w:eastAsia="en-IN" w:bidi="as-IN"/>
                <w14:ligatures w14:val="none"/>
              </w:rPr>
              <w:t>n (%); Median (Q1, Q3)</w:t>
            </w:r>
          </w:p>
        </w:tc>
      </w:tr>
      <w:tr w:rsidR="008C2461" w:rsidRPr="007031A3" w14:paraId="7C535994" w14:textId="77777777" w:rsidTr="00131290">
        <w:trPr>
          <w:trHeight w:val="20"/>
          <w:jc w:val="center"/>
        </w:trPr>
        <w:tc>
          <w:tcPr>
            <w:tcW w:w="0" w:type="auto"/>
            <w:gridSpan w:val="8"/>
            <w:tcBorders>
              <w:top w:val="nil"/>
              <w:left w:val="nil"/>
              <w:bottom w:val="nil"/>
              <w:right w:val="nil"/>
            </w:tcBorders>
            <w:shd w:val="clear" w:color="000000" w:fill="FFFFFF"/>
            <w:noWrap/>
            <w:vAlign w:val="center"/>
            <w:hideMark/>
          </w:tcPr>
          <w:p w14:paraId="017B9016" w14:textId="2BC762AF" w:rsidR="008C2461" w:rsidRPr="007031A3" w:rsidRDefault="0062702E" w:rsidP="008C2461">
            <w:pPr>
              <w:spacing w:after="0"/>
              <w:rPr>
                <w:rFonts w:eastAsia="Times New Roman" w:cs="Times New Roman"/>
                <w:color w:val="000000"/>
                <w:sz w:val="16"/>
                <w:szCs w:val="16"/>
                <w:lang w:eastAsia="en-IN" w:bidi="as-IN"/>
                <w14:ligatures w14:val="none"/>
              </w:rPr>
            </w:pPr>
            <w:r w:rsidRPr="007031A3">
              <w:rPr>
                <w:rFonts w:eastAsia="Times New Roman" w:cs="Times New Roman"/>
                <w:color w:val="000000"/>
                <w:sz w:val="16"/>
                <w:szCs w:val="16"/>
                <w:vertAlign w:val="superscript"/>
                <w:lang w:val="en-US" w:eastAsia="en-IN" w:bidi="as-IN"/>
                <w14:ligatures w14:val="none"/>
              </w:rPr>
              <w:t>1</w:t>
            </w:r>
            <w:r w:rsidR="008C2461" w:rsidRPr="007031A3">
              <w:rPr>
                <w:rFonts w:eastAsia="Times New Roman" w:cs="Times New Roman"/>
                <w:color w:val="000000"/>
                <w:sz w:val="16"/>
                <w:szCs w:val="16"/>
                <w:lang w:val="en-US" w:eastAsia="en-IN" w:bidi="as-IN"/>
                <w14:ligatures w14:val="none"/>
              </w:rPr>
              <w:t xml:space="preserve">Pearson's Chi-squared test; </w:t>
            </w:r>
            <w:r w:rsidRPr="007031A3">
              <w:rPr>
                <w:rFonts w:eastAsia="Times New Roman" w:cs="Times New Roman"/>
                <w:color w:val="000000"/>
                <w:sz w:val="16"/>
                <w:szCs w:val="16"/>
                <w:vertAlign w:val="superscript"/>
                <w:lang w:val="en-US" w:eastAsia="en-IN" w:bidi="as-IN"/>
                <w14:ligatures w14:val="none"/>
              </w:rPr>
              <w:t>2</w:t>
            </w:r>
            <w:r w:rsidRPr="007031A3">
              <w:rPr>
                <w:rFonts w:eastAsia="Times New Roman" w:cs="Times New Roman"/>
                <w:color w:val="000000"/>
                <w:sz w:val="16"/>
                <w:szCs w:val="16"/>
                <w:lang w:val="en-US" w:eastAsia="en-IN" w:bidi="as-IN"/>
                <w14:ligatures w14:val="none"/>
              </w:rPr>
              <w:t xml:space="preserve">Yuen’s test for trimmed means, </w:t>
            </w:r>
            <w:r w:rsidRPr="007031A3">
              <w:rPr>
                <w:rFonts w:eastAsia="Times New Roman" w:cs="Times New Roman"/>
                <w:color w:val="000000"/>
                <w:sz w:val="16"/>
                <w:szCs w:val="16"/>
                <w:vertAlign w:val="superscript"/>
                <w:lang w:val="en-US" w:eastAsia="en-IN" w:bidi="as-IN"/>
                <w14:ligatures w14:val="none"/>
              </w:rPr>
              <w:t>#</w:t>
            </w:r>
            <w:r w:rsidRPr="007031A3">
              <w:rPr>
                <w:rFonts w:eastAsia="Times New Roman" w:cs="Times New Roman"/>
                <w:color w:val="000000"/>
                <w:sz w:val="16"/>
                <w:szCs w:val="16"/>
                <w:lang w:val="en-US" w:eastAsia="en-IN" w:bidi="as-IN"/>
                <w14:ligatures w14:val="none"/>
              </w:rPr>
              <w:t>Total measured sample, *</w:t>
            </w:r>
            <w:r w:rsidR="00A80EF1" w:rsidRPr="007031A3">
              <w:rPr>
                <w:rFonts w:eastAsia="Times New Roman" w:cs="Times New Roman"/>
                <w:color w:val="000000"/>
                <w:sz w:val="16"/>
                <w:szCs w:val="16"/>
                <w:lang w:val="en-US" w:eastAsia="en-IN" w:bidi="as-IN"/>
                <w14:ligatures w14:val="none"/>
              </w:rPr>
              <w:t>Ever married sample</w:t>
            </w:r>
          </w:p>
        </w:tc>
      </w:tr>
    </w:tbl>
    <w:p w14:paraId="380B82DD" w14:textId="77777777" w:rsidR="00C3559E" w:rsidRPr="007031A3" w:rsidRDefault="00C3559E" w:rsidP="00BB7067">
      <w:pPr>
        <w:pStyle w:val="tablefigurecaption"/>
        <w:spacing w:after="0"/>
        <w:rPr>
          <w:rFonts w:cs="Times New Roman"/>
          <w:sz w:val="18"/>
          <w:szCs w:val="20"/>
        </w:rPr>
      </w:pPr>
    </w:p>
    <w:p w14:paraId="4D1EB5B5" w14:textId="77777777" w:rsidR="00C3559E" w:rsidRPr="007031A3" w:rsidRDefault="00C3559E" w:rsidP="00BB7067">
      <w:pPr>
        <w:pStyle w:val="tablefigurecaption"/>
        <w:spacing w:after="0"/>
        <w:rPr>
          <w:rFonts w:cs="Times New Roman"/>
          <w:sz w:val="18"/>
          <w:szCs w:val="20"/>
        </w:rPr>
      </w:pPr>
    </w:p>
    <w:p w14:paraId="7E2485A0" w14:textId="77777777" w:rsidR="00BB7067" w:rsidRPr="007031A3" w:rsidRDefault="00BB7067" w:rsidP="00BB7067">
      <w:pPr>
        <w:pStyle w:val="tablefigurecaption"/>
        <w:spacing w:after="0"/>
        <w:rPr>
          <w:rFonts w:cs="Times New Roman"/>
        </w:rPr>
      </w:pPr>
    </w:p>
    <w:p w14:paraId="231D3B27" w14:textId="77777777" w:rsidR="00BB7067" w:rsidRPr="007031A3" w:rsidRDefault="00BB7067" w:rsidP="00BB7067">
      <w:pPr>
        <w:spacing w:after="0"/>
        <w:rPr>
          <w:rFonts w:eastAsiaTheme="majorEastAsia" w:cs="Times New Roman"/>
          <w:b/>
          <w:bCs/>
        </w:rPr>
      </w:pPr>
      <w:r w:rsidRPr="007031A3">
        <w:rPr>
          <w:rFonts w:cs="Times New Roman"/>
        </w:rPr>
        <w:br w:type="page"/>
      </w:r>
    </w:p>
    <w:p w14:paraId="337317A4" w14:textId="77777777" w:rsidR="00BB7067" w:rsidRPr="007031A3" w:rsidRDefault="00BB7067" w:rsidP="009940ED">
      <w:pPr>
        <w:pStyle w:val="Heading1"/>
        <w:sectPr w:rsidR="00BB7067" w:rsidRPr="007031A3" w:rsidSect="00BB7067">
          <w:pgSz w:w="15840" w:h="12240" w:orient="landscape"/>
          <w:pgMar w:top="993" w:right="1440" w:bottom="1440" w:left="1440" w:header="720" w:footer="720" w:gutter="0"/>
          <w:cols w:space="720"/>
        </w:sectPr>
      </w:pPr>
    </w:p>
    <w:p w14:paraId="7999474A" w14:textId="3C4AC02C" w:rsidR="00BB7067" w:rsidRDefault="00BB7067" w:rsidP="00127EEF">
      <w:pPr>
        <w:pStyle w:val="FirstParagraph"/>
        <w:jc w:val="both"/>
        <w:rPr>
          <w:rFonts w:cs="Times New Roman"/>
        </w:rPr>
      </w:pPr>
      <w:r w:rsidRPr="007031A3">
        <w:rPr>
          <w:rFonts w:cs="Times New Roman"/>
        </w:rPr>
        <w:lastRenderedPageBreak/>
        <w:t xml:space="preserve">A further investigation revealed some key difference between the clusters. </w:t>
      </w:r>
      <w:r w:rsidR="0043292E">
        <w:rPr>
          <w:rFonts w:cs="Times New Roman"/>
        </w:rPr>
        <w:t xml:space="preserve">Cluster 2 has the highest proportion women with no education (17.52%), in contrast cluster 4 </w:t>
      </w:r>
      <w:r w:rsidR="00237221">
        <w:rPr>
          <w:rFonts w:cs="Times New Roman"/>
        </w:rPr>
        <w:t>has the highest proportion (approx. 16%) of women with higher education</w:t>
      </w:r>
      <w:r w:rsidRPr="007031A3">
        <w:rPr>
          <w:rFonts w:cs="Times New Roman"/>
        </w:rPr>
        <w:t xml:space="preserve">. </w:t>
      </w:r>
      <w:r w:rsidR="00127EEF" w:rsidRPr="00127EEF">
        <w:rPr>
          <w:rFonts w:cs="Times New Roman"/>
        </w:rPr>
        <w:t>Religious affiliation varies substantially</w:t>
      </w:r>
      <w:r w:rsidR="00127EEF">
        <w:rPr>
          <w:rFonts w:cs="Times New Roman"/>
        </w:rPr>
        <w:t xml:space="preserve"> among the clusters,</w:t>
      </w:r>
      <w:r w:rsidR="00127EEF" w:rsidRPr="00127EEF">
        <w:rPr>
          <w:rFonts w:cs="Times New Roman"/>
        </w:rPr>
        <w:t xml:space="preserve"> Buddhism is most prevalent in Cluster 4 (35.6 %), Christianity dominates Cluster 1 (61.9 %) and Cluster 3 (84.3 %), whereas Hinduism is the majority religion in Cluster 2 (68 %) and Cluster 4 (51 %). Ethnicity is strongly tribal in Cluster 4 (92 %) and Cluster 3 (74 %), whereas Cluster 1 is predominantly caste (17.6 %) and Cluster 2 (55 %) is mixed.</w:t>
      </w:r>
      <w:r w:rsidR="00127EEF">
        <w:rPr>
          <w:rFonts w:cs="Times New Roman"/>
        </w:rPr>
        <w:t xml:space="preserve"> </w:t>
      </w:r>
      <w:r w:rsidR="00127EEF" w:rsidRPr="00127EEF">
        <w:rPr>
          <w:rFonts w:cs="Times New Roman"/>
        </w:rPr>
        <w:t xml:space="preserve">Wealth distribution shows a higher concentration of the poorest and poorer </w:t>
      </w:r>
      <w:r w:rsidR="00127EEF">
        <w:rPr>
          <w:rFonts w:cs="Times New Roman"/>
        </w:rPr>
        <w:t xml:space="preserve">families </w:t>
      </w:r>
      <w:r w:rsidR="00127EEF" w:rsidRPr="00127EEF">
        <w:rPr>
          <w:rFonts w:cs="Times New Roman"/>
        </w:rPr>
        <w:t>in Clusters 1 and 3 (</w:t>
      </w:r>
      <w:r w:rsidR="00127EEF">
        <w:rPr>
          <w:rFonts w:cs="Times New Roman"/>
        </w:rPr>
        <w:t>approx.</w:t>
      </w:r>
      <w:r w:rsidR="00127EEF" w:rsidRPr="00127EEF">
        <w:rPr>
          <w:rFonts w:cs="Times New Roman"/>
        </w:rPr>
        <w:t> 21–37 %), whereas Cluster 4 has a larger middle‑class share (40.5 %) and a small proportion of the richest (6 %).</w:t>
      </w:r>
    </w:p>
    <w:p w14:paraId="6608F545" w14:textId="3772D93D" w:rsidR="00A3700D" w:rsidRDefault="00A3700D" w:rsidP="00BB7067">
      <w:pPr>
        <w:pStyle w:val="BodyText"/>
        <w:jc w:val="both"/>
        <w:rPr>
          <w:rFonts w:cs="Times New Roman"/>
        </w:rPr>
      </w:pPr>
      <w:r w:rsidRPr="00A3700D">
        <w:rPr>
          <w:rFonts w:cs="Times New Roman"/>
        </w:rPr>
        <w:t>Anaemia status reveals a higher proportion of moderate and mild anaemia in Clusters 1 and 2 (≈ 34–35 %) than in Cluster 4 (≈ 19 %), while the proportion of non‑anaemic women is highest in Cluster 1 (65 %) and lowest in Cluster 4 (59.5 %).</w:t>
      </w:r>
      <w:r>
        <w:rPr>
          <w:rFonts w:cs="Times New Roman"/>
        </w:rPr>
        <w:t xml:space="preserve"> </w:t>
      </w:r>
      <w:r w:rsidRPr="00A3700D">
        <w:rPr>
          <w:rFonts w:cs="Times New Roman"/>
        </w:rPr>
        <w:t>Contraceptive use patterns differ markedly: Cluster 3 has the lowest modern method uptake (21.7 %) and the highest non‑use (73 %), whereas Cluster 4 achieves the highest modern method adoption (60 %) and lowest non‑use (25 %). Traditional methods are low across all clusters.</w:t>
      </w:r>
      <w:r>
        <w:rPr>
          <w:rFonts w:cs="Times New Roman"/>
        </w:rPr>
        <w:t xml:space="preserve"> </w:t>
      </w:r>
      <w:r w:rsidR="001311E8">
        <w:rPr>
          <w:rFonts w:cs="Times New Roman"/>
        </w:rPr>
        <w:t xml:space="preserve"> </w:t>
      </w:r>
      <w:r w:rsidRPr="00A3700D">
        <w:rPr>
          <w:rFonts w:cs="Times New Roman"/>
        </w:rPr>
        <w:t>The median number of children ever born is 2 in Clusters 1–3 and 3 in Cluster 4, with inter‑quartile ranges reflecting greater variation in Cluster 3. Living children mirror this pattern, with a slightly wider IQR in Cluster 3.</w:t>
      </w:r>
    </w:p>
    <w:p w14:paraId="03F83DFF" w14:textId="75BD12A2" w:rsidR="00E65A43" w:rsidRDefault="0055588D" w:rsidP="00E65A43">
      <w:pPr>
        <w:pStyle w:val="BodyText"/>
        <w:jc w:val="both"/>
        <w:rPr>
          <w:rFonts w:cs="Times New Roman"/>
        </w:rPr>
      </w:pPr>
      <w:r w:rsidRPr="007031A3">
        <w:rPr>
          <w:rFonts w:cs="Times New Roman"/>
        </w:rPr>
        <w:t xml:space="preserve">Our findings </w:t>
      </w:r>
      <w:r w:rsidRPr="0055588D">
        <w:rPr>
          <w:rFonts w:cs="Times New Roman"/>
        </w:rPr>
        <w:t>support existing literature, which highlights how contraceptive use varies by region within India.</w:t>
      </w:r>
      <w:r w:rsidRPr="0055588D">
        <w:rPr>
          <w:rFonts w:cs="Times New Roman"/>
          <w:vertAlign w:val="superscript"/>
        </w:rPr>
        <w:t>1</w:t>
      </w:r>
      <w:r w:rsidRPr="0055588D">
        <w:rPr>
          <w:rFonts w:cs="Times New Roman"/>
        </w:rPr>
        <w:t xml:space="preserve"> This variation may explain why Cluster 1</w:t>
      </w:r>
      <w:r>
        <w:rPr>
          <w:rFonts w:cs="Times New Roman"/>
        </w:rPr>
        <w:t xml:space="preserve">, </w:t>
      </w:r>
      <w:r w:rsidRPr="0055588D">
        <w:rPr>
          <w:rFonts w:cs="Times New Roman"/>
        </w:rPr>
        <w:t>where fertility rates are lower</w:t>
      </w:r>
      <w:r>
        <w:rPr>
          <w:rFonts w:cs="Times New Roman"/>
        </w:rPr>
        <w:t xml:space="preserve"> </w:t>
      </w:r>
      <w:r w:rsidRPr="0055588D">
        <w:rPr>
          <w:rFonts w:cs="Times New Roman"/>
        </w:rPr>
        <w:t>shows higher adoption of contraception.</w:t>
      </w:r>
      <w:r>
        <w:rPr>
          <w:rFonts w:cs="Times New Roman"/>
        </w:rPr>
        <w:t xml:space="preserve"> </w:t>
      </w:r>
      <w:r w:rsidR="00D371CC">
        <w:rPr>
          <w:rFonts w:cs="Times New Roman"/>
        </w:rPr>
        <w:t>C</w:t>
      </w:r>
      <w:r w:rsidR="00E65A43" w:rsidRPr="00E65A43">
        <w:rPr>
          <w:rFonts w:cs="Times New Roman"/>
        </w:rPr>
        <w:t>luster 1 (</w:t>
      </w:r>
      <w:r w:rsidR="00E65A43">
        <w:rPr>
          <w:rFonts w:cs="Times New Roman"/>
        </w:rPr>
        <w:t>Arunachal Pradesh, Manipur, Mizoram, and Nagaland</w:t>
      </w:r>
      <w:r w:rsidR="00E65A43" w:rsidRPr="00E65A43">
        <w:rPr>
          <w:rFonts w:cs="Times New Roman"/>
        </w:rPr>
        <w:t>)</w:t>
      </w:r>
      <w:r w:rsidR="00554806">
        <w:rPr>
          <w:rFonts w:cs="Times New Roman"/>
        </w:rPr>
        <w:t xml:space="preserve"> can be </w:t>
      </w:r>
      <w:r w:rsidR="00D371CC">
        <w:rPr>
          <w:rFonts w:cs="Times New Roman"/>
        </w:rPr>
        <w:t>categorized</w:t>
      </w:r>
      <w:r w:rsidR="00554806">
        <w:rPr>
          <w:rFonts w:cs="Times New Roman"/>
        </w:rPr>
        <w:t xml:space="preserve"> as p</w:t>
      </w:r>
      <w:r w:rsidR="00E65A43" w:rsidRPr="00E65A43">
        <w:rPr>
          <w:rFonts w:cs="Times New Roman"/>
        </w:rPr>
        <w:t xml:space="preserve">redominantly </w:t>
      </w:r>
      <w:r w:rsidR="0050591F">
        <w:rPr>
          <w:rFonts w:cs="Times New Roman"/>
        </w:rPr>
        <w:t xml:space="preserve">tribal </w:t>
      </w:r>
      <w:r w:rsidR="0050591F" w:rsidRPr="00E65A43">
        <w:rPr>
          <w:rFonts w:cs="Times New Roman"/>
        </w:rPr>
        <w:t>Christian</w:t>
      </w:r>
      <w:r w:rsidR="00E65A43" w:rsidRPr="00E65A43">
        <w:rPr>
          <w:rFonts w:cs="Times New Roman"/>
        </w:rPr>
        <w:t xml:space="preserve">, </w:t>
      </w:r>
      <w:r w:rsidR="0050591F">
        <w:rPr>
          <w:rFonts w:cs="Times New Roman"/>
        </w:rPr>
        <w:t>with secondary level of education</w:t>
      </w:r>
      <w:r w:rsidR="00E65A43" w:rsidRPr="00E65A43">
        <w:rPr>
          <w:rFonts w:cs="Times New Roman"/>
        </w:rPr>
        <w:t>,</w:t>
      </w:r>
      <w:r w:rsidR="0050591F">
        <w:rPr>
          <w:rFonts w:cs="Times New Roman"/>
        </w:rPr>
        <w:t xml:space="preserve"> </w:t>
      </w:r>
      <w:r w:rsidR="00E65A43" w:rsidRPr="00E65A43">
        <w:rPr>
          <w:rFonts w:cs="Times New Roman"/>
        </w:rPr>
        <w:t>moderate parity and relatively high modern contraceptive use.</w:t>
      </w:r>
      <w:r w:rsidR="001311E8">
        <w:rPr>
          <w:rFonts w:cs="Times New Roman"/>
        </w:rPr>
        <w:t xml:space="preserve"> </w:t>
      </w:r>
      <w:r w:rsidR="00E65A43" w:rsidRPr="00E65A43">
        <w:rPr>
          <w:rFonts w:cs="Times New Roman"/>
        </w:rPr>
        <w:t>Cluster 2 (</w:t>
      </w:r>
      <w:r w:rsidR="001311E8">
        <w:rPr>
          <w:rFonts w:cs="Times New Roman"/>
        </w:rPr>
        <w:t>Assam and Tripura</w:t>
      </w:r>
      <w:r w:rsidR="00E65A43" w:rsidRPr="00E65A43">
        <w:rPr>
          <w:rFonts w:cs="Times New Roman"/>
        </w:rPr>
        <w:t>)</w:t>
      </w:r>
      <w:r w:rsidR="001311E8">
        <w:rPr>
          <w:rFonts w:cs="Times New Roman"/>
        </w:rPr>
        <w:t xml:space="preserve"> can be categorized as m</w:t>
      </w:r>
      <w:r w:rsidR="00E65A43" w:rsidRPr="00E65A43">
        <w:rPr>
          <w:rFonts w:cs="Times New Roman"/>
        </w:rPr>
        <w:t>ostly</w:t>
      </w:r>
      <w:r w:rsidR="0050591F">
        <w:rPr>
          <w:rFonts w:cs="Times New Roman"/>
        </w:rPr>
        <w:t xml:space="preserve"> Hindu non-tribal</w:t>
      </w:r>
      <w:r w:rsidR="00E65A43" w:rsidRPr="00E65A43">
        <w:rPr>
          <w:rFonts w:cs="Times New Roman"/>
        </w:rPr>
        <w:t xml:space="preserve">, lower‑educated, with low parity and </w:t>
      </w:r>
      <w:r w:rsidR="008D1A20">
        <w:rPr>
          <w:rFonts w:cs="Times New Roman"/>
        </w:rPr>
        <w:t xml:space="preserve">high </w:t>
      </w:r>
      <w:r w:rsidR="00E65A43" w:rsidRPr="00E65A43">
        <w:rPr>
          <w:rFonts w:cs="Times New Roman"/>
        </w:rPr>
        <w:t>modern contraceptive uptake</w:t>
      </w:r>
      <w:r w:rsidR="008D1A20">
        <w:rPr>
          <w:rFonts w:cs="Times New Roman"/>
        </w:rPr>
        <w:t xml:space="preserve"> and highest anaemic population</w:t>
      </w:r>
      <w:r w:rsidR="00E65A43" w:rsidRPr="00E65A43">
        <w:rPr>
          <w:rFonts w:cs="Times New Roman"/>
        </w:rPr>
        <w:t>, reflecting a more traditional fertility pattern.</w:t>
      </w:r>
      <w:r w:rsidR="001311E8">
        <w:rPr>
          <w:rFonts w:cs="Times New Roman"/>
        </w:rPr>
        <w:t xml:space="preserve"> </w:t>
      </w:r>
      <w:r w:rsidR="00E65A43" w:rsidRPr="00E65A43">
        <w:rPr>
          <w:rFonts w:cs="Times New Roman"/>
        </w:rPr>
        <w:t>Cluster 3 (</w:t>
      </w:r>
      <w:r w:rsidR="001311E8">
        <w:rPr>
          <w:rFonts w:cs="Times New Roman"/>
        </w:rPr>
        <w:t>Meghalaya</w:t>
      </w:r>
      <w:r w:rsidR="00E65A43" w:rsidRPr="00E65A43">
        <w:rPr>
          <w:rFonts w:cs="Times New Roman"/>
        </w:rPr>
        <w:t>)</w:t>
      </w:r>
      <w:r w:rsidR="001311E8">
        <w:rPr>
          <w:rFonts w:cs="Times New Roman"/>
        </w:rPr>
        <w:t xml:space="preserve"> can be categorized as</w:t>
      </w:r>
      <w:r w:rsidR="00E65A43" w:rsidRPr="00E65A43">
        <w:rPr>
          <w:rFonts w:cs="Times New Roman"/>
        </w:rPr>
        <w:t xml:space="preserve"> </w:t>
      </w:r>
      <w:r w:rsidR="001311E8">
        <w:rPr>
          <w:rFonts w:cs="Times New Roman"/>
        </w:rPr>
        <w:t>t</w:t>
      </w:r>
      <w:r w:rsidR="00E65A43" w:rsidRPr="00E65A43">
        <w:rPr>
          <w:rFonts w:cs="Times New Roman"/>
        </w:rPr>
        <w:t xml:space="preserve">ribal‑majority, </w:t>
      </w:r>
      <w:r w:rsidR="008D1A20">
        <w:rPr>
          <w:rFonts w:cs="Times New Roman"/>
        </w:rPr>
        <w:t>well</w:t>
      </w:r>
      <w:r w:rsidR="00E65A43" w:rsidRPr="00E65A43">
        <w:rPr>
          <w:rFonts w:cs="Times New Roman"/>
        </w:rPr>
        <w:t xml:space="preserve">‑educated, Christian, high parity, and low contraceptive use, suggesting a </w:t>
      </w:r>
      <w:r w:rsidR="0047702B">
        <w:rPr>
          <w:rFonts w:cs="Times New Roman"/>
        </w:rPr>
        <w:t>high</w:t>
      </w:r>
      <w:r w:rsidR="00E65A43" w:rsidRPr="00E65A43">
        <w:rPr>
          <w:rFonts w:cs="Times New Roman"/>
        </w:rPr>
        <w:t xml:space="preserve"> fertility </w:t>
      </w:r>
      <w:r w:rsidR="0047702B">
        <w:rPr>
          <w:rFonts w:cs="Times New Roman"/>
        </w:rPr>
        <w:t>region</w:t>
      </w:r>
      <w:r w:rsidR="00E65A43" w:rsidRPr="00E65A43">
        <w:rPr>
          <w:rFonts w:cs="Times New Roman"/>
        </w:rPr>
        <w:t>.</w:t>
      </w:r>
      <w:r w:rsidR="001311E8">
        <w:rPr>
          <w:rFonts w:cs="Times New Roman"/>
        </w:rPr>
        <w:t xml:space="preserve"> Finally, </w:t>
      </w:r>
      <w:r w:rsidR="00E65A43" w:rsidRPr="00E65A43">
        <w:rPr>
          <w:rFonts w:cs="Times New Roman"/>
        </w:rPr>
        <w:t>Cluster 4 (</w:t>
      </w:r>
      <w:r w:rsidR="001311E8">
        <w:rPr>
          <w:rFonts w:cs="Times New Roman"/>
        </w:rPr>
        <w:t>Sikkim</w:t>
      </w:r>
      <w:r w:rsidR="00E65A43" w:rsidRPr="00E65A43">
        <w:rPr>
          <w:rFonts w:cs="Times New Roman"/>
        </w:rPr>
        <w:t>)</w:t>
      </w:r>
      <w:r w:rsidR="001311E8">
        <w:rPr>
          <w:rFonts w:cs="Times New Roman"/>
        </w:rPr>
        <w:t xml:space="preserve"> is</w:t>
      </w:r>
      <w:r w:rsidR="00E65A43" w:rsidRPr="00E65A43">
        <w:rPr>
          <w:rFonts w:cs="Times New Roman"/>
        </w:rPr>
        <w:t xml:space="preserve"> Tribal‑majority, </w:t>
      </w:r>
      <w:r w:rsidR="008D1A20">
        <w:rPr>
          <w:rFonts w:cs="Times New Roman"/>
        </w:rPr>
        <w:t>highly</w:t>
      </w:r>
      <w:r w:rsidR="00E65A43" w:rsidRPr="00E65A43">
        <w:rPr>
          <w:rFonts w:cs="Times New Roman"/>
        </w:rPr>
        <w:t>‑educated, Buddhist,</w:t>
      </w:r>
      <w:r w:rsidR="0047702B">
        <w:rPr>
          <w:rFonts w:cs="Times New Roman"/>
        </w:rPr>
        <w:t xml:space="preserve"> highest non-anaemic population</w:t>
      </w:r>
      <w:r w:rsidR="00E65A43" w:rsidRPr="00E65A43">
        <w:rPr>
          <w:rFonts w:cs="Times New Roman"/>
        </w:rPr>
        <w:t xml:space="preserve"> with the </w:t>
      </w:r>
      <w:r w:rsidR="008D1A20">
        <w:rPr>
          <w:rFonts w:cs="Times New Roman"/>
        </w:rPr>
        <w:t xml:space="preserve">lowest </w:t>
      </w:r>
      <w:r w:rsidR="00E65A43" w:rsidRPr="00E65A43">
        <w:rPr>
          <w:rFonts w:cs="Times New Roman"/>
        </w:rPr>
        <w:t xml:space="preserve">parity and </w:t>
      </w:r>
      <w:r w:rsidR="008D1A20">
        <w:rPr>
          <w:rFonts w:cs="Times New Roman"/>
        </w:rPr>
        <w:t xml:space="preserve">highest </w:t>
      </w:r>
      <w:r w:rsidR="00E65A43" w:rsidRPr="00E65A43">
        <w:rPr>
          <w:rFonts w:cs="Times New Roman"/>
        </w:rPr>
        <w:t xml:space="preserve">modern contraceptive use, representing the </w:t>
      </w:r>
      <w:r w:rsidR="008D1A20">
        <w:rPr>
          <w:rFonts w:cs="Times New Roman"/>
        </w:rPr>
        <w:t xml:space="preserve">lowest fertile </w:t>
      </w:r>
      <w:r w:rsidR="0047702B">
        <w:rPr>
          <w:rFonts w:cs="Times New Roman"/>
        </w:rPr>
        <w:t>region</w:t>
      </w:r>
      <w:r w:rsidR="00E65A43" w:rsidRPr="00E65A43">
        <w:rPr>
          <w:rFonts w:cs="Times New Roman"/>
        </w:rPr>
        <w:t>.</w:t>
      </w:r>
    </w:p>
    <w:p w14:paraId="331ACAB4" w14:textId="63534860" w:rsidR="00BB7067" w:rsidRPr="007031A3" w:rsidRDefault="0047702B" w:rsidP="00BB7067">
      <w:pPr>
        <w:pStyle w:val="BodyText"/>
        <w:jc w:val="both"/>
        <w:rPr>
          <w:rFonts w:cs="Times New Roman"/>
        </w:rPr>
      </w:pPr>
      <w:r>
        <w:rPr>
          <w:rFonts w:cs="Times New Roman"/>
        </w:rPr>
        <w:t xml:space="preserve">Each of the cluster constructed possess their unique characteristics. A common policy will fail to address all the diverse issues and pattern. While Cluster 3 needs special focus on reducing the fertility, cluster 4 need to address the significantly low below replacement TFR. </w:t>
      </w:r>
      <w:r w:rsidR="00BB7067" w:rsidRPr="007031A3">
        <w:rPr>
          <w:rFonts w:cs="Times New Roman"/>
        </w:rPr>
        <w:t>In essence, adopting zone-specific policies that consider the unique characteristics of each cluster will be crucial in effectively managing and supporting their developmental trajectories. These tailored approaches can ensure more equitable resource distribution and maximize the positive impact on community well-being across both clusters.</w:t>
      </w:r>
      <w:r w:rsidR="00F50E94">
        <w:rPr>
          <w:rFonts w:cs="Times New Roman"/>
        </w:rPr>
        <w:t xml:space="preserve"> </w:t>
      </w:r>
      <w:r w:rsidR="00BB7067" w:rsidRPr="007031A3">
        <w:rPr>
          <w:rFonts w:cs="Times New Roman"/>
        </w:rPr>
        <w:t>However, it should be noted that NFHS-5 data may be subject to recall bias in fertility reporting, and incomplete coverage in remote districts could affect ASFR estimates. These limitations should be considered when interpreting results.</w:t>
      </w:r>
    </w:p>
    <w:p w14:paraId="1C46EC46" w14:textId="77777777" w:rsidR="001E014F" w:rsidRDefault="001E014F" w:rsidP="001E014F">
      <w:pPr>
        <w:rPr>
          <w:b/>
          <w:bCs/>
        </w:rPr>
      </w:pPr>
    </w:p>
    <w:p w14:paraId="2CCA61DE" w14:textId="27C20C54" w:rsidR="001E014F" w:rsidRPr="001E014F" w:rsidRDefault="001E014F" w:rsidP="001E014F">
      <w:pPr>
        <w:rPr>
          <w:b/>
          <w:bCs/>
        </w:rPr>
      </w:pPr>
      <w:r w:rsidRPr="001E014F">
        <w:rPr>
          <w:b/>
          <w:bCs/>
        </w:rPr>
        <w:t>CONCLUSION</w:t>
      </w:r>
    </w:p>
    <w:p w14:paraId="7D663CFC" w14:textId="638B0998" w:rsidR="00BB7067" w:rsidRDefault="00BB7067" w:rsidP="00BB7067">
      <w:pPr>
        <w:pStyle w:val="FirstParagraph"/>
        <w:jc w:val="both"/>
        <w:rPr>
          <w:rFonts w:cs="Times New Roman"/>
        </w:rPr>
      </w:pPr>
      <w:r w:rsidRPr="007031A3">
        <w:rPr>
          <w:rFonts w:cs="Times New Roman"/>
        </w:rPr>
        <w:t xml:space="preserve">This study identified </w:t>
      </w:r>
      <w:r w:rsidR="000141FA">
        <w:rPr>
          <w:rFonts w:cs="Times New Roman"/>
        </w:rPr>
        <w:t>four</w:t>
      </w:r>
      <w:r w:rsidRPr="007031A3">
        <w:rPr>
          <w:rFonts w:cs="Times New Roman"/>
        </w:rPr>
        <w:t xml:space="preserve"> distinct fertility zones </w:t>
      </w:r>
      <w:r w:rsidR="000141FA">
        <w:rPr>
          <w:rFonts w:cs="Times New Roman"/>
        </w:rPr>
        <w:t>from the 8 northeastern states of India</w:t>
      </w:r>
      <w:r w:rsidRPr="007031A3">
        <w:rPr>
          <w:rFonts w:cs="Times New Roman"/>
        </w:rPr>
        <w:t xml:space="preserve">, </w:t>
      </w:r>
      <w:r w:rsidR="000141FA" w:rsidRPr="000141FA">
        <w:rPr>
          <w:rFonts w:cs="Times New Roman"/>
        </w:rPr>
        <w:t>Cluster 1 (Arunachal Pradesh, Manipur, Mizoram, Nagaland)</w:t>
      </w:r>
      <w:r w:rsidR="000141FA">
        <w:rPr>
          <w:rFonts w:cs="Times New Roman"/>
        </w:rPr>
        <w:t xml:space="preserve">, </w:t>
      </w:r>
      <w:r w:rsidR="000141FA" w:rsidRPr="000141FA">
        <w:rPr>
          <w:rFonts w:cs="Times New Roman"/>
        </w:rPr>
        <w:t xml:space="preserve">Cluster 2 (Assam, Tripura), Cluster 3 (Meghalaya), and Cluster 4 (Sikkim). Each cluster exhibits </w:t>
      </w:r>
      <w:r w:rsidR="000141FA">
        <w:rPr>
          <w:rFonts w:cs="Times New Roman"/>
        </w:rPr>
        <w:t>significantly</w:t>
      </w:r>
      <w:r w:rsidR="000141FA" w:rsidRPr="000141FA">
        <w:rPr>
          <w:rFonts w:cs="Times New Roman"/>
        </w:rPr>
        <w:t xml:space="preserve"> different fertility curves, contraceptive use, and socio-economic profiles. Cluster 3, with Meghalaya, stands out as the highest fertility zone, characterized by high parity, low contraceptive adoption, and a predominantly tribal Christian population. Conversely, Cluster 4, encompassing Sikkim, exhibits the lowest fertility rates, driven by high contraceptive use, a Buddhist majority, and a strong tribal presence.</w:t>
      </w:r>
      <w:r w:rsidR="00B214B9">
        <w:rPr>
          <w:rFonts w:cs="Times New Roman"/>
        </w:rPr>
        <w:t xml:space="preserve"> </w:t>
      </w:r>
      <w:r w:rsidR="00B214B9" w:rsidRPr="00B214B9">
        <w:rPr>
          <w:rFonts w:cs="Times New Roman"/>
        </w:rPr>
        <w:t xml:space="preserve">The socio-economic and cultural factors significantly influence fertility behaviours. Cluster 1, predominantly tribal and Christian, shows relatively high education levels </w:t>
      </w:r>
      <w:r w:rsidR="00B214B9" w:rsidRPr="00B214B9">
        <w:rPr>
          <w:rFonts w:cs="Times New Roman"/>
        </w:rPr>
        <w:lastRenderedPageBreak/>
        <w:t xml:space="preserve">and moderate contraceptive use, aligning with </w:t>
      </w:r>
      <w:r w:rsidR="009363C5">
        <w:rPr>
          <w:rFonts w:cs="Times New Roman"/>
        </w:rPr>
        <w:t>the literature</w:t>
      </w:r>
      <w:r w:rsidR="00B214B9" w:rsidRPr="00B214B9">
        <w:rPr>
          <w:rFonts w:cs="Times New Roman"/>
        </w:rPr>
        <w:t>.</w:t>
      </w:r>
      <w:r w:rsidR="00CB1630" w:rsidRPr="00CB1630">
        <w:rPr>
          <w:rFonts w:cs="Times New Roman"/>
          <w:vertAlign w:val="superscript"/>
        </w:rPr>
        <w:t>1</w:t>
      </w:r>
      <w:r w:rsidR="00B214B9" w:rsidRPr="00B214B9">
        <w:rPr>
          <w:rFonts w:cs="Times New Roman"/>
        </w:rPr>
        <w:t xml:space="preserve"> Cluster 2, primarily Hindu and rural, displays a higher proportion of anaemia and lower education levels, reflecting traditional fertility patterns. Cluster 3, with its high fertility rates, is marked by low contraceptive use and high parity, suggesting cultural and religious influences on family planning. Cluster 4, with its Buddhist majority and high contraceptive adoption, demonstrates a strong preference for smaller family sizes.</w:t>
      </w:r>
    </w:p>
    <w:p w14:paraId="37534BA6" w14:textId="79A0B7B8" w:rsidR="00B214B9" w:rsidRPr="00B214B9" w:rsidRDefault="00B214B9" w:rsidP="00B214B9">
      <w:pPr>
        <w:pStyle w:val="BodyText"/>
        <w:jc w:val="both"/>
        <w:rPr>
          <w:rFonts w:cs="Times New Roman"/>
        </w:rPr>
      </w:pPr>
      <w:r w:rsidRPr="00B214B9">
        <w:rPr>
          <w:rFonts w:cs="Times New Roman"/>
        </w:rPr>
        <w:t>The study underscores the necessity of zone-specific policies to address fertility and socio-economic disparities. For Cluster 3, interventions should focus on increasing contraceptive adoption, improving maternal healthcare access, and addressing cultural barriers</w:t>
      </w:r>
      <w:r>
        <w:rPr>
          <w:rFonts w:cs="Times New Roman"/>
        </w:rPr>
        <w:t xml:space="preserve"> </w:t>
      </w:r>
      <w:r w:rsidRPr="00B214B9">
        <w:rPr>
          <w:rFonts w:cs="Times New Roman"/>
        </w:rPr>
        <w:t xml:space="preserve">to family planning. Cluster 4, with its low fertility rates, may require </w:t>
      </w:r>
      <w:r w:rsidR="00211811">
        <w:rPr>
          <w:rFonts w:cs="Times New Roman"/>
        </w:rPr>
        <w:t xml:space="preserve">dedicated </w:t>
      </w:r>
      <w:r w:rsidRPr="00B214B9">
        <w:rPr>
          <w:rFonts w:cs="Times New Roman"/>
        </w:rPr>
        <w:t xml:space="preserve">policies to prevent </w:t>
      </w:r>
      <w:r w:rsidR="00211811">
        <w:rPr>
          <w:rFonts w:cs="Times New Roman"/>
        </w:rPr>
        <w:t>further decline</w:t>
      </w:r>
      <w:r w:rsidRPr="00B214B9">
        <w:rPr>
          <w:rFonts w:cs="Times New Roman"/>
        </w:rPr>
        <w:t>. Cluster 1 and Cluster 2, with moderate fertility and socio-economic challenges, should benefit from targeted health and education programs to enhance contraceptive use and reduce anaemia.</w:t>
      </w:r>
      <w:r w:rsidR="00211811">
        <w:rPr>
          <w:rFonts w:cs="Times New Roman"/>
        </w:rPr>
        <w:t xml:space="preserve"> </w:t>
      </w:r>
      <w:r w:rsidRPr="00B214B9">
        <w:rPr>
          <w:rFonts w:cs="Times New Roman"/>
        </w:rPr>
        <w:t>Future research should explore longitudinal trends in ASFRs</w:t>
      </w:r>
      <w:r w:rsidR="00211811">
        <w:rPr>
          <w:rFonts w:cs="Times New Roman"/>
        </w:rPr>
        <w:t xml:space="preserve"> </w:t>
      </w:r>
      <w:r w:rsidRPr="00B214B9">
        <w:rPr>
          <w:rFonts w:cs="Times New Roman"/>
        </w:rPr>
        <w:t xml:space="preserve">and incorporate additional variables such as contraceptive access, maternal healthcare utilization, and economic development indicators. This will provide deeper insights into the causal pathways influencing fertility </w:t>
      </w:r>
      <w:r w:rsidR="00211811" w:rsidRPr="00B214B9">
        <w:rPr>
          <w:rFonts w:cs="Times New Roman"/>
        </w:rPr>
        <w:t>behaviours</w:t>
      </w:r>
      <w:r w:rsidRPr="00B214B9">
        <w:rPr>
          <w:rFonts w:cs="Times New Roman"/>
        </w:rPr>
        <w:t xml:space="preserve"> and help refine policy interventions.</w:t>
      </w:r>
    </w:p>
    <w:p w14:paraId="61E2784D" w14:textId="77777777" w:rsidR="00355A03" w:rsidRDefault="00355A03" w:rsidP="00BB7067">
      <w:pPr>
        <w:pStyle w:val="FirstParagraph"/>
        <w:jc w:val="both"/>
        <w:rPr>
          <w:rFonts w:cs="Times New Roman"/>
          <w:b/>
          <w:bCs/>
        </w:rPr>
      </w:pPr>
      <w:bookmarkStart w:id="13" w:name="acknowledgements"/>
      <w:bookmarkEnd w:id="7"/>
      <w:bookmarkEnd w:id="12"/>
    </w:p>
    <w:p w14:paraId="2525D22E" w14:textId="08D8C6AB" w:rsidR="00BB7067" w:rsidRDefault="00355A03" w:rsidP="00BB7067">
      <w:pPr>
        <w:pStyle w:val="FirstParagraph"/>
        <w:jc w:val="both"/>
        <w:rPr>
          <w:rFonts w:cs="Times New Roman"/>
        </w:rPr>
      </w:pPr>
      <w:bookmarkStart w:id="14" w:name="authors-contributions"/>
      <w:bookmarkEnd w:id="13"/>
      <w:r w:rsidRPr="00355A03">
        <w:rPr>
          <w:rFonts w:cs="Times New Roman"/>
          <w:b/>
          <w:bCs/>
        </w:rPr>
        <w:t>Individual Authors’ Contributions:</w:t>
      </w:r>
      <w:r>
        <w:rPr>
          <w:rFonts w:cs="Times New Roman"/>
          <w:b/>
          <w:bCs/>
        </w:rPr>
        <w:t xml:space="preserve"> </w:t>
      </w:r>
      <w:r w:rsidR="00BB7067" w:rsidRPr="00355A03">
        <w:rPr>
          <w:rFonts w:cs="Times New Roman"/>
        </w:rPr>
        <w:t>CB: Analysis and Writing of the article, RT: Manuscript editing and review, SS: Analysis of data in R programming.</w:t>
      </w:r>
    </w:p>
    <w:p w14:paraId="27DA23F6" w14:textId="1A7CCD08" w:rsidR="00355A03" w:rsidRDefault="00355A03" w:rsidP="00355A03">
      <w:pPr>
        <w:pStyle w:val="BodyText"/>
        <w:jc w:val="both"/>
      </w:pPr>
      <w:r w:rsidRPr="00355A03">
        <w:rPr>
          <w:b/>
          <w:bCs/>
        </w:rPr>
        <w:t>Availability of Data:</w:t>
      </w:r>
      <w:r>
        <w:t xml:space="preserve"> The NFHS data can be downloaded after approval from the DHS Program (https://dhsprogram.com/data/availabledatasets.cfm)</w:t>
      </w:r>
    </w:p>
    <w:p w14:paraId="6073E9AA" w14:textId="77777777" w:rsidR="00355A03" w:rsidRPr="00355A03" w:rsidRDefault="00355A03" w:rsidP="00355A03">
      <w:pPr>
        <w:pStyle w:val="BodyText"/>
        <w:jc w:val="both"/>
      </w:pPr>
      <w:r w:rsidRPr="00355A03">
        <w:rPr>
          <w:b/>
          <w:bCs/>
        </w:rPr>
        <w:t>No use of generative AI tools</w:t>
      </w:r>
      <w:r>
        <w:t>: This article was prepared without the use of generative AI tools for content creation, analysis, or data generation. All findings and interpretations are based solely on the authors’ independent work and expertise.</w:t>
      </w:r>
    </w:p>
    <w:p w14:paraId="1E433AF5" w14:textId="5F6322B7" w:rsidR="00BB7067" w:rsidRPr="009363C5" w:rsidRDefault="009363C5" w:rsidP="009363C5">
      <w:pPr>
        <w:pStyle w:val="FirstParagraph"/>
        <w:jc w:val="both"/>
        <w:rPr>
          <w:rFonts w:cs="Times New Roman"/>
        </w:rPr>
      </w:pPr>
      <w:bookmarkStart w:id="15" w:name="conflict-of-interest"/>
      <w:bookmarkEnd w:id="14"/>
      <w:r w:rsidRPr="009363C5">
        <w:rPr>
          <w:rFonts w:cs="Times New Roman"/>
          <w:b/>
          <w:bCs/>
        </w:rPr>
        <w:t>Conflict of Interest:</w:t>
      </w:r>
      <w:r>
        <w:rPr>
          <w:rFonts w:cs="Times New Roman"/>
        </w:rPr>
        <w:t xml:space="preserve"> </w:t>
      </w:r>
      <w:r w:rsidR="00BB7067" w:rsidRPr="007031A3">
        <w:rPr>
          <w:rFonts w:cs="Times New Roman"/>
        </w:rPr>
        <w:t>We declare that there are no conflicts of interest associated with this study.</w:t>
      </w:r>
      <w:bookmarkStart w:id="16" w:name="funding"/>
      <w:bookmarkEnd w:id="15"/>
    </w:p>
    <w:p w14:paraId="6A7DA860" w14:textId="77777777" w:rsidR="009363C5" w:rsidRDefault="009363C5" w:rsidP="00AF1C53">
      <w:pPr>
        <w:rPr>
          <w:b/>
          <w:bCs/>
        </w:rPr>
      </w:pPr>
    </w:p>
    <w:p w14:paraId="1FF7C2CB" w14:textId="7937BDEA" w:rsidR="00AF1C53" w:rsidRPr="00AF1C53" w:rsidRDefault="00AF1C53" w:rsidP="00AF1C53">
      <w:pPr>
        <w:rPr>
          <w:b/>
          <w:bCs/>
        </w:rPr>
      </w:pPr>
      <w:r w:rsidRPr="00AF1C53">
        <w:rPr>
          <w:b/>
          <w:bCs/>
        </w:rPr>
        <w:t>REFERNCES</w:t>
      </w:r>
    </w:p>
    <w:bookmarkEnd w:id="16"/>
    <w:p w14:paraId="625C0201" w14:textId="5EFACA1D" w:rsidR="006D11C9" w:rsidRPr="00D11BB1" w:rsidRDefault="006D11C9" w:rsidP="000D300D">
      <w:pPr>
        <w:pStyle w:val="ListParagraph"/>
        <w:numPr>
          <w:ilvl w:val="0"/>
          <w:numId w:val="7"/>
        </w:numPr>
        <w:jc w:val="both"/>
        <w:rPr>
          <w:rFonts w:cs="Times New Roman"/>
        </w:rPr>
      </w:pPr>
      <w:r w:rsidRPr="00D11BB1">
        <w:rPr>
          <w:rFonts w:cs="Times New Roman"/>
        </w:rPr>
        <w:t xml:space="preserve">Baruah C, Talukdar R, Sarma S, </w:t>
      </w:r>
      <w:r w:rsidR="00492CC5" w:rsidRPr="00D11BB1">
        <w:rPr>
          <w:rFonts w:cs="Times New Roman"/>
        </w:rPr>
        <w:t xml:space="preserve">Understanding Fertility Trends of Assam: A District-Level Spatial Analysis Through K-Means Clustering. Natl J Community Med 2025;16(9):895-906. DOI: </w:t>
      </w:r>
      <w:r w:rsidR="00BE2939" w:rsidRPr="00D11BB1">
        <w:rPr>
          <w:rFonts w:cs="Times New Roman"/>
        </w:rPr>
        <w:t>https://doi.org/</w:t>
      </w:r>
      <w:r w:rsidR="00492CC5" w:rsidRPr="00D11BB1">
        <w:rPr>
          <w:rFonts w:cs="Times New Roman"/>
        </w:rPr>
        <w:t>10.55489/njcm.160920255794</w:t>
      </w:r>
    </w:p>
    <w:p w14:paraId="57669C04" w14:textId="24910E70" w:rsidR="00492CC5" w:rsidRPr="00D11BB1" w:rsidRDefault="000A1A8E" w:rsidP="000D300D">
      <w:pPr>
        <w:pStyle w:val="ListParagraph"/>
        <w:numPr>
          <w:ilvl w:val="0"/>
          <w:numId w:val="7"/>
        </w:numPr>
        <w:jc w:val="both"/>
        <w:rPr>
          <w:rFonts w:cs="Times New Roman"/>
        </w:rPr>
      </w:pPr>
      <w:r w:rsidRPr="00D11BB1">
        <w:rPr>
          <w:rFonts w:cs="Times New Roman"/>
        </w:rPr>
        <w:t xml:space="preserve">Joshi S, </w:t>
      </w:r>
      <w:proofErr w:type="spellStart"/>
      <w:r w:rsidRPr="00D11BB1">
        <w:rPr>
          <w:rFonts w:cs="Times New Roman"/>
        </w:rPr>
        <w:t>Uttamacharya</w:t>
      </w:r>
      <w:proofErr w:type="spellEnd"/>
      <w:r w:rsidRPr="00D11BB1">
        <w:rPr>
          <w:rFonts w:cs="Times New Roman"/>
        </w:rPr>
        <w:t xml:space="preserve">, </w:t>
      </w:r>
      <w:proofErr w:type="spellStart"/>
      <w:r w:rsidRPr="00D11BB1">
        <w:rPr>
          <w:rFonts w:cs="Times New Roman"/>
        </w:rPr>
        <w:t>Borkotoky</w:t>
      </w:r>
      <w:proofErr w:type="spellEnd"/>
      <w:r w:rsidRPr="00D11BB1">
        <w:rPr>
          <w:rFonts w:cs="Times New Roman"/>
        </w:rPr>
        <w:t xml:space="preserve"> K, Gautam A, Datta N, Achyut P, Nanda P, Verma R. Spatial Variation in Contraceptive Practice Across the Districts of India, 1998 2016. Spat </w:t>
      </w:r>
      <w:proofErr w:type="spellStart"/>
      <w:r w:rsidRPr="00D11BB1">
        <w:rPr>
          <w:rFonts w:cs="Times New Roman"/>
        </w:rPr>
        <w:t>Demogr</w:t>
      </w:r>
      <w:proofErr w:type="spellEnd"/>
      <w:r w:rsidRPr="00D11BB1">
        <w:rPr>
          <w:rFonts w:cs="Times New Roman"/>
        </w:rPr>
        <w:t xml:space="preserve">.  2021;9(2):241-269. DOI: https://doi.org/10.1007/s40980-021-00092-9 PMid:34722854 </w:t>
      </w:r>
      <w:proofErr w:type="gramStart"/>
      <w:r w:rsidRPr="00D11BB1">
        <w:rPr>
          <w:rFonts w:cs="Times New Roman"/>
        </w:rPr>
        <w:t>PMCid:PMC</w:t>
      </w:r>
      <w:proofErr w:type="gramEnd"/>
      <w:r w:rsidRPr="00D11BB1">
        <w:rPr>
          <w:rFonts w:cs="Times New Roman"/>
        </w:rPr>
        <w:t>8549954</w:t>
      </w:r>
    </w:p>
    <w:p w14:paraId="2AE925A8" w14:textId="693508DB" w:rsidR="00FC4D14" w:rsidRPr="00D11BB1" w:rsidRDefault="00FC4D14" w:rsidP="000D300D">
      <w:pPr>
        <w:pStyle w:val="ListParagraph"/>
        <w:numPr>
          <w:ilvl w:val="0"/>
          <w:numId w:val="7"/>
        </w:numPr>
        <w:jc w:val="both"/>
        <w:rPr>
          <w:rFonts w:cs="Times New Roman"/>
        </w:rPr>
      </w:pPr>
      <w:proofErr w:type="spellStart"/>
      <w:r w:rsidRPr="00D11BB1">
        <w:rPr>
          <w:rFonts w:cs="Times New Roman"/>
        </w:rPr>
        <w:t>Vailaya</w:t>
      </w:r>
      <w:proofErr w:type="spellEnd"/>
      <w:r w:rsidRPr="00D11BB1">
        <w:rPr>
          <w:rFonts w:cs="Times New Roman"/>
        </w:rPr>
        <w:t xml:space="preserve">, CGR, </w:t>
      </w:r>
      <w:proofErr w:type="spellStart"/>
      <w:r w:rsidRPr="00D11BB1">
        <w:rPr>
          <w:rFonts w:cs="Times New Roman"/>
        </w:rPr>
        <w:t>Vailaya</w:t>
      </w:r>
      <w:proofErr w:type="spellEnd"/>
      <w:r w:rsidRPr="00D11BB1">
        <w:rPr>
          <w:rFonts w:cs="Times New Roman"/>
        </w:rPr>
        <w:t xml:space="preserve">, CRS. Study of number of children preferred and knowledge, attitude, and practice regarding birth spacing and contraception among primigravida in an urban setting. </w:t>
      </w:r>
      <w:r w:rsidR="00A621D7" w:rsidRPr="00D11BB1">
        <w:rPr>
          <w:rFonts w:cs="Times New Roman"/>
        </w:rPr>
        <w:t xml:space="preserve">Int J </w:t>
      </w:r>
      <w:proofErr w:type="spellStart"/>
      <w:r w:rsidR="00A621D7" w:rsidRPr="00D11BB1">
        <w:rPr>
          <w:rFonts w:cs="Times New Roman"/>
        </w:rPr>
        <w:t>Contemp</w:t>
      </w:r>
      <w:proofErr w:type="spellEnd"/>
      <w:r w:rsidR="00A621D7" w:rsidRPr="00D11BB1">
        <w:rPr>
          <w:rFonts w:cs="Times New Roman"/>
        </w:rPr>
        <w:t xml:space="preserve"> </w:t>
      </w:r>
      <w:proofErr w:type="spellStart"/>
      <w:r w:rsidR="00A621D7" w:rsidRPr="00D11BB1">
        <w:rPr>
          <w:rFonts w:cs="Times New Roman"/>
        </w:rPr>
        <w:t>Pediatr</w:t>
      </w:r>
      <w:proofErr w:type="spellEnd"/>
      <w:r w:rsidR="00BE2939" w:rsidRPr="00D11BB1">
        <w:rPr>
          <w:rFonts w:cs="Times New Roman"/>
        </w:rPr>
        <w:t>, 2020;</w:t>
      </w:r>
      <w:r w:rsidR="00A621D7" w:rsidRPr="00D11BB1">
        <w:rPr>
          <w:rFonts w:cs="Times New Roman"/>
        </w:rPr>
        <w:t>7(4):757-63.</w:t>
      </w:r>
      <w:r w:rsidR="00BE2939" w:rsidRPr="00D11BB1">
        <w:rPr>
          <w:rFonts w:cs="Times New Roman"/>
        </w:rPr>
        <w:t xml:space="preserve"> DOI: https://doi.org/10.18203/2349-3291.ijcp20201003</w:t>
      </w:r>
    </w:p>
    <w:p w14:paraId="4D56551A" w14:textId="5F6AA66D" w:rsidR="00FC4D14" w:rsidRPr="00D11BB1" w:rsidRDefault="00FC4D14" w:rsidP="000D300D">
      <w:pPr>
        <w:pStyle w:val="ListParagraph"/>
        <w:numPr>
          <w:ilvl w:val="0"/>
          <w:numId w:val="7"/>
        </w:numPr>
        <w:jc w:val="both"/>
        <w:rPr>
          <w:rFonts w:cs="Times New Roman"/>
        </w:rPr>
      </w:pPr>
      <w:proofErr w:type="spellStart"/>
      <w:r w:rsidRPr="00D11BB1">
        <w:rPr>
          <w:rFonts w:cs="Times New Roman"/>
        </w:rPr>
        <w:t>Visaria</w:t>
      </w:r>
      <w:proofErr w:type="spellEnd"/>
      <w:r w:rsidRPr="00D11BB1">
        <w:rPr>
          <w:rFonts w:cs="Times New Roman"/>
        </w:rPr>
        <w:t xml:space="preserve">, L. India’s date with second demographic transition. China Population and Development Studies, </w:t>
      </w:r>
      <w:r w:rsidR="00BE2939" w:rsidRPr="00D11BB1">
        <w:rPr>
          <w:rFonts w:cs="Times New Roman"/>
        </w:rPr>
        <w:t>2022;</w:t>
      </w:r>
      <w:r w:rsidRPr="00D11BB1">
        <w:rPr>
          <w:rFonts w:cs="Times New Roman"/>
        </w:rPr>
        <w:t>6(3)</w:t>
      </w:r>
      <w:r w:rsidR="00BE2939" w:rsidRPr="00D11BB1">
        <w:rPr>
          <w:rFonts w:cs="Times New Roman"/>
        </w:rPr>
        <w:t>:</w:t>
      </w:r>
      <w:r w:rsidRPr="00D11BB1">
        <w:rPr>
          <w:rFonts w:cs="Times New Roman"/>
        </w:rPr>
        <w:t xml:space="preserve">316–337. </w:t>
      </w:r>
      <w:r w:rsidR="00AF1C53" w:rsidRPr="00D11BB1">
        <w:rPr>
          <w:rFonts w:cs="Times New Roman"/>
        </w:rPr>
        <w:t xml:space="preserve">DOI: </w:t>
      </w:r>
      <w:r w:rsidRPr="00D11BB1">
        <w:rPr>
          <w:rFonts w:cs="Times New Roman"/>
        </w:rPr>
        <w:t>https://doi.org/10.1007/s42379-022-00117-w</w:t>
      </w:r>
    </w:p>
    <w:p w14:paraId="2CE4A7B2" w14:textId="26F132A0" w:rsidR="00FC4D14" w:rsidRPr="00D11BB1" w:rsidRDefault="00FC4D14" w:rsidP="000D300D">
      <w:pPr>
        <w:pStyle w:val="ListParagraph"/>
        <w:numPr>
          <w:ilvl w:val="0"/>
          <w:numId w:val="7"/>
        </w:numPr>
        <w:jc w:val="both"/>
        <w:rPr>
          <w:rFonts w:cs="Times New Roman"/>
        </w:rPr>
      </w:pPr>
      <w:r w:rsidRPr="00D11BB1">
        <w:rPr>
          <w:rFonts w:cs="Times New Roman"/>
        </w:rPr>
        <w:t xml:space="preserve">Tiwari, AK, Maurya, RK, Singh, PK. Proximate determinants of fertility in India and estimation of total fertility rate. Brazilian Journal of Biometrics, </w:t>
      </w:r>
      <w:r w:rsidR="00AF1C53" w:rsidRPr="00D11BB1">
        <w:rPr>
          <w:rFonts w:cs="Times New Roman"/>
        </w:rPr>
        <w:t>2025;</w:t>
      </w:r>
      <w:r w:rsidRPr="00D11BB1">
        <w:rPr>
          <w:rFonts w:cs="Times New Roman"/>
        </w:rPr>
        <w:t>43(1)</w:t>
      </w:r>
      <w:r w:rsidR="00AF1C53" w:rsidRPr="00D11BB1">
        <w:rPr>
          <w:rFonts w:cs="Times New Roman"/>
        </w:rPr>
        <w:t>:</w:t>
      </w:r>
      <w:r w:rsidRPr="00D11BB1">
        <w:rPr>
          <w:rFonts w:cs="Times New Roman"/>
        </w:rPr>
        <w:t xml:space="preserve"> 1–15. </w:t>
      </w:r>
      <w:r w:rsidR="00AF1C53" w:rsidRPr="00D11BB1">
        <w:rPr>
          <w:rFonts w:cs="Times New Roman"/>
        </w:rPr>
        <w:t xml:space="preserve">DOI: </w:t>
      </w:r>
      <w:r w:rsidRPr="00D11BB1">
        <w:rPr>
          <w:rFonts w:cs="Times New Roman"/>
        </w:rPr>
        <w:t>https://doi.org/10.28951/bjb.v43i3.771</w:t>
      </w:r>
    </w:p>
    <w:p w14:paraId="67FDBB69" w14:textId="77777777" w:rsidR="00364BF4" w:rsidRPr="00D11BB1" w:rsidRDefault="00364BF4" w:rsidP="000D300D">
      <w:pPr>
        <w:pStyle w:val="ListParagraph"/>
        <w:numPr>
          <w:ilvl w:val="0"/>
          <w:numId w:val="7"/>
        </w:numPr>
        <w:jc w:val="both"/>
        <w:rPr>
          <w:rFonts w:cs="Times New Roman"/>
        </w:rPr>
      </w:pPr>
      <w:r w:rsidRPr="00D11BB1">
        <w:rPr>
          <w:rFonts w:cs="Times New Roman"/>
        </w:rPr>
        <w:t xml:space="preserve">Halli SS, et al. Fertility and family planning in Uttar Pradesh, India: major progress and persistent gaps. </w:t>
      </w:r>
      <w:proofErr w:type="spellStart"/>
      <w:r w:rsidRPr="00D11BB1">
        <w:rPr>
          <w:rFonts w:cs="Times New Roman"/>
        </w:rPr>
        <w:t>Reprod</w:t>
      </w:r>
      <w:proofErr w:type="spellEnd"/>
      <w:r w:rsidRPr="00D11BB1">
        <w:rPr>
          <w:rFonts w:cs="Times New Roman"/>
        </w:rPr>
        <w:t xml:space="preserve"> Health. 2019;16(1):1-10. DOI: https://doi.org/10.1186/s12978-019- 0790-x PMid:31443724 </w:t>
      </w:r>
      <w:proofErr w:type="gramStart"/>
      <w:r w:rsidRPr="00D11BB1">
        <w:rPr>
          <w:rFonts w:cs="Times New Roman"/>
        </w:rPr>
        <w:t>PMCid:PMC</w:t>
      </w:r>
      <w:proofErr w:type="gramEnd"/>
      <w:r w:rsidRPr="00D11BB1">
        <w:rPr>
          <w:rFonts w:cs="Times New Roman"/>
        </w:rPr>
        <w:t xml:space="preserve">6706892 </w:t>
      </w:r>
    </w:p>
    <w:p w14:paraId="728D54C8" w14:textId="0F747991" w:rsidR="00FC4D14" w:rsidRPr="00D11BB1" w:rsidRDefault="002909CE" w:rsidP="000D300D">
      <w:pPr>
        <w:pStyle w:val="ListParagraph"/>
        <w:numPr>
          <w:ilvl w:val="0"/>
          <w:numId w:val="7"/>
        </w:numPr>
        <w:jc w:val="both"/>
        <w:rPr>
          <w:rFonts w:cs="Times New Roman"/>
        </w:rPr>
      </w:pPr>
      <w:r w:rsidRPr="00D11BB1">
        <w:rPr>
          <w:rFonts w:cs="Times New Roman"/>
        </w:rPr>
        <w:lastRenderedPageBreak/>
        <w:t>Goli S, James KS, Singh D, Srinivasan V, Mishra R, Rana MJ, et al. Economic returns of family planning and fertility decline in India, 1991–2061. Journal of Demographic Economics. 2023;89(1):29–61. DOI: https://doi.org/10.1017/dem.2021.3</w:t>
      </w:r>
    </w:p>
    <w:p w14:paraId="66E4464C" w14:textId="60F563C0" w:rsidR="009F65FC" w:rsidRPr="00D11BB1" w:rsidRDefault="009F65FC" w:rsidP="000D300D">
      <w:pPr>
        <w:pStyle w:val="ListParagraph"/>
        <w:numPr>
          <w:ilvl w:val="0"/>
          <w:numId w:val="7"/>
        </w:numPr>
        <w:jc w:val="both"/>
        <w:rPr>
          <w:rFonts w:cs="Times New Roman"/>
        </w:rPr>
      </w:pPr>
      <w:r w:rsidRPr="00D11BB1">
        <w:rPr>
          <w:rFonts w:cs="Times New Roman"/>
        </w:rPr>
        <w:t xml:space="preserve">Park N, Vyas S, Broussard K, Spears D. Near-universal marriage, early childbearing, and low fertility: India’s alternative fertility transition. </w:t>
      </w:r>
      <w:proofErr w:type="spellStart"/>
      <w:r w:rsidRPr="00D11BB1">
        <w:rPr>
          <w:rFonts w:cs="Times New Roman"/>
        </w:rPr>
        <w:t>Demogr</w:t>
      </w:r>
      <w:proofErr w:type="spellEnd"/>
      <w:r w:rsidRPr="00D11BB1">
        <w:rPr>
          <w:rFonts w:cs="Times New Roman"/>
        </w:rPr>
        <w:t xml:space="preserve"> Res. 2023;48(34):945-956. DOI: https://doi.org/10.4054/DemRes.2023.48.34.</w:t>
      </w:r>
    </w:p>
    <w:p w14:paraId="27A2B1AE" w14:textId="2696165A" w:rsidR="00CD6F6E" w:rsidRPr="00D11BB1" w:rsidRDefault="00CD6F6E" w:rsidP="000D300D">
      <w:pPr>
        <w:pStyle w:val="ListParagraph"/>
        <w:numPr>
          <w:ilvl w:val="0"/>
          <w:numId w:val="7"/>
        </w:numPr>
        <w:jc w:val="both"/>
        <w:rPr>
          <w:rFonts w:cs="Times New Roman"/>
        </w:rPr>
      </w:pPr>
      <w:r w:rsidRPr="00D11BB1">
        <w:rPr>
          <w:rFonts w:cs="Times New Roman"/>
        </w:rPr>
        <w:t xml:space="preserve">Menon, RJ. (2025). Reimagining Ageing and Later-Life Care: The Perspectives of Childfree Adults in Urban India. Soc, </w:t>
      </w:r>
      <w:r w:rsidR="00364BF4" w:rsidRPr="00D11BB1">
        <w:rPr>
          <w:rFonts w:cs="Times New Roman"/>
        </w:rPr>
        <w:t>2025;</w:t>
      </w:r>
      <w:r w:rsidRPr="00D11BB1">
        <w:rPr>
          <w:rFonts w:cs="Times New Roman"/>
        </w:rPr>
        <w:t>62</w:t>
      </w:r>
      <w:r w:rsidR="00364BF4" w:rsidRPr="00D11BB1">
        <w:rPr>
          <w:rFonts w:cs="Times New Roman"/>
        </w:rPr>
        <w:t>:</w:t>
      </w:r>
      <w:r w:rsidRPr="00D11BB1">
        <w:rPr>
          <w:rFonts w:cs="Times New Roman"/>
        </w:rPr>
        <w:t xml:space="preserve">183–194. </w:t>
      </w:r>
      <w:r w:rsidR="00364BF4" w:rsidRPr="00D11BB1">
        <w:rPr>
          <w:rFonts w:cs="Times New Roman"/>
        </w:rPr>
        <w:t xml:space="preserve">DOI: </w:t>
      </w:r>
      <w:r w:rsidRPr="00D11BB1">
        <w:rPr>
          <w:rFonts w:cs="Times New Roman"/>
        </w:rPr>
        <w:t>https://doi.org/10.1007/s12115-025-01065-0</w:t>
      </w:r>
    </w:p>
    <w:p w14:paraId="4A704DB6" w14:textId="3369C8FA" w:rsidR="000E0160" w:rsidRPr="00D11BB1" w:rsidRDefault="003C29B1" w:rsidP="000D300D">
      <w:pPr>
        <w:pStyle w:val="ListParagraph"/>
        <w:numPr>
          <w:ilvl w:val="0"/>
          <w:numId w:val="7"/>
        </w:numPr>
        <w:jc w:val="both"/>
        <w:rPr>
          <w:rFonts w:cs="Times New Roman"/>
        </w:rPr>
      </w:pPr>
      <w:r w:rsidRPr="00D11BB1">
        <w:rPr>
          <w:rFonts w:cs="Times New Roman"/>
        </w:rPr>
        <w:t>Chakravorty S, Goli S, James KS. Family demography in India: emerging patterns and its challenges. Sage Open. 2021;11(2). DOI: https://doi.org/10.1177/21582440211008178</w:t>
      </w:r>
    </w:p>
    <w:p w14:paraId="79C605DC" w14:textId="256105F6" w:rsidR="009F65FC" w:rsidRPr="00D11BB1" w:rsidRDefault="009F65FC" w:rsidP="000D300D">
      <w:pPr>
        <w:pStyle w:val="ListParagraph"/>
        <w:numPr>
          <w:ilvl w:val="0"/>
          <w:numId w:val="7"/>
        </w:numPr>
        <w:jc w:val="both"/>
        <w:rPr>
          <w:rFonts w:cs="Times New Roman"/>
        </w:rPr>
      </w:pPr>
      <w:r w:rsidRPr="00D11BB1">
        <w:rPr>
          <w:rFonts w:cs="Times New Roman"/>
        </w:rPr>
        <w:t xml:space="preserve">Bharti A, Kumar A, Singh BP. Trend </w:t>
      </w:r>
      <w:r w:rsidR="007C1BEE" w:rsidRPr="00D11BB1">
        <w:rPr>
          <w:rFonts w:cs="Times New Roman"/>
        </w:rPr>
        <w:t>of</w:t>
      </w:r>
      <w:r w:rsidRPr="00D11BB1">
        <w:rPr>
          <w:rFonts w:cs="Times New Roman"/>
        </w:rPr>
        <w:t xml:space="preserve"> Synthetic Parity Progression Ratio (</w:t>
      </w:r>
      <w:r w:rsidR="007C1BEE" w:rsidRPr="00D11BB1">
        <w:rPr>
          <w:rFonts w:cs="Times New Roman"/>
        </w:rPr>
        <w:t>SPPR</w:t>
      </w:r>
      <w:r w:rsidRPr="00D11BB1">
        <w:rPr>
          <w:rFonts w:cs="Times New Roman"/>
        </w:rPr>
        <w:t xml:space="preserve">) Of India: Evidence </w:t>
      </w:r>
      <w:r w:rsidR="007C1BEE" w:rsidRPr="00D11BB1">
        <w:rPr>
          <w:rFonts w:cs="Times New Roman"/>
        </w:rPr>
        <w:t>from</w:t>
      </w:r>
      <w:r w:rsidRPr="00D11BB1">
        <w:rPr>
          <w:rFonts w:cs="Times New Roman"/>
        </w:rPr>
        <w:t xml:space="preserve"> National Family Health Surveys. JRSS. 2019;12(02):153-72. DOI: https://doi.org/10.13052/jrss2229-5666.12212</w:t>
      </w:r>
    </w:p>
    <w:p w14:paraId="55065A92" w14:textId="63C3A84D" w:rsidR="00430D0C" w:rsidRPr="00D11BB1" w:rsidRDefault="00430D0C" w:rsidP="000D300D">
      <w:pPr>
        <w:pStyle w:val="ListParagraph"/>
        <w:numPr>
          <w:ilvl w:val="0"/>
          <w:numId w:val="7"/>
        </w:numPr>
        <w:jc w:val="both"/>
        <w:rPr>
          <w:rFonts w:cs="Times New Roman"/>
        </w:rPr>
      </w:pPr>
      <w:r w:rsidRPr="00D11BB1">
        <w:rPr>
          <w:rFonts w:cs="Times New Roman"/>
        </w:rPr>
        <w:t xml:space="preserve">Majumder N, Ram F. Explaining the role of proximate determinants on fertility decline among poor and non-poor in Asian countries. </w:t>
      </w:r>
      <w:proofErr w:type="spellStart"/>
      <w:r w:rsidRPr="00D11BB1">
        <w:rPr>
          <w:rFonts w:cs="Times New Roman"/>
        </w:rPr>
        <w:t>PLoS</w:t>
      </w:r>
      <w:proofErr w:type="spellEnd"/>
      <w:r w:rsidRPr="00D11BB1">
        <w:rPr>
          <w:rFonts w:cs="Times New Roman"/>
        </w:rPr>
        <w:t xml:space="preserve"> ONE, 2015;10(2</w:t>
      </w:r>
      <w:proofErr w:type="gramStart"/>
      <w:r w:rsidRPr="00D11BB1">
        <w:rPr>
          <w:rFonts w:cs="Times New Roman"/>
        </w:rPr>
        <w:t>):e</w:t>
      </w:r>
      <w:proofErr w:type="gramEnd"/>
      <w:r w:rsidRPr="00D11BB1">
        <w:rPr>
          <w:rFonts w:cs="Times New Roman"/>
        </w:rPr>
        <w:t>0115441. DOI: https://doi.org/10.1371/journal.pone.0115441</w:t>
      </w:r>
    </w:p>
    <w:p w14:paraId="325AF0FC" w14:textId="57E52911" w:rsidR="000D300D" w:rsidRPr="00D11BB1" w:rsidRDefault="000D300D" w:rsidP="000D300D">
      <w:pPr>
        <w:pStyle w:val="ListParagraph"/>
        <w:numPr>
          <w:ilvl w:val="0"/>
          <w:numId w:val="7"/>
        </w:numPr>
        <w:jc w:val="both"/>
        <w:rPr>
          <w:rFonts w:cs="Times New Roman"/>
        </w:rPr>
      </w:pPr>
      <w:proofErr w:type="spellStart"/>
      <w:r w:rsidRPr="00D11BB1">
        <w:rPr>
          <w:rFonts w:cs="Times New Roman"/>
        </w:rPr>
        <w:t>Gietel-Basten</w:t>
      </w:r>
      <w:proofErr w:type="spellEnd"/>
      <w:r w:rsidRPr="00D11BB1">
        <w:rPr>
          <w:rFonts w:cs="Times New Roman"/>
        </w:rPr>
        <w:t xml:space="preserve"> S, </w:t>
      </w:r>
      <w:proofErr w:type="spellStart"/>
      <w:r w:rsidRPr="00D11BB1">
        <w:rPr>
          <w:rFonts w:cs="Times New Roman"/>
        </w:rPr>
        <w:t>Scherbov</w:t>
      </w:r>
      <w:proofErr w:type="spellEnd"/>
      <w:r w:rsidRPr="00D11BB1">
        <w:rPr>
          <w:rFonts w:cs="Times New Roman"/>
        </w:rPr>
        <w:t xml:space="preserve"> S. Is half the world’s population really below ‘replacement-rate’? </w:t>
      </w:r>
      <w:proofErr w:type="spellStart"/>
      <w:r w:rsidRPr="00D11BB1">
        <w:rPr>
          <w:rFonts w:cs="Times New Roman"/>
        </w:rPr>
        <w:t>PLoS</w:t>
      </w:r>
      <w:proofErr w:type="spellEnd"/>
      <w:r w:rsidRPr="00D11BB1">
        <w:rPr>
          <w:rFonts w:cs="Times New Roman"/>
        </w:rPr>
        <w:t xml:space="preserve"> ONE, 2019;14(12): e0224985. DOI: https://doi.org/10.1371/journal.pone.0224985</w:t>
      </w:r>
    </w:p>
    <w:p w14:paraId="640A4789" w14:textId="547D88D9" w:rsidR="000D300D" w:rsidRPr="00D11BB1" w:rsidRDefault="000D300D" w:rsidP="000D300D">
      <w:pPr>
        <w:pStyle w:val="ListParagraph"/>
        <w:numPr>
          <w:ilvl w:val="0"/>
          <w:numId w:val="7"/>
        </w:numPr>
        <w:jc w:val="both"/>
        <w:rPr>
          <w:rFonts w:cs="Times New Roman"/>
        </w:rPr>
      </w:pPr>
      <w:r w:rsidRPr="00D11BB1">
        <w:rPr>
          <w:rFonts w:cs="Times New Roman"/>
        </w:rPr>
        <w:t>International Institute for Population Sciences (IIPS). National Family Health Survey (NFHS 5) 2019-20: India Report. IIPS; 2021. Available from: https://www.dhsprogram.com/pubs/ pdf/FR375/FR375.pdf [Accessed on April 05, 2025]</w:t>
      </w:r>
    </w:p>
    <w:p w14:paraId="010D16E1" w14:textId="77777777" w:rsidR="000D300D" w:rsidRPr="00D11BB1" w:rsidRDefault="000D300D" w:rsidP="000D300D">
      <w:pPr>
        <w:pStyle w:val="ListParagraph"/>
        <w:numPr>
          <w:ilvl w:val="0"/>
          <w:numId w:val="7"/>
        </w:numPr>
        <w:jc w:val="both"/>
        <w:rPr>
          <w:rFonts w:cs="Times New Roman"/>
        </w:rPr>
      </w:pPr>
      <w:r w:rsidRPr="00D11BB1">
        <w:rPr>
          <w:rFonts w:cs="Times New Roman"/>
        </w:rPr>
        <w:t xml:space="preserve">Chakraborty S. Monitoring COVID-19 cases and vaccination in Indian states and union territories using unsupervised machine learning algorithm. Ann Data Sci. 2022;10(5):967-989. DOI: https://doi.org/10.1007/s40745-022-00404-w </w:t>
      </w:r>
    </w:p>
    <w:p w14:paraId="47915B0C" w14:textId="623CC683" w:rsidR="000D300D" w:rsidRPr="00D11BB1" w:rsidRDefault="00EA6F05" w:rsidP="000D300D">
      <w:pPr>
        <w:pStyle w:val="ListParagraph"/>
        <w:numPr>
          <w:ilvl w:val="0"/>
          <w:numId w:val="7"/>
        </w:numPr>
        <w:jc w:val="both"/>
        <w:rPr>
          <w:rFonts w:cs="Times New Roman"/>
        </w:rPr>
      </w:pPr>
      <w:proofErr w:type="spellStart"/>
      <w:r w:rsidRPr="00D11BB1">
        <w:t>Striessnig</w:t>
      </w:r>
      <w:proofErr w:type="spellEnd"/>
      <w:r w:rsidRPr="00D11BB1">
        <w:t xml:space="preserve"> E, Bora JK. Under-five child growth and nutrition status: spatial clustering of Indian districts. Spat </w:t>
      </w:r>
      <w:proofErr w:type="spellStart"/>
      <w:r w:rsidRPr="00D11BB1">
        <w:t>Demogr</w:t>
      </w:r>
      <w:proofErr w:type="spellEnd"/>
      <w:r w:rsidRPr="00D11BB1">
        <w:t xml:space="preserve">. 2020;8(1):63-84. DOI: https://doi.org/10.1007/s40980-020- 00058-3 </w:t>
      </w:r>
    </w:p>
    <w:p w14:paraId="63FA4153" w14:textId="622F6115" w:rsidR="00EA6F05" w:rsidRPr="00D11BB1" w:rsidRDefault="00EA6F05" w:rsidP="000D300D">
      <w:pPr>
        <w:pStyle w:val="ListParagraph"/>
        <w:numPr>
          <w:ilvl w:val="0"/>
          <w:numId w:val="7"/>
        </w:numPr>
        <w:jc w:val="both"/>
        <w:rPr>
          <w:rFonts w:cs="Times New Roman"/>
        </w:rPr>
      </w:pPr>
      <w:r w:rsidRPr="00D11BB1">
        <w:t>J T, Kumar S, Panda PS, et al. Geospatial hotspot analysis and endemicity trends of missing and unrecovered children in India. Cureus. 2023;15(6</w:t>
      </w:r>
      <w:proofErr w:type="gramStart"/>
      <w:r w:rsidRPr="00D11BB1">
        <w:t>):e</w:t>
      </w:r>
      <w:proofErr w:type="gramEnd"/>
      <w:r w:rsidRPr="00D11BB1">
        <w:t xml:space="preserve">39955. DOI: https://doi.org/10.7759/cureus.39955 PMID: 37416019; PMCID: PMC10319941. </w:t>
      </w:r>
    </w:p>
    <w:p w14:paraId="287811DE" w14:textId="77777777" w:rsidR="00EA6F05" w:rsidRPr="00D11BB1" w:rsidRDefault="00EA6F05" w:rsidP="00EA6F05">
      <w:pPr>
        <w:pStyle w:val="ListParagraph"/>
        <w:numPr>
          <w:ilvl w:val="0"/>
          <w:numId w:val="7"/>
        </w:numPr>
        <w:jc w:val="both"/>
        <w:rPr>
          <w:rFonts w:cs="Times New Roman"/>
        </w:rPr>
      </w:pPr>
      <w:r w:rsidRPr="00D11BB1">
        <w:rPr>
          <w:rFonts w:cs="Times New Roman"/>
        </w:rPr>
        <w:t xml:space="preserve">Dube M, Yadav SK, Singh V. Uncovering regional disparities in infrastructural development of Uttar Pradesh: an exploratory factor analysis. J </w:t>
      </w:r>
      <w:proofErr w:type="spellStart"/>
      <w:r w:rsidRPr="00D11BB1">
        <w:rPr>
          <w:rFonts w:cs="Times New Roman"/>
        </w:rPr>
        <w:t>Reliab</w:t>
      </w:r>
      <w:proofErr w:type="spellEnd"/>
      <w:r w:rsidRPr="00D11BB1">
        <w:rPr>
          <w:rFonts w:cs="Times New Roman"/>
        </w:rPr>
        <w:t xml:space="preserve"> Stat Stud. 2022;15(1):21-36. DOI: https://doi.org/10.13052/jrss0974-8024.1512 </w:t>
      </w:r>
    </w:p>
    <w:p w14:paraId="21523217" w14:textId="62B33ABE" w:rsidR="00EA6F05" w:rsidRPr="00D11BB1" w:rsidRDefault="00EA6F05" w:rsidP="00EA6F05">
      <w:pPr>
        <w:pStyle w:val="ListParagraph"/>
        <w:numPr>
          <w:ilvl w:val="0"/>
          <w:numId w:val="7"/>
        </w:numPr>
        <w:jc w:val="both"/>
        <w:rPr>
          <w:rFonts w:cs="Times New Roman"/>
        </w:rPr>
      </w:pPr>
      <w:r w:rsidRPr="00D11BB1">
        <w:rPr>
          <w:rFonts w:cs="Times New Roman"/>
        </w:rPr>
        <w:t xml:space="preserve">Kumar S. Monitoring novel corona virus (COVID-19) infections in India by cluster analysis. Ann Data Sci. 2020;7(3):417-425. DOI: https://doi.org/10.1007/s40745-020-00289-7 </w:t>
      </w:r>
    </w:p>
    <w:p w14:paraId="695857EC" w14:textId="2986E1A7" w:rsidR="00EA6F05" w:rsidRPr="00D11BB1" w:rsidRDefault="00EA6F05" w:rsidP="00EA6F05">
      <w:pPr>
        <w:pStyle w:val="ListParagraph"/>
        <w:numPr>
          <w:ilvl w:val="0"/>
          <w:numId w:val="7"/>
        </w:numPr>
        <w:jc w:val="both"/>
        <w:rPr>
          <w:rFonts w:cs="Times New Roman"/>
        </w:rPr>
      </w:pPr>
      <w:proofErr w:type="spellStart"/>
      <w:r w:rsidRPr="00D11BB1">
        <w:rPr>
          <w:rFonts w:cs="Times New Roman"/>
        </w:rPr>
        <w:t>Matheswaran</w:t>
      </w:r>
      <w:proofErr w:type="spellEnd"/>
      <w:r w:rsidRPr="00D11BB1">
        <w:rPr>
          <w:rFonts w:cs="Times New Roman"/>
        </w:rPr>
        <w:t xml:space="preserve"> K, </w:t>
      </w:r>
      <w:proofErr w:type="spellStart"/>
      <w:r w:rsidRPr="00D11BB1">
        <w:rPr>
          <w:rFonts w:cs="Times New Roman"/>
        </w:rPr>
        <w:t>Alahacoon</w:t>
      </w:r>
      <w:proofErr w:type="spellEnd"/>
      <w:r w:rsidRPr="00D11BB1">
        <w:rPr>
          <w:rFonts w:cs="Times New Roman"/>
        </w:rPr>
        <w:t xml:space="preserve"> N, Pandey RK, Amarnath G. Flood risk assessment in South Asia to prioritize flood index insurance applications in Bihar, India. </w:t>
      </w:r>
      <w:proofErr w:type="spellStart"/>
      <w:r w:rsidRPr="00D11BB1">
        <w:rPr>
          <w:rFonts w:cs="Times New Roman"/>
        </w:rPr>
        <w:t>Geomat</w:t>
      </w:r>
      <w:proofErr w:type="spellEnd"/>
      <w:r w:rsidRPr="00D11BB1">
        <w:rPr>
          <w:rFonts w:cs="Times New Roman"/>
        </w:rPr>
        <w:t xml:space="preserve"> Nat Hazards Risk. 2018;10(1):26-48. DOI: https://doi.org/10.1080/19 475705. 2018.1500495 </w:t>
      </w:r>
    </w:p>
    <w:p w14:paraId="7BBE7A3E" w14:textId="45DF9377" w:rsidR="00EA6F05" w:rsidRPr="00D11BB1" w:rsidRDefault="00EA6F05" w:rsidP="00EA6F05">
      <w:pPr>
        <w:pStyle w:val="ListParagraph"/>
        <w:numPr>
          <w:ilvl w:val="0"/>
          <w:numId w:val="7"/>
        </w:numPr>
        <w:jc w:val="both"/>
        <w:rPr>
          <w:rFonts w:cs="Times New Roman"/>
        </w:rPr>
      </w:pPr>
      <w:r w:rsidRPr="00D11BB1">
        <w:rPr>
          <w:rFonts w:cs="Times New Roman"/>
        </w:rPr>
        <w:t xml:space="preserve">Adolfsson A, Ackerman M, Brownstein NC. To cluster, or not to cluster: an analysis of </w:t>
      </w:r>
      <w:proofErr w:type="spellStart"/>
      <w:r w:rsidRPr="00D11BB1">
        <w:rPr>
          <w:rFonts w:cs="Times New Roman"/>
        </w:rPr>
        <w:t>clusterability</w:t>
      </w:r>
      <w:proofErr w:type="spellEnd"/>
      <w:r w:rsidRPr="00D11BB1">
        <w:rPr>
          <w:rFonts w:cs="Times New Roman"/>
        </w:rPr>
        <w:t xml:space="preserve"> methods. Pattern </w:t>
      </w:r>
      <w:proofErr w:type="spellStart"/>
      <w:r w:rsidRPr="00D11BB1">
        <w:rPr>
          <w:rFonts w:cs="Times New Roman"/>
        </w:rPr>
        <w:t>Recognit</w:t>
      </w:r>
      <w:proofErr w:type="spellEnd"/>
      <w:r w:rsidRPr="00D11BB1">
        <w:rPr>
          <w:rFonts w:cs="Times New Roman"/>
        </w:rPr>
        <w:t>. 2019;88(1):13-26. DOI: https://doi.org/10.1016/j.patcog. 2018.10.026</w:t>
      </w:r>
    </w:p>
    <w:p w14:paraId="12DC76DA" w14:textId="24185005" w:rsidR="00EA6F05" w:rsidRPr="00D11BB1" w:rsidRDefault="00EA6F05" w:rsidP="00EA6F05">
      <w:pPr>
        <w:pStyle w:val="ListParagraph"/>
        <w:numPr>
          <w:ilvl w:val="0"/>
          <w:numId w:val="7"/>
        </w:numPr>
        <w:jc w:val="both"/>
        <w:rPr>
          <w:rFonts w:cs="Times New Roman"/>
        </w:rPr>
      </w:pPr>
      <w:r w:rsidRPr="00D11BB1">
        <w:rPr>
          <w:rFonts w:cs="Times New Roman"/>
        </w:rPr>
        <w:t xml:space="preserve">Eaton J, Masquelier B. </w:t>
      </w:r>
      <w:proofErr w:type="spellStart"/>
      <w:r w:rsidRPr="00D11BB1">
        <w:rPr>
          <w:rFonts w:cs="Times New Roman"/>
        </w:rPr>
        <w:t>demogsurv</w:t>
      </w:r>
      <w:proofErr w:type="spellEnd"/>
      <w:r w:rsidRPr="00D11BB1">
        <w:rPr>
          <w:rFonts w:cs="Times New Roman"/>
        </w:rPr>
        <w:t xml:space="preserve">: Demographic analysis of DHS and other household surveys [R package]. Version 0.2.6. 2025 [cited 2025 Jul 16]. Available from: https://github.com/ </w:t>
      </w:r>
      <w:proofErr w:type="spellStart"/>
      <w:r w:rsidRPr="00D11BB1">
        <w:rPr>
          <w:rFonts w:cs="Times New Roman"/>
        </w:rPr>
        <w:t>mrc</w:t>
      </w:r>
      <w:proofErr w:type="spellEnd"/>
      <w:r w:rsidRPr="00D11BB1">
        <w:rPr>
          <w:rFonts w:cs="Times New Roman"/>
        </w:rPr>
        <w:t>-ide/</w:t>
      </w:r>
      <w:proofErr w:type="spellStart"/>
      <w:r w:rsidRPr="00D11BB1">
        <w:rPr>
          <w:rFonts w:cs="Times New Roman"/>
        </w:rPr>
        <w:t>demogsurv</w:t>
      </w:r>
      <w:proofErr w:type="spellEnd"/>
      <w:r w:rsidRPr="00D11BB1">
        <w:rPr>
          <w:rFonts w:cs="Times New Roman"/>
        </w:rPr>
        <w:t xml:space="preserve">/tree/0389352e6cdd366f9b1324a0ffe 837081c587d86 </w:t>
      </w:r>
    </w:p>
    <w:p w14:paraId="2EC83DDD" w14:textId="732AAC6E" w:rsidR="00EA6F05" w:rsidRPr="00D11BB1" w:rsidRDefault="00EA6F05" w:rsidP="00EA6F05">
      <w:pPr>
        <w:pStyle w:val="ListParagraph"/>
        <w:numPr>
          <w:ilvl w:val="0"/>
          <w:numId w:val="7"/>
        </w:numPr>
        <w:jc w:val="both"/>
        <w:rPr>
          <w:rFonts w:cs="Times New Roman"/>
        </w:rPr>
      </w:pPr>
      <w:proofErr w:type="spellStart"/>
      <w:r w:rsidRPr="00D11BB1">
        <w:rPr>
          <w:rFonts w:cs="Times New Roman"/>
        </w:rPr>
        <w:t>Bongaarts</w:t>
      </w:r>
      <w:proofErr w:type="spellEnd"/>
      <w:r w:rsidRPr="00D11BB1">
        <w:rPr>
          <w:rFonts w:cs="Times New Roman"/>
        </w:rPr>
        <w:t xml:space="preserve"> J. Human population growth and the demographic transition. </w:t>
      </w:r>
      <w:proofErr w:type="spellStart"/>
      <w:r w:rsidRPr="00D11BB1">
        <w:rPr>
          <w:rFonts w:cs="Times New Roman"/>
        </w:rPr>
        <w:t>Philos</w:t>
      </w:r>
      <w:proofErr w:type="spellEnd"/>
      <w:r w:rsidRPr="00D11BB1">
        <w:rPr>
          <w:rFonts w:cs="Times New Roman"/>
        </w:rPr>
        <w:t xml:space="preserve"> Trans R Soc </w:t>
      </w:r>
      <w:proofErr w:type="spellStart"/>
      <w:r w:rsidRPr="00D11BB1">
        <w:rPr>
          <w:rFonts w:cs="Times New Roman"/>
        </w:rPr>
        <w:t>Lond</w:t>
      </w:r>
      <w:proofErr w:type="spellEnd"/>
      <w:r w:rsidRPr="00D11BB1">
        <w:rPr>
          <w:rFonts w:cs="Times New Roman"/>
        </w:rPr>
        <w:t xml:space="preserve"> B </w:t>
      </w:r>
      <w:proofErr w:type="spellStart"/>
      <w:r w:rsidRPr="00D11BB1">
        <w:rPr>
          <w:rFonts w:cs="Times New Roman"/>
        </w:rPr>
        <w:t>Biol</w:t>
      </w:r>
      <w:proofErr w:type="spellEnd"/>
      <w:r w:rsidRPr="00D11BB1">
        <w:rPr>
          <w:rFonts w:cs="Times New Roman"/>
        </w:rPr>
        <w:t xml:space="preserve"> Sci. 2009; 364(1532):2985-2990. DOI: https://doi.org/10.1098/rstb. 2009.0137 PMid:19770150 </w:t>
      </w:r>
      <w:proofErr w:type="gramStart"/>
      <w:r w:rsidRPr="00D11BB1">
        <w:rPr>
          <w:rFonts w:cs="Times New Roman"/>
        </w:rPr>
        <w:t>PMCid:PMC</w:t>
      </w:r>
      <w:proofErr w:type="gramEnd"/>
      <w:r w:rsidRPr="00D11BB1">
        <w:rPr>
          <w:rFonts w:cs="Times New Roman"/>
        </w:rPr>
        <w:t xml:space="preserve">2781829 </w:t>
      </w:r>
    </w:p>
    <w:p w14:paraId="52FA061D" w14:textId="2A114826" w:rsidR="00EA6F05" w:rsidRPr="00D11BB1" w:rsidRDefault="00EA6F05" w:rsidP="00EA6F05">
      <w:pPr>
        <w:pStyle w:val="ListParagraph"/>
        <w:numPr>
          <w:ilvl w:val="0"/>
          <w:numId w:val="7"/>
        </w:numPr>
        <w:jc w:val="both"/>
        <w:rPr>
          <w:rFonts w:cs="Times New Roman"/>
        </w:rPr>
      </w:pPr>
      <w:r w:rsidRPr="00D11BB1">
        <w:rPr>
          <w:rFonts w:cs="Times New Roman"/>
        </w:rPr>
        <w:t xml:space="preserve">Coale AJ, Hill AG, Trussell TJ. A new method of estimating standard fertility measures from incomplete data. Population Index. 1975;41(2):182-210. DOI: https://doi.org/10.2307/ 2734617 </w:t>
      </w:r>
    </w:p>
    <w:p w14:paraId="64427BF3" w14:textId="77777777" w:rsidR="00412828" w:rsidRPr="00D11BB1" w:rsidRDefault="00412828" w:rsidP="00EA6F05">
      <w:pPr>
        <w:pStyle w:val="ListParagraph"/>
        <w:numPr>
          <w:ilvl w:val="0"/>
          <w:numId w:val="7"/>
        </w:numPr>
        <w:jc w:val="both"/>
        <w:rPr>
          <w:rFonts w:cs="Times New Roman"/>
        </w:rPr>
      </w:pPr>
      <w:r w:rsidRPr="00D11BB1">
        <w:rPr>
          <w:rFonts w:cs="Times New Roman"/>
        </w:rPr>
        <w:t xml:space="preserve">Hartigan JA, Wong MA. Algorithm AS 136: a K means clustering algorithm. J R Stat Soc Ser C Appl Stat. 1979;28(1):100- 108. DOI: https://doi.org/10.2307/2346830 </w:t>
      </w:r>
    </w:p>
    <w:p w14:paraId="5CC958EB" w14:textId="3AB8EAE0" w:rsidR="00EA6F05" w:rsidRPr="00D11BB1" w:rsidRDefault="00EA6F05" w:rsidP="00EA6F05">
      <w:pPr>
        <w:pStyle w:val="ListParagraph"/>
        <w:numPr>
          <w:ilvl w:val="0"/>
          <w:numId w:val="7"/>
        </w:numPr>
        <w:jc w:val="both"/>
        <w:rPr>
          <w:rFonts w:cs="Times New Roman"/>
        </w:rPr>
      </w:pPr>
      <w:r w:rsidRPr="00D11BB1">
        <w:rPr>
          <w:rFonts w:cs="Times New Roman"/>
        </w:rPr>
        <w:t xml:space="preserve">MacQueen J. Some methods for classification and analysis of multivariate observations. In: Proceedings of the Fifth Berkeley Symposium on Mathematical Statistics and Probability, Vol 1. </w:t>
      </w:r>
      <w:r w:rsidRPr="00D11BB1">
        <w:rPr>
          <w:rFonts w:cs="Times New Roman"/>
        </w:rPr>
        <w:lastRenderedPageBreak/>
        <w:t xml:space="preserve">Berkeley (CA): </w:t>
      </w:r>
      <w:proofErr w:type="spellStart"/>
      <w:r w:rsidRPr="00D11BB1">
        <w:rPr>
          <w:rFonts w:cs="Times New Roman"/>
        </w:rPr>
        <w:t>Univ</w:t>
      </w:r>
      <w:proofErr w:type="spellEnd"/>
      <w:r w:rsidRPr="00D11BB1">
        <w:rPr>
          <w:rFonts w:cs="Times New Roman"/>
        </w:rPr>
        <w:t xml:space="preserve"> Calif Press; 1967. p. 281-297. Available from: http://projecteuclid.org/euclid.bsmsp/12005 12992 </w:t>
      </w:r>
    </w:p>
    <w:p w14:paraId="47588031" w14:textId="55476248" w:rsidR="00EA6F05" w:rsidRPr="00D11BB1" w:rsidRDefault="00EA6F05" w:rsidP="00EA6F05">
      <w:pPr>
        <w:pStyle w:val="ListParagraph"/>
        <w:numPr>
          <w:ilvl w:val="0"/>
          <w:numId w:val="7"/>
        </w:numPr>
        <w:jc w:val="both"/>
        <w:rPr>
          <w:rFonts w:cs="Times New Roman"/>
        </w:rPr>
      </w:pPr>
      <w:proofErr w:type="spellStart"/>
      <w:r w:rsidRPr="00D11BB1">
        <w:rPr>
          <w:rFonts w:cs="Times New Roman"/>
        </w:rPr>
        <w:t>Onumanyi</w:t>
      </w:r>
      <w:proofErr w:type="spellEnd"/>
      <w:r w:rsidRPr="00D11BB1">
        <w:rPr>
          <w:rFonts w:cs="Times New Roman"/>
        </w:rPr>
        <w:t xml:space="preserve"> AJ, </w:t>
      </w:r>
      <w:proofErr w:type="spellStart"/>
      <w:r w:rsidRPr="00D11BB1">
        <w:rPr>
          <w:rFonts w:cs="Times New Roman"/>
        </w:rPr>
        <w:t>Molokomme</w:t>
      </w:r>
      <w:proofErr w:type="spellEnd"/>
      <w:r w:rsidRPr="00D11BB1">
        <w:rPr>
          <w:rFonts w:cs="Times New Roman"/>
        </w:rPr>
        <w:t xml:space="preserve"> DN, Isaac SJ, et al. </w:t>
      </w:r>
      <w:proofErr w:type="spellStart"/>
      <w:r w:rsidRPr="00D11BB1">
        <w:rPr>
          <w:rFonts w:cs="Times New Roman"/>
        </w:rPr>
        <w:t>AutoElbow</w:t>
      </w:r>
      <w:proofErr w:type="spellEnd"/>
      <w:r w:rsidRPr="00D11BB1">
        <w:rPr>
          <w:rFonts w:cs="Times New Roman"/>
        </w:rPr>
        <w:t xml:space="preserve">: An automatic elbow detection method for estimating the number of clusters in a dataset. Appl Sci. 2022;12(15):7515. DOI: https://doi.org/10.3390/app12157515 </w:t>
      </w:r>
    </w:p>
    <w:p w14:paraId="293ABC5B" w14:textId="51BC052D" w:rsidR="00EA6F05" w:rsidRPr="00D11BB1" w:rsidRDefault="00EA6F05" w:rsidP="00EA6F05">
      <w:pPr>
        <w:pStyle w:val="ListParagraph"/>
        <w:numPr>
          <w:ilvl w:val="0"/>
          <w:numId w:val="7"/>
        </w:numPr>
        <w:jc w:val="both"/>
        <w:rPr>
          <w:rFonts w:cs="Times New Roman"/>
        </w:rPr>
      </w:pPr>
      <w:proofErr w:type="spellStart"/>
      <w:r w:rsidRPr="00D11BB1">
        <w:rPr>
          <w:rFonts w:cs="Times New Roman"/>
        </w:rPr>
        <w:t>Rousseeuw</w:t>
      </w:r>
      <w:proofErr w:type="spellEnd"/>
      <w:r w:rsidRPr="00D11BB1">
        <w:rPr>
          <w:rFonts w:cs="Times New Roman"/>
        </w:rPr>
        <w:t xml:space="preserve"> PJ. Silhouettes: a graphical aid to the interpretation and validation of cluster analysis. J </w:t>
      </w:r>
      <w:proofErr w:type="spellStart"/>
      <w:r w:rsidRPr="00D11BB1">
        <w:rPr>
          <w:rFonts w:cs="Times New Roman"/>
        </w:rPr>
        <w:t>Comput</w:t>
      </w:r>
      <w:proofErr w:type="spellEnd"/>
      <w:r w:rsidRPr="00D11BB1">
        <w:rPr>
          <w:rFonts w:cs="Times New Roman"/>
        </w:rPr>
        <w:t xml:space="preserve"> </w:t>
      </w:r>
      <w:proofErr w:type="spellStart"/>
      <w:r w:rsidRPr="00D11BB1">
        <w:rPr>
          <w:rFonts w:cs="Times New Roman"/>
        </w:rPr>
        <w:t>Appl</w:t>
      </w:r>
      <w:proofErr w:type="spellEnd"/>
      <w:r w:rsidRPr="00D11BB1">
        <w:rPr>
          <w:rFonts w:cs="Times New Roman"/>
        </w:rPr>
        <w:t xml:space="preserve"> Math. 1987;20(1):53-65. DOI: https://doi.org/10.1016/0377-0427 (87)90125-7 </w:t>
      </w:r>
    </w:p>
    <w:p w14:paraId="4D58BFC2" w14:textId="2DBB2ECB" w:rsidR="00EA6F05" w:rsidRPr="00D11BB1" w:rsidRDefault="00EA6F05" w:rsidP="00EA6F05">
      <w:pPr>
        <w:pStyle w:val="ListParagraph"/>
        <w:numPr>
          <w:ilvl w:val="0"/>
          <w:numId w:val="7"/>
        </w:numPr>
        <w:jc w:val="both"/>
        <w:rPr>
          <w:rFonts w:cs="Times New Roman"/>
        </w:rPr>
      </w:pPr>
      <w:proofErr w:type="spellStart"/>
      <w:r w:rsidRPr="00D11BB1">
        <w:rPr>
          <w:rFonts w:cs="Times New Roman"/>
        </w:rPr>
        <w:t>Tibshirani</w:t>
      </w:r>
      <w:proofErr w:type="spellEnd"/>
      <w:r w:rsidRPr="00D11BB1">
        <w:rPr>
          <w:rFonts w:cs="Times New Roman"/>
        </w:rPr>
        <w:t xml:space="preserve"> R, Walther G, Hastie T. Estimating the number of clusters in a dataset via the gap statistic. J R Stat Soc Ser B Stat </w:t>
      </w:r>
      <w:proofErr w:type="spellStart"/>
      <w:r w:rsidRPr="00D11BB1">
        <w:rPr>
          <w:rFonts w:cs="Times New Roman"/>
        </w:rPr>
        <w:t>Methodol</w:t>
      </w:r>
      <w:proofErr w:type="spellEnd"/>
      <w:r w:rsidRPr="00D11BB1">
        <w:rPr>
          <w:rFonts w:cs="Times New Roman"/>
        </w:rPr>
        <w:t xml:space="preserve">. 2001;63(2):411-426. DOI: https://doi.org/10. 1111/1467-9868.00293 </w:t>
      </w:r>
    </w:p>
    <w:p w14:paraId="60C14101" w14:textId="24BADCE3" w:rsidR="00EA6F05" w:rsidRPr="00D11BB1" w:rsidRDefault="00EA6F05" w:rsidP="00EA6F05">
      <w:pPr>
        <w:pStyle w:val="ListParagraph"/>
        <w:numPr>
          <w:ilvl w:val="0"/>
          <w:numId w:val="7"/>
        </w:numPr>
        <w:jc w:val="both"/>
        <w:rPr>
          <w:rFonts w:cs="Times New Roman"/>
        </w:rPr>
      </w:pPr>
      <w:r w:rsidRPr="00D11BB1">
        <w:rPr>
          <w:rFonts w:cs="Times New Roman"/>
        </w:rPr>
        <w:t xml:space="preserve">Krzanowski W, Lai Y. A criterion for determining the number of groups in a data set using sum of squares clustering. Biometrics. 1988;44(1):23-34. DOI: https://doi.org/10.2307/ 2531893 </w:t>
      </w:r>
    </w:p>
    <w:p w14:paraId="70E7A0CC" w14:textId="0AE238EF" w:rsidR="00EA6F05" w:rsidRPr="00D11BB1" w:rsidRDefault="00EA6F05" w:rsidP="00EA6F05">
      <w:pPr>
        <w:pStyle w:val="ListParagraph"/>
        <w:numPr>
          <w:ilvl w:val="0"/>
          <w:numId w:val="7"/>
        </w:numPr>
        <w:jc w:val="both"/>
        <w:rPr>
          <w:rFonts w:cs="Times New Roman"/>
        </w:rPr>
      </w:pPr>
      <w:r w:rsidRPr="00D11BB1">
        <w:rPr>
          <w:rFonts w:cs="Times New Roman"/>
        </w:rPr>
        <w:t xml:space="preserve">Patil C, </w:t>
      </w:r>
      <w:proofErr w:type="spellStart"/>
      <w:r w:rsidRPr="00D11BB1">
        <w:rPr>
          <w:rFonts w:cs="Times New Roman"/>
        </w:rPr>
        <w:t>Baidari</w:t>
      </w:r>
      <w:proofErr w:type="spellEnd"/>
      <w:r w:rsidRPr="00D11BB1">
        <w:rPr>
          <w:rFonts w:cs="Times New Roman"/>
        </w:rPr>
        <w:t xml:space="preserve"> I. Estimating the optimal number of clusters k in a dataset using data depth. Data Sci Eng. 2019;4(2):132- 140. DOI: https://doi.org/10.1007/s41019-019-0091-y </w:t>
      </w:r>
    </w:p>
    <w:p w14:paraId="01109F5C" w14:textId="28AA6690" w:rsidR="00EA6F05" w:rsidRPr="00D11BB1" w:rsidRDefault="00EA6F05" w:rsidP="00EA6F05">
      <w:pPr>
        <w:pStyle w:val="ListParagraph"/>
        <w:numPr>
          <w:ilvl w:val="0"/>
          <w:numId w:val="7"/>
        </w:numPr>
        <w:jc w:val="both"/>
        <w:rPr>
          <w:rFonts w:cs="Times New Roman"/>
        </w:rPr>
      </w:pPr>
      <w:proofErr w:type="spellStart"/>
      <w:r w:rsidRPr="00D11BB1">
        <w:rPr>
          <w:rFonts w:cs="Times New Roman"/>
        </w:rPr>
        <w:t>Charrad</w:t>
      </w:r>
      <w:proofErr w:type="spellEnd"/>
      <w:r w:rsidRPr="00D11BB1">
        <w:rPr>
          <w:rFonts w:cs="Times New Roman"/>
        </w:rPr>
        <w:t xml:space="preserve"> M, </w:t>
      </w:r>
      <w:proofErr w:type="spellStart"/>
      <w:r w:rsidRPr="00D11BB1">
        <w:rPr>
          <w:rFonts w:cs="Times New Roman"/>
        </w:rPr>
        <w:t>Ghazzali</w:t>
      </w:r>
      <w:proofErr w:type="spellEnd"/>
      <w:r w:rsidRPr="00D11BB1">
        <w:rPr>
          <w:rFonts w:cs="Times New Roman"/>
        </w:rPr>
        <w:t xml:space="preserve"> N, </w:t>
      </w:r>
      <w:proofErr w:type="spellStart"/>
      <w:r w:rsidRPr="00D11BB1">
        <w:rPr>
          <w:rFonts w:cs="Times New Roman"/>
        </w:rPr>
        <w:t>Boiteau</w:t>
      </w:r>
      <w:proofErr w:type="spellEnd"/>
      <w:r w:rsidRPr="00D11BB1">
        <w:rPr>
          <w:rFonts w:cs="Times New Roman"/>
        </w:rPr>
        <w:t xml:space="preserve"> V, </w:t>
      </w:r>
      <w:proofErr w:type="spellStart"/>
      <w:r w:rsidRPr="00D11BB1">
        <w:rPr>
          <w:rFonts w:cs="Times New Roman"/>
        </w:rPr>
        <w:t>Niknafs</w:t>
      </w:r>
      <w:proofErr w:type="spellEnd"/>
      <w:r w:rsidRPr="00D11BB1">
        <w:rPr>
          <w:rFonts w:cs="Times New Roman"/>
        </w:rPr>
        <w:t xml:space="preserve"> A. </w:t>
      </w:r>
      <w:proofErr w:type="spellStart"/>
      <w:r w:rsidRPr="00D11BB1">
        <w:rPr>
          <w:rFonts w:cs="Times New Roman"/>
        </w:rPr>
        <w:t>NbClust</w:t>
      </w:r>
      <w:proofErr w:type="spellEnd"/>
      <w:r w:rsidRPr="00D11BB1">
        <w:rPr>
          <w:rFonts w:cs="Times New Roman"/>
        </w:rPr>
        <w:t xml:space="preserve">: An R package for determining the relevant number of clusters in a data set. J Stat </w:t>
      </w:r>
      <w:proofErr w:type="spellStart"/>
      <w:r w:rsidRPr="00D11BB1">
        <w:rPr>
          <w:rFonts w:cs="Times New Roman"/>
        </w:rPr>
        <w:t>Softw</w:t>
      </w:r>
      <w:proofErr w:type="spellEnd"/>
      <w:r w:rsidRPr="00D11BB1">
        <w:rPr>
          <w:rFonts w:cs="Times New Roman"/>
        </w:rPr>
        <w:t>. 2014;61(6):1-36. DOI: https://doi.org/ 10.18637/</w:t>
      </w:r>
      <w:proofErr w:type="gramStart"/>
      <w:r w:rsidRPr="00D11BB1">
        <w:rPr>
          <w:rFonts w:cs="Times New Roman"/>
        </w:rPr>
        <w:t>jss.v061.i</w:t>
      </w:r>
      <w:proofErr w:type="gramEnd"/>
      <w:r w:rsidRPr="00D11BB1">
        <w:rPr>
          <w:rFonts w:cs="Times New Roman"/>
        </w:rPr>
        <w:t xml:space="preserve">06 </w:t>
      </w:r>
    </w:p>
    <w:p w14:paraId="75BE399A" w14:textId="7994E2B8" w:rsidR="00EA6F05" w:rsidRPr="00D11BB1" w:rsidRDefault="00EA6F05" w:rsidP="00EA6F05">
      <w:pPr>
        <w:pStyle w:val="ListParagraph"/>
        <w:numPr>
          <w:ilvl w:val="0"/>
          <w:numId w:val="7"/>
        </w:numPr>
        <w:jc w:val="both"/>
        <w:rPr>
          <w:rFonts w:cs="Times New Roman"/>
        </w:rPr>
      </w:pPr>
      <w:r w:rsidRPr="00D11BB1">
        <w:rPr>
          <w:rFonts w:cs="Times New Roman"/>
        </w:rPr>
        <w:t xml:space="preserve">Hopkins B, </w:t>
      </w:r>
      <w:proofErr w:type="spellStart"/>
      <w:r w:rsidRPr="00D11BB1">
        <w:rPr>
          <w:rFonts w:cs="Times New Roman"/>
        </w:rPr>
        <w:t>Skellam</w:t>
      </w:r>
      <w:proofErr w:type="spellEnd"/>
      <w:r w:rsidRPr="00D11BB1">
        <w:rPr>
          <w:rFonts w:cs="Times New Roman"/>
        </w:rPr>
        <w:t xml:space="preserve"> JG. A new method for determining the type of distribution of plant individuals. Ann Bot. 1954;18(2):213- 228. DOI: https://doi.org/10.1093/oxfordjournals.aob.a08 3391 </w:t>
      </w:r>
    </w:p>
    <w:p w14:paraId="100608BD" w14:textId="21247706" w:rsidR="00EA6F05" w:rsidRPr="00D11BB1" w:rsidRDefault="00EA6F05" w:rsidP="00EA6F05">
      <w:pPr>
        <w:pStyle w:val="ListParagraph"/>
        <w:numPr>
          <w:ilvl w:val="0"/>
          <w:numId w:val="7"/>
        </w:numPr>
        <w:jc w:val="both"/>
        <w:rPr>
          <w:rFonts w:cs="Times New Roman"/>
        </w:rPr>
      </w:pPr>
      <w:r w:rsidRPr="00D11BB1">
        <w:rPr>
          <w:rFonts w:cs="Times New Roman"/>
        </w:rPr>
        <w:t xml:space="preserve">Lawson RG, Jurs PC. New index for clustering tendency and its application to chemical problems. J Chem Inf </w:t>
      </w:r>
      <w:proofErr w:type="spellStart"/>
      <w:r w:rsidRPr="00D11BB1">
        <w:rPr>
          <w:rFonts w:cs="Times New Roman"/>
        </w:rPr>
        <w:t>Comput</w:t>
      </w:r>
      <w:proofErr w:type="spellEnd"/>
      <w:r w:rsidRPr="00D11BB1">
        <w:rPr>
          <w:rFonts w:cs="Times New Roman"/>
        </w:rPr>
        <w:t xml:space="preserve"> Sci. 1990;30(1):36-41. DOI: https://doi.org/10.1021/ci00065 a010</w:t>
      </w:r>
    </w:p>
    <w:p w14:paraId="56B8917E" w14:textId="00270EFC" w:rsidR="00BB2FE4" w:rsidRPr="00D11BB1" w:rsidRDefault="00BB2FE4" w:rsidP="000D300D">
      <w:pPr>
        <w:pStyle w:val="ListParagraph"/>
        <w:numPr>
          <w:ilvl w:val="0"/>
          <w:numId w:val="7"/>
        </w:numPr>
        <w:jc w:val="both"/>
        <w:rPr>
          <w:rFonts w:cs="Times New Roman"/>
        </w:rPr>
      </w:pPr>
      <w:r w:rsidRPr="00D11BB1">
        <w:rPr>
          <w:rFonts w:cs="Times New Roman"/>
        </w:rPr>
        <w:t xml:space="preserve">Yuen KK. The Two-Sample Trimmed t for Unequal Population Variances. </w:t>
      </w:r>
      <w:proofErr w:type="spellStart"/>
      <w:r w:rsidRPr="00D11BB1">
        <w:rPr>
          <w:rFonts w:cs="Times New Roman"/>
        </w:rPr>
        <w:t>Biometrika</w:t>
      </w:r>
      <w:proofErr w:type="spellEnd"/>
      <w:r w:rsidRPr="00D11BB1">
        <w:rPr>
          <w:rFonts w:cs="Times New Roman"/>
        </w:rPr>
        <w:t xml:space="preserve">, </w:t>
      </w:r>
      <w:r w:rsidR="00412828" w:rsidRPr="00D11BB1">
        <w:rPr>
          <w:rFonts w:cs="Times New Roman"/>
        </w:rPr>
        <w:t>1974;</w:t>
      </w:r>
      <w:r w:rsidRPr="00D11BB1">
        <w:rPr>
          <w:rFonts w:cs="Times New Roman"/>
        </w:rPr>
        <w:t>61(1)</w:t>
      </w:r>
      <w:r w:rsidR="00412828" w:rsidRPr="00D11BB1">
        <w:rPr>
          <w:rFonts w:cs="Times New Roman"/>
        </w:rPr>
        <w:t>:</w:t>
      </w:r>
      <w:r w:rsidRPr="00D11BB1">
        <w:rPr>
          <w:rFonts w:cs="Times New Roman"/>
        </w:rPr>
        <w:t xml:space="preserve"> 165–170. </w:t>
      </w:r>
      <w:r w:rsidR="00412828" w:rsidRPr="00D11BB1">
        <w:rPr>
          <w:rFonts w:cs="Times New Roman"/>
        </w:rPr>
        <w:t xml:space="preserve">DOI: </w:t>
      </w:r>
      <w:r w:rsidRPr="00D11BB1">
        <w:rPr>
          <w:rFonts w:cs="Times New Roman"/>
        </w:rPr>
        <w:t>https://doi.org/10.2307/2334299</w:t>
      </w:r>
    </w:p>
    <w:sectPr w:rsidR="00BB2FE4" w:rsidRPr="00D11BB1" w:rsidSect="00BB706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C6234" w14:textId="77777777" w:rsidR="005E6D7F" w:rsidRDefault="005E6D7F" w:rsidP="00BB7067">
      <w:pPr>
        <w:spacing w:after="0"/>
      </w:pPr>
      <w:r>
        <w:separator/>
      </w:r>
    </w:p>
  </w:endnote>
  <w:endnote w:type="continuationSeparator" w:id="0">
    <w:p w14:paraId="6C5BC74D" w14:textId="77777777" w:rsidR="005E6D7F" w:rsidRDefault="005E6D7F" w:rsidP="00BB70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Shonar Bangla">
    <w:charset w:val="00"/>
    <w:family w:val="roman"/>
    <w:pitch w:val="variable"/>
    <w:sig w:usb0="00010003" w:usb1="00000000" w:usb2="00000000" w:usb3="00000000" w:csb0="00000001" w:csb1="00000000"/>
  </w:font>
  <w:font w:name="Banikanta">
    <w:altName w:val="Shonar Bangla"/>
    <w:charset w:val="00"/>
    <w:family w:val="auto"/>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IDFont+F1">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079EF" w14:textId="77777777" w:rsidR="006246A7" w:rsidRDefault="00624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3BD90" w14:textId="77777777" w:rsidR="006246A7" w:rsidRDefault="006246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CE934" w14:textId="77777777" w:rsidR="006246A7" w:rsidRDefault="00624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4223F" w14:textId="77777777" w:rsidR="005E6D7F" w:rsidRDefault="005E6D7F" w:rsidP="00BB7067">
      <w:pPr>
        <w:spacing w:after="0"/>
      </w:pPr>
      <w:r>
        <w:separator/>
      </w:r>
    </w:p>
  </w:footnote>
  <w:footnote w:type="continuationSeparator" w:id="0">
    <w:p w14:paraId="74A788B7" w14:textId="77777777" w:rsidR="005E6D7F" w:rsidRDefault="005E6D7F" w:rsidP="00BB70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A9262" w14:textId="465A0F2F" w:rsidR="006246A7" w:rsidRDefault="006246A7">
    <w:pPr>
      <w:pStyle w:val="Header"/>
    </w:pPr>
    <w:r>
      <w:rPr>
        <w:noProof/>
      </w:rPr>
      <w:pict w14:anchorId="50BEE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00343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FEEB4" w14:textId="73FD5580" w:rsidR="006246A7" w:rsidRDefault="006246A7">
    <w:pPr>
      <w:pStyle w:val="Header"/>
    </w:pPr>
    <w:r>
      <w:rPr>
        <w:noProof/>
      </w:rPr>
      <w:pict w14:anchorId="0BC08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00343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48233" w14:textId="7EF3ED68" w:rsidR="006246A7" w:rsidRDefault="006246A7">
    <w:pPr>
      <w:pStyle w:val="Header"/>
    </w:pPr>
    <w:r>
      <w:rPr>
        <w:noProof/>
      </w:rPr>
      <w:pict w14:anchorId="0AABE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00343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D2B054E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27FE6706"/>
    <w:multiLevelType w:val="hybridMultilevel"/>
    <w:tmpl w:val="2E0CC676"/>
    <w:lvl w:ilvl="0" w:tplc="36D0235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333CE6"/>
    <w:multiLevelType w:val="hybridMultilevel"/>
    <w:tmpl w:val="79566440"/>
    <w:lvl w:ilvl="0" w:tplc="ACD636D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5527B9"/>
    <w:multiLevelType w:val="multilevel"/>
    <w:tmpl w:val="3B78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44174E"/>
    <w:multiLevelType w:val="hybridMultilevel"/>
    <w:tmpl w:val="5C94F52E"/>
    <w:lvl w:ilvl="0" w:tplc="04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6CD165C8"/>
    <w:multiLevelType w:val="hybridMultilevel"/>
    <w:tmpl w:val="E52A0B44"/>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D5502F6"/>
    <w:multiLevelType w:val="hybridMultilevel"/>
    <w:tmpl w:val="7E76F2DA"/>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067"/>
    <w:rsid w:val="00000915"/>
    <w:rsid w:val="00001803"/>
    <w:rsid w:val="00003809"/>
    <w:rsid w:val="00003985"/>
    <w:rsid w:val="000141FA"/>
    <w:rsid w:val="0003387D"/>
    <w:rsid w:val="000943EE"/>
    <w:rsid w:val="000A1A8E"/>
    <w:rsid w:val="000A5565"/>
    <w:rsid w:val="000A7C8C"/>
    <w:rsid w:val="000A7FC9"/>
    <w:rsid w:val="000B1855"/>
    <w:rsid w:val="000D300D"/>
    <w:rsid w:val="000E0160"/>
    <w:rsid w:val="000E3A4E"/>
    <w:rsid w:val="000E4479"/>
    <w:rsid w:val="00127EEF"/>
    <w:rsid w:val="001311E8"/>
    <w:rsid w:val="00131290"/>
    <w:rsid w:val="00160AE6"/>
    <w:rsid w:val="00165F0A"/>
    <w:rsid w:val="00174E13"/>
    <w:rsid w:val="001B70A7"/>
    <w:rsid w:val="001E014F"/>
    <w:rsid w:val="001F0502"/>
    <w:rsid w:val="001F09F9"/>
    <w:rsid w:val="001F5B9E"/>
    <w:rsid w:val="002112DA"/>
    <w:rsid w:val="00211811"/>
    <w:rsid w:val="00224731"/>
    <w:rsid w:val="00227CD6"/>
    <w:rsid w:val="00237221"/>
    <w:rsid w:val="0025400C"/>
    <w:rsid w:val="00257881"/>
    <w:rsid w:val="002909CE"/>
    <w:rsid w:val="0029546D"/>
    <w:rsid w:val="002B0E93"/>
    <w:rsid w:val="002B1DF1"/>
    <w:rsid w:val="002C0E9F"/>
    <w:rsid w:val="002C52D7"/>
    <w:rsid w:val="002D7F69"/>
    <w:rsid w:val="002E27C7"/>
    <w:rsid w:val="002F6799"/>
    <w:rsid w:val="00355A03"/>
    <w:rsid w:val="00364BF4"/>
    <w:rsid w:val="0037640A"/>
    <w:rsid w:val="00394F3D"/>
    <w:rsid w:val="003A2461"/>
    <w:rsid w:val="003C29B1"/>
    <w:rsid w:val="003F7BF8"/>
    <w:rsid w:val="00400BA5"/>
    <w:rsid w:val="00405704"/>
    <w:rsid w:val="00412828"/>
    <w:rsid w:val="0041662D"/>
    <w:rsid w:val="00430D0C"/>
    <w:rsid w:val="0043199E"/>
    <w:rsid w:val="0043292E"/>
    <w:rsid w:val="00445E43"/>
    <w:rsid w:val="00462DE9"/>
    <w:rsid w:val="004734E2"/>
    <w:rsid w:val="00476202"/>
    <w:rsid w:val="0047702B"/>
    <w:rsid w:val="00492CC5"/>
    <w:rsid w:val="0049640B"/>
    <w:rsid w:val="004B3994"/>
    <w:rsid w:val="004F0006"/>
    <w:rsid w:val="004F353D"/>
    <w:rsid w:val="004F41F1"/>
    <w:rsid w:val="004F6855"/>
    <w:rsid w:val="005003E9"/>
    <w:rsid w:val="0050516D"/>
    <w:rsid w:val="0050591F"/>
    <w:rsid w:val="005122B5"/>
    <w:rsid w:val="005147C4"/>
    <w:rsid w:val="00516731"/>
    <w:rsid w:val="00525B2D"/>
    <w:rsid w:val="00537A4A"/>
    <w:rsid w:val="005451AF"/>
    <w:rsid w:val="00554806"/>
    <w:rsid w:val="0055588D"/>
    <w:rsid w:val="00563E0A"/>
    <w:rsid w:val="00565ABE"/>
    <w:rsid w:val="005854D7"/>
    <w:rsid w:val="005A1205"/>
    <w:rsid w:val="005A1A6A"/>
    <w:rsid w:val="005B429A"/>
    <w:rsid w:val="005C2E0A"/>
    <w:rsid w:val="005C3DC0"/>
    <w:rsid w:val="005D00A4"/>
    <w:rsid w:val="005E46B3"/>
    <w:rsid w:val="005E661D"/>
    <w:rsid w:val="005E6D7F"/>
    <w:rsid w:val="00600E49"/>
    <w:rsid w:val="006055B2"/>
    <w:rsid w:val="006246A7"/>
    <w:rsid w:val="00626A3E"/>
    <w:rsid w:val="0062702E"/>
    <w:rsid w:val="00635A52"/>
    <w:rsid w:val="0063717E"/>
    <w:rsid w:val="0064426A"/>
    <w:rsid w:val="00650453"/>
    <w:rsid w:val="006704C9"/>
    <w:rsid w:val="006760F1"/>
    <w:rsid w:val="006A78F7"/>
    <w:rsid w:val="006C386A"/>
    <w:rsid w:val="006C7F26"/>
    <w:rsid w:val="006D11C9"/>
    <w:rsid w:val="006E4BEE"/>
    <w:rsid w:val="006F0A8D"/>
    <w:rsid w:val="006F223E"/>
    <w:rsid w:val="0070028A"/>
    <w:rsid w:val="007031A3"/>
    <w:rsid w:val="00704445"/>
    <w:rsid w:val="007223B1"/>
    <w:rsid w:val="00723BE0"/>
    <w:rsid w:val="00726E8A"/>
    <w:rsid w:val="00761DB9"/>
    <w:rsid w:val="00787554"/>
    <w:rsid w:val="007921DA"/>
    <w:rsid w:val="007A26E7"/>
    <w:rsid w:val="007C1BEE"/>
    <w:rsid w:val="007C38CD"/>
    <w:rsid w:val="007C57EE"/>
    <w:rsid w:val="007F1CF4"/>
    <w:rsid w:val="0080486D"/>
    <w:rsid w:val="00806B7E"/>
    <w:rsid w:val="00817109"/>
    <w:rsid w:val="0082243D"/>
    <w:rsid w:val="008278DC"/>
    <w:rsid w:val="00831BE7"/>
    <w:rsid w:val="00831C26"/>
    <w:rsid w:val="0083707D"/>
    <w:rsid w:val="00842379"/>
    <w:rsid w:val="00850F0D"/>
    <w:rsid w:val="00861018"/>
    <w:rsid w:val="008676F1"/>
    <w:rsid w:val="008832C9"/>
    <w:rsid w:val="00883EDB"/>
    <w:rsid w:val="008968BE"/>
    <w:rsid w:val="008A378D"/>
    <w:rsid w:val="008B5ABB"/>
    <w:rsid w:val="008B765D"/>
    <w:rsid w:val="008C2461"/>
    <w:rsid w:val="008D1A20"/>
    <w:rsid w:val="008E3F87"/>
    <w:rsid w:val="008E5092"/>
    <w:rsid w:val="00901B0F"/>
    <w:rsid w:val="00907ED9"/>
    <w:rsid w:val="0091631F"/>
    <w:rsid w:val="009363C5"/>
    <w:rsid w:val="00960FE6"/>
    <w:rsid w:val="00962594"/>
    <w:rsid w:val="00966AAD"/>
    <w:rsid w:val="00984F7D"/>
    <w:rsid w:val="009868F0"/>
    <w:rsid w:val="009940ED"/>
    <w:rsid w:val="009A2AE7"/>
    <w:rsid w:val="009B062D"/>
    <w:rsid w:val="009B7111"/>
    <w:rsid w:val="009E6EC5"/>
    <w:rsid w:val="009F65FC"/>
    <w:rsid w:val="00A01483"/>
    <w:rsid w:val="00A11131"/>
    <w:rsid w:val="00A345E1"/>
    <w:rsid w:val="00A35E02"/>
    <w:rsid w:val="00A3700D"/>
    <w:rsid w:val="00A37B06"/>
    <w:rsid w:val="00A44263"/>
    <w:rsid w:val="00A54FDE"/>
    <w:rsid w:val="00A56413"/>
    <w:rsid w:val="00A61271"/>
    <w:rsid w:val="00A61F56"/>
    <w:rsid w:val="00A621D7"/>
    <w:rsid w:val="00A62E03"/>
    <w:rsid w:val="00A6351C"/>
    <w:rsid w:val="00A63E88"/>
    <w:rsid w:val="00A80EF1"/>
    <w:rsid w:val="00A95BBA"/>
    <w:rsid w:val="00AB73EF"/>
    <w:rsid w:val="00AD3779"/>
    <w:rsid w:val="00AE28F9"/>
    <w:rsid w:val="00AE54B1"/>
    <w:rsid w:val="00AF1C53"/>
    <w:rsid w:val="00AF6DCB"/>
    <w:rsid w:val="00B214B9"/>
    <w:rsid w:val="00B220AE"/>
    <w:rsid w:val="00B23168"/>
    <w:rsid w:val="00B25675"/>
    <w:rsid w:val="00B363AD"/>
    <w:rsid w:val="00B44AC5"/>
    <w:rsid w:val="00B60EED"/>
    <w:rsid w:val="00B616E9"/>
    <w:rsid w:val="00B654F2"/>
    <w:rsid w:val="00B677A0"/>
    <w:rsid w:val="00B75894"/>
    <w:rsid w:val="00B949E9"/>
    <w:rsid w:val="00B96205"/>
    <w:rsid w:val="00BB2FE4"/>
    <w:rsid w:val="00BB7067"/>
    <w:rsid w:val="00BD5119"/>
    <w:rsid w:val="00BE2939"/>
    <w:rsid w:val="00BE2B23"/>
    <w:rsid w:val="00BF1078"/>
    <w:rsid w:val="00BF1AE7"/>
    <w:rsid w:val="00BF56CC"/>
    <w:rsid w:val="00C028D9"/>
    <w:rsid w:val="00C20297"/>
    <w:rsid w:val="00C3559E"/>
    <w:rsid w:val="00C35E81"/>
    <w:rsid w:val="00C536D0"/>
    <w:rsid w:val="00C5550E"/>
    <w:rsid w:val="00C57B78"/>
    <w:rsid w:val="00C850A4"/>
    <w:rsid w:val="00CB1630"/>
    <w:rsid w:val="00CB7D5F"/>
    <w:rsid w:val="00CD6F6E"/>
    <w:rsid w:val="00CE0EB1"/>
    <w:rsid w:val="00D10294"/>
    <w:rsid w:val="00D11BB1"/>
    <w:rsid w:val="00D12E39"/>
    <w:rsid w:val="00D371CC"/>
    <w:rsid w:val="00D66701"/>
    <w:rsid w:val="00DD05B7"/>
    <w:rsid w:val="00DD4589"/>
    <w:rsid w:val="00DD5482"/>
    <w:rsid w:val="00DE499D"/>
    <w:rsid w:val="00DE4B71"/>
    <w:rsid w:val="00DF08D0"/>
    <w:rsid w:val="00DF3E33"/>
    <w:rsid w:val="00E02F99"/>
    <w:rsid w:val="00E220EA"/>
    <w:rsid w:val="00E40CA8"/>
    <w:rsid w:val="00E47BDC"/>
    <w:rsid w:val="00E64050"/>
    <w:rsid w:val="00E65A43"/>
    <w:rsid w:val="00E71730"/>
    <w:rsid w:val="00E74664"/>
    <w:rsid w:val="00E81057"/>
    <w:rsid w:val="00E836C4"/>
    <w:rsid w:val="00EA6F05"/>
    <w:rsid w:val="00EC427F"/>
    <w:rsid w:val="00EC5532"/>
    <w:rsid w:val="00ED712D"/>
    <w:rsid w:val="00EF0E7C"/>
    <w:rsid w:val="00F24DBF"/>
    <w:rsid w:val="00F50E94"/>
    <w:rsid w:val="00F7056F"/>
    <w:rsid w:val="00F80648"/>
    <w:rsid w:val="00FA15FF"/>
    <w:rsid w:val="00FB3E30"/>
    <w:rsid w:val="00FB5AD3"/>
    <w:rsid w:val="00FC4D14"/>
    <w:rsid w:val="00FD3F03"/>
    <w:rsid w:val="00FE0361"/>
    <w:rsid w:val="00FE54FE"/>
    <w:rsid w:val="00FE5BF5"/>
    <w:rsid w:val="00FF4C68"/>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8EAFE4"/>
  <w15:chartTrackingRefBased/>
  <w15:docId w15:val="{02400C09-6114-45A1-8A55-785B43E4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4"/>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067"/>
    <w:pPr>
      <w:spacing w:after="200" w:line="240" w:lineRule="auto"/>
    </w:pPr>
  </w:style>
  <w:style w:type="paragraph" w:styleId="Heading1">
    <w:name w:val="heading 1"/>
    <w:basedOn w:val="Normal"/>
    <w:next w:val="Normal"/>
    <w:link w:val="Heading1Char"/>
    <w:autoRedefine/>
    <w:uiPriority w:val="9"/>
    <w:qFormat/>
    <w:rsid w:val="009940ED"/>
    <w:pPr>
      <w:keepNext/>
      <w:keepLines/>
      <w:spacing w:after="0" w:line="276" w:lineRule="auto"/>
      <w:jc w:val="both"/>
      <w:outlineLvl w:val="0"/>
    </w:pPr>
    <w:rPr>
      <w:rFonts w:eastAsiaTheme="majorEastAsia" w:cs="Times New Roman"/>
      <w:b/>
    </w:rPr>
  </w:style>
  <w:style w:type="paragraph" w:styleId="Heading2">
    <w:name w:val="heading 2"/>
    <w:basedOn w:val="Normal"/>
    <w:next w:val="Normal"/>
    <w:link w:val="Heading2Char"/>
    <w:autoRedefine/>
    <w:uiPriority w:val="9"/>
    <w:unhideWhenUsed/>
    <w:qFormat/>
    <w:rsid w:val="00F7056F"/>
    <w:pPr>
      <w:keepNext/>
      <w:keepLines/>
      <w:spacing w:before="280" w:after="240" w:line="276" w:lineRule="auto"/>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BB706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unhideWhenUsed/>
    <w:qFormat/>
    <w:rsid w:val="00BB7067"/>
    <w:pPr>
      <w:keepNext/>
      <w:keepLines/>
      <w:spacing w:before="80" w:after="40"/>
      <w:outlineLvl w:val="3"/>
    </w:pPr>
    <w:rPr>
      <w:rFonts w:eastAsiaTheme="majorEastAsia" w:cstheme="majorBidi"/>
      <w:i/>
      <w:iCs/>
      <w:color w:val="0F4761" w:themeColor="accent1" w:themeShade="BF"/>
      <w:szCs w:val="21"/>
    </w:rPr>
  </w:style>
  <w:style w:type="paragraph" w:styleId="Heading5">
    <w:name w:val="heading 5"/>
    <w:basedOn w:val="Normal"/>
    <w:next w:val="Normal"/>
    <w:link w:val="Heading5Char"/>
    <w:uiPriority w:val="9"/>
    <w:unhideWhenUsed/>
    <w:qFormat/>
    <w:rsid w:val="00BB7067"/>
    <w:pPr>
      <w:keepNext/>
      <w:keepLines/>
      <w:spacing w:before="80" w:after="40"/>
      <w:outlineLvl w:val="4"/>
    </w:pPr>
    <w:rPr>
      <w:rFonts w:eastAsiaTheme="majorEastAsia" w:cstheme="majorBidi"/>
      <w:color w:val="0F4761" w:themeColor="accent1" w:themeShade="BF"/>
      <w:szCs w:val="21"/>
    </w:rPr>
  </w:style>
  <w:style w:type="paragraph" w:styleId="Heading6">
    <w:name w:val="heading 6"/>
    <w:basedOn w:val="Normal"/>
    <w:next w:val="Normal"/>
    <w:link w:val="Heading6Char"/>
    <w:uiPriority w:val="9"/>
    <w:unhideWhenUsed/>
    <w:qFormat/>
    <w:rsid w:val="00BB7067"/>
    <w:pPr>
      <w:keepNext/>
      <w:keepLines/>
      <w:spacing w:before="40" w:after="0"/>
      <w:outlineLvl w:val="5"/>
    </w:pPr>
    <w:rPr>
      <w:rFonts w:eastAsiaTheme="majorEastAsia" w:cstheme="majorBidi"/>
      <w:i/>
      <w:iCs/>
      <w:color w:val="595959" w:themeColor="text1" w:themeTint="A6"/>
      <w:szCs w:val="21"/>
    </w:rPr>
  </w:style>
  <w:style w:type="paragraph" w:styleId="Heading7">
    <w:name w:val="heading 7"/>
    <w:basedOn w:val="Normal"/>
    <w:next w:val="Normal"/>
    <w:link w:val="Heading7Char"/>
    <w:uiPriority w:val="9"/>
    <w:unhideWhenUsed/>
    <w:qFormat/>
    <w:rsid w:val="00BB7067"/>
    <w:pPr>
      <w:keepNext/>
      <w:keepLines/>
      <w:spacing w:before="40" w:after="0"/>
      <w:outlineLvl w:val="6"/>
    </w:pPr>
    <w:rPr>
      <w:rFonts w:eastAsiaTheme="majorEastAsia" w:cstheme="majorBidi"/>
      <w:color w:val="595959" w:themeColor="text1" w:themeTint="A6"/>
      <w:szCs w:val="21"/>
    </w:rPr>
  </w:style>
  <w:style w:type="paragraph" w:styleId="Heading8">
    <w:name w:val="heading 8"/>
    <w:basedOn w:val="Normal"/>
    <w:next w:val="Normal"/>
    <w:link w:val="Heading8Char"/>
    <w:uiPriority w:val="9"/>
    <w:unhideWhenUsed/>
    <w:qFormat/>
    <w:rsid w:val="00BB7067"/>
    <w:pPr>
      <w:keepNext/>
      <w:keepLines/>
      <w:spacing w:after="0"/>
      <w:outlineLvl w:val="7"/>
    </w:pPr>
    <w:rPr>
      <w:rFonts w:eastAsiaTheme="majorEastAsia" w:cstheme="majorBidi"/>
      <w:i/>
      <w:iCs/>
      <w:color w:val="272727" w:themeColor="text1" w:themeTint="D8"/>
      <w:szCs w:val="21"/>
    </w:rPr>
  </w:style>
  <w:style w:type="paragraph" w:styleId="Heading9">
    <w:name w:val="heading 9"/>
    <w:basedOn w:val="Normal"/>
    <w:next w:val="Normal"/>
    <w:link w:val="Heading9Char"/>
    <w:uiPriority w:val="9"/>
    <w:unhideWhenUsed/>
    <w:qFormat/>
    <w:rsid w:val="00BB7067"/>
    <w:pPr>
      <w:keepNext/>
      <w:keepLines/>
      <w:spacing w:after="0"/>
      <w:outlineLvl w:val="8"/>
    </w:pPr>
    <w:rPr>
      <w:rFonts w:eastAsiaTheme="majorEastAsia"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ademic">
    <w:name w:val="Academic"/>
    <w:basedOn w:val="Normal"/>
    <w:link w:val="AcademicChar"/>
    <w:autoRedefine/>
    <w:qFormat/>
    <w:rsid w:val="00AD3779"/>
    <w:pPr>
      <w:autoSpaceDE w:val="0"/>
      <w:autoSpaceDN w:val="0"/>
      <w:adjustRightInd w:val="0"/>
      <w:spacing w:after="0" w:line="320" w:lineRule="atLeast"/>
      <w:ind w:left="60" w:right="60"/>
      <w:jc w:val="both"/>
    </w:pPr>
    <w:rPr>
      <w:rFonts w:eastAsia="Times New Roman" w:cs="Times New Roman"/>
    </w:rPr>
  </w:style>
  <w:style w:type="character" w:customStyle="1" w:styleId="AcademicChar">
    <w:name w:val="Academic Char"/>
    <w:basedOn w:val="DefaultParagraphFont"/>
    <w:link w:val="Academic"/>
    <w:rsid w:val="00AD3779"/>
    <w:rPr>
      <w:rFonts w:ascii="Times New Roman" w:eastAsia="Times New Roman" w:hAnsi="Times New Roman" w:cs="Times New Roman"/>
      <w:sz w:val="24"/>
    </w:rPr>
  </w:style>
  <w:style w:type="paragraph" w:customStyle="1" w:styleId="code">
    <w:name w:val="code"/>
    <w:basedOn w:val="Normal"/>
    <w:link w:val="codeChar"/>
    <w:qFormat/>
    <w:rsid w:val="00174E13"/>
    <w:rPr>
      <w:rFonts w:ascii="Consolas" w:eastAsia="Times New Roman" w:hAnsi="Consolas" w:cs="Times New Roman"/>
      <w:i/>
      <w:iCs/>
      <w:lang w:eastAsia="en-GB"/>
    </w:rPr>
  </w:style>
  <w:style w:type="character" w:customStyle="1" w:styleId="codeChar">
    <w:name w:val="code Char"/>
    <w:basedOn w:val="DefaultParagraphFont"/>
    <w:link w:val="code"/>
    <w:rsid w:val="00174E13"/>
    <w:rPr>
      <w:rFonts w:ascii="Consolas" w:eastAsia="Times New Roman" w:hAnsi="Consolas" w:cs="Times New Roman"/>
      <w:i/>
      <w:iCs/>
      <w:color w:val="000000"/>
      <w:szCs w:val="24"/>
      <w:lang w:eastAsia="en-GB"/>
    </w:rPr>
  </w:style>
  <w:style w:type="character" w:customStyle="1" w:styleId="Heading1Char">
    <w:name w:val="Heading 1 Char"/>
    <w:basedOn w:val="DefaultParagraphFont"/>
    <w:link w:val="Heading1"/>
    <w:uiPriority w:val="9"/>
    <w:rsid w:val="009940ED"/>
    <w:rPr>
      <w:rFonts w:eastAsiaTheme="majorEastAsia" w:cs="Times New Roman"/>
      <w:b/>
      <w:color w:val="auto"/>
      <w:kern w:val="0"/>
      <w:sz w:val="22"/>
      <w:lang w:bidi="ar-SA"/>
    </w:rPr>
  </w:style>
  <w:style w:type="paragraph" w:customStyle="1" w:styleId="TableText">
    <w:name w:val="TableText"/>
    <w:basedOn w:val="Normal"/>
    <w:link w:val="TableTextChar"/>
    <w:qFormat/>
    <w:rsid w:val="00850F0D"/>
    <w:pPr>
      <w:autoSpaceDE w:val="0"/>
      <w:autoSpaceDN w:val="0"/>
      <w:adjustRightInd w:val="0"/>
      <w:spacing w:after="0"/>
    </w:pPr>
    <w:rPr>
      <w:rFonts w:ascii="Arial" w:hAnsi="Arial" w:cs="Shonar Bangla"/>
      <w:sz w:val="20"/>
      <w:szCs w:val="20"/>
      <w:lang w:bidi="as-IN"/>
    </w:rPr>
  </w:style>
  <w:style w:type="character" w:customStyle="1" w:styleId="TableTextChar">
    <w:name w:val="TableText Char"/>
    <w:basedOn w:val="DefaultParagraphFont"/>
    <w:link w:val="TableText"/>
    <w:rsid w:val="00850F0D"/>
    <w:rPr>
      <w:rFonts w:ascii="Arial" w:hAnsi="Arial" w:cs="Shonar Bangla"/>
      <w:sz w:val="20"/>
      <w:szCs w:val="20"/>
      <w:lang w:bidi="as-IN"/>
    </w:rPr>
  </w:style>
  <w:style w:type="paragraph" w:customStyle="1" w:styleId="Assamese">
    <w:name w:val="Assamese"/>
    <w:basedOn w:val="Normal"/>
    <w:next w:val="Normal"/>
    <w:link w:val="AssameseChar"/>
    <w:autoRedefine/>
    <w:qFormat/>
    <w:rsid w:val="00001803"/>
    <w:pPr>
      <w:spacing w:after="0"/>
      <w:jc w:val="both"/>
    </w:pPr>
    <w:rPr>
      <w:rFonts w:ascii="Banikanta" w:hAnsi="Banikanta"/>
      <w:shd w:val="clear" w:color="auto" w:fill="FFFFFF"/>
    </w:rPr>
  </w:style>
  <w:style w:type="character" w:customStyle="1" w:styleId="AssameseChar">
    <w:name w:val="Assamese Char"/>
    <w:basedOn w:val="DefaultParagraphFont"/>
    <w:link w:val="Assamese"/>
    <w:rsid w:val="00001803"/>
    <w:rPr>
      <w:rFonts w:ascii="Banikanta" w:hAnsi="Banikanta"/>
      <w:sz w:val="24"/>
    </w:rPr>
  </w:style>
  <w:style w:type="character" w:customStyle="1" w:styleId="Heading2Char">
    <w:name w:val="Heading 2 Char"/>
    <w:basedOn w:val="DefaultParagraphFont"/>
    <w:link w:val="Heading2"/>
    <w:uiPriority w:val="9"/>
    <w:rsid w:val="00F7056F"/>
    <w:rPr>
      <w:rFonts w:eastAsiaTheme="majorEastAsia" w:cstheme="majorBidi"/>
      <w:b/>
      <w:sz w:val="26"/>
      <w:szCs w:val="26"/>
    </w:rPr>
  </w:style>
  <w:style w:type="character" w:customStyle="1" w:styleId="Heading3Char">
    <w:name w:val="Heading 3 Char"/>
    <w:basedOn w:val="DefaultParagraphFont"/>
    <w:link w:val="Heading3"/>
    <w:uiPriority w:val="9"/>
    <w:rsid w:val="00BB7067"/>
    <w:rPr>
      <w:rFonts w:asciiTheme="minorHAnsi" w:eastAsiaTheme="majorEastAsia" w:hAnsiTheme="minorHAnsi" w:cstheme="majorBidi"/>
      <w:color w:val="0F4761" w:themeColor="accent1" w:themeShade="BF"/>
      <w:sz w:val="28"/>
      <w:szCs w:val="25"/>
    </w:rPr>
  </w:style>
  <w:style w:type="character" w:customStyle="1" w:styleId="Heading4Char">
    <w:name w:val="Heading 4 Char"/>
    <w:basedOn w:val="DefaultParagraphFont"/>
    <w:link w:val="Heading4"/>
    <w:uiPriority w:val="9"/>
    <w:rsid w:val="00BB7067"/>
    <w:rPr>
      <w:rFonts w:asciiTheme="minorHAnsi" w:eastAsiaTheme="majorEastAsia" w:hAnsiTheme="minorHAnsi" w:cstheme="majorBidi"/>
      <w:i/>
      <w:iCs/>
      <w:color w:val="0F4761" w:themeColor="accent1" w:themeShade="BF"/>
      <w:szCs w:val="21"/>
    </w:rPr>
  </w:style>
  <w:style w:type="character" w:customStyle="1" w:styleId="Heading5Char">
    <w:name w:val="Heading 5 Char"/>
    <w:basedOn w:val="DefaultParagraphFont"/>
    <w:link w:val="Heading5"/>
    <w:uiPriority w:val="9"/>
    <w:rsid w:val="00BB7067"/>
    <w:rPr>
      <w:rFonts w:asciiTheme="minorHAnsi" w:eastAsiaTheme="majorEastAsia" w:hAnsiTheme="minorHAnsi" w:cstheme="majorBidi"/>
      <w:color w:val="0F4761" w:themeColor="accent1" w:themeShade="BF"/>
      <w:szCs w:val="21"/>
    </w:rPr>
  </w:style>
  <w:style w:type="character" w:customStyle="1" w:styleId="Heading6Char">
    <w:name w:val="Heading 6 Char"/>
    <w:basedOn w:val="DefaultParagraphFont"/>
    <w:link w:val="Heading6"/>
    <w:uiPriority w:val="9"/>
    <w:rsid w:val="00BB7067"/>
    <w:rPr>
      <w:rFonts w:asciiTheme="minorHAnsi" w:eastAsiaTheme="majorEastAsia" w:hAnsiTheme="minorHAnsi" w:cstheme="majorBidi"/>
      <w:i/>
      <w:iCs/>
      <w:color w:val="595959" w:themeColor="text1" w:themeTint="A6"/>
      <w:szCs w:val="21"/>
    </w:rPr>
  </w:style>
  <w:style w:type="character" w:customStyle="1" w:styleId="Heading7Char">
    <w:name w:val="Heading 7 Char"/>
    <w:basedOn w:val="DefaultParagraphFont"/>
    <w:link w:val="Heading7"/>
    <w:uiPriority w:val="9"/>
    <w:rsid w:val="00BB7067"/>
    <w:rPr>
      <w:rFonts w:asciiTheme="minorHAnsi" w:eastAsiaTheme="majorEastAsia" w:hAnsiTheme="minorHAnsi" w:cstheme="majorBidi"/>
      <w:color w:val="595959" w:themeColor="text1" w:themeTint="A6"/>
      <w:szCs w:val="21"/>
    </w:rPr>
  </w:style>
  <w:style w:type="character" w:customStyle="1" w:styleId="Heading8Char">
    <w:name w:val="Heading 8 Char"/>
    <w:basedOn w:val="DefaultParagraphFont"/>
    <w:link w:val="Heading8"/>
    <w:uiPriority w:val="9"/>
    <w:rsid w:val="00BB7067"/>
    <w:rPr>
      <w:rFonts w:asciiTheme="minorHAnsi" w:eastAsiaTheme="majorEastAsia" w:hAnsiTheme="minorHAnsi" w:cstheme="majorBidi"/>
      <w:i/>
      <w:iCs/>
      <w:color w:val="272727" w:themeColor="text1" w:themeTint="D8"/>
      <w:szCs w:val="21"/>
    </w:rPr>
  </w:style>
  <w:style w:type="character" w:customStyle="1" w:styleId="Heading9Char">
    <w:name w:val="Heading 9 Char"/>
    <w:basedOn w:val="DefaultParagraphFont"/>
    <w:link w:val="Heading9"/>
    <w:uiPriority w:val="9"/>
    <w:rsid w:val="00BB7067"/>
    <w:rPr>
      <w:rFonts w:asciiTheme="minorHAnsi" w:eastAsiaTheme="majorEastAsia" w:hAnsiTheme="minorHAnsi" w:cstheme="majorBidi"/>
      <w:color w:val="272727" w:themeColor="text1" w:themeTint="D8"/>
      <w:szCs w:val="21"/>
    </w:rPr>
  </w:style>
  <w:style w:type="paragraph" w:styleId="Title">
    <w:name w:val="Title"/>
    <w:basedOn w:val="Normal"/>
    <w:next w:val="Normal"/>
    <w:link w:val="TitleChar"/>
    <w:qFormat/>
    <w:rsid w:val="00BB7067"/>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rsid w:val="00BB7067"/>
    <w:rPr>
      <w:rFonts w:asciiTheme="majorHAnsi" w:eastAsiaTheme="majorEastAsia" w:hAnsiTheme="majorHAnsi" w:cstheme="majorBidi"/>
      <w:color w:val="auto"/>
      <w:spacing w:val="-10"/>
      <w:kern w:val="28"/>
      <w:sz w:val="56"/>
      <w:szCs w:val="50"/>
    </w:rPr>
  </w:style>
  <w:style w:type="paragraph" w:styleId="Subtitle">
    <w:name w:val="Subtitle"/>
    <w:basedOn w:val="Normal"/>
    <w:next w:val="Normal"/>
    <w:link w:val="SubtitleChar"/>
    <w:qFormat/>
    <w:rsid w:val="00BB706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rsid w:val="00BB7067"/>
    <w:rPr>
      <w:rFonts w:asciiTheme="minorHAnsi" w:eastAsiaTheme="majorEastAsia" w:hAnsiTheme="minorHAnsi" w:cstheme="majorBidi"/>
      <w:color w:val="595959" w:themeColor="text1" w:themeTint="A6"/>
      <w:spacing w:val="15"/>
      <w:sz w:val="28"/>
      <w:szCs w:val="25"/>
    </w:rPr>
  </w:style>
  <w:style w:type="paragraph" w:styleId="Quote">
    <w:name w:val="Quote"/>
    <w:basedOn w:val="Normal"/>
    <w:next w:val="Normal"/>
    <w:link w:val="QuoteChar"/>
    <w:uiPriority w:val="29"/>
    <w:qFormat/>
    <w:rsid w:val="00BB7067"/>
    <w:pPr>
      <w:spacing w:before="160"/>
      <w:jc w:val="center"/>
    </w:pPr>
    <w:rPr>
      <w:rFonts w:cs="Mangal"/>
      <w:i/>
      <w:iCs/>
      <w:color w:val="404040" w:themeColor="text1" w:themeTint="BF"/>
      <w:szCs w:val="21"/>
    </w:rPr>
  </w:style>
  <w:style w:type="character" w:customStyle="1" w:styleId="QuoteChar">
    <w:name w:val="Quote Char"/>
    <w:basedOn w:val="DefaultParagraphFont"/>
    <w:link w:val="Quote"/>
    <w:uiPriority w:val="29"/>
    <w:rsid w:val="00BB7067"/>
    <w:rPr>
      <w:rFonts w:cs="Mangal"/>
      <w:i/>
      <w:iCs/>
      <w:color w:val="404040" w:themeColor="text1" w:themeTint="BF"/>
      <w:szCs w:val="21"/>
    </w:rPr>
  </w:style>
  <w:style w:type="paragraph" w:styleId="ListParagraph">
    <w:name w:val="List Paragraph"/>
    <w:basedOn w:val="Normal"/>
    <w:qFormat/>
    <w:rsid w:val="00BB7067"/>
    <w:pPr>
      <w:ind w:left="720"/>
      <w:contextualSpacing/>
    </w:pPr>
    <w:rPr>
      <w:rFonts w:cs="Mangal"/>
      <w:szCs w:val="21"/>
    </w:rPr>
  </w:style>
  <w:style w:type="character" w:styleId="IntenseEmphasis">
    <w:name w:val="Intense Emphasis"/>
    <w:basedOn w:val="DefaultParagraphFont"/>
    <w:uiPriority w:val="21"/>
    <w:qFormat/>
    <w:rsid w:val="00BB7067"/>
    <w:rPr>
      <w:i/>
      <w:iCs/>
      <w:color w:val="0F4761" w:themeColor="accent1" w:themeShade="BF"/>
    </w:rPr>
  </w:style>
  <w:style w:type="paragraph" w:styleId="IntenseQuote">
    <w:name w:val="Intense Quote"/>
    <w:basedOn w:val="Normal"/>
    <w:next w:val="Normal"/>
    <w:link w:val="IntenseQuoteChar"/>
    <w:uiPriority w:val="30"/>
    <w:qFormat/>
    <w:rsid w:val="00BB7067"/>
    <w:pPr>
      <w:pBdr>
        <w:top w:val="single" w:sz="4" w:space="10" w:color="0F4761" w:themeColor="accent1" w:themeShade="BF"/>
        <w:bottom w:val="single" w:sz="4" w:space="10" w:color="0F4761" w:themeColor="accent1" w:themeShade="BF"/>
      </w:pBdr>
      <w:spacing w:before="360" w:after="360"/>
      <w:ind w:left="864" w:right="864"/>
      <w:jc w:val="center"/>
    </w:pPr>
    <w:rPr>
      <w:rFonts w:cs="Mangal"/>
      <w:i/>
      <w:iCs/>
      <w:color w:val="0F4761" w:themeColor="accent1" w:themeShade="BF"/>
      <w:szCs w:val="21"/>
    </w:rPr>
  </w:style>
  <w:style w:type="character" w:customStyle="1" w:styleId="IntenseQuoteChar">
    <w:name w:val="Intense Quote Char"/>
    <w:basedOn w:val="DefaultParagraphFont"/>
    <w:link w:val="IntenseQuote"/>
    <w:uiPriority w:val="30"/>
    <w:rsid w:val="00BB7067"/>
    <w:rPr>
      <w:rFonts w:cs="Mangal"/>
      <w:i/>
      <w:iCs/>
      <w:color w:val="0F4761" w:themeColor="accent1" w:themeShade="BF"/>
      <w:szCs w:val="21"/>
    </w:rPr>
  </w:style>
  <w:style w:type="character" w:styleId="IntenseReference">
    <w:name w:val="Intense Reference"/>
    <w:basedOn w:val="DefaultParagraphFont"/>
    <w:uiPriority w:val="32"/>
    <w:qFormat/>
    <w:rsid w:val="00BB7067"/>
    <w:rPr>
      <w:b/>
      <w:bCs/>
      <w:smallCaps/>
      <w:color w:val="0F4761" w:themeColor="accent1" w:themeShade="BF"/>
      <w:spacing w:val="5"/>
    </w:rPr>
  </w:style>
  <w:style w:type="paragraph" w:styleId="BodyText">
    <w:name w:val="Body Text"/>
    <w:basedOn w:val="Normal"/>
    <w:link w:val="BodyTextChar"/>
    <w:qFormat/>
    <w:rsid w:val="00BB7067"/>
    <w:pPr>
      <w:spacing w:before="180" w:after="180"/>
    </w:pPr>
  </w:style>
  <w:style w:type="character" w:customStyle="1" w:styleId="BodyTextChar">
    <w:name w:val="Body Text Char"/>
    <w:basedOn w:val="DefaultParagraphFont"/>
    <w:link w:val="BodyText"/>
    <w:rsid w:val="00BB7067"/>
    <w:rPr>
      <w:rFonts w:asciiTheme="minorHAnsi" w:hAnsiTheme="minorHAnsi" w:cstheme="minorBidi"/>
      <w:color w:val="auto"/>
      <w:kern w:val="0"/>
      <w:lang w:bidi="ar-SA"/>
    </w:rPr>
  </w:style>
  <w:style w:type="paragraph" w:customStyle="1" w:styleId="FirstParagraph">
    <w:name w:val="First Paragraph"/>
    <w:basedOn w:val="BodyText"/>
    <w:next w:val="BodyText"/>
    <w:qFormat/>
    <w:rsid w:val="00BB7067"/>
  </w:style>
  <w:style w:type="paragraph" w:customStyle="1" w:styleId="Compact">
    <w:name w:val="Compact"/>
    <w:basedOn w:val="BodyText"/>
    <w:qFormat/>
    <w:rsid w:val="00BB7067"/>
    <w:pPr>
      <w:spacing w:before="36" w:after="36"/>
    </w:pPr>
  </w:style>
  <w:style w:type="paragraph" w:customStyle="1" w:styleId="Author">
    <w:name w:val="Author"/>
    <w:next w:val="BodyText"/>
    <w:qFormat/>
    <w:rsid w:val="00BB7067"/>
    <w:pPr>
      <w:keepNext/>
      <w:keepLines/>
      <w:spacing w:after="200" w:line="240" w:lineRule="auto"/>
      <w:jc w:val="center"/>
    </w:pPr>
    <w:rPr>
      <w:rFonts w:asciiTheme="minorHAnsi" w:hAnsiTheme="minorHAnsi"/>
      <w:lang w:val="en-US" w:bidi="ar-SA"/>
    </w:rPr>
  </w:style>
  <w:style w:type="paragraph" w:styleId="Date">
    <w:name w:val="Date"/>
    <w:next w:val="BodyText"/>
    <w:link w:val="DateChar"/>
    <w:qFormat/>
    <w:rsid w:val="00BB7067"/>
    <w:pPr>
      <w:keepNext/>
      <w:keepLines/>
      <w:spacing w:after="200" w:line="240" w:lineRule="auto"/>
      <w:jc w:val="center"/>
    </w:pPr>
    <w:rPr>
      <w:rFonts w:asciiTheme="minorHAnsi" w:hAnsiTheme="minorHAnsi"/>
      <w:lang w:val="en-US" w:bidi="ar-SA"/>
    </w:rPr>
  </w:style>
  <w:style w:type="character" w:customStyle="1" w:styleId="DateChar">
    <w:name w:val="Date Char"/>
    <w:basedOn w:val="DefaultParagraphFont"/>
    <w:link w:val="Date"/>
    <w:rsid w:val="00BB7067"/>
    <w:rPr>
      <w:rFonts w:asciiTheme="minorHAnsi" w:hAnsiTheme="minorHAnsi" w:cstheme="minorBidi"/>
      <w:color w:val="auto"/>
      <w:kern w:val="0"/>
      <w:lang w:val="en-US" w:bidi="ar-SA"/>
    </w:rPr>
  </w:style>
  <w:style w:type="paragraph" w:customStyle="1" w:styleId="Abstract">
    <w:name w:val="Abstract"/>
    <w:basedOn w:val="Normal"/>
    <w:next w:val="BodyText"/>
    <w:qFormat/>
    <w:rsid w:val="00BB7067"/>
    <w:pPr>
      <w:keepNext/>
      <w:keepLines/>
      <w:spacing w:before="300" w:after="300"/>
    </w:pPr>
    <w:rPr>
      <w:sz w:val="20"/>
      <w:szCs w:val="20"/>
    </w:rPr>
  </w:style>
  <w:style w:type="paragraph" w:styleId="Bibliography">
    <w:name w:val="Bibliography"/>
    <w:basedOn w:val="Normal"/>
    <w:qFormat/>
    <w:rsid w:val="00BB7067"/>
    <w:pPr>
      <w:tabs>
        <w:tab w:val="left" w:pos="384"/>
      </w:tabs>
      <w:spacing w:after="0" w:line="480" w:lineRule="auto"/>
      <w:ind w:left="384" w:hanging="384"/>
    </w:pPr>
  </w:style>
  <w:style w:type="paragraph" w:styleId="BlockText">
    <w:name w:val="Block Text"/>
    <w:basedOn w:val="BodyText"/>
    <w:next w:val="BodyText"/>
    <w:uiPriority w:val="9"/>
    <w:unhideWhenUsed/>
    <w:qFormat/>
    <w:rsid w:val="00BB7067"/>
    <w:pPr>
      <w:spacing w:before="100" w:after="100"/>
      <w:ind w:left="480" w:right="480"/>
    </w:pPr>
  </w:style>
  <w:style w:type="paragraph" w:styleId="FootnoteText">
    <w:name w:val="footnote text"/>
    <w:basedOn w:val="Normal"/>
    <w:link w:val="FootnoteTextChar"/>
    <w:uiPriority w:val="9"/>
    <w:unhideWhenUsed/>
    <w:qFormat/>
    <w:rsid w:val="00BB7067"/>
  </w:style>
  <w:style w:type="character" w:customStyle="1" w:styleId="FootnoteTextChar">
    <w:name w:val="Footnote Text Char"/>
    <w:basedOn w:val="DefaultParagraphFont"/>
    <w:link w:val="FootnoteText"/>
    <w:uiPriority w:val="9"/>
    <w:rsid w:val="00BB7067"/>
    <w:rPr>
      <w:rFonts w:asciiTheme="minorHAnsi" w:hAnsiTheme="minorHAnsi" w:cstheme="minorBidi"/>
      <w:color w:val="auto"/>
      <w:kern w:val="0"/>
      <w:lang w:bidi="ar-SA"/>
    </w:rPr>
  </w:style>
  <w:style w:type="table" w:customStyle="1" w:styleId="Table">
    <w:name w:val="Table"/>
    <w:semiHidden/>
    <w:unhideWhenUsed/>
    <w:qFormat/>
    <w:rsid w:val="00BB7067"/>
    <w:pPr>
      <w:spacing w:after="200" w:line="240" w:lineRule="auto"/>
    </w:pPr>
    <w:rPr>
      <w:rFonts w:asciiTheme="minorHAnsi" w:hAnsiTheme="minorHAnsi"/>
      <w:sz w:val="20"/>
      <w:szCs w:val="20"/>
      <w:lang w:val="en-US" w:eastAsia="en-IN" w:bidi="ar-SA"/>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BB7067"/>
    <w:pPr>
      <w:keepNext/>
      <w:keepLines/>
      <w:spacing w:after="0"/>
    </w:pPr>
    <w:rPr>
      <w:b/>
    </w:rPr>
  </w:style>
  <w:style w:type="paragraph" w:customStyle="1" w:styleId="Definition">
    <w:name w:val="Definition"/>
    <w:basedOn w:val="Normal"/>
    <w:rsid w:val="00BB7067"/>
  </w:style>
  <w:style w:type="paragraph" w:styleId="Caption">
    <w:name w:val="caption"/>
    <w:basedOn w:val="Normal"/>
    <w:link w:val="CaptionChar"/>
    <w:rsid w:val="00BB7067"/>
    <w:pPr>
      <w:spacing w:after="120"/>
    </w:pPr>
    <w:rPr>
      <w:i/>
    </w:rPr>
  </w:style>
  <w:style w:type="paragraph" w:customStyle="1" w:styleId="TableCaption">
    <w:name w:val="Table Caption"/>
    <w:basedOn w:val="Caption"/>
    <w:rsid w:val="00BB7067"/>
    <w:pPr>
      <w:keepNext/>
    </w:pPr>
  </w:style>
  <w:style w:type="paragraph" w:customStyle="1" w:styleId="ImageCaption">
    <w:name w:val="Image Caption"/>
    <w:basedOn w:val="Caption"/>
    <w:rsid w:val="00BB7067"/>
  </w:style>
  <w:style w:type="paragraph" w:customStyle="1" w:styleId="Figure">
    <w:name w:val="Figure"/>
    <w:basedOn w:val="Normal"/>
    <w:link w:val="FigureChar"/>
    <w:rsid w:val="00BB7067"/>
  </w:style>
  <w:style w:type="paragraph" w:customStyle="1" w:styleId="CaptionedFigure">
    <w:name w:val="Captioned Figure"/>
    <w:basedOn w:val="Figure"/>
    <w:link w:val="CaptionedFigureChar"/>
    <w:rsid w:val="00BB7067"/>
    <w:pPr>
      <w:keepNext/>
    </w:pPr>
  </w:style>
  <w:style w:type="character" w:customStyle="1" w:styleId="CaptionChar">
    <w:name w:val="Caption Char"/>
    <w:basedOn w:val="DefaultParagraphFont"/>
    <w:link w:val="Caption"/>
    <w:rsid w:val="00BB7067"/>
    <w:rPr>
      <w:rFonts w:asciiTheme="minorHAnsi" w:hAnsiTheme="minorHAnsi" w:cstheme="minorBidi"/>
      <w:i/>
      <w:color w:val="auto"/>
      <w:kern w:val="0"/>
      <w:lang w:bidi="ar-SA"/>
    </w:rPr>
  </w:style>
  <w:style w:type="character" w:customStyle="1" w:styleId="VerbatimChar">
    <w:name w:val="Verbatim Char"/>
    <w:basedOn w:val="CaptionChar"/>
    <w:link w:val="SourceCode"/>
    <w:rsid w:val="00BB7067"/>
    <w:rPr>
      <w:rFonts w:ascii="Consolas" w:hAnsi="Consolas" w:cstheme="minorBidi"/>
      <w:i/>
      <w:color w:val="auto"/>
      <w:kern w:val="0"/>
      <w:sz w:val="22"/>
      <w:lang w:bidi="ar-SA"/>
    </w:rPr>
  </w:style>
  <w:style w:type="character" w:customStyle="1" w:styleId="SectionNumber">
    <w:name w:val="Section Number"/>
    <w:basedOn w:val="CaptionChar"/>
    <w:rsid w:val="00BB7067"/>
    <w:rPr>
      <w:rFonts w:asciiTheme="minorHAnsi" w:hAnsiTheme="minorHAnsi" w:cstheme="minorBidi"/>
      <w:i/>
      <w:color w:val="auto"/>
      <w:kern w:val="0"/>
      <w:lang w:bidi="ar-SA"/>
    </w:rPr>
  </w:style>
  <w:style w:type="character" w:styleId="FootnoteReference">
    <w:name w:val="footnote reference"/>
    <w:basedOn w:val="CaptionChar"/>
    <w:rsid w:val="00BB7067"/>
    <w:rPr>
      <w:rFonts w:asciiTheme="minorHAnsi" w:hAnsiTheme="minorHAnsi" w:cstheme="minorBidi"/>
      <w:i/>
      <w:color w:val="auto"/>
      <w:kern w:val="0"/>
      <w:vertAlign w:val="superscript"/>
      <w:lang w:bidi="ar-SA"/>
    </w:rPr>
  </w:style>
  <w:style w:type="character" w:styleId="Hyperlink">
    <w:name w:val="Hyperlink"/>
    <w:basedOn w:val="CaptionChar"/>
    <w:rsid w:val="00BB7067"/>
    <w:rPr>
      <w:rFonts w:asciiTheme="minorHAnsi" w:hAnsiTheme="minorHAnsi" w:cstheme="minorBidi"/>
      <w:i/>
      <w:color w:val="156082" w:themeColor="accent1"/>
      <w:kern w:val="0"/>
      <w:lang w:bidi="ar-SA"/>
    </w:rPr>
  </w:style>
  <w:style w:type="paragraph" w:styleId="TOCHeading">
    <w:name w:val="TOC Heading"/>
    <w:basedOn w:val="Heading1"/>
    <w:next w:val="BodyText"/>
    <w:uiPriority w:val="39"/>
    <w:unhideWhenUsed/>
    <w:qFormat/>
    <w:rsid w:val="00BB7067"/>
    <w:pPr>
      <w:spacing w:before="240" w:line="259" w:lineRule="auto"/>
      <w:outlineLvl w:val="9"/>
    </w:pPr>
    <w:rPr>
      <w:rFonts w:asciiTheme="majorHAnsi" w:hAnsiTheme="majorHAnsi"/>
      <w:b w:val="0"/>
      <w:color w:val="0F4761" w:themeColor="accent1" w:themeShade="BF"/>
      <w:sz w:val="32"/>
    </w:rPr>
  </w:style>
  <w:style w:type="paragraph" w:customStyle="1" w:styleId="SourceCode">
    <w:name w:val="Source Code"/>
    <w:basedOn w:val="Normal"/>
    <w:link w:val="VerbatimChar"/>
    <w:rsid w:val="00BB7067"/>
    <w:pPr>
      <w:wordWrap w:val="0"/>
    </w:pPr>
    <w:rPr>
      <w:rFonts w:ascii="Consolas" w:hAnsi="Consolas"/>
      <w:i/>
    </w:rPr>
  </w:style>
  <w:style w:type="character" w:customStyle="1" w:styleId="KeywordTok">
    <w:name w:val="KeywordTok"/>
    <w:basedOn w:val="VerbatimChar"/>
    <w:rsid w:val="00BB7067"/>
    <w:rPr>
      <w:rFonts w:ascii="Consolas" w:hAnsi="Consolas" w:cstheme="minorBidi"/>
      <w:b/>
      <w:i/>
      <w:color w:val="007020"/>
      <w:kern w:val="0"/>
      <w:sz w:val="22"/>
      <w:lang w:bidi="ar-SA"/>
    </w:rPr>
  </w:style>
  <w:style w:type="character" w:customStyle="1" w:styleId="DataTypeTok">
    <w:name w:val="DataTypeTok"/>
    <w:basedOn w:val="VerbatimChar"/>
    <w:rsid w:val="00BB7067"/>
    <w:rPr>
      <w:rFonts w:ascii="Consolas" w:hAnsi="Consolas" w:cstheme="minorBidi"/>
      <w:i/>
      <w:color w:val="902000"/>
      <w:kern w:val="0"/>
      <w:sz w:val="22"/>
      <w:lang w:bidi="ar-SA"/>
    </w:rPr>
  </w:style>
  <w:style w:type="character" w:customStyle="1" w:styleId="DecValTok">
    <w:name w:val="DecValTok"/>
    <w:basedOn w:val="VerbatimChar"/>
    <w:rsid w:val="00BB7067"/>
    <w:rPr>
      <w:rFonts w:ascii="Consolas" w:hAnsi="Consolas" w:cstheme="minorBidi"/>
      <w:i/>
      <w:color w:val="40A070"/>
      <w:kern w:val="0"/>
      <w:sz w:val="22"/>
      <w:lang w:bidi="ar-SA"/>
    </w:rPr>
  </w:style>
  <w:style w:type="character" w:customStyle="1" w:styleId="BaseNTok">
    <w:name w:val="BaseNTok"/>
    <w:basedOn w:val="VerbatimChar"/>
    <w:rsid w:val="00BB7067"/>
    <w:rPr>
      <w:rFonts w:ascii="Consolas" w:hAnsi="Consolas" w:cstheme="minorBidi"/>
      <w:i/>
      <w:color w:val="40A070"/>
      <w:kern w:val="0"/>
      <w:sz w:val="22"/>
      <w:lang w:bidi="ar-SA"/>
    </w:rPr>
  </w:style>
  <w:style w:type="character" w:customStyle="1" w:styleId="FloatTok">
    <w:name w:val="FloatTok"/>
    <w:basedOn w:val="VerbatimChar"/>
    <w:rsid w:val="00BB7067"/>
    <w:rPr>
      <w:rFonts w:ascii="Consolas" w:hAnsi="Consolas" w:cstheme="minorBidi"/>
      <w:i/>
      <w:color w:val="40A070"/>
      <w:kern w:val="0"/>
      <w:sz w:val="22"/>
      <w:lang w:bidi="ar-SA"/>
    </w:rPr>
  </w:style>
  <w:style w:type="character" w:customStyle="1" w:styleId="ConstantTok">
    <w:name w:val="ConstantTok"/>
    <w:basedOn w:val="VerbatimChar"/>
    <w:rsid w:val="00BB7067"/>
    <w:rPr>
      <w:rFonts w:ascii="Consolas" w:hAnsi="Consolas" w:cstheme="minorBidi"/>
      <w:i/>
      <w:color w:val="880000"/>
      <w:kern w:val="0"/>
      <w:sz w:val="22"/>
      <w:lang w:bidi="ar-SA"/>
    </w:rPr>
  </w:style>
  <w:style w:type="character" w:customStyle="1" w:styleId="CharTok">
    <w:name w:val="CharTok"/>
    <w:basedOn w:val="VerbatimChar"/>
    <w:rsid w:val="00BB7067"/>
    <w:rPr>
      <w:rFonts w:ascii="Consolas" w:hAnsi="Consolas" w:cstheme="minorBidi"/>
      <w:i/>
      <w:color w:val="4070A0"/>
      <w:kern w:val="0"/>
      <w:sz w:val="22"/>
      <w:lang w:bidi="ar-SA"/>
    </w:rPr>
  </w:style>
  <w:style w:type="character" w:customStyle="1" w:styleId="SpecialCharTok">
    <w:name w:val="SpecialCharTok"/>
    <w:basedOn w:val="VerbatimChar"/>
    <w:rsid w:val="00BB7067"/>
    <w:rPr>
      <w:rFonts w:ascii="Consolas" w:hAnsi="Consolas" w:cstheme="minorBidi"/>
      <w:i/>
      <w:color w:val="4070A0"/>
      <w:kern w:val="0"/>
      <w:sz w:val="22"/>
      <w:lang w:bidi="ar-SA"/>
    </w:rPr>
  </w:style>
  <w:style w:type="character" w:customStyle="1" w:styleId="StringTok">
    <w:name w:val="StringTok"/>
    <w:basedOn w:val="VerbatimChar"/>
    <w:rsid w:val="00BB7067"/>
    <w:rPr>
      <w:rFonts w:ascii="Consolas" w:hAnsi="Consolas" w:cstheme="minorBidi"/>
      <w:i/>
      <w:color w:val="4070A0"/>
      <w:kern w:val="0"/>
      <w:sz w:val="22"/>
      <w:lang w:bidi="ar-SA"/>
    </w:rPr>
  </w:style>
  <w:style w:type="character" w:customStyle="1" w:styleId="VerbatimStringTok">
    <w:name w:val="VerbatimStringTok"/>
    <w:basedOn w:val="VerbatimChar"/>
    <w:rsid w:val="00BB7067"/>
    <w:rPr>
      <w:rFonts w:ascii="Consolas" w:hAnsi="Consolas" w:cstheme="minorBidi"/>
      <w:i/>
      <w:color w:val="4070A0"/>
      <w:kern w:val="0"/>
      <w:sz w:val="22"/>
      <w:lang w:bidi="ar-SA"/>
    </w:rPr>
  </w:style>
  <w:style w:type="character" w:customStyle="1" w:styleId="SpecialStringTok">
    <w:name w:val="SpecialStringTok"/>
    <w:basedOn w:val="VerbatimChar"/>
    <w:rsid w:val="00BB7067"/>
    <w:rPr>
      <w:rFonts w:ascii="Consolas" w:hAnsi="Consolas" w:cstheme="minorBidi"/>
      <w:i/>
      <w:color w:val="BB6688"/>
      <w:kern w:val="0"/>
      <w:sz w:val="22"/>
      <w:lang w:bidi="ar-SA"/>
    </w:rPr>
  </w:style>
  <w:style w:type="character" w:customStyle="1" w:styleId="ImportTok">
    <w:name w:val="ImportTok"/>
    <w:basedOn w:val="VerbatimChar"/>
    <w:rsid w:val="00BB7067"/>
    <w:rPr>
      <w:rFonts w:ascii="Consolas" w:hAnsi="Consolas" w:cstheme="minorBidi"/>
      <w:b/>
      <w:i/>
      <w:color w:val="008000"/>
      <w:kern w:val="0"/>
      <w:sz w:val="22"/>
      <w:lang w:bidi="ar-SA"/>
    </w:rPr>
  </w:style>
  <w:style w:type="character" w:customStyle="1" w:styleId="CommentTok">
    <w:name w:val="CommentTok"/>
    <w:basedOn w:val="VerbatimChar"/>
    <w:rsid w:val="00BB7067"/>
    <w:rPr>
      <w:rFonts w:ascii="Consolas" w:hAnsi="Consolas" w:cstheme="minorBidi"/>
      <w:i w:val="0"/>
      <w:color w:val="60A0B0"/>
      <w:kern w:val="0"/>
      <w:sz w:val="22"/>
      <w:lang w:bidi="ar-SA"/>
    </w:rPr>
  </w:style>
  <w:style w:type="character" w:customStyle="1" w:styleId="DocumentationTok">
    <w:name w:val="DocumentationTok"/>
    <w:basedOn w:val="VerbatimChar"/>
    <w:rsid w:val="00BB7067"/>
    <w:rPr>
      <w:rFonts w:ascii="Consolas" w:hAnsi="Consolas" w:cstheme="minorBidi"/>
      <w:i w:val="0"/>
      <w:color w:val="BA2121"/>
      <w:kern w:val="0"/>
      <w:sz w:val="22"/>
      <w:lang w:bidi="ar-SA"/>
    </w:rPr>
  </w:style>
  <w:style w:type="character" w:customStyle="1" w:styleId="AnnotationTok">
    <w:name w:val="AnnotationTok"/>
    <w:basedOn w:val="VerbatimChar"/>
    <w:rsid w:val="00BB7067"/>
    <w:rPr>
      <w:rFonts w:ascii="Consolas" w:hAnsi="Consolas" w:cstheme="minorBidi"/>
      <w:b/>
      <w:i w:val="0"/>
      <w:color w:val="60A0B0"/>
      <w:kern w:val="0"/>
      <w:sz w:val="22"/>
      <w:lang w:bidi="ar-SA"/>
    </w:rPr>
  </w:style>
  <w:style w:type="character" w:customStyle="1" w:styleId="CommentVarTok">
    <w:name w:val="CommentVarTok"/>
    <w:basedOn w:val="VerbatimChar"/>
    <w:rsid w:val="00BB7067"/>
    <w:rPr>
      <w:rFonts w:ascii="Consolas" w:hAnsi="Consolas" w:cstheme="minorBidi"/>
      <w:b/>
      <w:i w:val="0"/>
      <w:color w:val="60A0B0"/>
      <w:kern w:val="0"/>
      <w:sz w:val="22"/>
      <w:lang w:bidi="ar-SA"/>
    </w:rPr>
  </w:style>
  <w:style w:type="character" w:customStyle="1" w:styleId="OtherTok">
    <w:name w:val="OtherTok"/>
    <w:basedOn w:val="VerbatimChar"/>
    <w:rsid w:val="00BB7067"/>
    <w:rPr>
      <w:rFonts w:ascii="Consolas" w:hAnsi="Consolas" w:cstheme="minorBidi"/>
      <w:i/>
      <w:color w:val="007020"/>
      <w:kern w:val="0"/>
      <w:sz w:val="22"/>
      <w:lang w:bidi="ar-SA"/>
    </w:rPr>
  </w:style>
  <w:style w:type="character" w:customStyle="1" w:styleId="FunctionTok">
    <w:name w:val="FunctionTok"/>
    <w:basedOn w:val="VerbatimChar"/>
    <w:rsid w:val="00BB7067"/>
    <w:rPr>
      <w:rFonts w:ascii="Consolas" w:hAnsi="Consolas" w:cstheme="minorBidi"/>
      <w:i/>
      <w:color w:val="06287E"/>
      <w:kern w:val="0"/>
      <w:sz w:val="22"/>
      <w:lang w:bidi="ar-SA"/>
    </w:rPr>
  </w:style>
  <w:style w:type="character" w:customStyle="1" w:styleId="VariableTok">
    <w:name w:val="VariableTok"/>
    <w:basedOn w:val="VerbatimChar"/>
    <w:rsid w:val="00BB7067"/>
    <w:rPr>
      <w:rFonts w:ascii="Consolas" w:hAnsi="Consolas" w:cstheme="minorBidi"/>
      <w:i/>
      <w:color w:val="19177C"/>
      <w:kern w:val="0"/>
      <w:sz w:val="22"/>
      <w:lang w:bidi="ar-SA"/>
    </w:rPr>
  </w:style>
  <w:style w:type="character" w:customStyle="1" w:styleId="ControlFlowTok">
    <w:name w:val="ControlFlowTok"/>
    <w:basedOn w:val="VerbatimChar"/>
    <w:rsid w:val="00BB7067"/>
    <w:rPr>
      <w:rFonts w:ascii="Consolas" w:hAnsi="Consolas" w:cstheme="minorBidi"/>
      <w:b/>
      <w:i/>
      <w:color w:val="007020"/>
      <w:kern w:val="0"/>
      <w:sz w:val="22"/>
      <w:lang w:bidi="ar-SA"/>
    </w:rPr>
  </w:style>
  <w:style w:type="character" w:customStyle="1" w:styleId="OperatorTok">
    <w:name w:val="OperatorTok"/>
    <w:basedOn w:val="VerbatimChar"/>
    <w:rsid w:val="00BB7067"/>
    <w:rPr>
      <w:rFonts w:ascii="Consolas" w:hAnsi="Consolas" w:cstheme="minorBidi"/>
      <w:i/>
      <w:color w:val="666666"/>
      <w:kern w:val="0"/>
      <w:sz w:val="22"/>
      <w:lang w:bidi="ar-SA"/>
    </w:rPr>
  </w:style>
  <w:style w:type="character" w:customStyle="1" w:styleId="BuiltInTok">
    <w:name w:val="BuiltInTok"/>
    <w:basedOn w:val="VerbatimChar"/>
    <w:rsid w:val="00BB7067"/>
    <w:rPr>
      <w:rFonts w:ascii="Consolas" w:hAnsi="Consolas" w:cstheme="minorBidi"/>
      <w:i/>
      <w:color w:val="008000"/>
      <w:kern w:val="0"/>
      <w:sz w:val="22"/>
      <w:lang w:bidi="ar-SA"/>
    </w:rPr>
  </w:style>
  <w:style w:type="character" w:customStyle="1" w:styleId="ExtensionTok">
    <w:name w:val="ExtensionTok"/>
    <w:basedOn w:val="VerbatimChar"/>
    <w:rsid w:val="00BB7067"/>
    <w:rPr>
      <w:rFonts w:ascii="Consolas" w:hAnsi="Consolas" w:cstheme="minorBidi"/>
      <w:i/>
      <w:color w:val="auto"/>
      <w:kern w:val="0"/>
      <w:sz w:val="22"/>
      <w:lang w:bidi="ar-SA"/>
    </w:rPr>
  </w:style>
  <w:style w:type="character" w:customStyle="1" w:styleId="PreprocessorTok">
    <w:name w:val="PreprocessorTok"/>
    <w:basedOn w:val="VerbatimChar"/>
    <w:rsid w:val="00BB7067"/>
    <w:rPr>
      <w:rFonts w:ascii="Consolas" w:hAnsi="Consolas" w:cstheme="minorBidi"/>
      <w:i/>
      <w:color w:val="BC7A00"/>
      <w:kern w:val="0"/>
      <w:sz w:val="22"/>
      <w:lang w:bidi="ar-SA"/>
    </w:rPr>
  </w:style>
  <w:style w:type="character" w:customStyle="1" w:styleId="AttributeTok">
    <w:name w:val="AttributeTok"/>
    <w:basedOn w:val="VerbatimChar"/>
    <w:rsid w:val="00BB7067"/>
    <w:rPr>
      <w:rFonts w:ascii="Consolas" w:hAnsi="Consolas" w:cstheme="minorBidi"/>
      <w:i/>
      <w:color w:val="7D9029"/>
      <w:kern w:val="0"/>
      <w:sz w:val="22"/>
      <w:lang w:bidi="ar-SA"/>
    </w:rPr>
  </w:style>
  <w:style w:type="character" w:customStyle="1" w:styleId="RegionMarkerTok">
    <w:name w:val="RegionMarkerTok"/>
    <w:basedOn w:val="VerbatimChar"/>
    <w:rsid w:val="00BB7067"/>
    <w:rPr>
      <w:rFonts w:ascii="Consolas" w:hAnsi="Consolas" w:cstheme="minorBidi"/>
      <w:i/>
      <w:color w:val="auto"/>
      <w:kern w:val="0"/>
      <w:sz w:val="22"/>
      <w:lang w:bidi="ar-SA"/>
    </w:rPr>
  </w:style>
  <w:style w:type="character" w:customStyle="1" w:styleId="InformationTok">
    <w:name w:val="InformationTok"/>
    <w:basedOn w:val="VerbatimChar"/>
    <w:rsid w:val="00BB7067"/>
    <w:rPr>
      <w:rFonts w:ascii="Consolas" w:hAnsi="Consolas" w:cstheme="minorBidi"/>
      <w:b/>
      <w:i w:val="0"/>
      <w:color w:val="60A0B0"/>
      <w:kern w:val="0"/>
      <w:sz w:val="22"/>
      <w:lang w:bidi="ar-SA"/>
    </w:rPr>
  </w:style>
  <w:style w:type="character" w:customStyle="1" w:styleId="WarningTok">
    <w:name w:val="WarningTok"/>
    <w:basedOn w:val="VerbatimChar"/>
    <w:rsid w:val="00BB7067"/>
    <w:rPr>
      <w:rFonts w:ascii="Consolas" w:hAnsi="Consolas" w:cstheme="minorBidi"/>
      <w:b/>
      <w:i w:val="0"/>
      <w:color w:val="60A0B0"/>
      <w:kern w:val="0"/>
      <w:sz w:val="22"/>
      <w:lang w:bidi="ar-SA"/>
    </w:rPr>
  </w:style>
  <w:style w:type="character" w:customStyle="1" w:styleId="AlertTok">
    <w:name w:val="AlertTok"/>
    <w:basedOn w:val="VerbatimChar"/>
    <w:rsid w:val="00BB7067"/>
    <w:rPr>
      <w:rFonts w:ascii="Consolas" w:hAnsi="Consolas" w:cstheme="minorBidi"/>
      <w:b/>
      <w:i/>
      <w:color w:val="FF0000"/>
      <w:kern w:val="0"/>
      <w:sz w:val="22"/>
      <w:lang w:bidi="ar-SA"/>
    </w:rPr>
  </w:style>
  <w:style w:type="character" w:customStyle="1" w:styleId="ErrorTok">
    <w:name w:val="ErrorTok"/>
    <w:basedOn w:val="VerbatimChar"/>
    <w:rsid w:val="00BB7067"/>
    <w:rPr>
      <w:rFonts w:ascii="Consolas" w:hAnsi="Consolas" w:cstheme="minorBidi"/>
      <w:b/>
      <w:i/>
      <w:color w:val="FF0000"/>
      <w:kern w:val="0"/>
      <w:sz w:val="22"/>
      <w:lang w:bidi="ar-SA"/>
    </w:rPr>
  </w:style>
  <w:style w:type="character" w:customStyle="1" w:styleId="NormalTok">
    <w:name w:val="NormalTok"/>
    <w:basedOn w:val="VerbatimChar"/>
    <w:rsid w:val="00BB7067"/>
    <w:rPr>
      <w:rFonts w:ascii="Consolas" w:hAnsi="Consolas" w:cstheme="minorBidi"/>
      <w:i/>
      <w:color w:val="auto"/>
      <w:kern w:val="0"/>
      <w:sz w:val="22"/>
      <w:lang w:bidi="ar-SA"/>
    </w:rPr>
  </w:style>
  <w:style w:type="paragraph" w:customStyle="1" w:styleId="tablefigurecaption">
    <w:name w:val="table_figure_caption"/>
    <w:basedOn w:val="CaptionedFigure"/>
    <w:link w:val="tablefigurecaptionChar"/>
    <w:qFormat/>
    <w:rsid w:val="00BB7067"/>
    <w:pPr>
      <w:jc w:val="center"/>
    </w:pPr>
    <w:rPr>
      <w:i/>
    </w:rPr>
  </w:style>
  <w:style w:type="character" w:customStyle="1" w:styleId="FigureChar">
    <w:name w:val="Figure Char"/>
    <w:basedOn w:val="DefaultParagraphFont"/>
    <w:link w:val="Figure"/>
    <w:rsid w:val="00BB7067"/>
    <w:rPr>
      <w:rFonts w:asciiTheme="minorHAnsi" w:hAnsiTheme="minorHAnsi" w:cstheme="minorBidi"/>
      <w:color w:val="auto"/>
      <w:kern w:val="0"/>
      <w:lang w:bidi="ar-SA"/>
    </w:rPr>
  </w:style>
  <w:style w:type="character" w:customStyle="1" w:styleId="CaptionedFigureChar">
    <w:name w:val="Captioned Figure Char"/>
    <w:basedOn w:val="FigureChar"/>
    <w:link w:val="CaptionedFigure"/>
    <w:rsid w:val="00BB7067"/>
    <w:rPr>
      <w:rFonts w:asciiTheme="minorHAnsi" w:hAnsiTheme="minorHAnsi" w:cstheme="minorBidi"/>
      <w:color w:val="auto"/>
      <w:kern w:val="0"/>
      <w:lang w:bidi="ar-SA"/>
    </w:rPr>
  </w:style>
  <w:style w:type="character" w:customStyle="1" w:styleId="tablefigurecaptionChar">
    <w:name w:val="table_figure_caption Char"/>
    <w:basedOn w:val="CaptionedFigureChar"/>
    <w:link w:val="tablefigurecaption"/>
    <w:rsid w:val="00BB7067"/>
    <w:rPr>
      <w:rFonts w:asciiTheme="minorHAnsi" w:hAnsiTheme="minorHAnsi" w:cstheme="minorBidi"/>
      <w:i/>
      <w:color w:val="auto"/>
      <w:kern w:val="0"/>
      <w:sz w:val="22"/>
      <w:lang w:bidi="ar-SA"/>
    </w:rPr>
  </w:style>
  <w:style w:type="table" w:styleId="TableGrid">
    <w:name w:val="Table Grid"/>
    <w:basedOn w:val="TableNormal"/>
    <w:rsid w:val="00BB7067"/>
    <w:pPr>
      <w:spacing w:after="0" w:line="240" w:lineRule="auto"/>
    </w:pPr>
    <w:rPr>
      <w:rFonts w:asciiTheme="minorHAnsi" w:hAnsiTheme="minorHAnsi"/>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BB7067"/>
    <w:rPr>
      <w:color w:val="666666"/>
    </w:rPr>
  </w:style>
  <w:style w:type="paragraph" w:styleId="NormalWeb">
    <w:name w:val="Normal (Web)"/>
    <w:basedOn w:val="Normal"/>
    <w:uiPriority w:val="99"/>
    <w:unhideWhenUsed/>
    <w:rsid w:val="00BB7067"/>
    <w:pPr>
      <w:spacing w:before="100" w:beforeAutospacing="1" w:after="100" w:afterAutospacing="1"/>
    </w:pPr>
    <w:rPr>
      <w:rFonts w:eastAsia="Times New Roman" w:cs="Times New Roman"/>
      <w:lang w:eastAsia="en-IN" w:bidi="as-IN"/>
    </w:rPr>
  </w:style>
  <w:style w:type="character" w:styleId="Emphasis">
    <w:name w:val="Emphasis"/>
    <w:basedOn w:val="DefaultParagraphFont"/>
    <w:uiPriority w:val="20"/>
    <w:qFormat/>
    <w:rsid w:val="00BB7067"/>
    <w:rPr>
      <w:i/>
      <w:iCs/>
    </w:rPr>
  </w:style>
  <w:style w:type="character" w:styleId="UnresolvedMention">
    <w:name w:val="Unresolved Mention"/>
    <w:basedOn w:val="DefaultParagraphFont"/>
    <w:uiPriority w:val="99"/>
    <w:semiHidden/>
    <w:unhideWhenUsed/>
    <w:rsid w:val="00BB7067"/>
    <w:rPr>
      <w:color w:val="605E5C"/>
      <w:shd w:val="clear" w:color="auto" w:fill="E1DFDD"/>
    </w:rPr>
  </w:style>
  <w:style w:type="character" w:customStyle="1" w:styleId="fontstyle01">
    <w:name w:val="fontstyle01"/>
    <w:basedOn w:val="DefaultParagraphFont"/>
    <w:rsid w:val="00C3559E"/>
    <w:rPr>
      <w:rFonts w:ascii="CIDFont+F1" w:hAnsi="CIDFont+F1" w:hint="default"/>
      <w:b/>
      <w:bCs/>
      <w:i w:val="0"/>
      <w:iCs w:val="0"/>
      <w:color w:val="000000"/>
      <w:sz w:val="18"/>
      <w:szCs w:val="18"/>
    </w:rPr>
  </w:style>
  <w:style w:type="paragraph" w:styleId="Header">
    <w:name w:val="header"/>
    <w:basedOn w:val="Normal"/>
    <w:link w:val="HeaderChar"/>
    <w:uiPriority w:val="99"/>
    <w:unhideWhenUsed/>
    <w:rsid w:val="006246A7"/>
    <w:pPr>
      <w:tabs>
        <w:tab w:val="center" w:pos="4513"/>
        <w:tab w:val="right" w:pos="9026"/>
      </w:tabs>
      <w:spacing w:after="0"/>
    </w:pPr>
  </w:style>
  <w:style w:type="character" w:customStyle="1" w:styleId="HeaderChar">
    <w:name w:val="Header Char"/>
    <w:basedOn w:val="DefaultParagraphFont"/>
    <w:link w:val="Header"/>
    <w:uiPriority w:val="99"/>
    <w:rsid w:val="006246A7"/>
  </w:style>
  <w:style w:type="paragraph" w:styleId="Footer">
    <w:name w:val="footer"/>
    <w:basedOn w:val="Normal"/>
    <w:link w:val="FooterChar"/>
    <w:uiPriority w:val="99"/>
    <w:unhideWhenUsed/>
    <w:rsid w:val="006246A7"/>
    <w:pPr>
      <w:tabs>
        <w:tab w:val="center" w:pos="4513"/>
        <w:tab w:val="right" w:pos="9026"/>
      </w:tabs>
      <w:spacing w:after="0"/>
    </w:pPr>
  </w:style>
  <w:style w:type="character" w:customStyle="1" w:styleId="FooterChar">
    <w:name w:val="Footer Char"/>
    <w:basedOn w:val="DefaultParagraphFont"/>
    <w:link w:val="Footer"/>
    <w:uiPriority w:val="99"/>
    <w:rsid w:val="0062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1CD14-227C-41FE-B4FE-BE1D8951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2011</TotalTime>
  <Pages>15</Pages>
  <Words>6133</Words>
  <Characters>34962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Saurav Sarma</dc:creator>
  <cp:keywords/>
  <dc:description/>
  <cp:lastModifiedBy>SDI 1166</cp:lastModifiedBy>
  <cp:revision>70</cp:revision>
  <dcterms:created xsi:type="dcterms:W3CDTF">2026-01-19T11:57:00Z</dcterms:created>
  <dcterms:modified xsi:type="dcterms:W3CDTF">2026-03-30T13:33:00Z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zotero-version="8.0"&gt;&lt;session id="x19Aclbd"/&gt;&lt;style id="http://www.zotero.org/styles/apa" locale="en-US" hasBibliography="1" bibliographyStyleHasBeenSet="0"/&gt;&lt;prefs&gt;&lt;pref name="fieldType" value="Field"/&gt;&lt;/prefs&gt;&lt;/data&gt;</vt:lpwstr>
  </property>
</Properties>
</file>