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6F04E" w14:textId="55B176DD" w:rsidR="00FF69BC" w:rsidRDefault="00FF69BC" w:rsidP="00D27802">
      <w:pPr>
        <w:autoSpaceDE w:val="0"/>
        <w:autoSpaceDN w:val="0"/>
        <w:adjustRightInd w:val="0"/>
        <w:spacing w:after="0" w:line="240" w:lineRule="auto"/>
        <w:rPr>
          <w:rFonts w:ascii="Times New Roman" w:hAnsi="Times New Roman" w:cs="Times New Roman"/>
          <w:b/>
          <w:sz w:val="20"/>
          <w:szCs w:val="20"/>
        </w:rPr>
      </w:pPr>
      <w:bookmarkStart w:id="0" w:name="_Hlk225259346"/>
      <w:r w:rsidRPr="00285126">
        <w:rPr>
          <w:rFonts w:ascii="Times New Roman" w:hAnsi="Times New Roman" w:cs="Times New Roman"/>
          <w:b/>
          <w:sz w:val="20"/>
          <w:szCs w:val="20"/>
        </w:rPr>
        <w:t>Characterization and evaluation of heavy gasoline from the RFCC unit of Zinder Refining Company (SORAZ)</w:t>
      </w:r>
    </w:p>
    <w:bookmarkEnd w:id="0"/>
    <w:p w14:paraId="23DA5D5E" w14:textId="77777777" w:rsidR="00A40554" w:rsidRPr="00285126" w:rsidRDefault="00A40554" w:rsidP="00D27802">
      <w:pPr>
        <w:autoSpaceDE w:val="0"/>
        <w:autoSpaceDN w:val="0"/>
        <w:adjustRightInd w:val="0"/>
        <w:spacing w:after="0" w:line="240" w:lineRule="auto"/>
        <w:rPr>
          <w:rFonts w:ascii="Times New Roman" w:hAnsi="Times New Roman" w:cs="Times New Roman"/>
          <w:b/>
          <w:sz w:val="20"/>
          <w:szCs w:val="20"/>
        </w:rPr>
      </w:pPr>
    </w:p>
    <w:p w14:paraId="61FB9CD9" w14:textId="77777777" w:rsidR="008B003B" w:rsidRPr="00285126" w:rsidRDefault="008B003B" w:rsidP="00D27802">
      <w:pPr>
        <w:autoSpaceDE w:val="0"/>
        <w:autoSpaceDN w:val="0"/>
        <w:adjustRightInd w:val="0"/>
        <w:spacing w:after="0" w:line="240" w:lineRule="auto"/>
        <w:rPr>
          <w:rFonts w:ascii="Times New Roman" w:hAnsi="Times New Roman" w:cs="Times New Roman"/>
          <w:sz w:val="20"/>
          <w:szCs w:val="20"/>
        </w:rPr>
      </w:pPr>
    </w:p>
    <w:p w14:paraId="0CBD0B6C" w14:textId="77777777" w:rsidR="008B003B" w:rsidRPr="00285126" w:rsidRDefault="008B003B" w:rsidP="00D27802">
      <w:pPr>
        <w:autoSpaceDE w:val="0"/>
        <w:autoSpaceDN w:val="0"/>
        <w:adjustRightInd w:val="0"/>
        <w:spacing w:after="0" w:line="240" w:lineRule="auto"/>
        <w:rPr>
          <w:rFonts w:ascii="Times New Roman" w:hAnsi="Times New Roman" w:cs="Times New Roman"/>
          <w:sz w:val="20"/>
          <w:szCs w:val="20"/>
        </w:rPr>
      </w:pPr>
    </w:p>
    <w:p w14:paraId="4B6BF8DD" w14:textId="77777777" w:rsidR="008B003B" w:rsidRPr="00285126" w:rsidRDefault="008B003B" w:rsidP="00D27802">
      <w:pPr>
        <w:autoSpaceDE w:val="0"/>
        <w:autoSpaceDN w:val="0"/>
        <w:adjustRightInd w:val="0"/>
        <w:spacing w:after="0" w:line="240" w:lineRule="auto"/>
        <w:rPr>
          <w:rFonts w:ascii="Times New Roman" w:hAnsi="Times New Roman" w:cs="Times New Roman"/>
          <w:sz w:val="20"/>
          <w:szCs w:val="20"/>
        </w:rPr>
      </w:pPr>
    </w:p>
    <w:p w14:paraId="08370CD5" w14:textId="77777777" w:rsidR="008B003B" w:rsidRPr="00285126" w:rsidRDefault="008B003B" w:rsidP="00D27802">
      <w:pPr>
        <w:autoSpaceDE w:val="0"/>
        <w:autoSpaceDN w:val="0"/>
        <w:adjustRightInd w:val="0"/>
        <w:spacing w:after="0" w:line="240" w:lineRule="auto"/>
        <w:rPr>
          <w:rFonts w:ascii="Times New Roman" w:hAnsi="Times New Roman" w:cs="Times New Roman"/>
          <w:sz w:val="20"/>
          <w:szCs w:val="20"/>
        </w:rPr>
      </w:pPr>
    </w:p>
    <w:p w14:paraId="42F3F2FD" w14:textId="77777777" w:rsidR="008B003B" w:rsidRPr="00285126" w:rsidRDefault="008B003B" w:rsidP="00D27802">
      <w:pPr>
        <w:autoSpaceDE w:val="0"/>
        <w:autoSpaceDN w:val="0"/>
        <w:adjustRightInd w:val="0"/>
        <w:spacing w:after="0" w:line="240" w:lineRule="auto"/>
        <w:rPr>
          <w:rFonts w:ascii="Times New Roman" w:hAnsi="Times New Roman" w:cs="Times New Roman"/>
          <w:sz w:val="20"/>
          <w:szCs w:val="20"/>
        </w:rPr>
      </w:pPr>
    </w:p>
    <w:p w14:paraId="23BDA2D0" w14:textId="77777777" w:rsidR="008B003B" w:rsidRPr="00285126" w:rsidRDefault="008B003B" w:rsidP="00D27802">
      <w:pPr>
        <w:autoSpaceDE w:val="0"/>
        <w:autoSpaceDN w:val="0"/>
        <w:adjustRightInd w:val="0"/>
        <w:spacing w:after="0" w:line="240" w:lineRule="auto"/>
        <w:rPr>
          <w:rFonts w:ascii="Times New Roman" w:hAnsi="Times New Roman" w:cs="Times New Roman"/>
          <w:sz w:val="20"/>
          <w:szCs w:val="20"/>
        </w:rPr>
      </w:pPr>
    </w:p>
    <w:p w14:paraId="3D1BC34E" w14:textId="77777777" w:rsidR="008B003B" w:rsidRPr="00285126" w:rsidRDefault="008B003B" w:rsidP="00D27802">
      <w:pPr>
        <w:autoSpaceDE w:val="0"/>
        <w:autoSpaceDN w:val="0"/>
        <w:adjustRightInd w:val="0"/>
        <w:spacing w:after="0" w:line="240" w:lineRule="auto"/>
        <w:rPr>
          <w:rFonts w:ascii="Times New Roman" w:hAnsi="Times New Roman" w:cs="Times New Roman"/>
          <w:sz w:val="20"/>
          <w:szCs w:val="20"/>
        </w:rPr>
      </w:pPr>
    </w:p>
    <w:p w14:paraId="6D205496" w14:textId="77777777" w:rsidR="008B003B" w:rsidRPr="00285126" w:rsidRDefault="008B003B" w:rsidP="00D27802">
      <w:pPr>
        <w:autoSpaceDE w:val="0"/>
        <w:autoSpaceDN w:val="0"/>
        <w:adjustRightInd w:val="0"/>
        <w:spacing w:after="0" w:line="240" w:lineRule="auto"/>
        <w:rPr>
          <w:rFonts w:ascii="Times New Roman" w:hAnsi="Times New Roman" w:cs="Times New Roman"/>
          <w:sz w:val="20"/>
          <w:szCs w:val="20"/>
        </w:rPr>
      </w:pPr>
    </w:p>
    <w:p w14:paraId="0BC330A9" w14:textId="4B926D23" w:rsidR="00063B1E" w:rsidRPr="00504168" w:rsidRDefault="00C016A8" w:rsidP="00504168">
      <w:pPr>
        <w:spacing w:line="240" w:lineRule="auto"/>
        <w:rPr>
          <w:rFonts w:ascii="Times New Roman" w:hAnsi="Times New Roman" w:cs="Times New Roman"/>
          <w:sz w:val="20"/>
          <w:szCs w:val="20"/>
        </w:rPr>
      </w:pPr>
      <w:r w:rsidRPr="00285126">
        <w:rPr>
          <w:rFonts w:ascii="Times New Roman" w:hAnsi="Times New Roman" w:cs="Times New Roman"/>
          <w:b/>
          <w:sz w:val="20"/>
          <w:szCs w:val="20"/>
        </w:rPr>
        <w:t>Abstract</w:t>
      </w:r>
    </w:p>
    <w:p w14:paraId="5A2E7406" w14:textId="77777777" w:rsidR="00C016A8" w:rsidRPr="00285126" w:rsidRDefault="00C016A8" w:rsidP="00D27802">
      <w:pPr>
        <w:rPr>
          <w:rFonts w:ascii="Times New Roman" w:hAnsi="Times New Roman" w:cs="Times New Roman"/>
          <w:sz w:val="20"/>
          <w:szCs w:val="20"/>
        </w:rPr>
      </w:pPr>
      <w:r w:rsidRPr="00285126">
        <w:rPr>
          <w:rFonts w:ascii="Times New Roman" w:hAnsi="Times New Roman" w:cs="Times New Roman"/>
          <w:sz w:val="20"/>
          <w:szCs w:val="20"/>
        </w:rPr>
        <w:t>This document presents a summary of the study on the characterization and evaluation of gasoline produced by the RFCC unit (fluidized bed catalytic cracking process) using atmospheric residue as feedstock. Gasoline produced from the cracking of atmospheric residue is one of the most important products or light hydrocarbons from both an economic and energy perspective. It generally has a lower molecular weight than that of diesel and atmospheric residue. However, it must possess physicochemical properties (notably octane number) that meet national and international specifications. However, it may contain impurities such as metals, water, sulfur, mercaptan sulfur, etc. It was therefore necessary to ensure the quality of this gasoline and to plan for appropriate additional treatments to be performed at the FCC unit’s outlet. Thus, the main objective of this study was to evaluate the quality of this gasoline through its characterization. This study is particularly relevant in the context of environmental and energy issues. It provided us with a comprehensive understanding of the fuel’s susceptibility to atmospheric pollutants such as SOx, COx, and NOx during combustion, and also allowed us to predict the severity of additional treatments required to reduce emissions of these pollutants, as well as to improve certain of its physicochemical properties, particularly the octane rating. The results of its characterization showed that the average density at 15°C was 730.809 kg/m³, the average mercaptan sulfur content was 9</w:t>
      </w:r>
      <w:r w:rsidR="00A57570" w:rsidRPr="00285126">
        <w:rPr>
          <w:rFonts w:ascii="Times New Roman" w:hAnsi="Times New Roman" w:cs="Times New Roman"/>
          <w:sz w:val="20"/>
          <w:szCs w:val="20"/>
        </w:rPr>
        <w:t>0</w:t>
      </w:r>
      <w:r w:rsidRPr="00285126">
        <w:rPr>
          <w:rFonts w:ascii="Times New Roman" w:hAnsi="Times New Roman" w:cs="Times New Roman"/>
          <w:sz w:val="20"/>
          <w:szCs w:val="20"/>
        </w:rPr>
        <w:t xml:space="preserve"> ppm, the average sulfur content was 64</w:t>
      </w:r>
      <w:r w:rsidR="00053C6A" w:rsidRPr="00285126">
        <w:rPr>
          <w:rFonts w:ascii="Times New Roman" w:hAnsi="Times New Roman" w:cs="Times New Roman"/>
          <w:sz w:val="20"/>
          <w:szCs w:val="20"/>
        </w:rPr>
        <w:t>0</w:t>
      </w:r>
      <w:r w:rsidRPr="00285126">
        <w:rPr>
          <w:rFonts w:ascii="Times New Roman" w:hAnsi="Times New Roman" w:cs="Times New Roman"/>
          <w:sz w:val="20"/>
          <w:szCs w:val="20"/>
        </w:rPr>
        <w:t xml:space="preserve"> ppm, the average vapor pressure was 76.47 kPa, and the average octane number was 90.05. These results allowed us to conclude that this gasoline is of acceptable quality. However, it cannot be released for sale before undergoing additional treatments such as catalytic reforming to improve its octane number and hydrotreating to reduce its sulfur content in order to limit the production of air pollutants.</w:t>
      </w:r>
    </w:p>
    <w:p w14:paraId="4325DF99" w14:textId="77777777" w:rsidR="00063B1E" w:rsidRPr="00285126" w:rsidRDefault="00C016A8" w:rsidP="00D27802">
      <w:pPr>
        <w:spacing w:line="240" w:lineRule="auto"/>
        <w:rPr>
          <w:rFonts w:ascii="Times New Roman" w:hAnsi="Times New Roman" w:cs="Times New Roman"/>
          <w:sz w:val="20"/>
          <w:szCs w:val="20"/>
        </w:rPr>
      </w:pPr>
      <w:proofErr w:type="gramStart"/>
      <w:r w:rsidRPr="00285126">
        <w:rPr>
          <w:rFonts w:ascii="Times New Roman" w:hAnsi="Times New Roman" w:cs="Times New Roman"/>
          <w:b/>
          <w:sz w:val="20"/>
          <w:szCs w:val="20"/>
        </w:rPr>
        <w:t>Keywords:</w:t>
      </w:r>
      <w:proofErr w:type="gramEnd"/>
      <w:r w:rsidRPr="00285126">
        <w:rPr>
          <w:rFonts w:ascii="Times New Roman" w:hAnsi="Times New Roman" w:cs="Times New Roman"/>
          <w:b/>
          <w:sz w:val="20"/>
          <w:szCs w:val="20"/>
        </w:rPr>
        <w:t xml:space="preserve"> </w:t>
      </w:r>
      <w:r w:rsidRPr="00285126">
        <w:rPr>
          <w:rFonts w:ascii="Times New Roman" w:hAnsi="Times New Roman" w:cs="Times New Roman"/>
          <w:sz w:val="20"/>
          <w:szCs w:val="20"/>
        </w:rPr>
        <w:t>Characterization; diesel fuel; cracked gasoline; atmospheric residue; RFCC; hydrotreatment; octane number; catalytic reforming; air pollutants.</w:t>
      </w:r>
      <w:r w:rsidR="00063B1E" w:rsidRPr="00285126">
        <w:rPr>
          <w:rFonts w:ascii="Times New Roman" w:hAnsi="Times New Roman" w:cs="Times New Roman"/>
          <w:sz w:val="20"/>
          <w:szCs w:val="20"/>
        </w:rPr>
        <w:br w:type="page"/>
      </w:r>
    </w:p>
    <w:p w14:paraId="1EFFCD1F" w14:textId="77777777" w:rsidR="00063B1E" w:rsidRPr="00285126" w:rsidRDefault="00063B1E" w:rsidP="00D27802">
      <w:pPr>
        <w:pStyle w:val="Heading1"/>
        <w:numPr>
          <w:ilvl w:val="0"/>
          <w:numId w:val="2"/>
        </w:numPr>
        <w:spacing w:after="240" w:line="240" w:lineRule="auto"/>
        <w:rPr>
          <w:rFonts w:ascii="Times New Roman" w:hAnsi="Times New Roman" w:cs="Times New Roman"/>
          <w:b/>
          <w:sz w:val="20"/>
          <w:szCs w:val="20"/>
        </w:rPr>
      </w:pPr>
      <w:r w:rsidRPr="00285126">
        <w:rPr>
          <w:rFonts w:ascii="Times New Roman" w:hAnsi="Times New Roman" w:cs="Times New Roman"/>
          <w:b/>
          <w:color w:val="auto"/>
          <w:sz w:val="20"/>
          <w:szCs w:val="20"/>
        </w:rPr>
        <w:lastRenderedPageBreak/>
        <w:t xml:space="preserve">Introduction </w:t>
      </w:r>
    </w:p>
    <w:p w14:paraId="566CDE40" w14:textId="77777777" w:rsidR="00D27152" w:rsidRPr="00285126" w:rsidRDefault="00D27152" w:rsidP="00D27802">
      <w:pPr>
        <w:spacing w:line="240" w:lineRule="auto"/>
        <w:rPr>
          <w:rFonts w:ascii="Times New Roman" w:hAnsi="Times New Roman" w:cs="Times New Roman"/>
          <w:sz w:val="20"/>
          <w:szCs w:val="20"/>
        </w:rPr>
      </w:pPr>
      <w:r w:rsidRPr="00285126">
        <w:rPr>
          <w:rFonts w:ascii="Times New Roman" w:hAnsi="Times New Roman" w:cs="Times New Roman"/>
          <w:sz w:val="20"/>
          <w:szCs w:val="20"/>
        </w:rPr>
        <w:t>For several decades, deman</w:t>
      </w:r>
      <w:r w:rsidR="00EE5FCC" w:rsidRPr="00285126">
        <w:rPr>
          <w:rFonts w:ascii="Times New Roman" w:hAnsi="Times New Roman" w:cs="Times New Roman"/>
          <w:sz w:val="20"/>
          <w:szCs w:val="20"/>
        </w:rPr>
        <w:t xml:space="preserve">d for petroleum </w:t>
      </w:r>
      <w:r w:rsidRPr="00285126">
        <w:rPr>
          <w:rFonts w:ascii="Times New Roman" w:hAnsi="Times New Roman" w:cs="Times New Roman"/>
          <w:sz w:val="20"/>
          <w:szCs w:val="20"/>
        </w:rPr>
        <w:t>particularly for light hydrocarbons, especially gasoline</w:t>
      </w:r>
      <w:r w:rsidR="00EE5FCC" w:rsidRPr="00285126">
        <w:rPr>
          <w:rFonts w:ascii="Times New Roman" w:hAnsi="Times New Roman" w:cs="Times New Roman"/>
          <w:sz w:val="20"/>
          <w:szCs w:val="20"/>
        </w:rPr>
        <w:t xml:space="preserve"> </w:t>
      </w:r>
      <w:r w:rsidRPr="00285126">
        <w:rPr>
          <w:rFonts w:ascii="Times New Roman" w:hAnsi="Times New Roman" w:cs="Times New Roman"/>
          <w:sz w:val="20"/>
          <w:szCs w:val="20"/>
        </w:rPr>
        <w:t>has been steadily increasing in developing countries. According to Criqui and colleagues (1998) [1], this demand will continue to grow exponentially through 2030. Particularly in Africa, the use of light hydrocarbons</w:t>
      </w:r>
      <w:r w:rsidR="00EE5FCC" w:rsidRPr="00285126">
        <w:rPr>
          <w:rFonts w:ascii="Times New Roman" w:hAnsi="Times New Roman" w:cs="Times New Roman"/>
          <w:sz w:val="20"/>
          <w:szCs w:val="20"/>
        </w:rPr>
        <w:t xml:space="preserve"> </w:t>
      </w:r>
      <w:r w:rsidRPr="00285126">
        <w:rPr>
          <w:rFonts w:ascii="Times New Roman" w:hAnsi="Times New Roman" w:cs="Times New Roman"/>
          <w:sz w:val="20"/>
          <w:szCs w:val="20"/>
        </w:rPr>
        <w:t>especially gasoline</w:t>
      </w:r>
      <w:r w:rsidR="00EE5FCC" w:rsidRPr="00285126">
        <w:rPr>
          <w:rFonts w:ascii="Times New Roman" w:hAnsi="Times New Roman" w:cs="Times New Roman"/>
          <w:sz w:val="20"/>
          <w:szCs w:val="20"/>
        </w:rPr>
        <w:t xml:space="preserve"> </w:t>
      </w:r>
      <w:r w:rsidRPr="00285126">
        <w:rPr>
          <w:rFonts w:ascii="Times New Roman" w:hAnsi="Times New Roman" w:cs="Times New Roman"/>
          <w:sz w:val="20"/>
          <w:szCs w:val="20"/>
        </w:rPr>
        <w:t xml:space="preserve">is becoming an undeniable reality and an unprecedented necessity. Thus, in Niger, demand for light hydrocarbons (including gasoline, for example) could exceed the threshold by 2030. </w:t>
      </w:r>
    </w:p>
    <w:p w14:paraId="29971BBC" w14:textId="77777777" w:rsidR="00AC1213" w:rsidRPr="00285126" w:rsidRDefault="00AC1213" w:rsidP="00D27802">
      <w:pPr>
        <w:spacing w:line="240" w:lineRule="auto"/>
        <w:rPr>
          <w:rFonts w:ascii="Times New Roman" w:hAnsi="Times New Roman" w:cs="Times New Roman"/>
          <w:sz w:val="20"/>
          <w:szCs w:val="20"/>
        </w:rPr>
      </w:pPr>
      <w:r w:rsidRPr="00285126">
        <w:rPr>
          <w:rFonts w:ascii="Times New Roman" w:hAnsi="Times New Roman" w:cs="Times New Roman"/>
          <w:sz w:val="20"/>
          <w:szCs w:val="20"/>
        </w:rPr>
        <w:t>Cracked heavy gasoline (i.e., produced in the fluid catalytic cracking [FCC] unit) accounts for the largest volume of gasoline produced by the Zinder Refining Company (SORAZ) [2]. This is a petroleum product containing hydrocarbons with carbon atoms ranging from C7 to C10/11, which may also contain air pollutants such as sulfur (S), nitrogen (N), and oxygen (O), as well as trace amounts of heavy metals such as nickel (Ni), vanadium (V), lead (Pb), etc. Once these compounds are present in gasoline or other fuels, their combustion generates and releases into the atmosphere compounds such as SOX, NOX, COX, and volatile organic compounds (VOCs), which are highly toxic, harmful to human health, and responsible for acid rain once they come into contact with moisture (H₂O) in the atmosphere, thereby degrading the environment. The negative impact of these compounds has been studied and demonstrated by numerous researchers [3], [4], [5], [6], [7], [8], [9], [10], [11], [12</w:t>
      </w:r>
      <w:r w:rsidR="00985A29" w:rsidRPr="00285126">
        <w:rPr>
          <w:rFonts w:ascii="Times New Roman" w:hAnsi="Times New Roman" w:cs="Times New Roman"/>
          <w:sz w:val="20"/>
          <w:szCs w:val="20"/>
        </w:rPr>
        <w:t xml:space="preserve">]. </w:t>
      </w:r>
      <w:r w:rsidRPr="00285126">
        <w:rPr>
          <w:rFonts w:ascii="Times New Roman" w:hAnsi="Times New Roman" w:cs="Times New Roman"/>
          <w:sz w:val="20"/>
          <w:szCs w:val="20"/>
        </w:rPr>
        <w:t>However, from an environmental perspective, gasoline must comply with commercial standards regarding quality, specifically its physicochemical properties to ensure environmental safety and meet energy demands. It is in this context that the primary objective of this study is to characterize and evaluate (including quality) the heavy gasoline produced by SORAZ’s RFCC unit.</w:t>
      </w:r>
    </w:p>
    <w:p w14:paraId="250FD703" w14:textId="77777777" w:rsidR="00AC1213" w:rsidRPr="00285126" w:rsidRDefault="00AC1213" w:rsidP="00D27802">
      <w:pPr>
        <w:spacing w:line="240" w:lineRule="auto"/>
        <w:rPr>
          <w:rFonts w:ascii="Times New Roman" w:hAnsi="Times New Roman" w:cs="Times New Roman"/>
          <w:sz w:val="20"/>
          <w:szCs w:val="20"/>
        </w:rPr>
      </w:pPr>
      <w:r w:rsidRPr="00285126">
        <w:rPr>
          <w:rFonts w:ascii="Times New Roman" w:hAnsi="Times New Roman" w:cs="Times New Roman"/>
          <w:sz w:val="20"/>
          <w:szCs w:val="20"/>
        </w:rPr>
        <w:t>However, it is important to note that the product (gasoline from the FCC unit) under study is derived from the cracking of the atmospheric residue studied by Amadou and colleagues (article in press).</w:t>
      </w:r>
    </w:p>
    <w:p w14:paraId="6BB84E27" w14:textId="77777777" w:rsidR="00C902F7" w:rsidRPr="00285126" w:rsidRDefault="00063B1E" w:rsidP="00D27802">
      <w:pPr>
        <w:pStyle w:val="Heading1"/>
        <w:numPr>
          <w:ilvl w:val="0"/>
          <w:numId w:val="2"/>
        </w:numPr>
        <w:spacing w:after="240" w:line="240" w:lineRule="auto"/>
        <w:rPr>
          <w:rFonts w:ascii="Times New Roman" w:hAnsi="Times New Roman" w:cs="Times New Roman"/>
          <w:b/>
          <w:color w:val="auto"/>
          <w:sz w:val="20"/>
          <w:szCs w:val="20"/>
        </w:rPr>
      </w:pPr>
      <w:r w:rsidRPr="00285126">
        <w:rPr>
          <w:rFonts w:ascii="Times New Roman" w:hAnsi="Times New Roman" w:cs="Times New Roman"/>
          <w:b/>
          <w:color w:val="auto"/>
          <w:sz w:val="20"/>
          <w:szCs w:val="20"/>
        </w:rPr>
        <w:t>Mat</w:t>
      </w:r>
      <w:r w:rsidR="00AC1213" w:rsidRPr="00285126">
        <w:rPr>
          <w:rFonts w:ascii="Times New Roman" w:hAnsi="Times New Roman" w:cs="Times New Roman"/>
          <w:b/>
          <w:color w:val="auto"/>
          <w:sz w:val="20"/>
          <w:szCs w:val="20"/>
        </w:rPr>
        <w:t>e</w:t>
      </w:r>
      <w:r w:rsidRPr="00285126">
        <w:rPr>
          <w:rFonts w:ascii="Times New Roman" w:hAnsi="Times New Roman" w:cs="Times New Roman"/>
          <w:b/>
          <w:color w:val="auto"/>
          <w:sz w:val="20"/>
          <w:szCs w:val="20"/>
        </w:rPr>
        <w:t>ri</w:t>
      </w:r>
      <w:r w:rsidR="005E5CA0" w:rsidRPr="00285126">
        <w:rPr>
          <w:rFonts w:ascii="Times New Roman" w:hAnsi="Times New Roman" w:cs="Times New Roman"/>
          <w:b/>
          <w:color w:val="auto"/>
          <w:sz w:val="20"/>
          <w:szCs w:val="20"/>
        </w:rPr>
        <w:t>a</w:t>
      </w:r>
      <w:r w:rsidRPr="00285126">
        <w:rPr>
          <w:rFonts w:ascii="Times New Roman" w:hAnsi="Times New Roman" w:cs="Times New Roman"/>
          <w:b/>
          <w:color w:val="auto"/>
          <w:sz w:val="20"/>
          <w:szCs w:val="20"/>
        </w:rPr>
        <w:t>l</w:t>
      </w:r>
      <w:r w:rsidR="005E5CA0" w:rsidRPr="00285126">
        <w:rPr>
          <w:rFonts w:ascii="Times New Roman" w:hAnsi="Times New Roman" w:cs="Times New Roman"/>
          <w:b/>
          <w:color w:val="auto"/>
          <w:sz w:val="20"/>
          <w:szCs w:val="20"/>
        </w:rPr>
        <w:t>s</w:t>
      </w:r>
      <w:r w:rsidRPr="00285126">
        <w:rPr>
          <w:rFonts w:ascii="Times New Roman" w:hAnsi="Times New Roman" w:cs="Times New Roman"/>
          <w:b/>
          <w:color w:val="auto"/>
          <w:sz w:val="20"/>
          <w:szCs w:val="20"/>
        </w:rPr>
        <w:t xml:space="preserve"> </w:t>
      </w:r>
      <w:r w:rsidR="00AC1213" w:rsidRPr="00285126">
        <w:rPr>
          <w:rFonts w:ascii="Times New Roman" w:hAnsi="Times New Roman" w:cs="Times New Roman"/>
          <w:b/>
          <w:color w:val="auto"/>
          <w:sz w:val="20"/>
          <w:szCs w:val="20"/>
        </w:rPr>
        <w:t xml:space="preserve">and </w:t>
      </w:r>
      <w:r w:rsidRPr="00285126">
        <w:rPr>
          <w:rFonts w:ascii="Times New Roman" w:hAnsi="Times New Roman" w:cs="Times New Roman"/>
          <w:b/>
          <w:color w:val="auto"/>
          <w:sz w:val="20"/>
          <w:szCs w:val="20"/>
        </w:rPr>
        <w:t>m</w:t>
      </w:r>
      <w:r w:rsidR="00AC1213" w:rsidRPr="00285126">
        <w:rPr>
          <w:rFonts w:ascii="Times New Roman" w:hAnsi="Times New Roman" w:cs="Times New Roman"/>
          <w:b/>
          <w:color w:val="auto"/>
          <w:sz w:val="20"/>
          <w:szCs w:val="20"/>
        </w:rPr>
        <w:t>e</w:t>
      </w:r>
      <w:r w:rsidRPr="00285126">
        <w:rPr>
          <w:rFonts w:ascii="Times New Roman" w:hAnsi="Times New Roman" w:cs="Times New Roman"/>
          <w:b/>
          <w:color w:val="auto"/>
          <w:sz w:val="20"/>
          <w:szCs w:val="20"/>
        </w:rPr>
        <w:t>thods</w:t>
      </w:r>
    </w:p>
    <w:p w14:paraId="189B13A0" w14:textId="77777777" w:rsidR="00FC6893" w:rsidRPr="00285126" w:rsidRDefault="005E5CA0" w:rsidP="00D27802">
      <w:pPr>
        <w:spacing w:before="240" w:line="240" w:lineRule="auto"/>
        <w:rPr>
          <w:rFonts w:ascii="Times New Roman" w:hAnsi="Times New Roman" w:cs="Times New Roman"/>
          <w:sz w:val="20"/>
          <w:szCs w:val="20"/>
        </w:rPr>
      </w:pPr>
      <w:r w:rsidRPr="00285126">
        <w:rPr>
          <w:rFonts w:ascii="Times New Roman" w:hAnsi="Times New Roman" w:cs="Times New Roman"/>
          <w:sz w:val="20"/>
          <w:szCs w:val="20"/>
        </w:rPr>
        <w:t>This section describes the materials and methods used in this study.</w:t>
      </w:r>
    </w:p>
    <w:p w14:paraId="104C9282" w14:textId="77777777" w:rsidR="00FC6893" w:rsidRPr="00285126" w:rsidRDefault="00FC6893" w:rsidP="00D27802">
      <w:pPr>
        <w:spacing w:before="240" w:line="240" w:lineRule="auto"/>
        <w:rPr>
          <w:rFonts w:ascii="Times New Roman" w:hAnsi="Times New Roman" w:cs="Times New Roman"/>
          <w:b/>
          <w:sz w:val="20"/>
          <w:szCs w:val="20"/>
        </w:rPr>
      </w:pPr>
      <w:r w:rsidRPr="00285126">
        <w:rPr>
          <w:rFonts w:ascii="Times New Roman" w:hAnsi="Times New Roman" w:cs="Times New Roman"/>
          <w:b/>
          <w:sz w:val="20"/>
          <w:szCs w:val="20"/>
        </w:rPr>
        <w:t>II.1 Mat</w:t>
      </w:r>
      <w:r w:rsidR="005E5CA0" w:rsidRPr="00285126">
        <w:rPr>
          <w:rFonts w:ascii="Times New Roman" w:hAnsi="Times New Roman" w:cs="Times New Roman"/>
          <w:b/>
          <w:sz w:val="20"/>
          <w:szCs w:val="20"/>
        </w:rPr>
        <w:t>e</w:t>
      </w:r>
      <w:r w:rsidRPr="00285126">
        <w:rPr>
          <w:rFonts w:ascii="Times New Roman" w:hAnsi="Times New Roman" w:cs="Times New Roman"/>
          <w:b/>
          <w:sz w:val="20"/>
          <w:szCs w:val="20"/>
        </w:rPr>
        <w:t>ri</w:t>
      </w:r>
      <w:r w:rsidR="005E5CA0" w:rsidRPr="00285126">
        <w:rPr>
          <w:rFonts w:ascii="Times New Roman" w:hAnsi="Times New Roman" w:cs="Times New Roman"/>
          <w:b/>
          <w:sz w:val="20"/>
          <w:szCs w:val="20"/>
        </w:rPr>
        <w:t>a</w:t>
      </w:r>
      <w:r w:rsidRPr="00285126">
        <w:rPr>
          <w:rFonts w:ascii="Times New Roman" w:hAnsi="Times New Roman" w:cs="Times New Roman"/>
          <w:b/>
          <w:sz w:val="20"/>
          <w:szCs w:val="20"/>
        </w:rPr>
        <w:t>l</w:t>
      </w:r>
      <w:r w:rsidR="005E5CA0" w:rsidRPr="00285126">
        <w:rPr>
          <w:rFonts w:ascii="Times New Roman" w:hAnsi="Times New Roman" w:cs="Times New Roman"/>
          <w:b/>
          <w:sz w:val="20"/>
          <w:szCs w:val="20"/>
        </w:rPr>
        <w:t>s</w:t>
      </w:r>
      <w:r w:rsidRPr="00285126">
        <w:rPr>
          <w:rFonts w:ascii="Times New Roman" w:hAnsi="Times New Roman" w:cs="Times New Roman"/>
          <w:b/>
          <w:sz w:val="20"/>
          <w:szCs w:val="20"/>
        </w:rPr>
        <w:t xml:space="preserve"> </w:t>
      </w:r>
      <w:r w:rsidR="005E5CA0" w:rsidRPr="00285126">
        <w:rPr>
          <w:rFonts w:ascii="Times New Roman" w:hAnsi="Times New Roman" w:cs="Times New Roman"/>
          <w:b/>
          <w:sz w:val="20"/>
          <w:szCs w:val="20"/>
        </w:rPr>
        <w:t>and</w:t>
      </w:r>
      <w:r w:rsidRPr="00285126">
        <w:rPr>
          <w:rFonts w:ascii="Times New Roman" w:hAnsi="Times New Roman" w:cs="Times New Roman"/>
          <w:b/>
          <w:sz w:val="20"/>
          <w:szCs w:val="20"/>
        </w:rPr>
        <w:t xml:space="preserve"> produ</w:t>
      </w:r>
      <w:r w:rsidR="005E5CA0" w:rsidRPr="00285126">
        <w:rPr>
          <w:rFonts w:ascii="Times New Roman" w:hAnsi="Times New Roman" w:cs="Times New Roman"/>
          <w:b/>
          <w:sz w:val="20"/>
          <w:szCs w:val="20"/>
        </w:rPr>
        <w:t>c</w:t>
      </w:r>
      <w:r w:rsidRPr="00285126">
        <w:rPr>
          <w:rFonts w:ascii="Times New Roman" w:hAnsi="Times New Roman" w:cs="Times New Roman"/>
          <w:b/>
          <w:sz w:val="20"/>
          <w:szCs w:val="20"/>
        </w:rPr>
        <w:t>ts</w:t>
      </w:r>
    </w:p>
    <w:p w14:paraId="649D2D3D" w14:textId="77777777" w:rsidR="005E5CA0" w:rsidRPr="00285126" w:rsidRDefault="005E5CA0" w:rsidP="00D27802">
      <w:pPr>
        <w:spacing w:before="240" w:line="240" w:lineRule="auto"/>
        <w:rPr>
          <w:rFonts w:ascii="Times New Roman" w:hAnsi="Times New Roman" w:cs="Times New Roman"/>
          <w:sz w:val="20"/>
          <w:szCs w:val="20"/>
        </w:rPr>
      </w:pPr>
      <w:r w:rsidRPr="00285126">
        <w:rPr>
          <w:rFonts w:ascii="Times New Roman" w:hAnsi="Times New Roman" w:cs="Times New Roman"/>
          <w:sz w:val="20"/>
          <w:szCs w:val="20"/>
        </w:rPr>
        <w:t>Various materials were used during this study (see II.2), as well as glassware from the SORAZ laboratory for sampling.</w:t>
      </w:r>
    </w:p>
    <w:p w14:paraId="7CDD56D9" w14:textId="77777777" w:rsidR="005E5CA0" w:rsidRPr="00285126" w:rsidRDefault="005E5CA0" w:rsidP="00D27802">
      <w:pPr>
        <w:spacing w:before="240" w:line="240" w:lineRule="auto"/>
        <w:rPr>
          <w:rFonts w:ascii="Times New Roman" w:hAnsi="Times New Roman" w:cs="Times New Roman"/>
          <w:sz w:val="20"/>
          <w:szCs w:val="20"/>
        </w:rPr>
      </w:pPr>
      <w:r w:rsidRPr="00285126">
        <w:rPr>
          <w:rFonts w:ascii="Times New Roman" w:hAnsi="Times New Roman" w:cs="Times New Roman"/>
          <w:sz w:val="20"/>
          <w:szCs w:val="20"/>
        </w:rPr>
        <w:t xml:space="preserve">The products used during this study can be summarized as </w:t>
      </w:r>
      <w:proofErr w:type="gramStart"/>
      <w:r w:rsidRPr="00285126">
        <w:rPr>
          <w:rFonts w:ascii="Times New Roman" w:hAnsi="Times New Roman" w:cs="Times New Roman"/>
          <w:sz w:val="20"/>
          <w:szCs w:val="20"/>
        </w:rPr>
        <w:t>follows:</w:t>
      </w:r>
      <w:proofErr w:type="gramEnd"/>
    </w:p>
    <w:p w14:paraId="5259ACEE" w14:textId="77777777" w:rsidR="005E5CA0" w:rsidRPr="00285126" w:rsidRDefault="005E5CA0" w:rsidP="00D27802">
      <w:pPr>
        <w:pStyle w:val="ListParagraph"/>
        <w:numPr>
          <w:ilvl w:val="0"/>
          <w:numId w:val="11"/>
        </w:numPr>
        <w:spacing w:before="240" w:line="240" w:lineRule="auto"/>
        <w:rPr>
          <w:rFonts w:ascii="Times New Roman" w:hAnsi="Times New Roman" w:cs="Times New Roman"/>
          <w:sz w:val="20"/>
          <w:szCs w:val="20"/>
        </w:rPr>
      </w:pPr>
      <w:r w:rsidRPr="00285126">
        <w:rPr>
          <w:rFonts w:ascii="Times New Roman" w:hAnsi="Times New Roman" w:cs="Times New Roman"/>
          <w:sz w:val="20"/>
          <w:szCs w:val="20"/>
        </w:rPr>
        <w:t>Cracked heavy naphtha (characterized and evaluated product</w:t>
      </w:r>
      <w:proofErr w:type="gramStart"/>
      <w:r w:rsidRPr="00285126">
        <w:rPr>
          <w:rFonts w:ascii="Times New Roman" w:hAnsi="Times New Roman" w:cs="Times New Roman"/>
          <w:sz w:val="20"/>
          <w:szCs w:val="20"/>
        </w:rPr>
        <w:t>);</w:t>
      </w:r>
      <w:proofErr w:type="gramEnd"/>
    </w:p>
    <w:p w14:paraId="554C0817" w14:textId="77777777" w:rsidR="005E5CA0" w:rsidRPr="00285126" w:rsidRDefault="005E5CA0" w:rsidP="00D27802">
      <w:pPr>
        <w:pStyle w:val="ListParagraph"/>
        <w:numPr>
          <w:ilvl w:val="0"/>
          <w:numId w:val="11"/>
        </w:numPr>
        <w:spacing w:before="240" w:line="240" w:lineRule="auto"/>
        <w:rPr>
          <w:rFonts w:ascii="Times New Roman" w:hAnsi="Times New Roman" w:cs="Times New Roman"/>
          <w:sz w:val="20"/>
          <w:szCs w:val="20"/>
        </w:rPr>
      </w:pPr>
      <w:r w:rsidRPr="00285126">
        <w:rPr>
          <w:rFonts w:ascii="Times New Roman" w:hAnsi="Times New Roman" w:cs="Times New Roman"/>
          <w:sz w:val="20"/>
          <w:szCs w:val="20"/>
        </w:rPr>
        <w:t xml:space="preserve">Naphtha for washing/rinsing the </w:t>
      </w:r>
      <w:proofErr w:type="gramStart"/>
      <w:r w:rsidRPr="00285126">
        <w:rPr>
          <w:rFonts w:ascii="Times New Roman" w:hAnsi="Times New Roman" w:cs="Times New Roman"/>
          <w:sz w:val="20"/>
          <w:szCs w:val="20"/>
        </w:rPr>
        <w:t>glassware;</w:t>
      </w:r>
      <w:proofErr w:type="gramEnd"/>
    </w:p>
    <w:p w14:paraId="60DF4E31" w14:textId="77777777" w:rsidR="005E5CA0" w:rsidRPr="00285126" w:rsidRDefault="005E5CA0" w:rsidP="00D27802">
      <w:pPr>
        <w:pStyle w:val="ListParagraph"/>
        <w:numPr>
          <w:ilvl w:val="0"/>
          <w:numId w:val="11"/>
        </w:numPr>
        <w:spacing w:before="240" w:line="240" w:lineRule="auto"/>
        <w:rPr>
          <w:rFonts w:ascii="Times New Roman" w:hAnsi="Times New Roman" w:cs="Times New Roman"/>
          <w:sz w:val="20"/>
          <w:szCs w:val="20"/>
        </w:rPr>
      </w:pPr>
      <w:r w:rsidRPr="00285126">
        <w:rPr>
          <w:rFonts w:ascii="Times New Roman" w:hAnsi="Times New Roman" w:cs="Times New Roman"/>
          <w:sz w:val="20"/>
          <w:szCs w:val="20"/>
        </w:rPr>
        <w:t xml:space="preserve">Acetone for rinsing and drying the </w:t>
      </w:r>
      <w:proofErr w:type="gramStart"/>
      <w:r w:rsidRPr="00285126">
        <w:rPr>
          <w:rFonts w:ascii="Times New Roman" w:hAnsi="Times New Roman" w:cs="Times New Roman"/>
          <w:sz w:val="20"/>
          <w:szCs w:val="20"/>
        </w:rPr>
        <w:t>tubes;</w:t>
      </w:r>
      <w:proofErr w:type="gramEnd"/>
    </w:p>
    <w:p w14:paraId="71C7A6F5" w14:textId="77777777" w:rsidR="005E5CA0" w:rsidRPr="00285126" w:rsidRDefault="005E5CA0" w:rsidP="00D27802">
      <w:pPr>
        <w:pStyle w:val="ListParagraph"/>
        <w:numPr>
          <w:ilvl w:val="0"/>
          <w:numId w:val="11"/>
        </w:numPr>
        <w:spacing w:before="240" w:line="240" w:lineRule="auto"/>
        <w:rPr>
          <w:rFonts w:ascii="Times New Roman" w:hAnsi="Times New Roman" w:cs="Times New Roman"/>
          <w:sz w:val="20"/>
          <w:szCs w:val="20"/>
        </w:rPr>
      </w:pPr>
      <w:r w:rsidRPr="00285126">
        <w:rPr>
          <w:rFonts w:ascii="Times New Roman" w:hAnsi="Times New Roman" w:cs="Times New Roman"/>
          <w:sz w:val="20"/>
          <w:szCs w:val="20"/>
        </w:rPr>
        <w:t xml:space="preserve">Distilled </w:t>
      </w:r>
      <w:proofErr w:type="gramStart"/>
      <w:r w:rsidRPr="00285126">
        <w:rPr>
          <w:rFonts w:ascii="Times New Roman" w:hAnsi="Times New Roman" w:cs="Times New Roman"/>
          <w:sz w:val="20"/>
          <w:szCs w:val="20"/>
        </w:rPr>
        <w:t>water;</w:t>
      </w:r>
      <w:proofErr w:type="gramEnd"/>
    </w:p>
    <w:p w14:paraId="135CFA32" w14:textId="77777777" w:rsidR="005E5CA0" w:rsidRPr="00285126" w:rsidRDefault="005E5CA0" w:rsidP="00D27802">
      <w:pPr>
        <w:pStyle w:val="ListParagraph"/>
        <w:numPr>
          <w:ilvl w:val="0"/>
          <w:numId w:val="11"/>
        </w:numPr>
        <w:spacing w:before="240" w:line="240" w:lineRule="auto"/>
        <w:rPr>
          <w:rFonts w:ascii="Times New Roman" w:hAnsi="Times New Roman" w:cs="Times New Roman"/>
          <w:sz w:val="20"/>
          <w:szCs w:val="20"/>
        </w:rPr>
      </w:pPr>
      <w:r w:rsidRPr="00285126">
        <w:rPr>
          <w:rFonts w:ascii="Times New Roman" w:hAnsi="Times New Roman" w:cs="Times New Roman"/>
          <w:sz w:val="20"/>
          <w:szCs w:val="20"/>
        </w:rPr>
        <w:t xml:space="preserve"> Etc.</w:t>
      </w:r>
    </w:p>
    <w:p w14:paraId="70F706EF" w14:textId="77777777" w:rsidR="00FC6893" w:rsidRPr="00285126" w:rsidRDefault="003652B0" w:rsidP="00D27802">
      <w:pPr>
        <w:spacing w:before="240" w:line="240" w:lineRule="auto"/>
        <w:rPr>
          <w:rFonts w:ascii="Times New Roman" w:hAnsi="Times New Roman" w:cs="Times New Roman"/>
          <w:sz w:val="20"/>
          <w:szCs w:val="20"/>
        </w:rPr>
      </w:pPr>
      <w:r w:rsidRPr="00285126">
        <w:rPr>
          <w:rFonts w:ascii="Times New Roman" w:hAnsi="Times New Roman" w:cs="Times New Roman"/>
          <w:b/>
          <w:sz w:val="20"/>
          <w:szCs w:val="20"/>
        </w:rPr>
        <w:t>II.2</w:t>
      </w:r>
      <w:r w:rsidR="00FC6893" w:rsidRPr="00285126">
        <w:rPr>
          <w:rFonts w:ascii="Times New Roman" w:hAnsi="Times New Roman" w:cs="Times New Roman"/>
          <w:b/>
          <w:sz w:val="20"/>
          <w:szCs w:val="20"/>
        </w:rPr>
        <w:t xml:space="preserve"> M</w:t>
      </w:r>
      <w:r w:rsidR="00985A29" w:rsidRPr="00285126">
        <w:rPr>
          <w:rFonts w:ascii="Times New Roman" w:hAnsi="Times New Roman" w:cs="Times New Roman"/>
          <w:b/>
          <w:sz w:val="20"/>
          <w:szCs w:val="20"/>
        </w:rPr>
        <w:t>e</w:t>
      </w:r>
      <w:r w:rsidR="00FC6893" w:rsidRPr="00285126">
        <w:rPr>
          <w:rFonts w:ascii="Times New Roman" w:hAnsi="Times New Roman" w:cs="Times New Roman"/>
          <w:b/>
          <w:sz w:val="20"/>
          <w:szCs w:val="20"/>
        </w:rPr>
        <w:t>thods</w:t>
      </w:r>
    </w:p>
    <w:p w14:paraId="4FD1F68F" w14:textId="77777777" w:rsidR="0036504E" w:rsidRPr="00285126" w:rsidRDefault="00985A29" w:rsidP="00D27802">
      <w:pPr>
        <w:spacing w:before="240" w:line="240" w:lineRule="auto"/>
        <w:rPr>
          <w:rFonts w:ascii="Times New Roman" w:hAnsi="Times New Roman" w:cs="Times New Roman"/>
          <w:b/>
          <w:sz w:val="20"/>
          <w:szCs w:val="20"/>
        </w:rPr>
      </w:pPr>
      <w:r w:rsidRPr="00285126">
        <w:rPr>
          <w:rFonts w:ascii="Times New Roman" w:hAnsi="Times New Roman" w:cs="Times New Roman"/>
          <w:sz w:val="20"/>
          <w:szCs w:val="20"/>
        </w:rPr>
        <w:t>Most of the methods and/or techniques used in this study are ASTM methods and Chinese standards available in the SORAZ laboratory catalog.</w:t>
      </w:r>
      <w:r w:rsidRPr="00285126">
        <w:rPr>
          <w:rFonts w:ascii="Times New Roman" w:hAnsi="Times New Roman" w:cs="Times New Roman"/>
          <w:sz w:val="20"/>
          <w:szCs w:val="20"/>
        </w:rPr>
        <w:cr/>
      </w:r>
      <w:r w:rsidR="003652B0" w:rsidRPr="00285126">
        <w:rPr>
          <w:rFonts w:ascii="Times New Roman" w:hAnsi="Times New Roman" w:cs="Times New Roman"/>
          <w:b/>
          <w:sz w:val="20"/>
          <w:szCs w:val="20"/>
        </w:rPr>
        <w:t xml:space="preserve">II.2.1 </w:t>
      </w:r>
      <w:r w:rsidRPr="00285126">
        <w:rPr>
          <w:rFonts w:ascii="Times New Roman" w:hAnsi="Times New Roman" w:cs="Times New Roman"/>
          <w:b/>
          <w:sz w:val="20"/>
          <w:szCs w:val="20"/>
        </w:rPr>
        <w:t>Determination of density at 15°C</w:t>
      </w:r>
    </w:p>
    <w:p w14:paraId="44ECAFFA" w14:textId="77777777" w:rsidR="00985A29" w:rsidRPr="00285126" w:rsidRDefault="00985A29" w:rsidP="00D27802">
      <w:pPr>
        <w:spacing w:line="240" w:lineRule="auto"/>
        <w:rPr>
          <w:rFonts w:ascii="Times New Roman" w:hAnsi="Times New Roman" w:cs="Times New Roman"/>
          <w:sz w:val="20"/>
          <w:szCs w:val="20"/>
        </w:rPr>
      </w:pPr>
      <w:r w:rsidRPr="00285126">
        <w:rPr>
          <w:rFonts w:ascii="Times New Roman" w:hAnsi="Times New Roman" w:cs="Times New Roman"/>
          <w:sz w:val="20"/>
          <w:szCs w:val="20"/>
        </w:rPr>
        <w:t xml:space="preserve">The apparatus used to determine the density of gasoline is nearly identical to that used to determine the density of other petroleum products, particularly diesel fuel. The procedure is the same for all light hydrocarbons, with the exception of LPG. Density is measured according to the ASTM D4052 method. In their work, Amadou and colleagues [11] used the same technique (ASTM D4052) to determine the density of heavy diesel fuel from the fluidized-bed catalytic cracking unit. </w:t>
      </w:r>
    </w:p>
    <w:p w14:paraId="4727F677" w14:textId="77777777" w:rsidR="00BE47ED" w:rsidRPr="00285126" w:rsidRDefault="00BE47ED" w:rsidP="00D27802">
      <w:pPr>
        <w:spacing w:before="240" w:line="240" w:lineRule="auto"/>
        <w:rPr>
          <w:rFonts w:ascii="Times New Roman" w:hAnsi="Times New Roman" w:cs="Times New Roman"/>
          <w:sz w:val="20"/>
          <w:szCs w:val="20"/>
        </w:rPr>
      </w:pPr>
      <w:r w:rsidRPr="00285126">
        <w:rPr>
          <w:rFonts w:ascii="Times New Roman" w:hAnsi="Times New Roman" w:cs="Times New Roman"/>
          <w:sz w:val="20"/>
          <w:szCs w:val="20"/>
        </w:rPr>
        <w:t>However, the preparation of the apparatus and the procedure followed during the experiment are also the same as those used by Amadou and his colleagues [11].</w:t>
      </w:r>
    </w:p>
    <w:p w14:paraId="63271B9B" w14:textId="77777777" w:rsidR="0036504E" w:rsidRPr="00285126" w:rsidRDefault="0036504E" w:rsidP="00D27802">
      <w:pPr>
        <w:spacing w:before="240" w:line="240" w:lineRule="auto"/>
        <w:rPr>
          <w:rFonts w:ascii="Times New Roman" w:hAnsi="Times New Roman" w:cs="Times New Roman"/>
          <w:b/>
          <w:sz w:val="20"/>
          <w:szCs w:val="20"/>
        </w:rPr>
      </w:pPr>
      <w:r w:rsidRPr="00285126">
        <w:rPr>
          <w:rFonts w:ascii="Times New Roman" w:hAnsi="Times New Roman" w:cs="Times New Roman"/>
          <w:b/>
          <w:sz w:val="20"/>
          <w:szCs w:val="20"/>
        </w:rPr>
        <w:t xml:space="preserve">II.2.2 </w:t>
      </w:r>
      <w:r w:rsidR="00BE47ED" w:rsidRPr="00285126">
        <w:rPr>
          <w:rFonts w:ascii="Times New Roman" w:hAnsi="Times New Roman" w:cs="Times New Roman"/>
          <w:b/>
          <w:sz w:val="20"/>
          <w:szCs w:val="20"/>
        </w:rPr>
        <w:t>Corrosion Testing</w:t>
      </w:r>
    </w:p>
    <w:p w14:paraId="6E5AE41F" w14:textId="77777777" w:rsidR="00FD0E8B" w:rsidRPr="00285126" w:rsidRDefault="00FD0E8B" w:rsidP="00D27802">
      <w:pPr>
        <w:spacing w:after="0" w:line="240" w:lineRule="auto"/>
        <w:rPr>
          <w:rFonts w:ascii="Times New Roman" w:eastAsiaTheme="minorEastAsia" w:hAnsi="Times New Roman" w:cs="Times New Roman"/>
          <w:sz w:val="20"/>
          <w:szCs w:val="20"/>
        </w:rPr>
      </w:pPr>
      <w:r w:rsidRPr="00285126">
        <w:rPr>
          <w:rFonts w:ascii="Times New Roman" w:eastAsiaTheme="minorEastAsia" w:hAnsi="Times New Roman" w:cs="Times New Roman"/>
          <w:sz w:val="20"/>
          <w:szCs w:val="20"/>
        </w:rPr>
        <w:t xml:space="preserve">Copper strip corrosion is generally determined for diesel fuel. This property is determined using the ASTM D130-94 standard method at 50°C, employing an automatic testing machine of the JH 011401-GT/T 5096 type, </w:t>
      </w:r>
      <w:r w:rsidRPr="00285126">
        <w:rPr>
          <w:rFonts w:ascii="Times New Roman" w:eastAsiaTheme="minorEastAsia" w:hAnsi="Times New Roman" w:cs="Times New Roman"/>
          <w:sz w:val="20"/>
          <w:szCs w:val="20"/>
        </w:rPr>
        <w:lastRenderedPageBreak/>
        <w:t>copper strips, and an ASTM reading scale with a reference value of ≤ 0.9. This technique is us</w:t>
      </w:r>
      <w:bookmarkStart w:id="1" w:name="_GoBack"/>
      <w:bookmarkEnd w:id="1"/>
      <w:r w:rsidRPr="00285126">
        <w:rPr>
          <w:rFonts w:ascii="Times New Roman" w:eastAsiaTheme="minorEastAsia" w:hAnsi="Times New Roman" w:cs="Times New Roman"/>
          <w:sz w:val="20"/>
          <w:szCs w:val="20"/>
        </w:rPr>
        <w:t xml:space="preserve">ed to determine copper strip corrosion for various products such as aviation gasoline, regular gasoline, automotive gasoline, fuel oil, diesel fuel, etc. </w:t>
      </w:r>
    </w:p>
    <w:p w14:paraId="2FEE58CC" w14:textId="77777777" w:rsidR="00FD0E8B" w:rsidRPr="00285126" w:rsidRDefault="00FD0E8B" w:rsidP="00D27802">
      <w:pPr>
        <w:spacing w:line="240" w:lineRule="auto"/>
        <w:rPr>
          <w:rFonts w:ascii="Times New Roman" w:eastAsiaTheme="minorEastAsia" w:hAnsi="Times New Roman" w:cs="Times New Roman"/>
          <w:sz w:val="20"/>
          <w:szCs w:val="20"/>
        </w:rPr>
      </w:pPr>
      <w:r w:rsidRPr="00285126">
        <w:rPr>
          <w:rFonts w:ascii="Times New Roman" w:eastAsiaTheme="minorEastAsia" w:hAnsi="Times New Roman" w:cs="Times New Roman"/>
          <w:sz w:val="20"/>
          <w:szCs w:val="20"/>
        </w:rPr>
        <w:t xml:space="preserve">For aviation gasoline and jet fuel, pour 30 mL of a clear, water-free sample into the tube. Then immerse the clean, well-polished copper disc in the tube containing the sample for one minute and securely close the lid. Completely immerse the sample disc in a hot water bath maintained at a constant temperature of 100±1°C. Remove the sample pellet from the bath after 2 h ± 5 min and rinse it with tap water for a few minutes. Afterward, open the sample pellet and remove the tube containing the sample and the plate. Immediately remove the slide and check its color. </w:t>
      </w:r>
    </w:p>
    <w:p w14:paraId="65D1545D" w14:textId="77777777" w:rsidR="00FD0E8B" w:rsidRPr="00285126" w:rsidRDefault="00FD0E8B" w:rsidP="00D27802">
      <w:pPr>
        <w:spacing w:line="240" w:lineRule="auto"/>
        <w:rPr>
          <w:rFonts w:ascii="Times New Roman" w:eastAsiaTheme="minorEastAsia" w:hAnsi="Times New Roman" w:cs="Times New Roman"/>
          <w:sz w:val="20"/>
          <w:szCs w:val="20"/>
        </w:rPr>
      </w:pPr>
      <w:r w:rsidRPr="00285126">
        <w:rPr>
          <w:rFonts w:ascii="Times New Roman" w:eastAsiaTheme="minorEastAsia" w:hAnsi="Times New Roman" w:cs="Times New Roman"/>
          <w:sz w:val="20"/>
          <w:szCs w:val="20"/>
        </w:rPr>
        <w:t>For measuring corrosion in natural gasoline, the same technique used previously is applied, but with heating at 40±1°C for 3h±5 min.</w:t>
      </w:r>
    </w:p>
    <w:p w14:paraId="2A9E4DDA" w14:textId="77777777" w:rsidR="00FD0E8B" w:rsidRPr="00285126" w:rsidRDefault="00FD0E8B" w:rsidP="00D27802">
      <w:pPr>
        <w:spacing w:line="240" w:lineRule="auto"/>
        <w:rPr>
          <w:rFonts w:ascii="Times New Roman" w:eastAsiaTheme="minorEastAsia" w:hAnsi="Times New Roman" w:cs="Times New Roman"/>
          <w:sz w:val="20"/>
          <w:szCs w:val="20"/>
        </w:rPr>
      </w:pPr>
      <w:r w:rsidRPr="00285126">
        <w:rPr>
          <w:rFonts w:ascii="Times New Roman" w:eastAsiaTheme="minorEastAsia" w:hAnsi="Times New Roman" w:cs="Times New Roman"/>
          <w:sz w:val="20"/>
          <w:szCs w:val="20"/>
        </w:rPr>
        <w:t xml:space="preserve">Corrosion on the copper slide for automotive gasoline was measured following the protocol </w:t>
      </w:r>
      <w:proofErr w:type="gramStart"/>
      <w:r w:rsidRPr="00285126">
        <w:rPr>
          <w:rFonts w:ascii="Times New Roman" w:eastAsiaTheme="minorEastAsia" w:hAnsi="Times New Roman" w:cs="Times New Roman"/>
          <w:sz w:val="20"/>
          <w:szCs w:val="20"/>
        </w:rPr>
        <w:t>below:</w:t>
      </w:r>
      <w:proofErr w:type="gramEnd"/>
      <w:r w:rsidRPr="00285126">
        <w:rPr>
          <w:rFonts w:ascii="Times New Roman" w:eastAsiaTheme="minorEastAsia" w:hAnsi="Times New Roman" w:cs="Times New Roman"/>
          <w:sz w:val="20"/>
          <w:szCs w:val="20"/>
        </w:rPr>
        <w:t xml:space="preserve"> </w:t>
      </w:r>
    </w:p>
    <w:p w14:paraId="161D6469" w14:textId="77777777" w:rsidR="00FD0E8B" w:rsidRPr="00285126" w:rsidRDefault="00FD0E8B" w:rsidP="00D27802">
      <w:pPr>
        <w:spacing w:after="0" w:line="240" w:lineRule="auto"/>
        <w:rPr>
          <w:rFonts w:ascii="Times New Roman" w:hAnsi="Times New Roman" w:cs="Times New Roman"/>
          <w:sz w:val="20"/>
          <w:szCs w:val="20"/>
          <w:lang w:val="en-GB"/>
        </w:rPr>
      </w:pPr>
      <w:r w:rsidRPr="00285126">
        <w:rPr>
          <w:rFonts w:ascii="Times New Roman" w:hAnsi="Times New Roman" w:cs="Times New Roman"/>
          <w:sz w:val="20"/>
          <w:szCs w:val="20"/>
          <w:lang w:val="en-GB"/>
        </w:rPr>
        <w:t>The completely clear sample, containing no significant amount of water, was poured into a tube up to the 30-ml mark. Next, a clean, polished copper strip was immersed in the sample for one minute. The tube containing the test sample was sealed with a cork stopper having a vent hole (the hole can be made manually with a diameter of 3 mm) and placed in a water bath maintained at a temperature of 50 ± 1°C for 3 h ± 5 min, while ensuring that the contents were not exposed to intense light. After this test, the slide was removed from the tube, immersed in the washing solution, and the washing solution was blotted from the copper slide using quantitative filter paper; the color of the slide was then analyzed against standard corrosion color charts.</w:t>
      </w:r>
    </w:p>
    <w:p w14:paraId="00A1DD2D" w14:textId="77777777" w:rsidR="0036504E" w:rsidRPr="00285126" w:rsidRDefault="00FD0E8B" w:rsidP="00D27802">
      <w:pPr>
        <w:spacing w:before="240" w:line="240" w:lineRule="auto"/>
        <w:rPr>
          <w:rFonts w:ascii="Times New Roman" w:hAnsi="Times New Roman" w:cs="Times New Roman"/>
          <w:b/>
          <w:sz w:val="20"/>
          <w:szCs w:val="20"/>
        </w:rPr>
      </w:pPr>
      <w:r w:rsidRPr="00285126">
        <w:rPr>
          <w:rFonts w:ascii="Times New Roman" w:eastAsiaTheme="minorEastAsia" w:hAnsi="Times New Roman" w:cs="Times New Roman"/>
          <w:sz w:val="20"/>
          <w:szCs w:val="20"/>
        </w:rPr>
        <w:t>To analyze the corrosion of the copper slide by naphtha and kerosene solvents, the previous technique was used, but the water bath was maintained at a temperature of 100±1°C.</w:t>
      </w:r>
      <w:r w:rsidRPr="00285126">
        <w:rPr>
          <w:rFonts w:ascii="Times New Roman" w:eastAsiaTheme="minorEastAsia" w:hAnsi="Times New Roman" w:cs="Times New Roman"/>
          <w:sz w:val="20"/>
          <w:szCs w:val="20"/>
        </w:rPr>
        <w:cr/>
        <w:t xml:space="preserve">However, the copper slide was prepared as </w:t>
      </w:r>
      <w:proofErr w:type="gramStart"/>
      <w:r w:rsidRPr="00285126">
        <w:rPr>
          <w:rFonts w:ascii="Times New Roman" w:eastAsiaTheme="minorEastAsia" w:hAnsi="Times New Roman" w:cs="Times New Roman"/>
          <w:sz w:val="20"/>
          <w:szCs w:val="20"/>
        </w:rPr>
        <w:t>follows:</w:t>
      </w:r>
      <w:proofErr w:type="gramEnd"/>
      <w:r w:rsidRPr="00285126">
        <w:rPr>
          <w:rFonts w:ascii="Times New Roman" w:eastAsiaTheme="minorEastAsia" w:hAnsi="Times New Roman" w:cs="Times New Roman"/>
          <w:sz w:val="20"/>
          <w:szCs w:val="20"/>
        </w:rPr>
        <w:t xml:space="preserve"> First, a flat surface was selected, then a piece of sandpaper was placed on it and moistened with a cleaning solvent. The slide was rotated so that it rubbed against the sandpaper properly. It was held with tweezers to prevent contact with the fingers. To ensure proper polishing of the slide, a piece of absorbent cotton was used. After polishing, it was immediately immersed in the sample. </w:t>
      </w:r>
      <w:r w:rsidRPr="00285126">
        <w:rPr>
          <w:rFonts w:ascii="Times New Roman" w:eastAsiaTheme="minorEastAsia" w:hAnsi="Times New Roman" w:cs="Times New Roman"/>
          <w:sz w:val="20"/>
          <w:szCs w:val="20"/>
        </w:rPr>
        <w:cr/>
      </w:r>
      <w:r w:rsidR="0036504E" w:rsidRPr="00285126">
        <w:rPr>
          <w:rFonts w:ascii="Times New Roman" w:hAnsi="Times New Roman" w:cs="Times New Roman"/>
          <w:b/>
          <w:sz w:val="20"/>
          <w:szCs w:val="20"/>
        </w:rPr>
        <w:t xml:space="preserve">II.2.3 </w:t>
      </w:r>
      <w:r w:rsidRPr="00285126">
        <w:rPr>
          <w:rFonts w:ascii="Times New Roman" w:hAnsi="Times New Roman" w:cs="Times New Roman"/>
          <w:b/>
          <w:sz w:val="20"/>
          <w:szCs w:val="20"/>
        </w:rPr>
        <w:t>Determination of mercaptan sulfur content</w:t>
      </w:r>
    </w:p>
    <w:p w14:paraId="5CAEB055" w14:textId="77777777" w:rsidR="00FD0E8B" w:rsidRPr="00285126" w:rsidRDefault="00FD0E8B" w:rsidP="00D27802">
      <w:pPr>
        <w:spacing w:before="240" w:line="240" w:lineRule="auto"/>
        <w:rPr>
          <w:rFonts w:ascii="Times New Roman" w:hAnsi="Times New Roman" w:cs="Times New Roman"/>
          <w:sz w:val="20"/>
          <w:szCs w:val="20"/>
        </w:rPr>
      </w:pPr>
      <w:r w:rsidRPr="00285126">
        <w:rPr>
          <w:rFonts w:ascii="Times New Roman" w:hAnsi="Times New Roman" w:cs="Times New Roman"/>
          <w:sz w:val="20"/>
          <w:szCs w:val="20"/>
        </w:rPr>
        <w:t>This parameter was determined using the ASTM D3277 method at the SORAZ laboratory.</w:t>
      </w:r>
    </w:p>
    <w:p w14:paraId="34AF946F" w14:textId="77777777" w:rsidR="0036504E" w:rsidRPr="00285126" w:rsidRDefault="0036504E" w:rsidP="00D27802">
      <w:pPr>
        <w:spacing w:before="240" w:line="240" w:lineRule="auto"/>
        <w:rPr>
          <w:rFonts w:ascii="Times New Roman" w:hAnsi="Times New Roman" w:cs="Times New Roman"/>
          <w:b/>
          <w:sz w:val="20"/>
          <w:szCs w:val="20"/>
        </w:rPr>
      </w:pPr>
      <w:r w:rsidRPr="00285126">
        <w:rPr>
          <w:rFonts w:ascii="Times New Roman" w:hAnsi="Times New Roman" w:cs="Times New Roman"/>
          <w:b/>
          <w:sz w:val="20"/>
          <w:szCs w:val="20"/>
        </w:rPr>
        <w:t>II.2.</w:t>
      </w:r>
      <w:r w:rsidR="00C078E2" w:rsidRPr="00285126">
        <w:rPr>
          <w:rFonts w:ascii="Times New Roman" w:hAnsi="Times New Roman" w:cs="Times New Roman"/>
          <w:b/>
          <w:sz w:val="20"/>
          <w:szCs w:val="20"/>
        </w:rPr>
        <w:t>4</w:t>
      </w:r>
      <w:r w:rsidRPr="00285126">
        <w:rPr>
          <w:rFonts w:ascii="Times New Roman" w:hAnsi="Times New Roman" w:cs="Times New Roman"/>
          <w:b/>
          <w:sz w:val="20"/>
          <w:szCs w:val="20"/>
        </w:rPr>
        <w:t xml:space="preserve"> </w:t>
      </w:r>
      <w:r w:rsidR="00FD0E8B" w:rsidRPr="00285126">
        <w:rPr>
          <w:rFonts w:ascii="Times New Roman" w:hAnsi="Times New Roman" w:cs="Times New Roman"/>
          <w:b/>
          <w:sz w:val="20"/>
          <w:szCs w:val="20"/>
        </w:rPr>
        <w:t>Determination of vapor pressure</w:t>
      </w:r>
    </w:p>
    <w:p w14:paraId="4EDE2650" w14:textId="77777777" w:rsidR="00FD0E8B" w:rsidRPr="00285126" w:rsidRDefault="00FD0E8B" w:rsidP="00D27802">
      <w:pPr>
        <w:spacing w:line="240" w:lineRule="auto"/>
        <w:rPr>
          <w:rFonts w:ascii="Times New Roman" w:hAnsi="Times New Roman" w:cs="Times New Roman"/>
          <w:sz w:val="20"/>
          <w:szCs w:val="20"/>
        </w:rPr>
      </w:pPr>
      <w:r w:rsidRPr="00285126">
        <w:rPr>
          <w:rFonts w:ascii="Times New Roman" w:hAnsi="Times New Roman" w:cs="Times New Roman"/>
          <w:sz w:val="20"/>
          <w:szCs w:val="20"/>
        </w:rPr>
        <w:t xml:space="preserve">This characteristic is primarily determined for gasoline at the SORAZ laboratory using the ASTM D5191 mini-method. This method covers the use of automatic instruments to determine the total vapor pressure exerted by volatile liquid products containing air in a vacuum. The boiling points of the samples are &gt; 0°C, and the vapor pressure (VP) ranges from 7 to 130 kPa at 37.8°C at a vapor-to-liquid ratio of </w:t>
      </w:r>
      <w:proofErr w:type="gramStart"/>
      <w:r w:rsidRPr="00285126">
        <w:rPr>
          <w:rFonts w:ascii="Times New Roman" w:hAnsi="Times New Roman" w:cs="Times New Roman"/>
          <w:sz w:val="20"/>
          <w:szCs w:val="20"/>
        </w:rPr>
        <w:t>4:</w:t>
      </w:r>
      <w:proofErr w:type="gramEnd"/>
      <w:r w:rsidRPr="00285126">
        <w:rPr>
          <w:rFonts w:ascii="Times New Roman" w:hAnsi="Times New Roman" w:cs="Times New Roman"/>
          <w:sz w:val="20"/>
          <w:szCs w:val="20"/>
        </w:rPr>
        <w:t>1. Traces of water dissolved in the samples are negligible. The sample size for the test ranges from 1 to 10 mL, and the method is suitable for calculating the DVPE (Dry Vapor Pressure Equivalent) for gasoline (Eq. 1).</w:t>
      </w:r>
    </w:p>
    <w:p w14:paraId="3B70A98C" w14:textId="77777777" w:rsidR="009109B1" w:rsidRPr="00285126" w:rsidRDefault="009109B1" w:rsidP="00D27802">
      <w:pPr>
        <w:spacing w:line="240" w:lineRule="auto"/>
        <w:rPr>
          <w:rFonts w:ascii="Times New Roman" w:hAnsi="Times New Roman" w:cs="Times New Roman"/>
          <w:sz w:val="20"/>
          <w:szCs w:val="20"/>
        </w:rPr>
      </w:pPr>
      <m:oMath>
        <m:r>
          <w:rPr>
            <w:rFonts w:ascii="Cambria Math" w:hAnsi="Cambria Math" w:cs="Times New Roman"/>
            <w:sz w:val="20"/>
            <w:szCs w:val="20"/>
          </w:rPr>
          <m:t xml:space="preserve">DVPE </m:t>
        </m:r>
        <m:d>
          <m:dPr>
            <m:ctrlPr>
              <w:rPr>
                <w:rFonts w:ascii="Cambria Math" w:hAnsi="Cambria Math" w:cs="Times New Roman"/>
                <w:i/>
                <w:sz w:val="20"/>
                <w:szCs w:val="20"/>
              </w:rPr>
            </m:ctrlPr>
          </m:dPr>
          <m:e>
            <m:r>
              <w:rPr>
                <w:rFonts w:ascii="Cambria Math" w:hAnsi="Cambria Math" w:cs="Times New Roman"/>
                <w:sz w:val="20"/>
                <w:szCs w:val="20"/>
              </w:rPr>
              <m:t>en kPa</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0.965×PVT</m:t>
            </m:r>
          </m:e>
        </m:d>
        <m:r>
          <w:rPr>
            <w:rFonts w:ascii="Cambria Math" w:hAnsi="Cambria Math" w:cs="Times New Roman"/>
            <w:sz w:val="20"/>
            <w:szCs w:val="20"/>
          </w:rPr>
          <m:t>-3.78 kPa</m:t>
        </m:r>
      </m:oMath>
      <w:r w:rsidR="00666734" w:rsidRPr="00285126">
        <w:rPr>
          <w:rFonts w:ascii="Times New Roman" w:eastAsiaTheme="minorEastAsia" w:hAnsi="Times New Roman" w:cs="Times New Roman"/>
          <w:sz w:val="20"/>
          <w:szCs w:val="20"/>
        </w:rPr>
        <w:t xml:space="preserve">             (Eq.1</w:t>
      </w:r>
      <w:r w:rsidRPr="00285126">
        <w:rPr>
          <w:rFonts w:ascii="Times New Roman" w:eastAsiaTheme="minorEastAsia" w:hAnsi="Times New Roman" w:cs="Times New Roman"/>
          <w:sz w:val="20"/>
          <w:szCs w:val="20"/>
        </w:rPr>
        <w:t>)</w:t>
      </w:r>
    </w:p>
    <w:p w14:paraId="6C253B92" w14:textId="77777777" w:rsidR="0038495D" w:rsidRPr="00285126" w:rsidRDefault="0038495D" w:rsidP="00D27802">
      <w:pPr>
        <w:pStyle w:val="NormalWeb"/>
        <w:rPr>
          <w:sz w:val="20"/>
          <w:szCs w:val="20"/>
        </w:rPr>
      </w:pPr>
      <w:r w:rsidRPr="00285126">
        <w:rPr>
          <w:sz w:val="20"/>
          <w:szCs w:val="20"/>
        </w:rPr>
        <w:t xml:space="preserve">The instrument used in this study is a Setavap 2 device. It is used to determine the vapor pressure of gasoline, as well as that of products such as solvents, light hydrocarbons, and other similar substances. It is an automatic device that analyzes samples according to the ASTM D5191 mini-method. During the test, the device emits a sound to signal to the operator that they should proceed to the next step. It can display results as total pressure (TP), equivalent dry vapor pressure (EDVP), EPA requirements, or Reid (raw) using preprogrammed correlation equations. </w:t>
      </w:r>
    </w:p>
    <w:p w14:paraId="6B6B3677" w14:textId="77777777" w:rsidR="0038495D" w:rsidRPr="00285126" w:rsidRDefault="0038495D" w:rsidP="00D27802">
      <w:pPr>
        <w:pStyle w:val="NormalWeb"/>
        <w:rPr>
          <w:sz w:val="20"/>
          <w:szCs w:val="20"/>
        </w:rPr>
      </w:pPr>
      <w:r w:rsidRPr="00285126">
        <w:rPr>
          <w:sz w:val="20"/>
          <w:szCs w:val="20"/>
        </w:rPr>
        <w:t xml:space="preserve">To determine the vapor pressure of a given sample, follow this test </w:t>
      </w:r>
      <w:proofErr w:type="gramStart"/>
      <w:r w:rsidRPr="00285126">
        <w:rPr>
          <w:sz w:val="20"/>
          <w:szCs w:val="20"/>
        </w:rPr>
        <w:t>procedure:</w:t>
      </w:r>
      <w:proofErr w:type="gramEnd"/>
    </w:p>
    <w:p w14:paraId="0B1558C3" w14:textId="77777777" w:rsidR="0038495D" w:rsidRPr="00285126" w:rsidRDefault="0038495D" w:rsidP="00D27802">
      <w:pPr>
        <w:pStyle w:val="NormalWeb"/>
        <w:numPr>
          <w:ilvl w:val="0"/>
          <w:numId w:val="12"/>
        </w:numPr>
        <w:rPr>
          <w:sz w:val="20"/>
          <w:szCs w:val="20"/>
        </w:rPr>
      </w:pPr>
      <w:r w:rsidRPr="00285126">
        <w:rPr>
          <w:sz w:val="20"/>
          <w:szCs w:val="20"/>
        </w:rPr>
        <w:t>Lower the sample temperature to between 0 and 1 °</w:t>
      </w:r>
      <w:proofErr w:type="gramStart"/>
      <w:r w:rsidRPr="00285126">
        <w:rPr>
          <w:sz w:val="20"/>
          <w:szCs w:val="20"/>
        </w:rPr>
        <w:t>C;</w:t>
      </w:r>
      <w:proofErr w:type="gramEnd"/>
    </w:p>
    <w:p w14:paraId="4CFAE91C" w14:textId="77777777" w:rsidR="0038495D" w:rsidRPr="00285126" w:rsidRDefault="0038495D" w:rsidP="00D27802">
      <w:pPr>
        <w:pStyle w:val="NormalWeb"/>
        <w:numPr>
          <w:ilvl w:val="0"/>
          <w:numId w:val="12"/>
        </w:numPr>
        <w:rPr>
          <w:sz w:val="20"/>
          <w:szCs w:val="20"/>
        </w:rPr>
      </w:pPr>
      <w:r w:rsidRPr="00285126">
        <w:rPr>
          <w:sz w:val="20"/>
          <w:szCs w:val="20"/>
        </w:rPr>
        <w:t xml:space="preserve">Place the container at the bottom of the apparatus to collect the evaporated </w:t>
      </w:r>
      <w:proofErr w:type="gramStart"/>
      <w:r w:rsidRPr="00285126">
        <w:rPr>
          <w:sz w:val="20"/>
          <w:szCs w:val="20"/>
        </w:rPr>
        <w:t>sample;</w:t>
      </w:r>
      <w:proofErr w:type="gramEnd"/>
    </w:p>
    <w:p w14:paraId="50CDC0D2" w14:textId="77777777" w:rsidR="0038495D" w:rsidRPr="00285126" w:rsidRDefault="0038495D" w:rsidP="00D27802">
      <w:pPr>
        <w:pStyle w:val="NormalWeb"/>
        <w:numPr>
          <w:ilvl w:val="0"/>
          <w:numId w:val="12"/>
        </w:numPr>
        <w:rPr>
          <w:sz w:val="20"/>
          <w:szCs w:val="20"/>
        </w:rPr>
      </w:pPr>
      <w:r w:rsidRPr="00285126">
        <w:rPr>
          <w:sz w:val="20"/>
          <w:szCs w:val="20"/>
        </w:rPr>
        <w:t xml:space="preserve">Turn on the apparatus, start the vacuum pump, and then follow the instructions specified in the method. </w:t>
      </w:r>
    </w:p>
    <w:p w14:paraId="006B167A" w14:textId="77777777" w:rsidR="0036504E" w:rsidRPr="00285126" w:rsidRDefault="0036504E" w:rsidP="00D27802">
      <w:pPr>
        <w:spacing w:before="240" w:line="240" w:lineRule="auto"/>
        <w:rPr>
          <w:rFonts w:ascii="Times New Roman" w:hAnsi="Times New Roman" w:cs="Times New Roman"/>
          <w:b/>
          <w:sz w:val="20"/>
          <w:szCs w:val="20"/>
        </w:rPr>
      </w:pPr>
      <w:r w:rsidRPr="00285126">
        <w:rPr>
          <w:rFonts w:ascii="Times New Roman" w:hAnsi="Times New Roman" w:cs="Times New Roman"/>
          <w:b/>
          <w:sz w:val="20"/>
          <w:szCs w:val="20"/>
        </w:rPr>
        <w:t>II.2.</w:t>
      </w:r>
      <w:r w:rsidR="00C078E2" w:rsidRPr="00285126">
        <w:rPr>
          <w:rFonts w:ascii="Times New Roman" w:hAnsi="Times New Roman" w:cs="Times New Roman"/>
          <w:b/>
          <w:sz w:val="20"/>
          <w:szCs w:val="20"/>
        </w:rPr>
        <w:t>5</w:t>
      </w:r>
      <w:r w:rsidRPr="00285126">
        <w:rPr>
          <w:rFonts w:ascii="Times New Roman" w:hAnsi="Times New Roman" w:cs="Times New Roman"/>
          <w:b/>
          <w:sz w:val="20"/>
          <w:szCs w:val="20"/>
        </w:rPr>
        <w:t xml:space="preserve"> </w:t>
      </w:r>
      <w:r w:rsidR="0038495D" w:rsidRPr="00285126">
        <w:rPr>
          <w:rFonts w:ascii="Times New Roman" w:hAnsi="Times New Roman" w:cs="Times New Roman"/>
          <w:b/>
          <w:sz w:val="20"/>
          <w:szCs w:val="20"/>
        </w:rPr>
        <w:t>Determination of the octane number</w:t>
      </w:r>
    </w:p>
    <w:p w14:paraId="274A0629" w14:textId="77777777" w:rsidR="0038495D" w:rsidRPr="00285126" w:rsidRDefault="0038495D" w:rsidP="00D27802">
      <w:pPr>
        <w:spacing w:after="0" w:line="240" w:lineRule="auto"/>
        <w:rPr>
          <w:rFonts w:ascii="Times New Roman" w:hAnsi="Times New Roman" w:cs="Times New Roman"/>
          <w:sz w:val="20"/>
          <w:szCs w:val="20"/>
        </w:rPr>
      </w:pPr>
      <w:r w:rsidRPr="00285126">
        <w:rPr>
          <w:rFonts w:ascii="Times New Roman" w:hAnsi="Times New Roman" w:cs="Times New Roman"/>
          <w:sz w:val="20"/>
          <w:szCs w:val="20"/>
        </w:rPr>
        <w:t xml:space="preserve">During fuel combustion in a spark-ignition engine, when the vapors reach certain pressure and temperature conditions, they can suddenly self-ignite before reaching the combustion chamber, resulting in engine knocking </w:t>
      </w:r>
      <w:r w:rsidRPr="00285126">
        <w:rPr>
          <w:rFonts w:ascii="Times New Roman" w:hAnsi="Times New Roman" w:cs="Times New Roman"/>
          <w:sz w:val="20"/>
          <w:szCs w:val="20"/>
        </w:rPr>
        <w:lastRenderedPageBreak/>
        <w:t xml:space="preserve">(knock or detonation). However, severe knocking can have serious consequences on engine performance, such as cylinder head gasket failure, erosion of the piston and cylinder head, breakage of piston rings and pins, damage to spark plugs and valves, as well as reduced engine power and compression. Therefore, for optimal engine performance, the use of high-quality gasoline (which does not cause knocking) is essential (ASTM D2700 and ASTM D2699-02). </w:t>
      </w:r>
    </w:p>
    <w:p w14:paraId="5DDB2371" w14:textId="77777777" w:rsidR="0038495D" w:rsidRPr="00285126" w:rsidRDefault="0038495D" w:rsidP="00D27802">
      <w:pPr>
        <w:spacing w:after="0" w:line="240" w:lineRule="auto"/>
        <w:rPr>
          <w:rFonts w:ascii="Times New Roman" w:hAnsi="Times New Roman" w:cs="Times New Roman"/>
          <w:sz w:val="20"/>
          <w:szCs w:val="20"/>
        </w:rPr>
      </w:pPr>
      <w:r w:rsidRPr="00285126">
        <w:rPr>
          <w:rFonts w:ascii="Times New Roman" w:hAnsi="Times New Roman" w:cs="Times New Roman"/>
          <w:sz w:val="20"/>
          <w:szCs w:val="20"/>
        </w:rPr>
        <w:t xml:space="preserve">In an engine (such as a CFR engine), knocking occurs more readily when pressure and vapor pressure are high (high compression ratio, high intake pressure and temperature, combustion chamber shape, etc.). Thus, for fuel, this phenomenon occurs more readily when its resistance to self-ignition is low. This resistance to self-ignition is called the octane rating and depends primarily on the chemical composition of the fuel. The octane rating is a characteristic (numerical value) that describes the anti-knock property of a given gasoline during combustion in an engine. The higher the rating, the better the anti-knock property (for example, gasoline with an octane rating of 95 is more effective than that of 91). However, there are two methods for measuring or determining this </w:t>
      </w:r>
      <w:proofErr w:type="gramStart"/>
      <w:r w:rsidRPr="00285126">
        <w:rPr>
          <w:rFonts w:ascii="Times New Roman" w:hAnsi="Times New Roman" w:cs="Times New Roman"/>
          <w:sz w:val="20"/>
          <w:szCs w:val="20"/>
        </w:rPr>
        <w:t>characteristic:</w:t>
      </w:r>
      <w:proofErr w:type="gramEnd"/>
      <w:r w:rsidRPr="00285126">
        <w:rPr>
          <w:rFonts w:ascii="Times New Roman" w:hAnsi="Times New Roman" w:cs="Times New Roman"/>
          <w:sz w:val="20"/>
          <w:szCs w:val="20"/>
        </w:rPr>
        <w:t xml:space="preserve"> RON (Research Octane Number at 600 rpm) and MON (Motor Octane Number at 900 rpm). The chemical composition and the compression ratio are the main factors influencing the fuel’s anti-knock properties (ASTM D2700 and ASTM D2699-02). </w:t>
      </w:r>
    </w:p>
    <w:p w14:paraId="3AEB9582" w14:textId="77777777" w:rsidR="0038495D" w:rsidRPr="00285126" w:rsidRDefault="0038495D" w:rsidP="00D27802">
      <w:pPr>
        <w:spacing w:before="240" w:line="240" w:lineRule="auto"/>
        <w:rPr>
          <w:rFonts w:ascii="Times New Roman" w:hAnsi="Times New Roman" w:cs="Times New Roman"/>
          <w:sz w:val="20"/>
          <w:szCs w:val="20"/>
        </w:rPr>
      </w:pPr>
      <w:r w:rsidRPr="00285126">
        <w:rPr>
          <w:rFonts w:ascii="Times New Roman" w:hAnsi="Times New Roman" w:cs="Times New Roman"/>
          <w:sz w:val="20"/>
          <w:szCs w:val="20"/>
        </w:rPr>
        <w:t>The octane rating of gasoline is determined in the laboratory using a CFR engine in accordance with ASTM D2699-02/2700. The determination procedure is complex and requires sufficient expertise to perform. The first step is to start the CFR engine to allow it to reach operating conditions. The engine startup procedure requires strict adherence to and application of the startup instructions. While waiting for it to be ready for analysis, the test samples are prepared through a process called blending.</w:t>
      </w:r>
    </w:p>
    <w:p w14:paraId="7AD36A26" w14:textId="77777777" w:rsidR="0036504E" w:rsidRPr="00285126" w:rsidRDefault="0036504E" w:rsidP="00D27802">
      <w:pPr>
        <w:spacing w:before="240" w:line="240" w:lineRule="auto"/>
        <w:rPr>
          <w:rFonts w:ascii="Times New Roman" w:hAnsi="Times New Roman" w:cs="Times New Roman"/>
          <w:b/>
          <w:sz w:val="20"/>
          <w:szCs w:val="20"/>
        </w:rPr>
      </w:pPr>
      <w:r w:rsidRPr="00285126">
        <w:rPr>
          <w:rFonts w:ascii="Times New Roman" w:hAnsi="Times New Roman" w:cs="Times New Roman"/>
          <w:b/>
          <w:sz w:val="20"/>
          <w:szCs w:val="20"/>
        </w:rPr>
        <w:t>II.2.</w:t>
      </w:r>
      <w:r w:rsidR="00C078E2" w:rsidRPr="00285126">
        <w:rPr>
          <w:rFonts w:ascii="Times New Roman" w:hAnsi="Times New Roman" w:cs="Times New Roman"/>
          <w:b/>
          <w:sz w:val="20"/>
          <w:szCs w:val="20"/>
        </w:rPr>
        <w:t>6</w:t>
      </w:r>
      <w:r w:rsidRPr="00285126">
        <w:rPr>
          <w:rFonts w:ascii="Times New Roman" w:hAnsi="Times New Roman" w:cs="Times New Roman"/>
          <w:b/>
          <w:sz w:val="20"/>
          <w:szCs w:val="20"/>
        </w:rPr>
        <w:t xml:space="preserve"> </w:t>
      </w:r>
      <w:r w:rsidR="0038495D" w:rsidRPr="00285126">
        <w:rPr>
          <w:rFonts w:ascii="Times New Roman" w:hAnsi="Times New Roman" w:cs="Times New Roman"/>
          <w:b/>
          <w:sz w:val="20"/>
          <w:szCs w:val="20"/>
        </w:rPr>
        <w:t>Determination of sulfur content</w:t>
      </w:r>
    </w:p>
    <w:p w14:paraId="1B9C306A" w14:textId="77777777" w:rsidR="0038495D" w:rsidRPr="00285126" w:rsidRDefault="0038495D" w:rsidP="00D27802">
      <w:pPr>
        <w:spacing w:line="240" w:lineRule="auto"/>
        <w:rPr>
          <w:rFonts w:ascii="Times New Roman" w:hAnsi="Times New Roman" w:cs="Times New Roman"/>
          <w:sz w:val="20"/>
          <w:szCs w:val="20"/>
        </w:rPr>
      </w:pPr>
      <w:r w:rsidRPr="00285126">
        <w:rPr>
          <w:rFonts w:ascii="Times New Roman" w:hAnsi="Times New Roman" w:cs="Times New Roman"/>
          <w:sz w:val="20"/>
          <w:szCs w:val="20"/>
        </w:rPr>
        <w:t>Sulfur, present in significant quantities in crude oil, petroleum fractions (light or heavy), or even in gases (especially LPG), is an undesirable compound in these materials [9], [10], [13]. In fact, it is classified as one of the main poisons for catalysts and is also responsible for corrosion of refinery equipment. Present in the form of hydrogen sulfide or mercaptans in petroleum products, sulfur crystallizes at low temperatures and thus clogs channels in refinery facilities.</w:t>
      </w:r>
    </w:p>
    <w:p w14:paraId="51FA08AE" w14:textId="77777777" w:rsidR="0038495D" w:rsidRPr="00285126" w:rsidRDefault="0038495D" w:rsidP="00D27802">
      <w:pPr>
        <w:spacing w:before="240" w:line="240" w:lineRule="auto"/>
        <w:rPr>
          <w:rFonts w:ascii="Times New Roman" w:hAnsi="Times New Roman" w:cs="Times New Roman"/>
          <w:sz w:val="20"/>
          <w:szCs w:val="20"/>
        </w:rPr>
      </w:pPr>
      <w:r w:rsidRPr="00285126">
        <w:rPr>
          <w:rFonts w:ascii="Times New Roman" w:hAnsi="Times New Roman" w:cs="Times New Roman"/>
          <w:sz w:val="20"/>
          <w:szCs w:val="20"/>
        </w:rPr>
        <w:t>The sulfur content thus becomes a key factor in evaluating crude oil and its derivatives.  It is determined using the ASTM D7039/D129 method, which combines the ASTM D1193 and D1552 methods, using Sindie CL (XOS), Sindie XR (XOS), and EA5000 instruments, depending on the sample being analyzed. However, it does not apply to samples containing elements that produce residues, other than barium sulfate, which are insoluble in dilute hydrochloric acid and would interfere with the precipitation step. These interfering elements include iron, aluminum, calcium, silicon, and lead, which are sometimes present in greases, lubricating oil additives, or additive oils. Other acid-insoluble materials that interfere include silica, molybdenum disulfide, asbestos, mica, etc. The test method is not applicable to used oils containing wear metals and lead or silicates resulting from contamination. Excluded samples may be analyzed using the ASTM D1552 (ASTM D129) test method.</w:t>
      </w:r>
    </w:p>
    <w:p w14:paraId="002BE191" w14:textId="77777777" w:rsidR="00350C2D" w:rsidRPr="00285126" w:rsidRDefault="00350C2D" w:rsidP="00D27802">
      <w:pPr>
        <w:spacing w:before="240" w:line="240" w:lineRule="auto"/>
        <w:rPr>
          <w:rFonts w:ascii="Times New Roman" w:hAnsi="Times New Roman" w:cs="Times New Roman"/>
          <w:b/>
          <w:sz w:val="20"/>
          <w:szCs w:val="20"/>
        </w:rPr>
      </w:pPr>
      <w:r w:rsidRPr="00285126">
        <w:rPr>
          <w:rFonts w:ascii="Times New Roman" w:hAnsi="Times New Roman" w:cs="Times New Roman"/>
          <w:b/>
          <w:sz w:val="20"/>
          <w:szCs w:val="20"/>
        </w:rPr>
        <w:t>II.2.</w:t>
      </w:r>
      <w:r w:rsidR="00C078E2" w:rsidRPr="00285126">
        <w:rPr>
          <w:rFonts w:ascii="Times New Roman" w:hAnsi="Times New Roman" w:cs="Times New Roman"/>
          <w:b/>
          <w:sz w:val="20"/>
          <w:szCs w:val="20"/>
        </w:rPr>
        <w:t>7</w:t>
      </w:r>
      <w:r w:rsidRPr="00285126">
        <w:rPr>
          <w:rFonts w:ascii="Times New Roman" w:hAnsi="Times New Roman" w:cs="Times New Roman"/>
          <w:b/>
          <w:sz w:val="20"/>
          <w:szCs w:val="20"/>
        </w:rPr>
        <w:t xml:space="preserve"> Distillation </w:t>
      </w:r>
    </w:p>
    <w:p w14:paraId="2E792FCC" w14:textId="77777777" w:rsidR="0038495D" w:rsidRPr="00285126" w:rsidRDefault="0038495D" w:rsidP="00D27802">
      <w:pPr>
        <w:spacing w:line="240" w:lineRule="auto"/>
        <w:rPr>
          <w:rFonts w:ascii="Times New Roman" w:eastAsia="SimSun" w:hAnsi="Times New Roman" w:cs="Times New Roman"/>
          <w:sz w:val="20"/>
          <w:szCs w:val="20"/>
        </w:rPr>
      </w:pPr>
      <w:r w:rsidRPr="00285126">
        <w:rPr>
          <w:rFonts w:ascii="Times New Roman" w:eastAsia="SimSun" w:hAnsi="Times New Roman" w:cs="Times New Roman"/>
          <w:sz w:val="20"/>
          <w:szCs w:val="20"/>
        </w:rPr>
        <w:t>Distillation is used to determine a product’s distillation range and is a method specified in ASTM D86 (D86-06). Both automatic and manual distillers are available.</w:t>
      </w:r>
    </w:p>
    <w:p w14:paraId="7A2B80D2" w14:textId="77777777" w:rsidR="0038495D" w:rsidRPr="00285126" w:rsidRDefault="0038495D" w:rsidP="00D27802">
      <w:pPr>
        <w:spacing w:line="240" w:lineRule="auto"/>
        <w:rPr>
          <w:rFonts w:ascii="Times New Roman" w:eastAsia="SimSun" w:hAnsi="Times New Roman" w:cs="Times New Roman"/>
          <w:sz w:val="20"/>
          <w:szCs w:val="20"/>
        </w:rPr>
      </w:pPr>
      <w:r w:rsidRPr="00285126">
        <w:rPr>
          <w:rFonts w:ascii="Times New Roman" w:eastAsia="SimSun" w:hAnsi="Times New Roman" w:cs="Times New Roman"/>
          <w:sz w:val="20"/>
          <w:szCs w:val="20"/>
        </w:rPr>
        <w:t>The procedure used in this study for automatic distillation is that described in the ASTM D86 method.</w:t>
      </w:r>
    </w:p>
    <w:p w14:paraId="71F9ED19" w14:textId="77777777" w:rsidR="0038495D" w:rsidRPr="00285126" w:rsidRDefault="0038495D" w:rsidP="00D27802">
      <w:pPr>
        <w:spacing w:line="240" w:lineRule="auto"/>
        <w:rPr>
          <w:rFonts w:ascii="Times New Roman" w:eastAsia="SimSun" w:hAnsi="Times New Roman" w:cs="Times New Roman"/>
          <w:sz w:val="20"/>
          <w:szCs w:val="20"/>
        </w:rPr>
      </w:pPr>
      <w:r w:rsidRPr="00285126">
        <w:rPr>
          <w:rFonts w:ascii="Times New Roman" w:eastAsia="SimSun" w:hAnsi="Times New Roman" w:cs="Times New Roman"/>
          <w:sz w:val="20"/>
          <w:szCs w:val="20"/>
        </w:rPr>
        <w:t>However, to validate the results, certain calculations and corrections were performed.</w:t>
      </w:r>
    </w:p>
    <w:p w14:paraId="1C09DF2E" w14:textId="77777777" w:rsidR="0038495D" w:rsidRPr="00285126" w:rsidRDefault="0038495D" w:rsidP="00D27802">
      <w:pPr>
        <w:spacing w:line="240" w:lineRule="auto"/>
        <w:rPr>
          <w:rFonts w:ascii="Times New Roman" w:eastAsia="SimSun" w:hAnsi="Times New Roman" w:cs="Times New Roman"/>
          <w:sz w:val="20"/>
          <w:szCs w:val="20"/>
        </w:rPr>
      </w:pPr>
      <w:r w:rsidRPr="00285126">
        <w:rPr>
          <w:rFonts w:ascii="Times New Roman" w:eastAsia="SimSun" w:hAnsi="Times New Roman" w:cs="Times New Roman"/>
          <w:sz w:val="20"/>
          <w:szCs w:val="20"/>
        </w:rPr>
        <w:t xml:space="preserve">The correction of the thermometer for atmospheric pressure was performed using the Sydney Young equation (Eq. </w:t>
      </w:r>
      <w:proofErr w:type="gramStart"/>
      <w:r w:rsidRPr="00285126">
        <w:rPr>
          <w:rFonts w:ascii="Times New Roman" w:eastAsia="SimSun" w:hAnsi="Times New Roman" w:cs="Times New Roman"/>
          <w:sz w:val="20"/>
          <w:szCs w:val="20"/>
        </w:rPr>
        <w:t>5):</w:t>
      </w:r>
      <w:proofErr w:type="gramEnd"/>
    </w:p>
    <w:p w14:paraId="41C3AE5E" w14:textId="77777777" w:rsidR="00C479BC" w:rsidRPr="00285126" w:rsidRDefault="00C479BC" w:rsidP="00D27802">
      <w:pPr>
        <w:spacing w:line="240" w:lineRule="auto"/>
        <w:rPr>
          <w:rFonts w:ascii="Times New Roman" w:eastAsia="SimSun" w:hAnsi="Times New Roman" w:cs="Times New Roman"/>
          <w:sz w:val="20"/>
          <w:szCs w:val="20"/>
        </w:rPr>
      </w:pPr>
      <m:oMath>
        <m:r>
          <m:rPr>
            <m:sty m:val="p"/>
          </m:rPr>
          <w:rPr>
            <w:rFonts w:ascii="Cambria Math" w:eastAsia="SimSun" w:hAnsi="Cambria Math" w:cs="Times New Roman"/>
            <w:sz w:val="20"/>
            <w:szCs w:val="20"/>
          </w:rPr>
          <m:t>C</m:t>
        </m:r>
        <m:r>
          <m:rPr>
            <m:sty m:val="p"/>
          </m:rPr>
          <w:rPr>
            <w:rFonts w:ascii="Cambria Math" w:eastAsia="SimSun" w:hAnsi="Cambria Math" w:cs="Times New Roman"/>
            <w:sz w:val="20"/>
            <w:szCs w:val="20"/>
            <w:vertAlign w:val="subscript"/>
          </w:rPr>
          <m:t>c</m:t>
        </m:r>
        <m:r>
          <m:rPr>
            <m:sty m:val="p"/>
          </m:rPr>
          <w:rPr>
            <w:rFonts w:ascii="Cambria Math" w:eastAsia="SimSun" w:hAnsi="Cambria Math" w:cs="Times New Roman"/>
            <w:sz w:val="20"/>
            <w:szCs w:val="20"/>
          </w:rPr>
          <m:t xml:space="preserve"> = 0.0009 (101.3 - P</m:t>
        </m:r>
        <m:r>
          <m:rPr>
            <m:sty m:val="p"/>
          </m:rPr>
          <w:rPr>
            <w:rFonts w:ascii="Cambria Math" w:eastAsia="SimSun" w:hAnsi="Cambria Math" w:cs="Times New Roman"/>
            <w:sz w:val="20"/>
            <w:szCs w:val="20"/>
            <w:vertAlign w:val="subscript"/>
          </w:rPr>
          <m:t>k</m:t>
        </m:r>
        <m:r>
          <m:rPr>
            <m:sty m:val="p"/>
          </m:rPr>
          <w:rPr>
            <w:rFonts w:ascii="Cambria Math" w:eastAsia="SimSun" w:hAnsi="Cambria Math" w:cs="Times New Roman"/>
            <w:sz w:val="20"/>
            <w:szCs w:val="20"/>
          </w:rPr>
          <m:t>) (273+T</m:t>
        </m:r>
        <m:r>
          <m:rPr>
            <m:sty m:val="p"/>
          </m:rPr>
          <w:rPr>
            <w:rFonts w:ascii="Cambria Math" w:eastAsia="SimSun" w:hAnsi="Cambria Math" w:cs="Times New Roman"/>
            <w:sz w:val="20"/>
            <w:szCs w:val="20"/>
            <w:vertAlign w:val="subscript"/>
          </w:rPr>
          <m:t>c</m:t>
        </m:r>
        <m:r>
          <m:rPr>
            <m:sty m:val="p"/>
          </m:rPr>
          <w:rPr>
            <w:rFonts w:ascii="Cambria Math" w:eastAsia="SimSun" w:hAnsi="Cambria Math" w:cs="Times New Roman"/>
            <w:sz w:val="20"/>
            <w:szCs w:val="20"/>
          </w:rPr>
          <m:t xml:space="preserve">)      </m:t>
        </m:r>
      </m:oMath>
      <w:r w:rsidR="00500B87" w:rsidRPr="00285126">
        <w:rPr>
          <w:rFonts w:ascii="Times New Roman" w:eastAsia="SimSun" w:hAnsi="Times New Roman" w:cs="Times New Roman"/>
          <w:sz w:val="20"/>
          <w:szCs w:val="20"/>
        </w:rPr>
        <w:t xml:space="preserve"> (Eq.</w:t>
      </w:r>
      <w:r w:rsidR="00AB347F" w:rsidRPr="00285126">
        <w:rPr>
          <w:rFonts w:ascii="Times New Roman" w:eastAsia="SimSun" w:hAnsi="Times New Roman" w:cs="Times New Roman"/>
          <w:sz w:val="20"/>
          <w:szCs w:val="20"/>
        </w:rPr>
        <w:t>2</w:t>
      </w:r>
      <w:r w:rsidRPr="00285126">
        <w:rPr>
          <w:rFonts w:ascii="Times New Roman" w:eastAsia="SimSun" w:hAnsi="Times New Roman" w:cs="Times New Roman"/>
          <w:sz w:val="20"/>
          <w:szCs w:val="20"/>
        </w:rPr>
        <w:t>)</w:t>
      </w:r>
    </w:p>
    <w:p w14:paraId="0B053101" w14:textId="77777777" w:rsidR="0038495D" w:rsidRPr="00285126" w:rsidRDefault="0038495D" w:rsidP="00D27802">
      <w:pPr>
        <w:spacing w:line="240" w:lineRule="auto"/>
        <w:rPr>
          <w:rFonts w:ascii="Times New Roman" w:eastAsia="SimSun" w:hAnsi="Times New Roman" w:cs="Times New Roman"/>
          <w:sz w:val="20"/>
          <w:szCs w:val="20"/>
        </w:rPr>
      </w:pPr>
      <w:r w:rsidRPr="00285126">
        <w:rPr>
          <w:rFonts w:ascii="Times New Roman" w:eastAsia="SimSun" w:hAnsi="Times New Roman" w:cs="Times New Roman"/>
          <w:sz w:val="20"/>
          <w:szCs w:val="20"/>
        </w:rPr>
        <w:t>Where Cc is the algebraic correction of the reading to within 0.5°</w:t>
      </w:r>
      <w:proofErr w:type="gramStart"/>
      <w:r w:rsidRPr="00285126">
        <w:rPr>
          <w:rFonts w:ascii="Times New Roman" w:eastAsia="SimSun" w:hAnsi="Times New Roman" w:cs="Times New Roman"/>
          <w:sz w:val="20"/>
          <w:szCs w:val="20"/>
        </w:rPr>
        <w:t>C;</w:t>
      </w:r>
      <w:proofErr w:type="gramEnd"/>
      <w:r w:rsidRPr="00285126">
        <w:rPr>
          <w:rFonts w:ascii="Times New Roman" w:eastAsia="SimSun" w:hAnsi="Times New Roman" w:cs="Times New Roman"/>
          <w:sz w:val="20"/>
          <w:szCs w:val="20"/>
        </w:rPr>
        <w:t xml:space="preserve"> </w:t>
      </w:r>
    </w:p>
    <w:p w14:paraId="6135B992" w14:textId="77777777" w:rsidR="0038495D" w:rsidRPr="00285126" w:rsidRDefault="0038495D" w:rsidP="00D27802">
      <w:pPr>
        <w:spacing w:line="240" w:lineRule="auto"/>
        <w:rPr>
          <w:rFonts w:ascii="Times New Roman" w:eastAsia="SimSun" w:hAnsi="Times New Roman" w:cs="Times New Roman"/>
          <w:sz w:val="20"/>
          <w:szCs w:val="20"/>
        </w:rPr>
      </w:pPr>
      <w:r w:rsidRPr="00285126">
        <w:rPr>
          <w:rFonts w:ascii="Times New Roman" w:eastAsia="SimSun" w:hAnsi="Times New Roman" w:cs="Times New Roman"/>
          <w:sz w:val="20"/>
          <w:szCs w:val="20"/>
        </w:rPr>
        <w:t xml:space="preserve">Tc is the observed </w:t>
      </w:r>
      <w:proofErr w:type="gramStart"/>
      <w:r w:rsidRPr="00285126">
        <w:rPr>
          <w:rFonts w:ascii="Times New Roman" w:eastAsia="SimSun" w:hAnsi="Times New Roman" w:cs="Times New Roman"/>
          <w:sz w:val="20"/>
          <w:szCs w:val="20"/>
        </w:rPr>
        <w:t>temperature;</w:t>
      </w:r>
      <w:proofErr w:type="gramEnd"/>
    </w:p>
    <w:p w14:paraId="651CF772" w14:textId="77777777" w:rsidR="0038495D" w:rsidRPr="00285126" w:rsidRDefault="0038495D" w:rsidP="00D27802">
      <w:pPr>
        <w:spacing w:line="240" w:lineRule="auto"/>
        <w:rPr>
          <w:rFonts w:ascii="Times New Roman" w:eastAsia="SimSun" w:hAnsi="Times New Roman" w:cs="Times New Roman"/>
          <w:sz w:val="20"/>
          <w:szCs w:val="20"/>
        </w:rPr>
      </w:pPr>
      <w:r w:rsidRPr="00285126">
        <w:rPr>
          <w:rFonts w:ascii="Times New Roman" w:eastAsia="SimSun" w:hAnsi="Times New Roman" w:cs="Times New Roman"/>
          <w:sz w:val="20"/>
          <w:szCs w:val="20"/>
        </w:rPr>
        <w:t xml:space="preserve">Pk is the observed barometric pressure in the room in </w:t>
      </w:r>
      <w:proofErr w:type="gramStart"/>
      <w:r w:rsidRPr="00285126">
        <w:rPr>
          <w:rFonts w:ascii="Times New Roman" w:eastAsia="SimSun" w:hAnsi="Times New Roman" w:cs="Times New Roman"/>
          <w:sz w:val="20"/>
          <w:szCs w:val="20"/>
        </w:rPr>
        <w:t>kPa;</w:t>
      </w:r>
      <w:proofErr w:type="gramEnd"/>
    </w:p>
    <w:p w14:paraId="234DAF5A" w14:textId="77777777" w:rsidR="00C479BC" w:rsidRPr="00285126" w:rsidRDefault="0038495D" w:rsidP="00D27802">
      <w:pPr>
        <w:spacing w:line="240" w:lineRule="auto"/>
        <w:rPr>
          <w:rFonts w:ascii="Times New Roman" w:eastAsia="SimSun" w:hAnsi="Times New Roman" w:cs="Times New Roman"/>
          <w:sz w:val="20"/>
          <w:szCs w:val="20"/>
        </w:rPr>
      </w:pPr>
      <w:r w:rsidRPr="00285126">
        <w:rPr>
          <w:rFonts w:ascii="Times New Roman" w:eastAsia="SimSun" w:hAnsi="Times New Roman" w:cs="Times New Roman"/>
          <w:sz w:val="20"/>
          <w:szCs w:val="20"/>
        </w:rPr>
        <w:t xml:space="preserve">Similarly, the loss correction can be obtained by applying the following formula (Eq. </w:t>
      </w:r>
      <w:proofErr w:type="gramStart"/>
      <w:r w:rsidRPr="00285126">
        <w:rPr>
          <w:rFonts w:ascii="Times New Roman" w:eastAsia="SimSun" w:hAnsi="Times New Roman" w:cs="Times New Roman"/>
          <w:sz w:val="20"/>
          <w:szCs w:val="20"/>
        </w:rPr>
        <w:t>6):</w:t>
      </w:r>
      <w:proofErr w:type="gramEnd"/>
      <w:r w:rsidR="00C479BC" w:rsidRPr="00285126">
        <w:rPr>
          <w:rFonts w:ascii="Times New Roman" w:eastAsia="SimSun" w:hAnsi="Times New Roman" w:cs="Times New Roman"/>
          <w:sz w:val="20"/>
          <w:szCs w:val="20"/>
        </w:rPr>
        <w:t xml:space="preserve">                  </w:t>
      </w:r>
      <m:oMath>
        <m:sSub>
          <m:sSubPr>
            <m:ctrlPr>
              <w:rPr>
                <w:rFonts w:ascii="Cambria Math" w:eastAsia="SimSun" w:hAnsi="Cambria Math" w:cs="Times New Roman"/>
                <w:sz w:val="20"/>
                <w:szCs w:val="20"/>
              </w:rPr>
            </m:ctrlPr>
          </m:sSubPr>
          <m:e>
            <m:r>
              <m:rPr>
                <m:sty m:val="p"/>
              </m:rPr>
              <w:rPr>
                <w:rFonts w:ascii="Cambria Math" w:eastAsia="SimSun" w:hAnsi="Cambria Math" w:cs="Times New Roman"/>
                <w:sz w:val="20"/>
                <w:szCs w:val="20"/>
              </w:rPr>
              <m:t>L</m:t>
            </m:r>
          </m:e>
          <m:sub>
            <m:r>
              <m:rPr>
                <m:sty m:val="p"/>
              </m:rPr>
              <w:rPr>
                <w:rFonts w:ascii="Cambria Math" w:eastAsia="SimSun" w:hAnsi="Cambria Math" w:cs="Times New Roman"/>
                <w:sz w:val="20"/>
                <w:szCs w:val="20"/>
              </w:rPr>
              <m:t>c</m:t>
            </m:r>
          </m:sub>
        </m:sSub>
        <m:r>
          <m:rPr>
            <m:sty m:val="p"/>
          </m:rPr>
          <w:rPr>
            <w:rFonts w:ascii="Cambria Math" w:eastAsia="SimSun" w:hAnsi="Cambria Math" w:cs="Times New Roman"/>
            <w:sz w:val="20"/>
            <w:szCs w:val="20"/>
          </w:rPr>
          <m:t>=0.5+</m:t>
        </m:r>
        <m:f>
          <m:fPr>
            <m:ctrlPr>
              <w:rPr>
                <w:rFonts w:ascii="Cambria Math" w:eastAsia="SimSun" w:hAnsi="Cambria Math" w:cs="Times New Roman"/>
                <w:sz w:val="20"/>
                <w:szCs w:val="20"/>
              </w:rPr>
            </m:ctrlPr>
          </m:fPr>
          <m:num>
            <m:r>
              <m:rPr>
                <m:sty m:val="p"/>
              </m:rPr>
              <w:rPr>
                <w:rFonts w:ascii="Cambria Math" w:eastAsia="SimSun" w:hAnsi="Cambria Math" w:cs="Times New Roman"/>
                <w:sz w:val="20"/>
                <w:szCs w:val="20"/>
              </w:rPr>
              <m:t>L-0.5</m:t>
            </m:r>
          </m:num>
          <m:den>
            <m:r>
              <m:rPr>
                <m:sty m:val="p"/>
              </m:rPr>
              <w:rPr>
                <w:rFonts w:ascii="Cambria Math" w:eastAsia="SimSun" w:hAnsi="Cambria Math" w:cs="Times New Roman"/>
                <w:sz w:val="20"/>
                <w:szCs w:val="20"/>
              </w:rPr>
              <m:t>[1+</m:t>
            </m:r>
            <m:f>
              <m:fPr>
                <m:ctrlPr>
                  <w:rPr>
                    <w:rFonts w:ascii="Cambria Math" w:eastAsia="SimSun" w:hAnsi="Cambria Math" w:cs="Times New Roman"/>
                    <w:sz w:val="20"/>
                    <w:szCs w:val="20"/>
                  </w:rPr>
                </m:ctrlPr>
              </m:fPr>
              <m:num>
                <m:d>
                  <m:dPr>
                    <m:ctrlPr>
                      <w:rPr>
                        <w:rFonts w:ascii="Cambria Math" w:eastAsia="SimSun" w:hAnsi="Cambria Math" w:cs="Times New Roman"/>
                        <w:sz w:val="20"/>
                        <w:szCs w:val="20"/>
                      </w:rPr>
                    </m:ctrlPr>
                  </m:dPr>
                  <m:e>
                    <m:r>
                      <m:rPr>
                        <m:sty m:val="p"/>
                      </m:rPr>
                      <w:rPr>
                        <w:rFonts w:ascii="Cambria Math" w:eastAsia="SimSun" w:hAnsi="Cambria Math" w:cs="Times New Roman"/>
                        <w:sz w:val="20"/>
                        <w:szCs w:val="20"/>
                      </w:rPr>
                      <m:t>101.3-</m:t>
                    </m:r>
                    <m:sSub>
                      <m:sSubPr>
                        <m:ctrlPr>
                          <w:rPr>
                            <w:rFonts w:ascii="Cambria Math" w:eastAsia="SimSun" w:hAnsi="Cambria Math" w:cs="Times New Roman"/>
                            <w:sz w:val="20"/>
                            <w:szCs w:val="20"/>
                          </w:rPr>
                        </m:ctrlPr>
                      </m:sSubPr>
                      <m:e>
                        <m:r>
                          <m:rPr>
                            <m:sty m:val="p"/>
                          </m:rPr>
                          <w:rPr>
                            <w:rFonts w:ascii="Cambria Math" w:eastAsia="SimSun" w:hAnsi="Cambria Math" w:cs="Times New Roman"/>
                            <w:sz w:val="20"/>
                            <w:szCs w:val="20"/>
                          </w:rPr>
                          <m:t>P</m:t>
                        </m:r>
                      </m:e>
                      <m:sub>
                        <m:r>
                          <m:rPr>
                            <m:sty m:val="p"/>
                          </m:rPr>
                          <w:rPr>
                            <w:rFonts w:ascii="Cambria Math" w:eastAsia="SimSun" w:hAnsi="Cambria Math" w:cs="Times New Roman"/>
                            <w:sz w:val="20"/>
                            <w:szCs w:val="20"/>
                          </w:rPr>
                          <m:t>k</m:t>
                        </m:r>
                      </m:sub>
                    </m:sSub>
                  </m:e>
                </m:d>
              </m:num>
              <m:den>
                <m:r>
                  <m:rPr>
                    <m:sty m:val="p"/>
                  </m:rPr>
                  <w:rPr>
                    <w:rFonts w:ascii="Cambria Math" w:eastAsia="SimSun" w:hAnsi="Cambria Math" w:cs="Times New Roman"/>
                    <w:sz w:val="20"/>
                    <w:szCs w:val="20"/>
                  </w:rPr>
                  <m:t>8</m:t>
                </m:r>
              </m:den>
            </m:f>
            <m:r>
              <m:rPr>
                <m:sty m:val="p"/>
              </m:rPr>
              <w:rPr>
                <w:rFonts w:ascii="Cambria Math" w:eastAsia="SimSun" w:hAnsi="Cambria Math" w:cs="Times New Roman"/>
                <w:sz w:val="20"/>
                <w:szCs w:val="20"/>
              </w:rPr>
              <m:t>]</m:t>
            </m:r>
          </m:den>
        </m:f>
        <m:r>
          <w:rPr>
            <w:rFonts w:ascii="Cambria Math" w:eastAsia="SimSun" w:hAnsi="Cambria Math" w:cs="Times New Roman"/>
            <w:sz w:val="20"/>
            <w:szCs w:val="20"/>
          </w:rPr>
          <m:t xml:space="preserve"> </m:t>
        </m:r>
      </m:oMath>
      <w:r w:rsidR="00495DC3" w:rsidRPr="00285126">
        <w:rPr>
          <w:rFonts w:ascii="Times New Roman" w:eastAsia="SimSun" w:hAnsi="Times New Roman" w:cs="Times New Roman"/>
          <w:sz w:val="20"/>
          <w:szCs w:val="20"/>
        </w:rPr>
        <w:t xml:space="preserve">     (Eq.</w:t>
      </w:r>
      <w:r w:rsidR="00AB347F" w:rsidRPr="00285126">
        <w:rPr>
          <w:rFonts w:ascii="Times New Roman" w:eastAsia="SimSun" w:hAnsi="Times New Roman" w:cs="Times New Roman"/>
          <w:sz w:val="20"/>
          <w:szCs w:val="20"/>
        </w:rPr>
        <w:t>3</w:t>
      </w:r>
      <w:r w:rsidR="00C479BC" w:rsidRPr="00285126">
        <w:rPr>
          <w:rFonts w:ascii="Times New Roman" w:eastAsia="SimSun" w:hAnsi="Times New Roman" w:cs="Times New Roman"/>
          <w:sz w:val="20"/>
          <w:szCs w:val="20"/>
        </w:rPr>
        <w:t>)</w:t>
      </w:r>
    </w:p>
    <w:p w14:paraId="764CC87D" w14:textId="77777777" w:rsidR="0038495D" w:rsidRPr="00285126" w:rsidRDefault="0038495D" w:rsidP="00D27802">
      <w:pPr>
        <w:spacing w:line="240" w:lineRule="auto"/>
        <w:rPr>
          <w:rFonts w:ascii="Times New Roman" w:eastAsia="SimSun" w:hAnsi="Times New Roman" w:cs="Times New Roman"/>
          <w:sz w:val="20"/>
          <w:szCs w:val="20"/>
        </w:rPr>
      </w:pPr>
      <w:r w:rsidRPr="00285126">
        <w:rPr>
          <w:rFonts w:ascii="Times New Roman" w:eastAsia="SimSun" w:hAnsi="Times New Roman" w:cs="Times New Roman"/>
          <w:sz w:val="20"/>
          <w:szCs w:val="20"/>
        </w:rPr>
        <w:lastRenderedPageBreak/>
        <w:t>Where L and Lc represent the observed loss and the loss correction, respectively.</w:t>
      </w:r>
    </w:p>
    <w:p w14:paraId="7AB45779" w14:textId="77777777" w:rsidR="0038495D" w:rsidRPr="00285126" w:rsidRDefault="0038495D" w:rsidP="00D27802">
      <w:pPr>
        <w:spacing w:line="240" w:lineRule="auto"/>
        <w:rPr>
          <w:rFonts w:ascii="Times New Roman" w:eastAsia="SimSun" w:hAnsi="Times New Roman" w:cs="Times New Roman"/>
          <w:sz w:val="20"/>
          <w:szCs w:val="20"/>
        </w:rPr>
      </w:pPr>
      <w:r w:rsidRPr="00285126">
        <w:rPr>
          <w:rFonts w:ascii="Times New Roman" w:eastAsia="SimSun" w:hAnsi="Times New Roman" w:cs="Times New Roman"/>
          <w:sz w:val="20"/>
          <w:szCs w:val="20"/>
        </w:rPr>
        <w:t xml:space="preserve">Equation (Eq. 7) for calculating the corresponding recovery percentage is defined </w:t>
      </w:r>
      <w:proofErr w:type="gramStart"/>
      <w:r w:rsidRPr="00285126">
        <w:rPr>
          <w:rFonts w:ascii="Times New Roman" w:eastAsia="SimSun" w:hAnsi="Times New Roman" w:cs="Times New Roman"/>
          <w:sz w:val="20"/>
          <w:szCs w:val="20"/>
        </w:rPr>
        <w:t>as:</w:t>
      </w:r>
      <w:proofErr w:type="gramEnd"/>
    </w:p>
    <w:p w14:paraId="738CA4BB" w14:textId="77777777" w:rsidR="00C479BC" w:rsidRPr="00285126" w:rsidRDefault="00C479BC" w:rsidP="00D27802">
      <w:pPr>
        <w:spacing w:line="240" w:lineRule="auto"/>
        <w:rPr>
          <w:rFonts w:ascii="Times New Roman" w:eastAsia="SimSun" w:hAnsi="Times New Roman" w:cs="Times New Roman"/>
          <w:sz w:val="20"/>
          <w:szCs w:val="20"/>
        </w:rPr>
      </w:pPr>
      <w:r w:rsidRPr="00285126">
        <w:rPr>
          <w:rFonts w:ascii="Times New Roman" w:eastAsia="SimSun" w:hAnsi="Times New Roman" w:cs="Times New Roman"/>
          <w:sz w:val="20"/>
          <w:szCs w:val="20"/>
        </w:rPr>
        <w:t xml:space="preserve">                 </w:t>
      </w:r>
      <m:oMath>
        <m:r>
          <m:rPr>
            <m:sty m:val="p"/>
          </m:rPr>
          <w:rPr>
            <w:rFonts w:ascii="Cambria Math" w:eastAsia="SimSun" w:hAnsi="Cambria Math" w:cs="Times New Roman"/>
            <w:sz w:val="20"/>
            <w:szCs w:val="20"/>
          </w:rPr>
          <m:t>R</m:t>
        </m:r>
        <m:r>
          <m:rPr>
            <m:sty m:val="p"/>
          </m:rPr>
          <w:rPr>
            <w:rFonts w:ascii="Cambria Math" w:eastAsia="SimSun" w:hAnsi="Cambria Math" w:cs="Times New Roman"/>
            <w:sz w:val="20"/>
            <w:szCs w:val="20"/>
            <w:vertAlign w:val="subscript"/>
          </w:rPr>
          <m:t>c</m:t>
        </m:r>
        <m:r>
          <m:rPr>
            <m:sty m:val="p"/>
          </m:rPr>
          <w:rPr>
            <w:rFonts w:ascii="Cambria Math" w:eastAsia="SimSun" w:hAnsi="Cambria Math" w:cs="Times New Roman"/>
            <w:sz w:val="20"/>
            <w:szCs w:val="20"/>
          </w:rPr>
          <m:t xml:space="preserve"> = R + (L - L</m:t>
        </m:r>
        <m:r>
          <m:rPr>
            <m:sty m:val="p"/>
          </m:rPr>
          <w:rPr>
            <w:rFonts w:ascii="Cambria Math" w:eastAsia="SimSun" w:hAnsi="Cambria Math" w:cs="Times New Roman"/>
            <w:sz w:val="20"/>
            <w:szCs w:val="20"/>
            <w:vertAlign w:val="subscript"/>
          </w:rPr>
          <m:t>c</m:t>
        </m:r>
        <m:r>
          <m:rPr>
            <m:sty m:val="p"/>
          </m:rPr>
          <w:rPr>
            <w:rFonts w:ascii="Cambria Math" w:eastAsia="SimSun" w:hAnsi="Cambria Math" w:cs="Times New Roman"/>
            <w:sz w:val="20"/>
            <w:szCs w:val="20"/>
          </w:rPr>
          <m:t>)</m:t>
        </m:r>
      </m:oMath>
      <w:r w:rsidR="00495DC3" w:rsidRPr="00285126">
        <w:rPr>
          <w:rFonts w:ascii="Times New Roman" w:eastAsia="SimSun" w:hAnsi="Times New Roman" w:cs="Times New Roman"/>
          <w:sz w:val="20"/>
          <w:szCs w:val="20"/>
        </w:rPr>
        <w:t xml:space="preserve">          (Eq.</w:t>
      </w:r>
      <w:r w:rsidR="00AB347F" w:rsidRPr="00285126">
        <w:rPr>
          <w:rFonts w:ascii="Times New Roman" w:eastAsia="SimSun" w:hAnsi="Times New Roman" w:cs="Times New Roman"/>
          <w:sz w:val="20"/>
          <w:szCs w:val="20"/>
        </w:rPr>
        <w:t>4</w:t>
      </w:r>
      <w:r w:rsidRPr="00285126">
        <w:rPr>
          <w:rFonts w:ascii="Times New Roman" w:eastAsia="SimSun" w:hAnsi="Times New Roman" w:cs="Times New Roman"/>
          <w:sz w:val="20"/>
          <w:szCs w:val="20"/>
        </w:rPr>
        <w:t>)</w:t>
      </w:r>
    </w:p>
    <w:p w14:paraId="759889CC" w14:textId="77777777" w:rsidR="0038495D" w:rsidRPr="00285126" w:rsidRDefault="0038495D" w:rsidP="00D27802">
      <w:pPr>
        <w:spacing w:line="240" w:lineRule="auto"/>
        <w:rPr>
          <w:rFonts w:ascii="Times New Roman" w:eastAsia="SimSun" w:hAnsi="Times New Roman" w:cs="Times New Roman"/>
          <w:sz w:val="20"/>
          <w:szCs w:val="20"/>
        </w:rPr>
      </w:pPr>
      <w:r w:rsidRPr="00285126">
        <w:rPr>
          <w:rFonts w:ascii="Times New Roman" w:eastAsia="SimSun" w:hAnsi="Times New Roman" w:cs="Times New Roman"/>
          <w:sz w:val="20"/>
          <w:szCs w:val="20"/>
        </w:rPr>
        <w:t>Where R is the recovery percentage and Rc is the corrected recovery percentage.</w:t>
      </w:r>
    </w:p>
    <w:p w14:paraId="77EB5EA7" w14:textId="77777777" w:rsidR="0038495D" w:rsidRPr="00285126" w:rsidRDefault="0038495D" w:rsidP="00D27802">
      <w:pPr>
        <w:spacing w:line="240" w:lineRule="auto"/>
        <w:rPr>
          <w:rFonts w:ascii="Times New Roman" w:eastAsia="SimSun" w:hAnsi="Times New Roman" w:cs="Times New Roman"/>
          <w:sz w:val="20"/>
          <w:szCs w:val="20"/>
        </w:rPr>
      </w:pPr>
      <w:r w:rsidRPr="00285126">
        <w:rPr>
          <w:rFonts w:ascii="Times New Roman" w:eastAsia="SimSun" w:hAnsi="Times New Roman" w:cs="Times New Roman"/>
          <w:sz w:val="20"/>
          <w:szCs w:val="20"/>
        </w:rPr>
        <w:t>The evaporation percentage was determined at a specific measured temperature by adding the evaporation loss to the recovery percentage observed at that temperature. It is denoted by Pe and was determined using Equation (8</w:t>
      </w:r>
      <w:proofErr w:type="gramStart"/>
      <w:r w:rsidRPr="00285126">
        <w:rPr>
          <w:rFonts w:ascii="Times New Roman" w:eastAsia="SimSun" w:hAnsi="Times New Roman" w:cs="Times New Roman"/>
          <w:sz w:val="20"/>
          <w:szCs w:val="20"/>
        </w:rPr>
        <w:t>):</w:t>
      </w:r>
      <w:proofErr w:type="gramEnd"/>
    </w:p>
    <w:p w14:paraId="1B9B1D23" w14:textId="77777777" w:rsidR="00C479BC" w:rsidRPr="00285126" w:rsidRDefault="00C479BC" w:rsidP="00D27802">
      <w:pPr>
        <w:spacing w:line="240" w:lineRule="auto"/>
        <w:rPr>
          <w:rFonts w:ascii="Times New Roman" w:eastAsia="SimSun" w:hAnsi="Times New Roman" w:cs="Times New Roman"/>
          <w:sz w:val="20"/>
          <w:szCs w:val="20"/>
        </w:rPr>
      </w:pPr>
      <w:r w:rsidRPr="00285126">
        <w:rPr>
          <w:rFonts w:ascii="Times New Roman" w:eastAsia="SimSun" w:hAnsi="Times New Roman" w:cs="Times New Roman"/>
          <w:sz w:val="20"/>
          <w:szCs w:val="20"/>
        </w:rPr>
        <w:t xml:space="preserve">                      </w:t>
      </w:r>
      <m:oMath>
        <m:r>
          <m:rPr>
            <m:sty m:val="p"/>
          </m:rPr>
          <w:rPr>
            <w:rFonts w:ascii="Cambria Math" w:eastAsia="SimSun" w:hAnsi="Cambria Math" w:cs="Times New Roman"/>
            <w:sz w:val="20"/>
            <w:szCs w:val="20"/>
          </w:rPr>
          <m:t>P</m:t>
        </m:r>
        <m:r>
          <m:rPr>
            <m:sty m:val="p"/>
          </m:rPr>
          <w:rPr>
            <w:rFonts w:ascii="Cambria Math" w:eastAsia="SimSun" w:hAnsi="Cambria Math" w:cs="Times New Roman"/>
            <w:sz w:val="20"/>
            <w:szCs w:val="20"/>
            <w:vertAlign w:val="subscript"/>
          </w:rPr>
          <m:t>e</m:t>
        </m:r>
        <m:r>
          <m:rPr>
            <m:sty m:val="p"/>
          </m:rPr>
          <w:rPr>
            <w:rFonts w:ascii="Cambria Math" w:eastAsia="SimSun" w:hAnsi="Cambria Math" w:cs="Times New Roman"/>
            <w:sz w:val="20"/>
            <w:szCs w:val="20"/>
          </w:rPr>
          <m:t xml:space="preserve"> = P</m:t>
        </m:r>
        <m:r>
          <m:rPr>
            <m:sty m:val="p"/>
          </m:rPr>
          <w:rPr>
            <w:rFonts w:ascii="Cambria Math" w:eastAsia="SimSun" w:hAnsi="Cambria Math" w:cs="Times New Roman"/>
            <w:sz w:val="20"/>
            <w:szCs w:val="20"/>
            <w:vertAlign w:val="subscript"/>
          </w:rPr>
          <m:t xml:space="preserve">r </m:t>
        </m:r>
        <m:r>
          <m:rPr>
            <m:sty m:val="p"/>
          </m:rPr>
          <w:rPr>
            <w:rFonts w:ascii="Cambria Math" w:eastAsia="SimSun" w:hAnsi="Cambria Math" w:cs="Times New Roman"/>
            <w:sz w:val="20"/>
            <w:szCs w:val="20"/>
          </w:rPr>
          <m:t>+ L</m:t>
        </m:r>
      </m:oMath>
      <w:r w:rsidR="00495DC3" w:rsidRPr="00285126">
        <w:rPr>
          <w:rFonts w:ascii="Times New Roman" w:eastAsia="SimSun" w:hAnsi="Times New Roman" w:cs="Times New Roman"/>
          <w:sz w:val="20"/>
          <w:szCs w:val="20"/>
        </w:rPr>
        <w:t xml:space="preserve">    (Eq.</w:t>
      </w:r>
      <w:r w:rsidR="00AB347F" w:rsidRPr="00285126">
        <w:rPr>
          <w:rFonts w:ascii="Times New Roman" w:eastAsia="SimSun" w:hAnsi="Times New Roman" w:cs="Times New Roman"/>
          <w:sz w:val="20"/>
          <w:szCs w:val="20"/>
        </w:rPr>
        <w:t>5</w:t>
      </w:r>
      <w:r w:rsidRPr="00285126">
        <w:rPr>
          <w:rFonts w:ascii="Times New Roman" w:eastAsia="SimSun" w:hAnsi="Times New Roman" w:cs="Times New Roman"/>
          <w:sz w:val="20"/>
          <w:szCs w:val="20"/>
        </w:rPr>
        <w:t>)</w:t>
      </w:r>
    </w:p>
    <w:p w14:paraId="28B993EB" w14:textId="77777777" w:rsidR="0038495D" w:rsidRPr="00285126" w:rsidRDefault="0038495D" w:rsidP="00D27802">
      <w:pPr>
        <w:spacing w:line="240" w:lineRule="auto"/>
        <w:rPr>
          <w:rFonts w:ascii="Times New Roman" w:eastAsia="SimSun" w:hAnsi="Times New Roman" w:cs="Times New Roman"/>
          <w:sz w:val="20"/>
          <w:szCs w:val="20"/>
        </w:rPr>
      </w:pPr>
      <w:r w:rsidRPr="00285126">
        <w:rPr>
          <w:rFonts w:ascii="Times New Roman" w:eastAsia="SimSun" w:hAnsi="Times New Roman" w:cs="Times New Roman"/>
          <w:sz w:val="20"/>
          <w:szCs w:val="20"/>
        </w:rPr>
        <w:t>Where % is the percentage recovered.</w:t>
      </w:r>
    </w:p>
    <w:p w14:paraId="726C6DCB" w14:textId="77777777" w:rsidR="0038495D" w:rsidRPr="00285126" w:rsidRDefault="0038495D" w:rsidP="00D27802">
      <w:pPr>
        <w:spacing w:line="240" w:lineRule="auto"/>
        <w:rPr>
          <w:rFonts w:ascii="Times New Roman" w:eastAsia="SimSun" w:hAnsi="Times New Roman" w:cs="Times New Roman"/>
          <w:sz w:val="20"/>
          <w:szCs w:val="20"/>
        </w:rPr>
      </w:pPr>
      <w:r w:rsidRPr="00285126">
        <w:rPr>
          <w:rFonts w:ascii="Times New Roman" w:eastAsia="SimSun" w:hAnsi="Times New Roman" w:cs="Times New Roman"/>
          <w:sz w:val="20"/>
          <w:szCs w:val="20"/>
        </w:rPr>
        <w:t>To determine the evaporation temperature for a given evaporation volume, when temperature data are missing for the evaporation percentage to within 0.1% (ml), it can be determined using either an arithmetic or graphical method. Thus, the algebraic formula is given by Equation (9</w:t>
      </w:r>
      <w:proofErr w:type="gramStart"/>
      <w:r w:rsidRPr="00285126">
        <w:rPr>
          <w:rFonts w:ascii="Times New Roman" w:eastAsia="SimSun" w:hAnsi="Times New Roman" w:cs="Times New Roman"/>
          <w:sz w:val="20"/>
          <w:szCs w:val="20"/>
        </w:rPr>
        <w:t>):</w:t>
      </w:r>
      <w:proofErr w:type="gramEnd"/>
      <w:r w:rsidRPr="00285126">
        <w:rPr>
          <w:rFonts w:ascii="Times New Roman" w:eastAsia="SimSun" w:hAnsi="Times New Roman" w:cs="Times New Roman"/>
          <w:sz w:val="20"/>
          <w:szCs w:val="20"/>
        </w:rPr>
        <w:t xml:space="preserve"> </w:t>
      </w:r>
    </w:p>
    <w:p w14:paraId="44BCF344" w14:textId="77777777" w:rsidR="00462499" w:rsidRPr="00285126" w:rsidRDefault="00C479BC" w:rsidP="00D27802">
      <w:pPr>
        <w:spacing w:line="240" w:lineRule="auto"/>
        <w:rPr>
          <w:rFonts w:ascii="Times New Roman" w:eastAsia="SimSun" w:hAnsi="Times New Roman" w:cs="Times New Roman"/>
          <w:sz w:val="20"/>
          <w:szCs w:val="20"/>
        </w:rPr>
      </w:pPr>
      <w:r w:rsidRPr="00285126">
        <w:rPr>
          <w:rFonts w:ascii="Times New Roman" w:eastAsia="SimSun" w:hAnsi="Times New Roman" w:cs="Times New Roman"/>
          <w:sz w:val="20"/>
          <w:szCs w:val="20"/>
        </w:rPr>
        <w:t xml:space="preserve">          </w:t>
      </w:r>
      <m:oMath>
        <m:r>
          <m:rPr>
            <m:sty m:val="p"/>
          </m:rPr>
          <w:rPr>
            <w:rFonts w:ascii="Cambria Math" w:eastAsia="SimSun" w:hAnsi="Cambria Math" w:cs="Times New Roman"/>
            <w:sz w:val="20"/>
            <w:szCs w:val="20"/>
          </w:rPr>
          <m:t xml:space="preserve">T = </m:t>
        </m:r>
        <m:sSub>
          <m:sSubPr>
            <m:ctrlPr>
              <w:rPr>
                <w:rFonts w:ascii="Cambria Math" w:eastAsia="SimSun" w:hAnsi="Cambria Math" w:cs="Times New Roman"/>
                <w:sz w:val="20"/>
                <w:szCs w:val="20"/>
              </w:rPr>
            </m:ctrlPr>
          </m:sSubPr>
          <m:e>
            <m:r>
              <w:rPr>
                <w:rFonts w:ascii="Cambria Math" w:eastAsia="SimSun" w:hAnsi="Cambria Math" w:cs="Times New Roman"/>
                <w:sz w:val="20"/>
                <w:szCs w:val="20"/>
              </w:rPr>
              <m:t>T</m:t>
            </m:r>
          </m:e>
          <m:sub>
            <m:r>
              <w:rPr>
                <w:rFonts w:ascii="Cambria Math" w:eastAsia="SimSun" w:hAnsi="Cambria Math" w:cs="Times New Roman"/>
                <w:sz w:val="20"/>
                <w:szCs w:val="20"/>
              </w:rPr>
              <m:t>L</m:t>
            </m:r>
          </m:sub>
        </m:sSub>
        <m:r>
          <m:rPr>
            <m:sty m:val="p"/>
          </m:rPr>
          <w:rPr>
            <w:rFonts w:ascii="Cambria Math" w:eastAsia="SimSun" w:hAnsi="Cambria Math" w:cs="Times New Roman"/>
            <w:sz w:val="20"/>
            <w:szCs w:val="20"/>
          </w:rPr>
          <m:t xml:space="preserve"> + (</m:t>
        </m:r>
        <m:sSub>
          <m:sSubPr>
            <m:ctrlPr>
              <w:rPr>
                <w:rFonts w:ascii="Cambria Math" w:eastAsia="SimSun" w:hAnsi="Cambria Math" w:cs="Times New Roman"/>
                <w:sz w:val="20"/>
                <w:szCs w:val="20"/>
              </w:rPr>
            </m:ctrlPr>
          </m:sSubPr>
          <m:e>
            <m:r>
              <w:rPr>
                <w:rFonts w:ascii="Cambria Math" w:eastAsia="SimSun" w:hAnsi="Cambria Math" w:cs="Times New Roman"/>
                <w:sz w:val="20"/>
                <w:szCs w:val="20"/>
              </w:rPr>
              <m:t>T</m:t>
            </m:r>
          </m:e>
          <m:sub>
            <m:r>
              <w:rPr>
                <w:rFonts w:ascii="Cambria Math" w:eastAsia="SimSun" w:hAnsi="Cambria Math" w:cs="Times New Roman"/>
                <w:sz w:val="20"/>
                <w:szCs w:val="20"/>
              </w:rPr>
              <m:t>H</m:t>
            </m:r>
          </m:sub>
        </m:sSub>
        <m:r>
          <m:rPr>
            <m:sty m:val="p"/>
          </m:rPr>
          <w:rPr>
            <w:rFonts w:ascii="Cambria Math" w:eastAsia="SimSun" w:hAnsi="Cambria Math" w:cs="Times New Roman"/>
            <w:sz w:val="20"/>
            <w:szCs w:val="20"/>
          </w:rPr>
          <m:t xml:space="preserve">- </m:t>
        </m:r>
        <m:sSub>
          <m:sSubPr>
            <m:ctrlPr>
              <w:rPr>
                <w:rFonts w:ascii="Cambria Math" w:eastAsia="SimSun" w:hAnsi="Cambria Math" w:cs="Times New Roman"/>
                <w:sz w:val="20"/>
                <w:szCs w:val="20"/>
              </w:rPr>
            </m:ctrlPr>
          </m:sSubPr>
          <m:e>
            <m:r>
              <w:rPr>
                <w:rFonts w:ascii="Cambria Math" w:eastAsia="SimSun" w:hAnsi="Cambria Math" w:cs="Times New Roman"/>
                <w:sz w:val="20"/>
                <w:szCs w:val="20"/>
              </w:rPr>
              <m:t>T</m:t>
            </m:r>
          </m:e>
          <m:sub>
            <m:r>
              <w:rPr>
                <w:rFonts w:ascii="Cambria Math" w:eastAsia="SimSun" w:hAnsi="Cambria Math" w:cs="Times New Roman"/>
                <w:sz w:val="20"/>
                <w:szCs w:val="20"/>
              </w:rPr>
              <m:t>L</m:t>
            </m:r>
          </m:sub>
        </m:sSub>
        <m:r>
          <m:rPr>
            <m:sty m:val="p"/>
          </m:rPr>
          <w:rPr>
            <w:rFonts w:ascii="Cambria Math" w:eastAsia="SimSun" w:hAnsi="Cambria Math" w:cs="Times New Roman"/>
            <w:sz w:val="20"/>
            <w:szCs w:val="20"/>
          </w:rPr>
          <m:t xml:space="preserve">) (R - </m:t>
        </m:r>
        <m:sSub>
          <m:sSubPr>
            <m:ctrlPr>
              <w:rPr>
                <w:rFonts w:ascii="Cambria Math" w:eastAsia="SimSun" w:hAnsi="Cambria Math" w:cs="Times New Roman"/>
                <w:sz w:val="20"/>
                <w:szCs w:val="20"/>
              </w:rPr>
            </m:ctrlPr>
          </m:sSubPr>
          <m:e>
            <m:r>
              <w:rPr>
                <w:rFonts w:ascii="Cambria Math" w:eastAsia="SimSun" w:hAnsi="Cambria Math" w:cs="Times New Roman"/>
                <w:sz w:val="20"/>
                <w:szCs w:val="20"/>
              </w:rPr>
              <m:t>R</m:t>
            </m:r>
          </m:e>
          <m:sub>
            <m:r>
              <w:rPr>
                <w:rFonts w:ascii="Cambria Math" w:eastAsia="SimSun" w:hAnsi="Cambria Math" w:cs="Times New Roman"/>
                <w:sz w:val="20"/>
                <w:szCs w:val="20"/>
              </w:rPr>
              <m:t>L</m:t>
            </m:r>
          </m:sub>
        </m:sSub>
        <m:r>
          <m:rPr>
            <m:sty m:val="p"/>
          </m:rPr>
          <w:rPr>
            <w:rFonts w:ascii="Cambria Math" w:eastAsia="SimSun" w:hAnsi="Cambria Math" w:cs="Times New Roman"/>
            <w:sz w:val="20"/>
            <w:szCs w:val="20"/>
          </w:rPr>
          <m:t>) / (</m:t>
        </m:r>
        <m:sSub>
          <m:sSubPr>
            <m:ctrlPr>
              <w:rPr>
                <w:rFonts w:ascii="Cambria Math" w:eastAsia="SimSun" w:hAnsi="Cambria Math" w:cs="Times New Roman"/>
                <w:sz w:val="20"/>
                <w:szCs w:val="20"/>
              </w:rPr>
            </m:ctrlPr>
          </m:sSubPr>
          <m:e>
            <m:r>
              <w:rPr>
                <w:rFonts w:ascii="Cambria Math" w:eastAsia="SimSun" w:hAnsi="Cambria Math" w:cs="Times New Roman"/>
                <w:sz w:val="20"/>
                <w:szCs w:val="20"/>
              </w:rPr>
              <m:t>R</m:t>
            </m:r>
          </m:e>
          <m:sub>
            <m:r>
              <w:rPr>
                <w:rFonts w:ascii="Cambria Math" w:eastAsia="SimSun" w:hAnsi="Cambria Math" w:cs="Times New Roman"/>
                <w:sz w:val="20"/>
                <w:szCs w:val="20"/>
              </w:rPr>
              <m:t>H</m:t>
            </m:r>
          </m:sub>
        </m:sSub>
        <m:r>
          <m:rPr>
            <m:sty m:val="p"/>
          </m:rPr>
          <w:rPr>
            <w:rFonts w:ascii="Cambria Math" w:eastAsia="SimSun" w:hAnsi="Cambria Math" w:cs="Times New Roman"/>
            <w:sz w:val="20"/>
            <w:szCs w:val="20"/>
          </w:rPr>
          <m:t xml:space="preserve"> - </m:t>
        </m:r>
        <m:sSub>
          <m:sSubPr>
            <m:ctrlPr>
              <w:rPr>
                <w:rFonts w:ascii="Cambria Math" w:eastAsia="SimSun" w:hAnsi="Cambria Math" w:cs="Times New Roman"/>
                <w:sz w:val="20"/>
                <w:szCs w:val="20"/>
              </w:rPr>
            </m:ctrlPr>
          </m:sSubPr>
          <m:e>
            <m:r>
              <w:rPr>
                <w:rFonts w:ascii="Cambria Math" w:eastAsia="SimSun" w:hAnsi="Cambria Math" w:cs="Times New Roman"/>
                <w:sz w:val="20"/>
                <w:szCs w:val="20"/>
              </w:rPr>
              <m:t>R</m:t>
            </m:r>
          </m:e>
          <m:sub>
            <m:r>
              <w:rPr>
                <w:rFonts w:ascii="Cambria Math" w:eastAsia="SimSun" w:hAnsi="Cambria Math" w:cs="Times New Roman"/>
                <w:sz w:val="20"/>
                <w:szCs w:val="20"/>
              </w:rPr>
              <m:t>L</m:t>
            </m:r>
          </m:sub>
        </m:sSub>
        <m:r>
          <m:rPr>
            <m:sty m:val="p"/>
          </m:rPr>
          <w:rPr>
            <w:rFonts w:ascii="Cambria Math" w:eastAsia="SimSun" w:hAnsi="Cambria Math" w:cs="Times New Roman"/>
            <w:sz w:val="20"/>
            <w:szCs w:val="20"/>
          </w:rPr>
          <m:t>)</m:t>
        </m:r>
      </m:oMath>
      <w:r w:rsidR="00495DC3" w:rsidRPr="00285126">
        <w:rPr>
          <w:rFonts w:ascii="Times New Roman" w:eastAsia="SimSun" w:hAnsi="Times New Roman" w:cs="Times New Roman"/>
          <w:sz w:val="20"/>
          <w:szCs w:val="20"/>
        </w:rPr>
        <w:t xml:space="preserve">    (Eq.</w:t>
      </w:r>
      <w:r w:rsidR="00AB347F" w:rsidRPr="00285126">
        <w:rPr>
          <w:rFonts w:ascii="Times New Roman" w:eastAsia="SimSun" w:hAnsi="Times New Roman" w:cs="Times New Roman"/>
          <w:sz w:val="20"/>
          <w:szCs w:val="20"/>
        </w:rPr>
        <w:t>6</w:t>
      </w:r>
      <w:r w:rsidRPr="00285126">
        <w:rPr>
          <w:rFonts w:ascii="Times New Roman" w:eastAsia="SimSun" w:hAnsi="Times New Roman" w:cs="Times New Roman"/>
          <w:sz w:val="20"/>
          <w:szCs w:val="20"/>
        </w:rPr>
        <w:t>)</w:t>
      </w:r>
    </w:p>
    <w:p w14:paraId="1FCD4E8C" w14:textId="77777777" w:rsidR="00462499" w:rsidRPr="00285126" w:rsidRDefault="0038495D" w:rsidP="00D27802">
      <w:pPr>
        <w:spacing w:line="240" w:lineRule="auto"/>
        <w:rPr>
          <w:rFonts w:ascii="Times New Roman" w:eastAsia="SimSun" w:hAnsi="Times New Roman" w:cs="Times New Roman"/>
          <w:sz w:val="20"/>
          <w:szCs w:val="20"/>
        </w:rPr>
      </w:pPr>
      <w:r w:rsidRPr="00285126">
        <w:rPr>
          <w:rFonts w:ascii="Times New Roman" w:eastAsia="SimSun" w:hAnsi="Times New Roman" w:cs="Times New Roman"/>
          <w:sz w:val="20"/>
          <w:szCs w:val="20"/>
        </w:rPr>
        <w:t xml:space="preserve">Where T is the evaporated temperature at the given percentage of </w:t>
      </w:r>
      <w:proofErr w:type="gramStart"/>
      <w:r w:rsidRPr="00285126">
        <w:rPr>
          <w:rFonts w:ascii="Times New Roman" w:eastAsia="SimSun" w:hAnsi="Times New Roman" w:cs="Times New Roman"/>
          <w:sz w:val="20"/>
          <w:szCs w:val="20"/>
        </w:rPr>
        <w:t>evaporation;</w:t>
      </w:r>
      <w:proofErr w:type="gramEnd"/>
    </w:p>
    <w:p w14:paraId="224B1858" w14:textId="77777777" w:rsidR="00462499" w:rsidRPr="00285126" w:rsidRDefault="0038495D" w:rsidP="00D27802">
      <w:pPr>
        <w:spacing w:line="240" w:lineRule="auto"/>
        <w:rPr>
          <w:rFonts w:ascii="Times New Roman" w:eastAsia="SimSun" w:hAnsi="Times New Roman" w:cs="Times New Roman"/>
          <w:sz w:val="20"/>
          <w:szCs w:val="20"/>
        </w:rPr>
      </w:pPr>
      <w:r w:rsidRPr="00285126">
        <w:rPr>
          <w:rFonts w:ascii="Times New Roman" w:eastAsia="SimSun" w:hAnsi="Times New Roman" w:cs="Times New Roman"/>
          <w:sz w:val="20"/>
          <w:szCs w:val="20"/>
        </w:rPr>
        <w:t xml:space="preserve">R is the recovered percentage at the given percentage of </w:t>
      </w:r>
      <w:proofErr w:type="gramStart"/>
      <w:r w:rsidRPr="00285126">
        <w:rPr>
          <w:rFonts w:ascii="Times New Roman" w:eastAsia="SimSun" w:hAnsi="Times New Roman" w:cs="Times New Roman"/>
          <w:sz w:val="20"/>
          <w:szCs w:val="20"/>
        </w:rPr>
        <w:t>evaporation;</w:t>
      </w:r>
      <w:proofErr w:type="gramEnd"/>
    </w:p>
    <w:p w14:paraId="35F1A663" w14:textId="77777777" w:rsidR="00462499" w:rsidRPr="00285126" w:rsidRDefault="0038495D" w:rsidP="00D27802">
      <w:pPr>
        <w:spacing w:line="240" w:lineRule="auto"/>
        <w:rPr>
          <w:rFonts w:ascii="Times New Roman" w:eastAsia="SimSun" w:hAnsi="Times New Roman" w:cs="Times New Roman"/>
          <w:sz w:val="20"/>
          <w:szCs w:val="20"/>
        </w:rPr>
      </w:pPr>
      <w:r w:rsidRPr="00285126">
        <w:rPr>
          <w:rFonts w:ascii="Times New Roman" w:eastAsia="SimSun" w:hAnsi="Times New Roman" w:cs="Times New Roman"/>
          <w:sz w:val="20"/>
          <w:szCs w:val="20"/>
        </w:rPr>
        <w:t xml:space="preserve">RL is the recovered percentage immediately below </w:t>
      </w:r>
      <w:proofErr w:type="gramStart"/>
      <w:r w:rsidRPr="00285126">
        <w:rPr>
          <w:rFonts w:ascii="Times New Roman" w:eastAsia="SimSun" w:hAnsi="Times New Roman" w:cs="Times New Roman"/>
          <w:sz w:val="20"/>
          <w:szCs w:val="20"/>
        </w:rPr>
        <w:t>R;</w:t>
      </w:r>
      <w:proofErr w:type="gramEnd"/>
    </w:p>
    <w:p w14:paraId="1288E335" w14:textId="77777777" w:rsidR="00462499" w:rsidRPr="00285126" w:rsidRDefault="0038495D" w:rsidP="00D27802">
      <w:pPr>
        <w:spacing w:line="240" w:lineRule="auto"/>
        <w:rPr>
          <w:rFonts w:ascii="Times New Roman" w:eastAsia="SimSun" w:hAnsi="Times New Roman" w:cs="Times New Roman"/>
          <w:sz w:val="20"/>
          <w:szCs w:val="20"/>
        </w:rPr>
      </w:pPr>
      <w:r w:rsidRPr="00285126">
        <w:rPr>
          <w:rFonts w:ascii="Times New Roman" w:eastAsia="SimSun" w:hAnsi="Times New Roman" w:cs="Times New Roman"/>
          <w:sz w:val="20"/>
          <w:szCs w:val="20"/>
        </w:rPr>
        <w:t xml:space="preserve">RH is the recovered percentage immediately above </w:t>
      </w:r>
      <w:proofErr w:type="gramStart"/>
      <w:r w:rsidRPr="00285126">
        <w:rPr>
          <w:rFonts w:ascii="Times New Roman" w:eastAsia="SimSun" w:hAnsi="Times New Roman" w:cs="Times New Roman"/>
          <w:sz w:val="20"/>
          <w:szCs w:val="20"/>
        </w:rPr>
        <w:t>R;</w:t>
      </w:r>
      <w:proofErr w:type="gramEnd"/>
    </w:p>
    <w:p w14:paraId="2881276C" w14:textId="77777777" w:rsidR="00462499" w:rsidRPr="00285126" w:rsidRDefault="0038495D" w:rsidP="00D27802">
      <w:pPr>
        <w:spacing w:line="240" w:lineRule="auto"/>
        <w:rPr>
          <w:rFonts w:ascii="Times New Roman" w:eastAsia="SimSun" w:hAnsi="Times New Roman" w:cs="Times New Roman"/>
          <w:sz w:val="20"/>
          <w:szCs w:val="20"/>
        </w:rPr>
      </w:pPr>
      <w:r w:rsidRPr="00285126">
        <w:rPr>
          <w:rFonts w:ascii="Times New Roman" w:eastAsia="SimSun" w:hAnsi="Times New Roman" w:cs="Times New Roman"/>
          <w:sz w:val="20"/>
          <w:szCs w:val="20"/>
        </w:rPr>
        <w:t xml:space="preserve">TL is the temperature observed at </w:t>
      </w:r>
      <w:proofErr w:type="gramStart"/>
      <w:r w:rsidRPr="00285126">
        <w:rPr>
          <w:rFonts w:ascii="Times New Roman" w:eastAsia="SimSun" w:hAnsi="Times New Roman" w:cs="Times New Roman"/>
          <w:sz w:val="20"/>
          <w:szCs w:val="20"/>
        </w:rPr>
        <w:t>RL;</w:t>
      </w:r>
      <w:proofErr w:type="gramEnd"/>
    </w:p>
    <w:p w14:paraId="7DD2126D" w14:textId="77777777" w:rsidR="00462499" w:rsidRPr="00285126" w:rsidRDefault="0038495D" w:rsidP="00D27802">
      <w:pPr>
        <w:spacing w:line="240" w:lineRule="auto"/>
        <w:rPr>
          <w:rFonts w:ascii="Times New Roman" w:eastAsia="SimSun" w:hAnsi="Times New Roman" w:cs="Times New Roman"/>
          <w:sz w:val="20"/>
          <w:szCs w:val="20"/>
        </w:rPr>
      </w:pPr>
      <w:r w:rsidRPr="00285126">
        <w:rPr>
          <w:rFonts w:ascii="Times New Roman" w:eastAsia="SimSun" w:hAnsi="Times New Roman" w:cs="Times New Roman"/>
          <w:sz w:val="20"/>
          <w:szCs w:val="20"/>
        </w:rPr>
        <w:t>TH is the temperature observed at RH.</w:t>
      </w:r>
    </w:p>
    <w:p w14:paraId="7F19E8A3" w14:textId="77777777" w:rsidR="00063B1E" w:rsidRPr="00285126" w:rsidRDefault="00063B1E" w:rsidP="00D27802">
      <w:pPr>
        <w:pStyle w:val="Heading1"/>
        <w:numPr>
          <w:ilvl w:val="0"/>
          <w:numId w:val="2"/>
        </w:numPr>
        <w:spacing w:after="240" w:line="240" w:lineRule="auto"/>
        <w:rPr>
          <w:rFonts w:ascii="Times New Roman" w:hAnsi="Times New Roman" w:cs="Times New Roman"/>
          <w:b/>
          <w:color w:val="auto"/>
          <w:sz w:val="20"/>
          <w:szCs w:val="20"/>
        </w:rPr>
      </w:pPr>
      <w:r w:rsidRPr="00285126">
        <w:rPr>
          <w:rFonts w:ascii="Times New Roman" w:hAnsi="Times New Roman" w:cs="Times New Roman"/>
          <w:b/>
          <w:color w:val="auto"/>
          <w:sz w:val="20"/>
          <w:szCs w:val="20"/>
        </w:rPr>
        <w:t>R</w:t>
      </w:r>
      <w:r w:rsidR="008415E5" w:rsidRPr="00285126">
        <w:rPr>
          <w:rFonts w:ascii="Times New Roman" w:hAnsi="Times New Roman" w:cs="Times New Roman"/>
          <w:b/>
          <w:color w:val="auto"/>
          <w:sz w:val="20"/>
          <w:szCs w:val="20"/>
        </w:rPr>
        <w:t>e</w:t>
      </w:r>
      <w:r w:rsidRPr="00285126">
        <w:rPr>
          <w:rFonts w:ascii="Times New Roman" w:hAnsi="Times New Roman" w:cs="Times New Roman"/>
          <w:b/>
          <w:color w:val="auto"/>
          <w:sz w:val="20"/>
          <w:szCs w:val="20"/>
        </w:rPr>
        <w:t xml:space="preserve">sults </w:t>
      </w:r>
      <w:r w:rsidR="008415E5" w:rsidRPr="00285126">
        <w:rPr>
          <w:rFonts w:ascii="Times New Roman" w:hAnsi="Times New Roman" w:cs="Times New Roman"/>
          <w:b/>
          <w:color w:val="auto"/>
          <w:sz w:val="20"/>
          <w:szCs w:val="20"/>
        </w:rPr>
        <w:t>and</w:t>
      </w:r>
      <w:r w:rsidRPr="00285126">
        <w:rPr>
          <w:rFonts w:ascii="Times New Roman" w:hAnsi="Times New Roman" w:cs="Times New Roman"/>
          <w:b/>
          <w:color w:val="auto"/>
          <w:sz w:val="20"/>
          <w:szCs w:val="20"/>
        </w:rPr>
        <w:t xml:space="preserve"> </w:t>
      </w:r>
      <w:r w:rsidR="008415E5" w:rsidRPr="00285126">
        <w:rPr>
          <w:rFonts w:ascii="Times New Roman" w:hAnsi="Times New Roman" w:cs="Times New Roman"/>
          <w:b/>
          <w:color w:val="auto"/>
          <w:sz w:val="20"/>
          <w:szCs w:val="20"/>
        </w:rPr>
        <w:t>D</w:t>
      </w:r>
      <w:r w:rsidRPr="00285126">
        <w:rPr>
          <w:rFonts w:ascii="Times New Roman" w:hAnsi="Times New Roman" w:cs="Times New Roman"/>
          <w:b/>
          <w:color w:val="auto"/>
          <w:sz w:val="20"/>
          <w:szCs w:val="20"/>
        </w:rPr>
        <w:t>iscussion</w:t>
      </w:r>
    </w:p>
    <w:p w14:paraId="1FFEBDF6" w14:textId="77777777" w:rsidR="00160991" w:rsidRPr="00285126" w:rsidRDefault="008415E5" w:rsidP="00D27802">
      <w:pPr>
        <w:spacing w:before="240" w:line="240" w:lineRule="auto"/>
        <w:rPr>
          <w:rFonts w:ascii="Times New Roman" w:hAnsi="Times New Roman" w:cs="Times New Roman"/>
          <w:sz w:val="20"/>
          <w:szCs w:val="20"/>
        </w:rPr>
      </w:pPr>
      <w:r w:rsidRPr="00285126">
        <w:rPr>
          <w:rFonts w:ascii="Times New Roman" w:hAnsi="Times New Roman" w:cs="Times New Roman"/>
          <w:sz w:val="20"/>
          <w:szCs w:val="20"/>
        </w:rPr>
        <w:t xml:space="preserve">Cracked heavy naphtha is typically a white (heavy) product from the FCC </w:t>
      </w:r>
      <w:proofErr w:type="gramStart"/>
      <w:r w:rsidRPr="00285126">
        <w:rPr>
          <w:rFonts w:ascii="Times New Roman" w:hAnsi="Times New Roman" w:cs="Times New Roman"/>
          <w:sz w:val="20"/>
          <w:szCs w:val="20"/>
        </w:rPr>
        <w:t>unit;</w:t>
      </w:r>
      <w:proofErr w:type="gramEnd"/>
      <w:r w:rsidRPr="00285126">
        <w:rPr>
          <w:rFonts w:ascii="Times New Roman" w:hAnsi="Times New Roman" w:cs="Times New Roman"/>
          <w:sz w:val="20"/>
          <w:szCs w:val="20"/>
        </w:rPr>
        <w:t xml:space="preserve"> it is an intermediate product that requires further purification or quality-enhancement processing. Upon exiting the FCC unit, this product has a low octane rating, which prevents it from being delivered directly to consumers. To meet commercial specifications, cracked heavy gasoline must be sent to the catalytic reforming unit, where its octane rating is improved and its sulfur content is reduced. For the purposes of this study, we were interested in the characteristics of the cracked gasoline at the inlet of the catalytic reformer. Table I shows the key characteristics of the heavy gasoline at the outlet of the catalytic cracking unit. However, these values represent the average, minimum, and maximum values from 8 days of experimentation.</w:t>
      </w:r>
    </w:p>
    <w:p w14:paraId="0ACA4CE1" w14:textId="77777777" w:rsidR="00063B1E" w:rsidRPr="00285126" w:rsidRDefault="00063B1E" w:rsidP="00D27802">
      <w:pPr>
        <w:pStyle w:val="Caption"/>
        <w:keepNext/>
        <w:rPr>
          <w:rFonts w:ascii="Times New Roman" w:hAnsi="Times New Roman" w:cs="Times New Roman"/>
          <w:i w:val="0"/>
          <w:color w:val="000000" w:themeColor="text1"/>
          <w:sz w:val="20"/>
          <w:szCs w:val="20"/>
        </w:rPr>
      </w:pPr>
      <w:r w:rsidRPr="00285126">
        <w:rPr>
          <w:rFonts w:ascii="Times New Roman" w:hAnsi="Times New Roman" w:cs="Times New Roman"/>
          <w:i w:val="0"/>
          <w:color w:val="000000" w:themeColor="text1"/>
          <w:sz w:val="20"/>
          <w:szCs w:val="20"/>
        </w:rPr>
        <w:t xml:space="preserve">Table </w:t>
      </w:r>
      <w:r w:rsidRPr="00285126">
        <w:rPr>
          <w:rFonts w:ascii="Times New Roman" w:hAnsi="Times New Roman" w:cs="Times New Roman"/>
          <w:i w:val="0"/>
          <w:color w:val="000000" w:themeColor="text1"/>
          <w:sz w:val="20"/>
          <w:szCs w:val="20"/>
        </w:rPr>
        <w:fldChar w:fldCharType="begin"/>
      </w:r>
      <w:r w:rsidRPr="00285126">
        <w:rPr>
          <w:rFonts w:ascii="Times New Roman" w:hAnsi="Times New Roman" w:cs="Times New Roman"/>
          <w:i w:val="0"/>
          <w:color w:val="000000" w:themeColor="text1"/>
          <w:sz w:val="20"/>
          <w:szCs w:val="20"/>
        </w:rPr>
        <w:instrText xml:space="preserve"> SEQ Tableau \* ROMAN </w:instrText>
      </w:r>
      <w:r w:rsidRPr="00285126">
        <w:rPr>
          <w:rFonts w:ascii="Times New Roman" w:hAnsi="Times New Roman" w:cs="Times New Roman"/>
          <w:i w:val="0"/>
          <w:color w:val="000000" w:themeColor="text1"/>
          <w:sz w:val="20"/>
          <w:szCs w:val="20"/>
        </w:rPr>
        <w:fldChar w:fldCharType="separate"/>
      </w:r>
      <w:r w:rsidRPr="00285126">
        <w:rPr>
          <w:rFonts w:ascii="Times New Roman" w:hAnsi="Times New Roman" w:cs="Times New Roman"/>
          <w:i w:val="0"/>
          <w:noProof/>
          <w:color w:val="000000" w:themeColor="text1"/>
          <w:sz w:val="20"/>
          <w:szCs w:val="20"/>
        </w:rPr>
        <w:t>I</w:t>
      </w:r>
      <w:r w:rsidRPr="00285126">
        <w:rPr>
          <w:rFonts w:ascii="Times New Roman" w:hAnsi="Times New Roman" w:cs="Times New Roman"/>
          <w:i w:val="0"/>
          <w:color w:val="000000" w:themeColor="text1"/>
          <w:sz w:val="20"/>
          <w:szCs w:val="20"/>
        </w:rPr>
        <w:fldChar w:fldCharType="end"/>
      </w:r>
      <w:r w:rsidRPr="00285126">
        <w:rPr>
          <w:rFonts w:ascii="Times New Roman" w:hAnsi="Times New Roman" w:cs="Times New Roman"/>
          <w:i w:val="0"/>
          <w:color w:val="000000" w:themeColor="text1"/>
          <w:sz w:val="20"/>
          <w:szCs w:val="20"/>
        </w:rPr>
        <w:t xml:space="preserve">: </w:t>
      </w:r>
      <w:r w:rsidR="008415E5" w:rsidRPr="00285126">
        <w:rPr>
          <w:rFonts w:ascii="Times New Roman" w:hAnsi="Times New Roman" w:cs="Times New Roman"/>
          <w:i w:val="0"/>
          <w:color w:val="000000" w:themeColor="text1"/>
          <w:sz w:val="20"/>
          <w:szCs w:val="20"/>
        </w:rPr>
        <w:t>physicochemical properties of cracked heavy gasoline</w:t>
      </w:r>
    </w:p>
    <w:tbl>
      <w:tblPr>
        <w:tblStyle w:val="PlainTable2"/>
        <w:tblpPr w:leftFromText="141" w:rightFromText="141" w:vertAnchor="text" w:horzAnchor="margin" w:tblpXSpec="center" w:tblpY="79"/>
        <w:tblW w:w="9012" w:type="dxa"/>
        <w:tblLayout w:type="fixed"/>
        <w:tblLook w:val="0620" w:firstRow="1" w:lastRow="0" w:firstColumn="0" w:lastColumn="0" w:noHBand="1" w:noVBand="1"/>
      </w:tblPr>
      <w:tblGrid>
        <w:gridCol w:w="1418"/>
        <w:gridCol w:w="1134"/>
        <w:gridCol w:w="1275"/>
        <w:gridCol w:w="1558"/>
        <w:gridCol w:w="1280"/>
        <w:gridCol w:w="1133"/>
        <w:gridCol w:w="1214"/>
      </w:tblGrid>
      <w:tr w:rsidR="009A4FF1" w:rsidRPr="00285126" w14:paraId="0F91B3E7" w14:textId="77777777" w:rsidTr="009A4FF1">
        <w:trPr>
          <w:cnfStyle w:val="100000000000" w:firstRow="1" w:lastRow="0" w:firstColumn="0" w:lastColumn="0" w:oddVBand="0" w:evenVBand="0" w:oddHBand="0" w:evenHBand="0" w:firstRowFirstColumn="0" w:firstRowLastColumn="0" w:lastRowFirstColumn="0" w:lastRowLastColumn="0"/>
          <w:trHeight w:val="483"/>
        </w:trPr>
        <w:tc>
          <w:tcPr>
            <w:tcW w:w="1418" w:type="dxa"/>
          </w:tcPr>
          <w:p w14:paraId="0DF4044C" w14:textId="77777777" w:rsidR="009A4FF1" w:rsidRPr="00285126" w:rsidRDefault="009A4FF1" w:rsidP="00D27802">
            <w:pPr>
              <w:rPr>
                <w:rFonts w:ascii="Times New Roman" w:hAnsi="Times New Roman" w:cs="Times New Roman"/>
                <w:sz w:val="20"/>
                <w:szCs w:val="20"/>
              </w:rPr>
            </w:pPr>
            <w:r w:rsidRPr="00285126">
              <w:rPr>
                <w:rFonts w:ascii="Times New Roman" w:hAnsi="Times New Roman" w:cs="Times New Roman"/>
                <w:sz w:val="20"/>
                <w:szCs w:val="20"/>
              </w:rPr>
              <w:t>Param</w:t>
            </w:r>
            <w:r w:rsidR="008415E5" w:rsidRPr="00285126">
              <w:rPr>
                <w:rFonts w:ascii="Times New Roman" w:hAnsi="Times New Roman" w:cs="Times New Roman"/>
                <w:sz w:val="20"/>
                <w:szCs w:val="20"/>
              </w:rPr>
              <w:t>e</w:t>
            </w:r>
            <w:r w:rsidRPr="00285126">
              <w:rPr>
                <w:rFonts w:ascii="Times New Roman" w:hAnsi="Times New Roman" w:cs="Times New Roman"/>
                <w:sz w:val="20"/>
                <w:szCs w:val="20"/>
              </w:rPr>
              <w:t>t</w:t>
            </w:r>
            <w:r w:rsidR="008415E5" w:rsidRPr="00285126">
              <w:rPr>
                <w:rFonts w:ascii="Times New Roman" w:hAnsi="Times New Roman" w:cs="Times New Roman"/>
                <w:sz w:val="20"/>
                <w:szCs w:val="20"/>
              </w:rPr>
              <w:t>e</w:t>
            </w:r>
            <w:r w:rsidRPr="00285126">
              <w:rPr>
                <w:rFonts w:ascii="Times New Roman" w:hAnsi="Times New Roman" w:cs="Times New Roman"/>
                <w:sz w:val="20"/>
                <w:szCs w:val="20"/>
              </w:rPr>
              <w:t>rs</w:t>
            </w:r>
          </w:p>
        </w:tc>
        <w:tc>
          <w:tcPr>
            <w:tcW w:w="1134" w:type="dxa"/>
          </w:tcPr>
          <w:p w14:paraId="65557FB2" w14:textId="77777777" w:rsidR="009A4FF1" w:rsidRPr="00285126" w:rsidRDefault="009A4FF1" w:rsidP="00D27802">
            <w:pPr>
              <w:ind w:left="-33"/>
              <w:rPr>
                <w:rFonts w:ascii="Times New Roman" w:hAnsi="Times New Roman" w:cs="Times New Roman"/>
                <w:sz w:val="20"/>
                <w:szCs w:val="20"/>
              </w:rPr>
            </w:pPr>
            <w:r w:rsidRPr="00285126">
              <w:rPr>
                <w:rFonts w:ascii="Times New Roman" w:hAnsi="Times New Roman" w:cs="Times New Roman"/>
                <w:sz w:val="20"/>
                <w:szCs w:val="20"/>
              </w:rPr>
              <w:t>Densit</w:t>
            </w:r>
            <w:r w:rsidR="008415E5" w:rsidRPr="00285126">
              <w:rPr>
                <w:rFonts w:ascii="Times New Roman" w:hAnsi="Times New Roman" w:cs="Times New Roman"/>
                <w:sz w:val="20"/>
                <w:szCs w:val="20"/>
              </w:rPr>
              <w:t>y</w:t>
            </w:r>
            <w:r w:rsidRPr="00285126">
              <w:rPr>
                <w:rFonts w:ascii="Times New Roman" w:hAnsi="Times New Roman" w:cs="Times New Roman"/>
                <w:sz w:val="20"/>
                <w:szCs w:val="20"/>
              </w:rPr>
              <w:t xml:space="preserve"> </w:t>
            </w:r>
            <w:r w:rsidR="008415E5" w:rsidRPr="00285126">
              <w:rPr>
                <w:rFonts w:ascii="Times New Roman" w:hAnsi="Times New Roman" w:cs="Times New Roman"/>
                <w:sz w:val="20"/>
                <w:szCs w:val="20"/>
              </w:rPr>
              <w:t>at</w:t>
            </w:r>
            <w:r w:rsidRPr="00285126">
              <w:rPr>
                <w:rFonts w:ascii="Times New Roman" w:hAnsi="Times New Roman" w:cs="Times New Roman"/>
                <w:sz w:val="20"/>
                <w:szCs w:val="20"/>
              </w:rPr>
              <w:t xml:space="preserve"> 15°C</w:t>
            </w:r>
            <w:r w:rsidR="000C21B2" w:rsidRPr="00285126">
              <w:rPr>
                <w:rFonts w:ascii="Times New Roman" w:hAnsi="Times New Roman" w:cs="Times New Roman"/>
                <w:sz w:val="20"/>
                <w:szCs w:val="20"/>
              </w:rPr>
              <w:t xml:space="preserve"> (kg/m</w:t>
            </w:r>
            <w:r w:rsidR="000C21B2" w:rsidRPr="00285126">
              <w:rPr>
                <w:rFonts w:ascii="Times New Roman" w:hAnsi="Times New Roman" w:cs="Times New Roman"/>
                <w:sz w:val="20"/>
                <w:szCs w:val="20"/>
                <w:vertAlign w:val="superscript"/>
              </w:rPr>
              <w:t>3</w:t>
            </w:r>
            <w:r w:rsidR="000C21B2" w:rsidRPr="00285126">
              <w:rPr>
                <w:rFonts w:ascii="Times New Roman" w:hAnsi="Times New Roman" w:cs="Times New Roman"/>
                <w:sz w:val="20"/>
                <w:szCs w:val="20"/>
              </w:rPr>
              <w:t>)</w:t>
            </w:r>
          </w:p>
        </w:tc>
        <w:tc>
          <w:tcPr>
            <w:tcW w:w="1275" w:type="dxa"/>
          </w:tcPr>
          <w:p w14:paraId="1C10B053" w14:textId="77777777" w:rsidR="009A4FF1" w:rsidRPr="00285126" w:rsidRDefault="009A4FF1" w:rsidP="00D27802">
            <w:pPr>
              <w:ind w:left="-33"/>
              <w:rPr>
                <w:rFonts w:ascii="Times New Roman" w:hAnsi="Times New Roman" w:cs="Times New Roman"/>
                <w:sz w:val="20"/>
                <w:szCs w:val="20"/>
              </w:rPr>
            </w:pPr>
            <w:r w:rsidRPr="00285126">
              <w:rPr>
                <w:rFonts w:ascii="Times New Roman" w:hAnsi="Times New Roman" w:cs="Times New Roman"/>
                <w:sz w:val="20"/>
                <w:szCs w:val="20"/>
              </w:rPr>
              <w:t>Corrosion</w:t>
            </w:r>
          </w:p>
        </w:tc>
        <w:tc>
          <w:tcPr>
            <w:tcW w:w="1558" w:type="dxa"/>
          </w:tcPr>
          <w:p w14:paraId="47491FC4" w14:textId="77777777" w:rsidR="008415E5" w:rsidRPr="00285126" w:rsidRDefault="008415E5" w:rsidP="00D27802">
            <w:pPr>
              <w:ind w:left="-33"/>
              <w:rPr>
                <w:rFonts w:ascii="Times New Roman" w:hAnsi="Times New Roman" w:cs="Times New Roman"/>
                <w:sz w:val="20"/>
                <w:szCs w:val="20"/>
              </w:rPr>
            </w:pPr>
            <w:r w:rsidRPr="00285126">
              <w:rPr>
                <w:rFonts w:ascii="Times New Roman" w:hAnsi="Times New Roman" w:cs="Times New Roman"/>
                <w:sz w:val="20"/>
                <w:szCs w:val="20"/>
              </w:rPr>
              <w:t>Sulfur</w:t>
            </w:r>
          </w:p>
          <w:p w14:paraId="5B548435" w14:textId="77777777" w:rsidR="009A4FF1" w:rsidRPr="00285126" w:rsidRDefault="008415E5" w:rsidP="00D27802">
            <w:pPr>
              <w:ind w:left="-33"/>
              <w:rPr>
                <w:rFonts w:ascii="Times New Roman" w:hAnsi="Times New Roman" w:cs="Times New Roman"/>
                <w:sz w:val="20"/>
                <w:szCs w:val="20"/>
              </w:rPr>
            </w:pPr>
            <w:r w:rsidRPr="00285126">
              <w:rPr>
                <w:rFonts w:ascii="Times New Roman" w:hAnsi="Times New Roman" w:cs="Times New Roman"/>
                <w:sz w:val="20"/>
                <w:szCs w:val="20"/>
              </w:rPr>
              <w:t xml:space="preserve">Mercaptan </w:t>
            </w:r>
            <w:r w:rsidR="000C21B2" w:rsidRPr="00285126">
              <w:rPr>
                <w:rFonts w:ascii="Times New Roman" w:hAnsi="Times New Roman" w:cs="Times New Roman"/>
                <w:sz w:val="20"/>
                <w:szCs w:val="20"/>
              </w:rPr>
              <w:t>(ppm)</w:t>
            </w:r>
          </w:p>
        </w:tc>
        <w:tc>
          <w:tcPr>
            <w:tcW w:w="1280" w:type="dxa"/>
          </w:tcPr>
          <w:p w14:paraId="5460D592" w14:textId="77777777" w:rsidR="009A4FF1" w:rsidRPr="00285126" w:rsidRDefault="008415E5" w:rsidP="00D27802">
            <w:pPr>
              <w:ind w:left="-33"/>
              <w:rPr>
                <w:rFonts w:ascii="Times New Roman" w:hAnsi="Times New Roman" w:cs="Times New Roman"/>
                <w:sz w:val="20"/>
                <w:szCs w:val="20"/>
              </w:rPr>
            </w:pPr>
            <w:r w:rsidRPr="00285126">
              <w:rPr>
                <w:rFonts w:ascii="Times New Roman" w:hAnsi="Times New Roman" w:cs="Times New Roman"/>
                <w:sz w:val="20"/>
                <w:szCs w:val="20"/>
              </w:rPr>
              <w:t xml:space="preserve">Vapor pressure </w:t>
            </w:r>
            <w:r w:rsidR="000C21B2" w:rsidRPr="00285126">
              <w:rPr>
                <w:rFonts w:ascii="Times New Roman" w:hAnsi="Times New Roman" w:cs="Times New Roman"/>
                <w:sz w:val="20"/>
                <w:szCs w:val="20"/>
              </w:rPr>
              <w:t>(kPa)</w:t>
            </w:r>
          </w:p>
        </w:tc>
        <w:tc>
          <w:tcPr>
            <w:tcW w:w="1133" w:type="dxa"/>
          </w:tcPr>
          <w:p w14:paraId="21EE2698" w14:textId="77777777" w:rsidR="009A4FF1" w:rsidRPr="00285126" w:rsidRDefault="008415E5" w:rsidP="00D27802">
            <w:pPr>
              <w:ind w:left="-33"/>
              <w:rPr>
                <w:rFonts w:ascii="Times New Roman" w:hAnsi="Times New Roman" w:cs="Times New Roman"/>
                <w:sz w:val="20"/>
                <w:szCs w:val="20"/>
              </w:rPr>
            </w:pPr>
            <w:r w:rsidRPr="00285126">
              <w:rPr>
                <w:rFonts w:ascii="Times New Roman" w:hAnsi="Times New Roman" w:cs="Times New Roman"/>
                <w:sz w:val="20"/>
                <w:szCs w:val="20"/>
              </w:rPr>
              <w:t>Octane rating (-)</w:t>
            </w:r>
          </w:p>
        </w:tc>
        <w:tc>
          <w:tcPr>
            <w:tcW w:w="1214" w:type="dxa"/>
          </w:tcPr>
          <w:p w14:paraId="484B65EB" w14:textId="77777777" w:rsidR="009A4FF1" w:rsidRPr="00285126" w:rsidRDefault="008415E5" w:rsidP="00D27802">
            <w:pPr>
              <w:ind w:left="-33"/>
              <w:rPr>
                <w:rFonts w:ascii="Times New Roman" w:hAnsi="Times New Roman" w:cs="Times New Roman"/>
                <w:sz w:val="20"/>
                <w:szCs w:val="20"/>
              </w:rPr>
            </w:pPr>
            <w:r w:rsidRPr="00285126">
              <w:rPr>
                <w:rFonts w:ascii="Times New Roman" w:hAnsi="Times New Roman" w:cs="Times New Roman"/>
                <w:sz w:val="20"/>
                <w:szCs w:val="20"/>
              </w:rPr>
              <w:t xml:space="preserve">Sulfur content </w:t>
            </w:r>
            <w:r w:rsidR="000C21B2" w:rsidRPr="00285126">
              <w:rPr>
                <w:rFonts w:ascii="Times New Roman" w:hAnsi="Times New Roman" w:cs="Times New Roman"/>
                <w:sz w:val="20"/>
                <w:szCs w:val="20"/>
              </w:rPr>
              <w:t>(ppm)</w:t>
            </w:r>
          </w:p>
        </w:tc>
      </w:tr>
      <w:tr w:rsidR="009A4FF1" w:rsidRPr="00285126" w14:paraId="04506EE5" w14:textId="77777777" w:rsidTr="009A4FF1">
        <w:trPr>
          <w:trHeight w:val="431"/>
        </w:trPr>
        <w:tc>
          <w:tcPr>
            <w:tcW w:w="1418" w:type="dxa"/>
          </w:tcPr>
          <w:p w14:paraId="63AF5BFD" w14:textId="77777777" w:rsidR="009A4FF1" w:rsidRPr="00285126" w:rsidRDefault="008415E5" w:rsidP="00D27802">
            <w:pPr>
              <w:ind w:left="-33"/>
              <w:rPr>
                <w:rFonts w:ascii="Times New Roman" w:hAnsi="Times New Roman" w:cs="Times New Roman"/>
                <w:sz w:val="20"/>
                <w:szCs w:val="20"/>
              </w:rPr>
            </w:pPr>
            <w:r w:rsidRPr="00285126">
              <w:rPr>
                <w:rFonts w:ascii="Times New Roman" w:hAnsi="Times New Roman" w:cs="Times New Roman"/>
                <w:sz w:val="20"/>
                <w:szCs w:val="20"/>
              </w:rPr>
              <w:t xml:space="preserve">Value </w:t>
            </w:r>
            <w:r w:rsidR="009A4FF1" w:rsidRPr="00285126">
              <w:rPr>
                <w:rFonts w:ascii="Times New Roman" w:hAnsi="Times New Roman" w:cs="Times New Roman"/>
                <w:sz w:val="20"/>
                <w:szCs w:val="20"/>
              </w:rPr>
              <w:t>Max</w:t>
            </w:r>
          </w:p>
        </w:tc>
        <w:tc>
          <w:tcPr>
            <w:tcW w:w="1134" w:type="dxa"/>
          </w:tcPr>
          <w:p w14:paraId="5968E628" w14:textId="77777777" w:rsidR="009A4FF1" w:rsidRPr="00285126" w:rsidRDefault="009A4FF1" w:rsidP="00D27802">
            <w:pPr>
              <w:ind w:left="-33"/>
              <w:rPr>
                <w:rFonts w:ascii="Times New Roman" w:hAnsi="Times New Roman" w:cs="Times New Roman"/>
                <w:sz w:val="20"/>
                <w:szCs w:val="20"/>
              </w:rPr>
            </w:pPr>
            <w:r w:rsidRPr="00285126">
              <w:rPr>
                <w:rFonts w:ascii="Times New Roman" w:hAnsi="Times New Roman" w:cs="Times New Roman"/>
                <w:sz w:val="20"/>
                <w:szCs w:val="20"/>
              </w:rPr>
              <w:t>736</w:t>
            </w:r>
            <w:r w:rsidR="008415E5" w:rsidRPr="00285126">
              <w:rPr>
                <w:rFonts w:ascii="Times New Roman" w:hAnsi="Times New Roman" w:cs="Times New Roman"/>
                <w:sz w:val="20"/>
                <w:szCs w:val="20"/>
              </w:rPr>
              <w:t>.</w:t>
            </w:r>
            <w:r w:rsidRPr="00285126">
              <w:rPr>
                <w:rFonts w:ascii="Times New Roman" w:hAnsi="Times New Roman" w:cs="Times New Roman"/>
                <w:sz w:val="20"/>
                <w:szCs w:val="20"/>
              </w:rPr>
              <w:t>90</w:t>
            </w:r>
          </w:p>
        </w:tc>
        <w:tc>
          <w:tcPr>
            <w:tcW w:w="1275" w:type="dxa"/>
          </w:tcPr>
          <w:p w14:paraId="28525FEE" w14:textId="77777777" w:rsidR="009A4FF1" w:rsidRPr="00285126" w:rsidRDefault="009A4FF1" w:rsidP="00D27802">
            <w:pPr>
              <w:ind w:left="-33"/>
              <w:rPr>
                <w:rFonts w:ascii="Times New Roman" w:hAnsi="Times New Roman" w:cs="Times New Roman"/>
                <w:sz w:val="20"/>
                <w:szCs w:val="20"/>
              </w:rPr>
            </w:pPr>
            <w:r w:rsidRPr="00285126">
              <w:rPr>
                <w:rFonts w:ascii="Times New Roman" w:hAnsi="Times New Roman" w:cs="Times New Roman"/>
                <w:sz w:val="20"/>
                <w:szCs w:val="20"/>
              </w:rPr>
              <w:t>0</w:t>
            </w:r>
          </w:p>
        </w:tc>
        <w:tc>
          <w:tcPr>
            <w:tcW w:w="1558" w:type="dxa"/>
          </w:tcPr>
          <w:p w14:paraId="7B36E74D" w14:textId="77777777" w:rsidR="009A4FF1" w:rsidRPr="00285126" w:rsidRDefault="008415E5" w:rsidP="00D27802">
            <w:pPr>
              <w:ind w:left="-33"/>
              <w:rPr>
                <w:rFonts w:ascii="Times New Roman" w:hAnsi="Times New Roman" w:cs="Times New Roman"/>
                <w:sz w:val="20"/>
                <w:szCs w:val="20"/>
              </w:rPr>
            </w:pPr>
            <w:r w:rsidRPr="00285126">
              <w:rPr>
                <w:rFonts w:ascii="Times New Roman" w:hAnsi="Times New Roman" w:cs="Times New Roman"/>
                <w:sz w:val="20"/>
                <w:szCs w:val="20"/>
              </w:rPr>
              <w:t>100</w:t>
            </w:r>
          </w:p>
        </w:tc>
        <w:tc>
          <w:tcPr>
            <w:tcW w:w="1280" w:type="dxa"/>
          </w:tcPr>
          <w:p w14:paraId="04547DDF" w14:textId="77777777" w:rsidR="009A4FF1" w:rsidRPr="00285126" w:rsidRDefault="009A4FF1" w:rsidP="00D27802">
            <w:pPr>
              <w:ind w:left="-33"/>
              <w:rPr>
                <w:rFonts w:ascii="Times New Roman" w:hAnsi="Times New Roman" w:cs="Times New Roman"/>
                <w:sz w:val="20"/>
                <w:szCs w:val="20"/>
              </w:rPr>
            </w:pPr>
            <w:r w:rsidRPr="00285126">
              <w:rPr>
                <w:rFonts w:ascii="Times New Roman" w:hAnsi="Times New Roman" w:cs="Times New Roman"/>
                <w:sz w:val="20"/>
                <w:szCs w:val="20"/>
              </w:rPr>
              <w:t>79</w:t>
            </w:r>
            <w:r w:rsidR="008415E5" w:rsidRPr="00285126">
              <w:rPr>
                <w:rFonts w:ascii="Times New Roman" w:hAnsi="Times New Roman" w:cs="Times New Roman"/>
                <w:sz w:val="20"/>
                <w:szCs w:val="20"/>
              </w:rPr>
              <w:t>.</w:t>
            </w:r>
            <w:r w:rsidRPr="00285126">
              <w:rPr>
                <w:rFonts w:ascii="Times New Roman" w:hAnsi="Times New Roman" w:cs="Times New Roman"/>
                <w:sz w:val="20"/>
                <w:szCs w:val="20"/>
              </w:rPr>
              <w:t>20</w:t>
            </w:r>
          </w:p>
        </w:tc>
        <w:tc>
          <w:tcPr>
            <w:tcW w:w="1133" w:type="dxa"/>
          </w:tcPr>
          <w:p w14:paraId="386D8218" w14:textId="77777777" w:rsidR="009A4FF1" w:rsidRPr="00285126" w:rsidRDefault="009A4FF1" w:rsidP="00D27802">
            <w:pPr>
              <w:ind w:left="-33"/>
              <w:rPr>
                <w:rFonts w:ascii="Times New Roman" w:hAnsi="Times New Roman" w:cs="Times New Roman"/>
                <w:sz w:val="20"/>
                <w:szCs w:val="20"/>
              </w:rPr>
            </w:pPr>
            <w:r w:rsidRPr="00285126">
              <w:rPr>
                <w:rFonts w:ascii="Times New Roman" w:hAnsi="Times New Roman" w:cs="Times New Roman"/>
                <w:sz w:val="20"/>
                <w:szCs w:val="20"/>
              </w:rPr>
              <w:t>90</w:t>
            </w:r>
            <w:r w:rsidR="008415E5" w:rsidRPr="00285126">
              <w:rPr>
                <w:rFonts w:ascii="Times New Roman" w:hAnsi="Times New Roman" w:cs="Times New Roman"/>
                <w:sz w:val="20"/>
                <w:szCs w:val="20"/>
              </w:rPr>
              <w:t>.</w:t>
            </w:r>
            <w:r w:rsidRPr="00285126">
              <w:rPr>
                <w:rFonts w:ascii="Times New Roman" w:hAnsi="Times New Roman" w:cs="Times New Roman"/>
                <w:sz w:val="20"/>
                <w:szCs w:val="20"/>
              </w:rPr>
              <w:t>10</w:t>
            </w:r>
          </w:p>
        </w:tc>
        <w:tc>
          <w:tcPr>
            <w:tcW w:w="1214" w:type="dxa"/>
          </w:tcPr>
          <w:p w14:paraId="5C24A164" w14:textId="77777777" w:rsidR="009A4FF1" w:rsidRPr="00285126" w:rsidRDefault="009A4FF1" w:rsidP="00D27802">
            <w:pPr>
              <w:ind w:left="-33"/>
              <w:rPr>
                <w:rFonts w:ascii="Times New Roman" w:hAnsi="Times New Roman" w:cs="Times New Roman"/>
                <w:sz w:val="20"/>
                <w:szCs w:val="20"/>
              </w:rPr>
            </w:pPr>
            <w:r w:rsidRPr="00285126">
              <w:rPr>
                <w:rFonts w:ascii="Times New Roman" w:hAnsi="Times New Roman" w:cs="Times New Roman"/>
                <w:sz w:val="20"/>
                <w:szCs w:val="20"/>
              </w:rPr>
              <w:t>68</w:t>
            </w:r>
            <w:r w:rsidR="008415E5" w:rsidRPr="00285126">
              <w:rPr>
                <w:rFonts w:ascii="Times New Roman" w:hAnsi="Times New Roman" w:cs="Times New Roman"/>
                <w:sz w:val="20"/>
                <w:szCs w:val="20"/>
              </w:rPr>
              <w:t>0</w:t>
            </w:r>
          </w:p>
        </w:tc>
      </w:tr>
      <w:tr w:rsidR="009A4FF1" w:rsidRPr="00285126" w14:paraId="5F2F49AF" w14:textId="77777777" w:rsidTr="009A4FF1">
        <w:trPr>
          <w:trHeight w:val="444"/>
        </w:trPr>
        <w:tc>
          <w:tcPr>
            <w:tcW w:w="1418" w:type="dxa"/>
          </w:tcPr>
          <w:p w14:paraId="1CBAFA72" w14:textId="77777777" w:rsidR="009A4FF1" w:rsidRPr="00285126" w:rsidRDefault="009A4FF1" w:rsidP="00D27802">
            <w:pPr>
              <w:ind w:left="-33"/>
              <w:rPr>
                <w:rFonts w:ascii="Times New Roman" w:hAnsi="Times New Roman" w:cs="Times New Roman"/>
                <w:sz w:val="20"/>
                <w:szCs w:val="20"/>
              </w:rPr>
            </w:pPr>
            <w:r w:rsidRPr="00285126">
              <w:rPr>
                <w:rFonts w:ascii="Times New Roman" w:hAnsi="Times New Roman" w:cs="Times New Roman"/>
                <w:sz w:val="20"/>
                <w:szCs w:val="20"/>
              </w:rPr>
              <w:t>Val</w:t>
            </w:r>
            <w:r w:rsidR="008415E5" w:rsidRPr="00285126">
              <w:rPr>
                <w:rFonts w:ascii="Times New Roman" w:hAnsi="Times New Roman" w:cs="Times New Roman"/>
                <w:sz w:val="20"/>
                <w:szCs w:val="20"/>
              </w:rPr>
              <w:t>u</w:t>
            </w:r>
            <w:r w:rsidRPr="00285126">
              <w:rPr>
                <w:rFonts w:ascii="Times New Roman" w:hAnsi="Times New Roman" w:cs="Times New Roman"/>
                <w:sz w:val="20"/>
                <w:szCs w:val="20"/>
              </w:rPr>
              <w:t>e Min</w:t>
            </w:r>
          </w:p>
        </w:tc>
        <w:tc>
          <w:tcPr>
            <w:tcW w:w="1134" w:type="dxa"/>
          </w:tcPr>
          <w:p w14:paraId="4C26A42E" w14:textId="77777777" w:rsidR="009A4FF1" w:rsidRPr="00285126" w:rsidRDefault="009A4FF1" w:rsidP="00D27802">
            <w:pPr>
              <w:ind w:left="-33"/>
              <w:rPr>
                <w:rFonts w:ascii="Times New Roman" w:hAnsi="Times New Roman" w:cs="Times New Roman"/>
                <w:sz w:val="20"/>
                <w:szCs w:val="20"/>
              </w:rPr>
            </w:pPr>
            <w:r w:rsidRPr="00285126">
              <w:rPr>
                <w:rFonts w:ascii="Times New Roman" w:hAnsi="Times New Roman" w:cs="Times New Roman"/>
                <w:sz w:val="20"/>
                <w:szCs w:val="20"/>
              </w:rPr>
              <w:t>728</w:t>
            </w:r>
            <w:r w:rsidR="008415E5" w:rsidRPr="00285126">
              <w:rPr>
                <w:rFonts w:ascii="Times New Roman" w:hAnsi="Times New Roman" w:cs="Times New Roman"/>
                <w:sz w:val="20"/>
                <w:szCs w:val="20"/>
              </w:rPr>
              <w:t>.</w:t>
            </w:r>
            <w:r w:rsidRPr="00285126">
              <w:rPr>
                <w:rFonts w:ascii="Times New Roman" w:hAnsi="Times New Roman" w:cs="Times New Roman"/>
                <w:sz w:val="20"/>
                <w:szCs w:val="20"/>
              </w:rPr>
              <w:t>10</w:t>
            </w:r>
          </w:p>
        </w:tc>
        <w:tc>
          <w:tcPr>
            <w:tcW w:w="1275" w:type="dxa"/>
          </w:tcPr>
          <w:p w14:paraId="01755E78" w14:textId="77777777" w:rsidR="009A4FF1" w:rsidRPr="00285126" w:rsidRDefault="009A4FF1" w:rsidP="00D27802">
            <w:pPr>
              <w:ind w:left="-33"/>
              <w:rPr>
                <w:rFonts w:ascii="Times New Roman" w:hAnsi="Times New Roman" w:cs="Times New Roman"/>
                <w:sz w:val="20"/>
                <w:szCs w:val="20"/>
              </w:rPr>
            </w:pPr>
            <w:r w:rsidRPr="00285126">
              <w:rPr>
                <w:rFonts w:ascii="Times New Roman" w:hAnsi="Times New Roman" w:cs="Times New Roman"/>
                <w:sz w:val="20"/>
                <w:szCs w:val="20"/>
              </w:rPr>
              <w:t>0</w:t>
            </w:r>
          </w:p>
        </w:tc>
        <w:tc>
          <w:tcPr>
            <w:tcW w:w="1558" w:type="dxa"/>
          </w:tcPr>
          <w:p w14:paraId="0EB5C856" w14:textId="77777777" w:rsidR="009A4FF1" w:rsidRPr="00285126" w:rsidRDefault="008415E5" w:rsidP="00D27802">
            <w:pPr>
              <w:ind w:left="-33"/>
              <w:rPr>
                <w:rFonts w:ascii="Times New Roman" w:hAnsi="Times New Roman" w:cs="Times New Roman"/>
                <w:sz w:val="20"/>
                <w:szCs w:val="20"/>
              </w:rPr>
            </w:pPr>
            <w:r w:rsidRPr="00285126">
              <w:rPr>
                <w:rFonts w:ascii="Times New Roman" w:hAnsi="Times New Roman" w:cs="Times New Roman"/>
                <w:sz w:val="20"/>
                <w:szCs w:val="20"/>
              </w:rPr>
              <w:t>80</w:t>
            </w:r>
          </w:p>
        </w:tc>
        <w:tc>
          <w:tcPr>
            <w:tcW w:w="1280" w:type="dxa"/>
          </w:tcPr>
          <w:p w14:paraId="6ED33B32" w14:textId="77777777" w:rsidR="009A4FF1" w:rsidRPr="00285126" w:rsidRDefault="009A4FF1" w:rsidP="00D27802">
            <w:pPr>
              <w:ind w:left="-33"/>
              <w:rPr>
                <w:rFonts w:ascii="Times New Roman" w:hAnsi="Times New Roman" w:cs="Times New Roman"/>
                <w:sz w:val="20"/>
                <w:szCs w:val="20"/>
              </w:rPr>
            </w:pPr>
            <w:r w:rsidRPr="00285126">
              <w:rPr>
                <w:rFonts w:ascii="Times New Roman" w:hAnsi="Times New Roman" w:cs="Times New Roman"/>
                <w:sz w:val="20"/>
                <w:szCs w:val="20"/>
              </w:rPr>
              <w:t>73</w:t>
            </w:r>
            <w:r w:rsidR="008415E5" w:rsidRPr="00285126">
              <w:rPr>
                <w:rFonts w:ascii="Times New Roman" w:hAnsi="Times New Roman" w:cs="Times New Roman"/>
                <w:sz w:val="20"/>
                <w:szCs w:val="20"/>
              </w:rPr>
              <w:t>.</w:t>
            </w:r>
            <w:r w:rsidRPr="00285126">
              <w:rPr>
                <w:rFonts w:ascii="Times New Roman" w:hAnsi="Times New Roman" w:cs="Times New Roman"/>
                <w:sz w:val="20"/>
                <w:szCs w:val="20"/>
              </w:rPr>
              <w:t>90</w:t>
            </w:r>
          </w:p>
        </w:tc>
        <w:tc>
          <w:tcPr>
            <w:tcW w:w="1133" w:type="dxa"/>
          </w:tcPr>
          <w:p w14:paraId="3892DC19" w14:textId="77777777" w:rsidR="009A4FF1" w:rsidRPr="00285126" w:rsidRDefault="009A4FF1" w:rsidP="00D27802">
            <w:pPr>
              <w:ind w:left="-33"/>
              <w:rPr>
                <w:rFonts w:ascii="Times New Roman" w:hAnsi="Times New Roman" w:cs="Times New Roman"/>
                <w:sz w:val="20"/>
                <w:szCs w:val="20"/>
              </w:rPr>
            </w:pPr>
            <w:r w:rsidRPr="00285126">
              <w:rPr>
                <w:rFonts w:ascii="Times New Roman" w:hAnsi="Times New Roman" w:cs="Times New Roman"/>
                <w:sz w:val="20"/>
                <w:szCs w:val="20"/>
              </w:rPr>
              <w:t>90</w:t>
            </w:r>
            <w:r w:rsidR="008415E5" w:rsidRPr="00285126">
              <w:rPr>
                <w:rFonts w:ascii="Times New Roman" w:hAnsi="Times New Roman" w:cs="Times New Roman"/>
                <w:sz w:val="20"/>
                <w:szCs w:val="20"/>
              </w:rPr>
              <w:t>.00</w:t>
            </w:r>
          </w:p>
        </w:tc>
        <w:tc>
          <w:tcPr>
            <w:tcW w:w="1214" w:type="dxa"/>
          </w:tcPr>
          <w:p w14:paraId="75126EBD" w14:textId="77777777" w:rsidR="009A4FF1" w:rsidRPr="00285126" w:rsidRDefault="009A4FF1" w:rsidP="00D27802">
            <w:pPr>
              <w:ind w:left="-33"/>
              <w:rPr>
                <w:rFonts w:ascii="Times New Roman" w:hAnsi="Times New Roman" w:cs="Times New Roman"/>
                <w:sz w:val="20"/>
                <w:szCs w:val="20"/>
              </w:rPr>
            </w:pPr>
            <w:r w:rsidRPr="00285126">
              <w:rPr>
                <w:rFonts w:ascii="Times New Roman" w:hAnsi="Times New Roman" w:cs="Times New Roman"/>
                <w:sz w:val="20"/>
                <w:szCs w:val="20"/>
              </w:rPr>
              <w:t>570</w:t>
            </w:r>
          </w:p>
        </w:tc>
      </w:tr>
      <w:tr w:rsidR="009A4FF1" w:rsidRPr="00285126" w14:paraId="587AC9ED" w14:textId="77777777" w:rsidTr="009A4FF1">
        <w:trPr>
          <w:trHeight w:val="402"/>
        </w:trPr>
        <w:tc>
          <w:tcPr>
            <w:tcW w:w="1418" w:type="dxa"/>
          </w:tcPr>
          <w:p w14:paraId="342AB6AF" w14:textId="77777777" w:rsidR="009A4FF1" w:rsidRPr="00285126" w:rsidRDefault="009A4FF1" w:rsidP="00D27802">
            <w:pPr>
              <w:ind w:left="-33"/>
              <w:rPr>
                <w:rFonts w:ascii="Times New Roman" w:hAnsi="Times New Roman" w:cs="Times New Roman"/>
                <w:sz w:val="20"/>
                <w:szCs w:val="20"/>
              </w:rPr>
            </w:pPr>
            <w:r w:rsidRPr="00285126">
              <w:rPr>
                <w:rFonts w:ascii="Times New Roman" w:hAnsi="Times New Roman" w:cs="Times New Roman"/>
                <w:sz w:val="20"/>
                <w:szCs w:val="20"/>
              </w:rPr>
              <w:t>Val</w:t>
            </w:r>
            <w:r w:rsidR="008415E5" w:rsidRPr="00285126">
              <w:rPr>
                <w:rFonts w:ascii="Times New Roman" w:hAnsi="Times New Roman" w:cs="Times New Roman"/>
                <w:sz w:val="20"/>
                <w:szCs w:val="20"/>
              </w:rPr>
              <w:t>u</w:t>
            </w:r>
            <w:r w:rsidRPr="00285126">
              <w:rPr>
                <w:rFonts w:ascii="Times New Roman" w:hAnsi="Times New Roman" w:cs="Times New Roman"/>
                <w:sz w:val="20"/>
                <w:szCs w:val="20"/>
              </w:rPr>
              <w:t>e Moy</w:t>
            </w:r>
          </w:p>
        </w:tc>
        <w:tc>
          <w:tcPr>
            <w:tcW w:w="1134" w:type="dxa"/>
          </w:tcPr>
          <w:p w14:paraId="65AF37EE" w14:textId="77777777" w:rsidR="009A4FF1" w:rsidRPr="00285126" w:rsidRDefault="009A4FF1" w:rsidP="00D27802">
            <w:pPr>
              <w:ind w:left="-33"/>
              <w:rPr>
                <w:rFonts w:ascii="Times New Roman" w:hAnsi="Times New Roman" w:cs="Times New Roman"/>
                <w:sz w:val="20"/>
                <w:szCs w:val="20"/>
              </w:rPr>
            </w:pPr>
            <w:r w:rsidRPr="00285126">
              <w:rPr>
                <w:rFonts w:ascii="Times New Roman" w:hAnsi="Times New Roman" w:cs="Times New Roman"/>
                <w:sz w:val="20"/>
                <w:szCs w:val="20"/>
              </w:rPr>
              <w:t>730</w:t>
            </w:r>
            <w:r w:rsidR="008415E5" w:rsidRPr="00285126">
              <w:rPr>
                <w:rFonts w:ascii="Times New Roman" w:hAnsi="Times New Roman" w:cs="Times New Roman"/>
                <w:sz w:val="20"/>
                <w:szCs w:val="20"/>
              </w:rPr>
              <w:t>.</w:t>
            </w:r>
            <w:r w:rsidRPr="00285126">
              <w:rPr>
                <w:rFonts w:ascii="Times New Roman" w:hAnsi="Times New Roman" w:cs="Times New Roman"/>
                <w:sz w:val="20"/>
                <w:szCs w:val="20"/>
              </w:rPr>
              <w:t>809</w:t>
            </w:r>
          </w:p>
        </w:tc>
        <w:tc>
          <w:tcPr>
            <w:tcW w:w="1275" w:type="dxa"/>
          </w:tcPr>
          <w:p w14:paraId="0E0195EF" w14:textId="77777777" w:rsidR="009A4FF1" w:rsidRPr="00285126" w:rsidRDefault="009A4FF1" w:rsidP="00D27802">
            <w:pPr>
              <w:rPr>
                <w:rFonts w:ascii="Times New Roman" w:hAnsi="Times New Roman" w:cs="Times New Roman"/>
                <w:sz w:val="20"/>
                <w:szCs w:val="20"/>
              </w:rPr>
            </w:pPr>
            <w:r w:rsidRPr="00285126">
              <w:rPr>
                <w:rFonts w:ascii="Times New Roman" w:hAnsi="Times New Roman" w:cs="Times New Roman"/>
                <w:sz w:val="20"/>
                <w:szCs w:val="20"/>
              </w:rPr>
              <w:t>0</w:t>
            </w:r>
          </w:p>
        </w:tc>
        <w:tc>
          <w:tcPr>
            <w:tcW w:w="1558" w:type="dxa"/>
          </w:tcPr>
          <w:p w14:paraId="6DE19796" w14:textId="77777777" w:rsidR="009A4FF1" w:rsidRPr="00285126" w:rsidRDefault="008415E5" w:rsidP="00D27802">
            <w:pPr>
              <w:ind w:left="-33"/>
              <w:rPr>
                <w:rFonts w:ascii="Times New Roman" w:hAnsi="Times New Roman" w:cs="Times New Roman"/>
                <w:sz w:val="20"/>
                <w:szCs w:val="20"/>
              </w:rPr>
            </w:pPr>
            <w:r w:rsidRPr="00285126">
              <w:rPr>
                <w:rFonts w:ascii="Times New Roman" w:hAnsi="Times New Roman" w:cs="Times New Roman"/>
                <w:sz w:val="20"/>
                <w:szCs w:val="20"/>
              </w:rPr>
              <w:t>90</w:t>
            </w:r>
          </w:p>
        </w:tc>
        <w:tc>
          <w:tcPr>
            <w:tcW w:w="1280" w:type="dxa"/>
          </w:tcPr>
          <w:p w14:paraId="02814451" w14:textId="77777777" w:rsidR="009A4FF1" w:rsidRPr="00285126" w:rsidRDefault="009A4FF1" w:rsidP="00D27802">
            <w:pPr>
              <w:ind w:left="-33"/>
              <w:rPr>
                <w:rFonts w:ascii="Times New Roman" w:hAnsi="Times New Roman" w:cs="Times New Roman"/>
                <w:sz w:val="20"/>
                <w:szCs w:val="20"/>
              </w:rPr>
            </w:pPr>
            <w:r w:rsidRPr="00285126">
              <w:rPr>
                <w:rFonts w:ascii="Times New Roman" w:hAnsi="Times New Roman" w:cs="Times New Roman"/>
                <w:sz w:val="20"/>
                <w:szCs w:val="20"/>
              </w:rPr>
              <w:t>76</w:t>
            </w:r>
            <w:r w:rsidR="008415E5" w:rsidRPr="00285126">
              <w:rPr>
                <w:rFonts w:ascii="Times New Roman" w:hAnsi="Times New Roman" w:cs="Times New Roman"/>
                <w:sz w:val="20"/>
                <w:szCs w:val="20"/>
              </w:rPr>
              <w:t>.</w:t>
            </w:r>
            <w:r w:rsidRPr="00285126">
              <w:rPr>
                <w:rFonts w:ascii="Times New Roman" w:hAnsi="Times New Roman" w:cs="Times New Roman"/>
                <w:sz w:val="20"/>
                <w:szCs w:val="20"/>
              </w:rPr>
              <w:t>4733</w:t>
            </w:r>
          </w:p>
        </w:tc>
        <w:tc>
          <w:tcPr>
            <w:tcW w:w="1133" w:type="dxa"/>
          </w:tcPr>
          <w:p w14:paraId="34267D6A" w14:textId="77777777" w:rsidR="009A4FF1" w:rsidRPr="00285126" w:rsidRDefault="009A4FF1" w:rsidP="00D27802">
            <w:pPr>
              <w:ind w:left="-33"/>
              <w:rPr>
                <w:rFonts w:ascii="Times New Roman" w:hAnsi="Times New Roman" w:cs="Times New Roman"/>
                <w:sz w:val="20"/>
                <w:szCs w:val="20"/>
              </w:rPr>
            </w:pPr>
            <w:r w:rsidRPr="00285126">
              <w:rPr>
                <w:rFonts w:ascii="Times New Roman" w:hAnsi="Times New Roman" w:cs="Times New Roman"/>
                <w:sz w:val="20"/>
                <w:szCs w:val="20"/>
              </w:rPr>
              <w:t>90</w:t>
            </w:r>
            <w:r w:rsidR="008415E5" w:rsidRPr="00285126">
              <w:rPr>
                <w:rFonts w:ascii="Times New Roman" w:hAnsi="Times New Roman" w:cs="Times New Roman"/>
                <w:sz w:val="20"/>
                <w:szCs w:val="20"/>
              </w:rPr>
              <w:t>.</w:t>
            </w:r>
            <w:r w:rsidRPr="00285126">
              <w:rPr>
                <w:rFonts w:ascii="Times New Roman" w:hAnsi="Times New Roman" w:cs="Times New Roman"/>
                <w:sz w:val="20"/>
                <w:szCs w:val="20"/>
              </w:rPr>
              <w:t>05</w:t>
            </w:r>
          </w:p>
        </w:tc>
        <w:tc>
          <w:tcPr>
            <w:tcW w:w="1214" w:type="dxa"/>
          </w:tcPr>
          <w:p w14:paraId="43A628DF" w14:textId="77777777" w:rsidR="009A4FF1" w:rsidRPr="00285126" w:rsidRDefault="009A4FF1" w:rsidP="00D27802">
            <w:pPr>
              <w:ind w:left="-33"/>
              <w:rPr>
                <w:rFonts w:ascii="Times New Roman" w:hAnsi="Times New Roman" w:cs="Times New Roman"/>
                <w:sz w:val="20"/>
                <w:szCs w:val="20"/>
              </w:rPr>
            </w:pPr>
            <w:r w:rsidRPr="00285126">
              <w:rPr>
                <w:rFonts w:ascii="Times New Roman" w:hAnsi="Times New Roman" w:cs="Times New Roman"/>
                <w:sz w:val="20"/>
                <w:szCs w:val="20"/>
              </w:rPr>
              <w:t>64</w:t>
            </w:r>
            <w:r w:rsidR="008415E5" w:rsidRPr="00285126">
              <w:rPr>
                <w:rFonts w:ascii="Times New Roman" w:hAnsi="Times New Roman" w:cs="Times New Roman"/>
                <w:sz w:val="20"/>
                <w:szCs w:val="20"/>
              </w:rPr>
              <w:t>0</w:t>
            </w:r>
          </w:p>
        </w:tc>
      </w:tr>
    </w:tbl>
    <w:p w14:paraId="79A17DE8" w14:textId="77777777" w:rsidR="00063B1E" w:rsidRPr="00285126" w:rsidRDefault="00063B1E" w:rsidP="00D27802">
      <w:pPr>
        <w:spacing w:after="0" w:line="240" w:lineRule="auto"/>
        <w:rPr>
          <w:rFonts w:ascii="Times New Roman" w:hAnsi="Times New Roman" w:cs="Times New Roman"/>
          <w:sz w:val="20"/>
          <w:szCs w:val="20"/>
        </w:rPr>
      </w:pPr>
      <w:r w:rsidRPr="00285126">
        <w:rPr>
          <w:rFonts w:ascii="Times New Roman" w:hAnsi="Times New Roman" w:cs="Times New Roman"/>
          <w:sz w:val="20"/>
          <w:szCs w:val="20"/>
        </w:rPr>
        <w:t xml:space="preserve"> </w:t>
      </w:r>
    </w:p>
    <w:p w14:paraId="4368344D" w14:textId="77777777" w:rsidR="00B026AD" w:rsidRPr="00285126" w:rsidRDefault="00B026AD" w:rsidP="00D27802">
      <w:pPr>
        <w:spacing w:before="240" w:after="0" w:line="360" w:lineRule="auto"/>
        <w:rPr>
          <w:rFonts w:ascii="Times New Roman" w:hAnsi="Times New Roman" w:cs="Times New Roman"/>
          <w:sz w:val="20"/>
          <w:szCs w:val="20"/>
        </w:rPr>
      </w:pPr>
      <w:r w:rsidRPr="00285126">
        <w:rPr>
          <w:rFonts w:ascii="Times New Roman" w:hAnsi="Times New Roman" w:cs="Times New Roman"/>
          <w:sz w:val="20"/>
          <w:szCs w:val="20"/>
        </w:rPr>
        <w:t>The reference density of gasoline at 15°C is 730 kg/m³, as mentioned in numerous studies [2], [10], [12], [13], [14], [15], [16], [17], [18] cited in the literature. Thus, given that the required density value can range from 730 to 780 kg/m³, the average value of 730.809 kg/m³ found falls within the range specified by the standards. Therefore, the gasoline studied has an acceptable density.</w:t>
      </w:r>
    </w:p>
    <w:p w14:paraId="0FAB541A" w14:textId="77777777" w:rsidR="00B026AD" w:rsidRPr="00285126" w:rsidRDefault="00B026AD" w:rsidP="00D27802">
      <w:pPr>
        <w:pStyle w:val="Caption"/>
        <w:keepNext/>
        <w:spacing w:after="0"/>
        <w:rPr>
          <w:rFonts w:ascii="Times New Roman" w:hAnsi="Times New Roman" w:cs="Times New Roman"/>
          <w:i w:val="0"/>
          <w:iCs w:val="0"/>
          <w:color w:val="auto"/>
          <w:sz w:val="20"/>
          <w:szCs w:val="20"/>
        </w:rPr>
      </w:pPr>
      <w:bookmarkStart w:id="2" w:name="_Toc203665111"/>
      <w:r w:rsidRPr="00285126">
        <w:rPr>
          <w:rFonts w:ascii="Times New Roman" w:hAnsi="Times New Roman" w:cs="Times New Roman"/>
          <w:i w:val="0"/>
          <w:iCs w:val="0"/>
          <w:color w:val="auto"/>
          <w:sz w:val="20"/>
          <w:szCs w:val="20"/>
        </w:rPr>
        <w:t xml:space="preserve">An analysis of Table I shows that the FCC gasoline does not meet the standards in terms of average octane rating, which is 90.05 below the 91 required by national specifications. Thus, apart from the copper strip </w:t>
      </w:r>
      <w:r w:rsidRPr="00285126">
        <w:rPr>
          <w:rFonts w:ascii="Times New Roman" w:hAnsi="Times New Roman" w:cs="Times New Roman"/>
          <w:i w:val="0"/>
          <w:iCs w:val="0"/>
          <w:color w:val="auto"/>
          <w:sz w:val="20"/>
          <w:szCs w:val="20"/>
        </w:rPr>
        <w:lastRenderedPageBreak/>
        <w:t>corrosion test and the mercaptan sulfur content, which meet national and international specifications, the gasoline’s average sulfur content of 640 ppm ≤10 or 50 ppm (international and ECOWAS standards, respectively) does not meet the standards. Consequently, the resulting gasoline cannot be released for consumption. However, it must undergo appropriate additional treatments (hydroprocessing, reforming, etc.) to improve its quality. Similarly, these results indicate that this RFCC gasoline is of acceptable quality despite the additional treatments it must undergo.</w:t>
      </w:r>
    </w:p>
    <w:p w14:paraId="3AC63307" w14:textId="77777777" w:rsidR="00B026AD" w:rsidRPr="00285126" w:rsidRDefault="00B026AD" w:rsidP="00D27802">
      <w:pPr>
        <w:pStyle w:val="Caption"/>
        <w:keepNext/>
        <w:rPr>
          <w:rFonts w:ascii="Times New Roman" w:hAnsi="Times New Roman" w:cs="Times New Roman"/>
          <w:i w:val="0"/>
          <w:iCs w:val="0"/>
          <w:color w:val="auto"/>
          <w:sz w:val="20"/>
          <w:szCs w:val="20"/>
        </w:rPr>
      </w:pPr>
      <w:r w:rsidRPr="00285126">
        <w:rPr>
          <w:rFonts w:ascii="Times New Roman" w:hAnsi="Times New Roman" w:cs="Times New Roman"/>
          <w:i w:val="0"/>
          <w:iCs w:val="0"/>
          <w:color w:val="auto"/>
          <w:sz w:val="20"/>
          <w:szCs w:val="20"/>
        </w:rPr>
        <w:t>To better understand the evolution of the parameters of the cracked heavy gasoline, we plotted the curves shown in Figure 2 using the data from Table II.</w:t>
      </w:r>
    </w:p>
    <w:p w14:paraId="60A05541" w14:textId="77777777" w:rsidR="00063B1E" w:rsidRPr="00285126" w:rsidRDefault="00063B1E" w:rsidP="00D27802">
      <w:pPr>
        <w:pStyle w:val="Caption"/>
        <w:keepNext/>
        <w:spacing w:before="240"/>
        <w:rPr>
          <w:rFonts w:ascii="Times New Roman" w:hAnsi="Times New Roman" w:cs="Times New Roman"/>
          <w:i w:val="0"/>
          <w:color w:val="auto"/>
          <w:sz w:val="20"/>
          <w:szCs w:val="20"/>
        </w:rPr>
      </w:pPr>
      <w:r w:rsidRPr="00285126">
        <w:rPr>
          <w:rFonts w:ascii="Times New Roman" w:hAnsi="Times New Roman" w:cs="Times New Roman"/>
          <w:i w:val="0"/>
          <w:color w:val="auto"/>
          <w:sz w:val="20"/>
          <w:szCs w:val="20"/>
        </w:rPr>
        <w:t xml:space="preserve">Table </w:t>
      </w:r>
      <w:r w:rsidRPr="00285126">
        <w:rPr>
          <w:rFonts w:ascii="Times New Roman" w:hAnsi="Times New Roman" w:cs="Times New Roman"/>
          <w:i w:val="0"/>
          <w:color w:val="auto"/>
          <w:sz w:val="20"/>
          <w:szCs w:val="20"/>
        </w:rPr>
        <w:fldChar w:fldCharType="begin"/>
      </w:r>
      <w:r w:rsidRPr="00285126">
        <w:rPr>
          <w:rFonts w:ascii="Times New Roman" w:hAnsi="Times New Roman" w:cs="Times New Roman"/>
          <w:i w:val="0"/>
          <w:color w:val="auto"/>
          <w:sz w:val="20"/>
          <w:szCs w:val="20"/>
        </w:rPr>
        <w:instrText xml:space="preserve"> SEQ Tableau \* ROMAN </w:instrText>
      </w:r>
      <w:r w:rsidRPr="00285126">
        <w:rPr>
          <w:rFonts w:ascii="Times New Roman" w:hAnsi="Times New Roman" w:cs="Times New Roman"/>
          <w:i w:val="0"/>
          <w:color w:val="auto"/>
          <w:sz w:val="20"/>
          <w:szCs w:val="20"/>
        </w:rPr>
        <w:fldChar w:fldCharType="separate"/>
      </w:r>
      <w:r w:rsidRPr="00285126">
        <w:rPr>
          <w:rFonts w:ascii="Times New Roman" w:hAnsi="Times New Roman" w:cs="Times New Roman"/>
          <w:i w:val="0"/>
          <w:noProof/>
          <w:color w:val="auto"/>
          <w:sz w:val="20"/>
          <w:szCs w:val="20"/>
        </w:rPr>
        <w:t>II</w:t>
      </w:r>
      <w:r w:rsidRPr="00285126">
        <w:rPr>
          <w:rFonts w:ascii="Times New Roman" w:hAnsi="Times New Roman" w:cs="Times New Roman"/>
          <w:i w:val="0"/>
          <w:color w:val="auto"/>
          <w:sz w:val="20"/>
          <w:szCs w:val="20"/>
        </w:rPr>
        <w:fldChar w:fldCharType="end"/>
      </w:r>
      <w:r w:rsidRPr="00285126">
        <w:rPr>
          <w:rFonts w:ascii="Times New Roman" w:hAnsi="Times New Roman" w:cs="Times New Roman"/>
          <w:i w:val="0"/>
          <w:color w:val="auto"/>
          <w:sz w:val="20"/>
          <w:szCs w:val="20"/>
        </w:rPr>
        <w:t xml:space="preserve">: </w:t>
      </w:r>
      <w:bookmarkEnd w:id="2"/>
      <w:r w:rsidR="00B026AD" w:rsidRPr="00285126">
        <w:rPr>
          <w:rFonts w:ascii="Times New Roman" w:hAnsi="Times New Roman" w:cs="Times New Roman"/>
          <w:i w:val="0"/>
          <w:color w:val="auto"/>
          <w:sz w:val="20"/>
          <w:szCs w:val="20"/>
        </w:rPr>
        <w:t>physicochemical properties of FCC heavy naphtha</w:t>
      </w:r>
    </w:p>
    <w:tbl>
      <w:tblPr>
        <w:tblStyle w:val="PlainTable2"/>
        <w:tblW w:w="8931" w:type="dxa"/>
        <w:tblLook w:val="0620" w:firstRow="1" w:lastRow="0" w:firstColumn="0" w:lastColumn="0" w:noHBand="1" w:noVBand="1"/>
      </w:tblPr>
      <w:tblGrid>
        <w:gridCol w:w="1621"/>
        <w:gridCol w:w="2632"/>
        <w:gridCol w:w="2747"/>
        <w:gridCol w:w="1931"/>
      </w:tblGrid>
      <w:tr w:rsidR="00063B1E" w:rsidRPr="00285126" w14:paraId="4FA66106" w14:textId="77777777" w:rsidTr="00E35ACE">
        <w:trPr>
          <w:cnfStyle w:val="100000000000" w:firstRow="1" w:lastRow="0" w:firstColumn="0" w:lastColumn="0" w:oddVBand="0" w:evenVBand="0" w:oddHBand="0" w:evenHBand="0" w:firstRowFirstColumn="0" w:firstRowLastColumn="0" w:lastRowFirstColumn="0" w:lastRowLastColumn="0"/>
          <w:trHeight w:val="369"/>
        </w:trPr>
        <w:tc>
          <w:tcPr>
            <w:tcW w:w="1621" w:type="dxa"/>
            <w:noWrap/>
            <w:hideMark/>
          </w:tcPr>
          <w:p w14:paraId="01F383EC" w14:textId="77777777" w:rsidR="00063B1E" w:rsidRPr="00285126" w:rsidRDefault="00B026AD"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Day</w:t>
            </w:r>
            <w:r w:rsidR="00063B1E" w:rsidRPr="00285126">
              <w:rPr>
                <w:rFonts w:ascii="Times New Roman" w:eastAsia="Times New Roman" w:hAnsi="Times New Roman" w:cs="Times New Roman"/>
                <w:color w:val="000000"/>
                <w:sz w:val="20"/>
                <w:szCs w:val="20"/>
                <w:lang w:eastAsia="fr-FR"/>
              </w:rPr>
              <w:t>s</w:t>
            </w:r>
          </w:p>
        </w:tc>
        <w:tc>
          <w:tcPr>
            <w:tcW w:w="2632" w:type="dxa"/>
            <w:noWrap/>
            <w:hideMark/>
          </w:tcPr>
          <w:p w14:paraId="76189806" w14:textId="77777777" w:rsidR="00063B1E" w:rsidRPr="00285126" w:rsidRDefault="00063B1E"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Densit</w:t>
            </w:r>
            <w:r w:rsidR="00E84519" w:rsidRPr="00285126">
              <w:rPr>
                <w:rFonts w:ascii="Times New Roman" w:eastAsia="Times New Roman" w:hAnsi="Times New Roman" w:cs="Times New Roman"/>
                <w:color w:val="000000"/>
                <w:sz w:val="20"/>
                <w:szCs w:val="20"/>
                <w:lang w:eastAsia="fr-FR"/>
              </w:rPr>
              <w:t>y</w:t>
            </w:r>
            <w:r w:rsidRPr="00285126">
              <w:rPr>
                <w:rFonts w:ascii="Times New Roman" w:eastAsia="Times New Roman" w:hAnsi="Times New Roman" w:cs="Times New Roman"/>
                <w:color w:val="000000"/>
                <w:sz w:val="20"/>
                <w:szCs w:val="20"/>
                <w:lang w:eastAsia="fr-FR"/>
              </w:rPr>
              <w:t xml:space="preserve"> </w:t>
            </w:r>
            <w:r w:rsidR="00E84519" w:rsidRPr="00285126">
              <w:rPr>
                <w:rFonts w:ascii="Times New Roman" w:eastAsia="Times New Roman" w:hAnsi="Times New Roman" w:cs="Times New Roman"/>
                <w:color w:val="000000"/>
                <w:sz w:val="20"/>
                <w:szCs w:val="20"/>
                <w:lang w:eastAsia="fr-FR"/>
              </w:rPr>
              <w:t>at</w:t>
            </w:r>
            <w:r w:rsidRPr="00285126">
              <w:rPr>
                <w:rFonts w:ascii="Times New Roman" w:eastAsia="Times New Roman" w:hAnsi="Times New Roman" w:cs="Times New Roman"/>
                <w:color w:val="000000"/>
                <w:sz w:val="20"/>
                <w:szCs w:val="20"/>
                <w:lang w:eastAsia="fr-FR"/>
              </w:rPr>
              <w:t xml:space="preserve"> 15°C (kg/m</w:t>
            </w:r>
            <w:r w:rsidRPr="00285126">
              <w:rPr>
                <w:rFonts w:ascii="Times New Roman" w:eastAsia="Times New Roman" w:hAnsi="Times New Roman" w:cs="Times New Roman"/>
                <w:color w:val="000000"/>
                <w:sz w:val="20"/>
                <w:szCs w:val="20"/>
                <w:vertAlign w:val="superscript"/>
                <w:lang w:eastAsia="fr-FR"/>
              </w:rPr>
              <w:t>3</w:t>
            </w:r>
            <w:r w:rsidRPr="00285126">
              <w:rPr>
                <w:rFonts w:ascii="Times New Roman" w:eastAsia="Times New Roman" w:hAnsi="Times New Roman" w:cs="Times New Roman"/>
                <w:color w:val="000000"/>
                <w:sz w:val="20"/>
                <w:szCs w:val="20"/>
                <w:lang w:eastAsia="fr-FR"/>
              </w:rPr>
              <w:t>)</w:t>
            </w:r>
          </w:p>
        </w:tc>
        <w:tc>
          <w:tcPr>
            <w:tcW w:w="2747" w:type="dxa"/>
            <w:noWrap/>
            <w:hideMark/>
          </w:tcPr>
          <w:p w14:paraId="288D0D3A" w14:textId="77777777" w:rsidR="00063B1E" w:rsidRPr="00285126" w:rsidRDefault="00E84519"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 xml:space="preserve">Sulfur content </w:t>
            </w:r>
            <w:r w:rsidR="00063B1E" w:rsidRPr="00285126">
              <w:rPr>
                <w:rFonts w:ascii="Times New Roman" w:eastAsia="Times New Roman" w:hAnsi="Times New Roman" w:cs="Times New Roman"/>
                <w:color w:val="000000"/>
                <w:sz w:val="20"/>
                <w:szCs w:val="20"/>
                <w:lang w:eastAsia="fr-FR"/>
              </w:rPr>
              <w:t>(ppm)</w:t>
            </w:r>
          </w:p>
        </w:tc>
        <w:tc>
          <w:tcPr>
            <w:tcW w:w="1931" w:type="dxa"/>
            <w:noWrap/>
            <w:hideMark/>
          </w:tcPr>
          <w:p w14:paraId="46413BF8" w14:textId="77777777" w:rsidR="00063B1E" w:rsidRPr="00285126" w:rsidRDefault="00E84519"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Octane rating</w:t>
            </w:r>
          </w:p>
        </w:tc>
      </w:tr>
      <w:tr w:rsidR="00063B1E" w:rsidRPr="00285126" w14:paraId="0CD569A1" w14:textId="77777777" w:rsidTr="00E35ACE">
        <w:trPr>
          <w:trHeight w:val="369"/>
        </w:trPr>
        <w:tc>
          <w:tcPr>
            <w:tcW w:w="1621" w:type="dxa"/>
            <w:noWrap/>
            <w:hideMark/>
          </w:tcPr>
          <w:p w14:paraId="3CE50B68" w14:textId="77777777" w:rsidR="00063B1E" w:rsidRPr="00285126" w:rsidRDefault="00B026AD"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Day</w:t>
            </w:r>
            <w:r w:rsidR="00063B1E" w:rsidRPr="00285126">
              <w:rPr>
                <w:rFonts w:ascii="Times New Roman" w:eastAsia="Times New Roman" w:hAnsi="Times New Roman" w:cs="Times New Roman"/>
                <w:color w:val="000000"/>
                <w:sz w:val="20"/>
                <w:szCs w:val="20"/>
                <w:lang w:eastAsia="fr-FR"/>
              </w:rPr>
              <w:t>1</w:t>
            </w:r>
          </w:p>
        </w:tc>
        <w:tc>
          <w:tcPr>
            <w:tcW w:w="2632" w:type="dxa"/>
            <w:noWrap/>
            <w:hideMark/>
          </w:tcPr>
          <w:p w14:paraId="39F361A9" w14:textId="77777777" w:rsidR="00063B1E" w:rsidRPr="00285126" w:rsidRDefault="00063B1E"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730</w:t>
            </w:r>
            <w:r w:rsidR="00B026AD" w:rsidRPr="00285126">
              <w:rPr>
                <w:rFonts w:ascii="Times New Roman" w:eastAsia="Times New Roman" w:hAnsi="Times New Roman" w:cs="Times New Roman"/>
                <w:color w:val="000000"/>
                <w:sz w:val="20"/>
                <w:szCs w:val="20"/>
                <w:lang w:eastAsia="fr-FR"/>
              </w:rPr>
              <w:t>.</w:t>
            </w:r>
            <w:r w:rsidRPr="00285126">
              <w:rPr>
                <w:rFonts w:ascii="Times New Roman" w:eastAsia="Times New Roman" w:hAnsi="Times New Roman" w:cs="Times New Roman"/>
                <w:color w:val="000000"/>
                <w:sz w:val="20"/>
                <w:szCs w:val="20"/>
                <w:lang w:eastAsia="fr-FR"/>
              </w:rPr>
              <w:t>10</w:t>
            </w:r>
          </w:p>
        </w:tc>
        <w:tc>
          <w:tcPr>
            <w:tcW w:w="2747" w:type="dxa"/>
            <w:noWrap/>
            <w:hideMark/>
          </w:tcPr>
          <w:p w14:paraId="48F651CF" w14:textId="77777777" w:rsidR="00063B1E" w:rsidRPr="00285126" w:rsidRDefault="00063B1E"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68</w:t>
            </w:r>
            <w:r w:rsidR="00B026AD" w:rsidRPr="00285126">
              <w:rPr>
                <w:rFonts w:ascii="Times New Roman" w:eastAsia="Times New Roman" w:hAnsi="Times New Roman" w:cs="Times New Roman"/>
                <w:color w:val="000000"/>
                <w:sz w:val="20"/>
                <w:szCs w:val="20"/>
                <w:lang w:eastAsia="fr-FR"/>
              </w:rPr>
              <w:t>0</w:t>
            </w:r>
          </w:p>
        </w:tc>
        <w:tc>
          <w:tcPr>
            <w:tcW w:w="1931" w:type="dxa"/>
            <w:noWrap/>
            <w:hideMark/>
          </w:tcPr>
          <w:p w14:paraId="2CAD3BA1" w14:textId="77777777" w:rsidR="00063B1E" w:rsidRPr="00285126" w:rsidRDefault="00063B1E"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90</w:t>
            </w:r>
            <w:r w:rsidR="00B026AD" w:rsidRPr="00285126">
              <w:rPr>
                <w:rFonts w:ascii="Times New Roman" w:eastAsia="Times New Roman" w:hAnsi="Times New Roman" w:cs="Times New Roman"/>
                <w:color w:val="000000"/>
                <w:sz w:val="20"/>
                <w:szCs w:val="20"/>
                <w:lang w:eastAsia="fr-FR"/>
              </w:rPr>
              <w:t>.</w:t>
            </w:r>
            <w:r w:rsidRPr="00285126">
              <w:rPr>
                <w:rFonts w:ascii="Times New Roman" w:eastAsia="Times New Roman" w:hAnsi="Times New Roman" w:cs="Times New Roman"/>
                <w:color w:val="000000"/>
                <w:sz w:val="20"/>
                <w:szCs w:val="20"/>
                <w:lang w:eastAsia="fr-FR"/>
              </w:rPr>
              <w:t>0</w:t>
            </w:r>
          </w:p>
        </w:tc>
      </w:tr>
      <w:tr w:rsidR="00063B1E" w:rsidRPr="00285126" w14:paraId="73427D28" w14:textId="77777777" w:rsidTr="00E35ACE">
        <w:trPr>
          <w:trHeight w:val="369"/>
        </w:trPr>
        <w:tc>
          <w:tcPr>
            <w:tcW w:w="1621" w:type="dxa"/>
            <w:noWrap/>
            <w:hideMark/>
          </w:tcPr>
          <w:p w14:paraId="72420CAB" w14:textId="77777777" w:rsidR="00063B1E" w:rsidRPr="00285126" w:rsidRDefault="00B026AD"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Day</w:t>
            </w:r>
            <w:r w:rsidR="00063B1E" w:rsidRPr="00285126">
              <w:rPr>
                <w:rFonts w:ascii="Times New Roman" w:eastAsia="Times New Roman" w:hAnsi="Times New Roman" w:cs="Times New Roman"/>
                <w:color w:val="000000"/>
                <w:sz w:val="20"/>
                <w:szCs w:val="20"/>
                <w:lang w:eastAsia="fr-FR"/>
              </w:rPr>
              <w:t>2</w:t>
            </w:r>
          </w:p>
        </w:tc>
        <w:tc>
          <w:tcPr>
            <w:tcW w:w="2632" w:type="dxa"/>
            <w:noWrap/>
            <w:hideMark/>
          </w:tcPr>
          <w:p w14:paraId="6AECEB63" w14:textId="77777777" w:rsidR="00063B1E" w:rsidRPr="00285126" w:rsidRDefault="00063B1E"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736</w:t>
            </w:r>
            <w:r w:rsidR="00B026AD" w:rsidRPr="00285126">
              <w:rPr>
                <w:rFonts w:ascii="Times New Roman" w:eastAsia="Times New Roman" w:hAnsi="Times New Roman" w:cs="Times New Roman"/>
                <w:color w:val="000000"/>
                <w:sz w:val="20"/>
                <w:szCs w:val="20"/>
                <w:lang w:eastAsia="fr-FR"/>
              </w:rPr>
              <w:t>.</w:t>
            </w:r>
            <w:r w:rsidRPr="00285126">
              <w:rPr>
                <w:rFonts w:ascii="Times New Roman" w:eastAsia="Times New Roman" w:hAnsi="Times New Roman" w:cs="Times New Roman"/>
                <w:color w:val="000000"/>
                <w:sz w:val="20"/>
                <w:szCs w:val="20"/>
                <w:lang w:eastAsia="fr-FR"/>
              </w:rPr>
              <w:t>90</w:t>
            </w:r>
          </w:p>
        </w:tc>
        <w:tc>
          <w:tcPr>
            <w:tcW w:w="2747" w:type="dxa"/>
            <w:noWrap/>
            <w:hideMark/>
          </w:tcPr>
          <w:p w14:paraId="1E0F2B21" w14:textId="77777777" w:rsidR="00063B1E" w:rsidRPr="00285126" w:rsidRDefault="00063B1E"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65</w:t>
            </w:r>
            <w:r w:rsidR="00B026AD" w:rsidRPr="00285126">
              <w:rPr>
                <w:rFonts w:ascii="Times New Roman" w:eastAsia="Times New Roman" w:hAnsi="Times New Roman" w:cs="Times New Roman"/>
                <w:color w:val="000000"/>
                <w:sz w:val="20"/>
                <w:szCs w:val="20"/>
                <w:lang w:eastAsia="fr-FR"/>
              </w:rPr>
              <w:t>0</w:t>
            </w:r>
          </w:p>
        </w:tc>
        <w:tc>
          <w:tcPr>
            <w:tcW w:w="1931" w:type="dxa"/>
            <w:noWrap/>
            <w:hideMark/>
          </w:tcPr>
          <w:p w14:paraId="46F655B3" w14:textId="77777777" w:rsidR="00063B1E" w:rsidRPr="00285126" w:rsidRDefault="00063B1E"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90</w:t>
            </w:r>
            <w:r w:rsidR="00B026AD" w:rsidRPr="00285126">
              <w:rPr>
                <w:rFonts w:ascii="Times New Roman" w:eastAsia="Times New Roman" w:hAnsi="Times New Roman" w:cs="Times New Roman"/>
                <w:color w:val="000000"/>
                <w:sz w:val="20"/>
                <w:szCs w:val="20"/>
                <w:lang w:eastAsia="fr-FR"/>
              </w:rPr>
              <w:t>.</w:t>
            </w:r>
            <w:r w:rsidRPr="00285126">
              <w:rPr>
                <w:rFonts w:ascii="Times New Roman" w:eastAsia="Times New Roman" w:hAnsi="Times New Roman" w:cs="Times New Roman"/>
                <w:color w:val="000000"/>
                <w:sz w:val="20"/>
                <w:szCs w:val="20"/>
                <w:lang w:eastAsia="fr-FR"/>
              </w:rPr>
              <w:t>1</w:t>
            </w:r>
          </w:p>
        </w:tc>
      </w:tr>
      <w:tr w:rsidR="00063B1E" w:rsidRPr="00285126" w14:paraId="2F445B99" w14:textId="77777777" w:rsidTr="00E35ACE">
        <w:trPr>
          <w:trHeight w:val="369"/>
        </w:trPr>
        <w:tc>
          <w:tcPr>
            <w:tcW w:w="1621" w:type="dxa"/>
            <w:noWrap/>
            <w:hideMark/>
          </w:tcPr>
          <w:p w14:paraId="58C84C29" w14:textId="77777777" w:rsidR="00063B1E" w:rsidRPr="00285126" w:rsidRDefault="00B026AD"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Day</w:t>
            </w:r>
            <w:r w:rsidR="00063B1E" w:rsidRPr="00285126">
              <w:rPr>
                <w:rFonts w:ascii="Times New Roman" w:eastAsia="Times New Roman" w:hAnsi="Times New Roman" w:cs="Times New Roman"/>
                <w:color w:val="000000"/>
                <w:sz w:val="20"/>
                <w:szCs w:val="20"/>
                <w:lang w:eastAsia="fr-FR"/>
              </w:rPr>
              <w:t>3</w:t>
            </w:r>
          </w:p>
        </w:tc>
        <w:tc>
          <w:tcPr>
            <w:tcW w:w="2632" w:type="dxa"/>
            <w:noWrap/>
            <w:hideMark/>
          </w:tcPr>
          <w:p w14:paraId="171E98A3" w14:textId="77777777" w:rsidR="00063B1E" w:rsidRPr="00285126" w:rsidRDefault="00063B1E"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732</w:t>
            </w:r>
            <w:r w:rsidR="00B026AD" w:rsidRPr="00285126">
              <w:rPr>
                <w:rFonts w:ascii="Times New Roman" w:eastAsia="Times New Roman" w:hAnsi="Times New Roman" w:cs="Times New Roman"/>
                <w:color w:val="000000"/>
                <w:sz w:val="20"/>
                <w:szCs w:val="20"/>
                <w:lang w:eastAsia="fr-FR"/>
              </w:rPr>
              <w:t>.</w:t>
            </w:r>
            <w:r w:rsidRPr="00285126">
              <w:rPr>
                <w:rFonts w:ascii="Times New Roman" w:eastAsia="Times New Roman" w:hAnsi="Times New Roman" w:cs="Times New Roman"/>
                <w:color w:val="000000"/>
                <w:sz w:val="20"/>
                <w:szCs w:val="20"/>
                <w:lang w:eastAsia="fr-FR"/>
              </w:rPr>
              <w:t>10</w:t>
            </w:r>
          </w:p>
        </w:tc>
        <w:tc>
          <w:tcPr>
            <w:tcW w:w="2747" w:type="dxa"/>
            <w:noWrap/>
            <w:hideMark/>
          </w:tcPr>
          <w:p w14:paraId="0BD27398" w14:textId="77777777" w:rsidR="00063B1E" w:rsidRPr="00285126" w:rsidRDefault="00063B1E"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65</w:t>
            </w:r>
            <w:r w:rsidR="00B026AD" w:rsidRPr="00285126">
              <w:rPr>
                <w:rFonts w:ascii="Times New Roman" w:eastAsia="Times New Roman" w:hAnsi="Times New Roman" w:cs="Times New Roman"/>
                <w:color w:val="000000"/>
                <w:sz w:val="20"/>
                <w:szCs w:val="20"/>
                <w:lang w:eastAsia="fr-FR"/>
              </w:rPr>
              <w:t>0</w:t>
            </w:r>
          </w:p>
        </w:tc>
        <w:tc>
          <w:tcPr>
            <w:tcW w:w="1931" w:type="dxa"/>
            <w:noWrap/>
            <w:hideMark/>
          </w:tcPr>
          <w:p w14:paraId="23A9418C" w14:textId="77777777" w:rsidR="00063B1E" w:rsidRPr="00285126" w:rsidRDefault="00063B1E"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90</w:t>
            </w:r>
            <w:r w:rsidR="00B026AD" w:rsidRPr="00285126">
              <w:rPr>
                <w:rFonts w:ascii="Times New Roman" w:eastAsia="Times New Roman" w:hAnsi="Times New Roman" w:cs="Times New Roman"/>
                <w:color w:val="000000"/>
                <w:sz w:val="20"/>
                <w:szCs w:val="20"/>
                <w:lang w:eastAsia="fr-FR"/>
              </w:rPr>
              <w:t>.</w:t>
            </w:r>
            <w:r w:rsidRPr="00285126">
              <w:rPr>
                <w:rFonts w:ascii="Times New Roman" w:eastAsia="Times New Roman" w:hAnsi="Times New Roman" w:cs="Times New Roman"/>
                <w:color w:val="000000"/>
                <w:sz w:val="20"/>
                <w:szCs w:val="20"/>
                <w:lang w:eastAsia="fr-FR"/>
              </w:rPr>
              <w:t>0</w:t>
            </w:r>
          </w:p>
        </w:tc>
      </w:tr>
      <w:tr w:rsidR="00063B1E" w:rsidRPr="00285126" w14:paraId="0C98661B" w14:textId="77777777" w:rsidTr="00E35ACE">
        <w:trPr>
          <w:trHeight w:val="369"/>
        </w:trPr>
        <w:tc>
          <w:tcPr>
            <w:tcW w:w="1621" w:type="dxa"/>
            <w:noWrap/>
            <w:hideMark/>
          </w:tcPr>
          <w:p w14:paraId="6C7AB7D9" w14:textId="77777777" w:rsidR="00063B1E" w:rsidRPr="00285126" w:rsidRDefault="00B026AD"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Day</w:t>
            </w:r>
            <w:r w:rsidR="00063B1E" w:rsidRPr="00285126">
              <w:rPr>
                <w:rFonts w:ascii="Times New Roman" w:eastAsia="Times New Roman" w:hAnsi="Times New Roman" w:cs="Times New Roman"/>
                <w:color w:val="000000"/>
                <w:sz w:val="20"/>
                <w:szCs w:val="20"/>
                <w:lang w:eastAsia="fr-FR"/>
              </w:rPr>
              <w:t>4</w:t>
            </w:r>
          </w:p>
        </w:tc>
        <w:tc>
          <w:tcPr>
            <w:tcW w:w="2632" w:type="dxa"/>
            <w:noWrap/>
            <w:hideMark/>
          </w:tcPr>
          <w:p w14:paraId="3AEBF3AC" w14:textId="77777777" w:rsidR="00063B1E" w:rsidRPr="00285126" w:rsidRDefault="00063B1E"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731</w:t>
            </w:r>
            <w:r w:rsidR="00B026AD" w:rsidRPr="00285126">
              <w:rPr>
                <w:rFonts w:ascii="Times New Roman" w:eastAsia="Times New Roman" w:hAnsi="Times New Roman" w:cs="Times New Roman"/>
                <w:color w:val="000000"/>
                <w:sz w:val="20"/>
                <w:szCs w:val="20"/>
                <w:lang w:eastAsia="fr-FR"/>
              </w:rPr>
              <w:t>.</w:t>
            </w:r>
            <w:r w:rsidRPr="00285126">
              <w:rPr>
                <w:rFonts w:ascii="Times New Roman" w:eastAsia="Times New Roman" w:hAnsi="Times New Roman" w:cs="Times New Roman"/>
                <w:color w:val="000000"/>
                <w:sz w:val="20"/>
                <w:szCs w:val="20"/>
                <w:lang w:eastAsia="fr-FR"/>
              </w:rPr>
              <w:t>80</w:t>
            </w:r>
          </w:p>
        </w:tc>
        <w:tc>
          <w:tcPr>
            <w:tcW w:w="2747" w:type="dxa"/>
            <w:noWrap/>
            <w:hideMark/>
          </w:tcPr>
          <w:p w14:paraId="08EFE06F" w14:textId="77777777" w:rsidR="00063B1E" w:rsidRPr="00285126" w:rsidRDefault="00063B1E"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66</w:t>
            </w:r>
            <w:r w:rsidR="00B026AD" w:rsidRPr="00285126">
              <w:rPr>
                <w:rFonts w:ascii="Times New Roman" w:eastAsia="Times New Roman" w:hAnsi="Times New Roman" w:cs="Times New Roman"/>
                <w:color w:val="000000"/>
                <w:sz w:val="20"/>
                <w:szCs w:val="20"/>
                <w:lang w:eastAsia="fr-FR"/>
              </w:rPr>
              <w:t>0</w:t>
            </w:r>
          </w:p>
        </w:tc>
        <w:tc>
          <w:tcPr>
            <w:tcW w:w="1931" w:type="dxa"/>
            <w:noWrap/>
            <w:hideMark/>
          </w:tcPr>
          <w:p w14:paraId="7581B8B8" w14:textId="77777777" w:rsidR="00063B1E" w:rsidRPr="00285126" w:rsidRDefault="00063B1E"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90</w:t>
            </w:r>
            <w:r w:rsidR="00B026AD" w:rsidRPr="00285126">
              <w:rPr>
                <w:rFonts w:ascii="Times New Roman" w:eastAsia="Times New Roman" w:hAnsi="Times New Roman" w:cs="Times New Roman"/>
                <w:color w:val="000000"/>
                <w:sz w:val="20"/>
                <w:szCs w:val="20"/>
                <w:lang w:eastAsia="fr-FR"/>
              </w:rPr>
              <w:t>.</w:t>
            </w:r>
            <w:r w:rsidRPr="00285126">
              <w:rPr>
                <w:rFonts w:ascii="Times New Roman" w:eastAsia="Times New Roman" w:hAnsi="Times New Roman" w:cs="Times New Roman"/>
                <w:color w:val="000000"/>
                <w:sz w:val="20"/>
                <w:szCs w:val="20"/>
                <w:lang w:eastAsia="fr-FR"/>
              </w:rPr>
              <w:t>0</w:t>
            </w:r>
          </w:p>
        </w:tc>
      </w:tr>
      <w:tr w:rsidR="00063B1E" w:rsidRPr="00285126" w14:paraId="1F825688" w14:textId="77777777" w:rsidTr="00E35ACE">
        <w:trPr>
          <w:trHeight w:val="369"/>
        </w:trPr>
        <w:tc>
          <w:tcPr>
            <w:tcW w:w="1621" w:type="dxa"/>
            <w:noWrap/>
            <w:hideMark/>
          </w:tcPr>
          <w:p w14:paraId="4D91C5A4" w14:textId="77777777" w:rsidR="00063B1E" w:rsidRPr="00285126" w:rsidRDefault="00B026AD"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Day</w:t>
            </w:r>
            <w:r w:rsidR="00063B1E" w:rsidRPr="00285126">
              <w:rPr>
                <w:rFonts w:ascii="Times New Roman" w:eastAsia="Times New Roman" w:hAnsi="Times New Roman" w:cs="Times New Roman"/>
                <w:color w:val="000000"/>
                <w:sz w:val="20"/>
                <w:szCs w:val="20"/>
                <w:lang w:eastAsia="fr-FR"/>
              </w:rPr>
              <w:t>5</w:t>
            </w:r>
          </w:p>
        </w:tc>
        <w:tc>
          <w:tcPr>
            <w:tcW w:w="2632" w:type="dxa"/>
            <w:noWrap/>
            <w:hideMark/>
          </w:tcPr>
          <w:p w14:paraId="6C580861" w14:textId="77777777" w:rsidR="00063B1E" w:rsidRPr="00285126" w:rsidRDefault="00063B1E"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730</w:t>
            </w:r>
            <w:r w:rsidR="00B026AD" w:rsidRPr="00285126">
              <w:rPr>
                <w:rFonts w:ascii="Times New Roman" w:eastAsia="Times New Roman" w:hAnsi="Times New Roman" w:cs="Times New Roman"/>
                <w:color w:val="000000"/>
                <w:sz w:val="20"/>
                <w:szCs w:val="20"/>
                <w:lang w:eastAsia="fr-FR"/>
              </w:rPr>
              <w:t>.</w:t>
            </w:r>
            <w:r w:rsidRPr="00285126">
              <w:rPr>
                <w:rFonts w:ascii="Times New Roman" w:eastAsia="Times New Roman" w:hAnsi="Times New Roman" w:cs="Times New Roman"/>
                <w:color w:val="000000"/>
                <w:sz w:val="20"/>
                <w:szCs w:val="20"/>
                <w:lang w:eastAsia="fr-FR"/>
              </w:rPr>
              <w:t>80</w:t>
            </w:r>
          </w:p>
        </w:tc>
        <w:tc>
          <w:tcPr>
            <w:tcW w:w="2747" w:type="dxa"/>
            <w:noWrap/>
            <w:hideMark/>
          </w:tcPr>
          <w:p w14:paraId="08466F59" w14:textId="77777777" w:rsidR="00063B1E" w:rsidRPr="00285126" w:rsidRDefault="00063B1E"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63</w:t>
            </w:r>
            <w:r w:rsidR="00B026AD" w:rsidRPr="00285126">
              <w:rPr>
                <w:rFonts w:ascii="Times New Roman" w:eastAsia="Times New Roman" w:hAnsi="Times New Roman" w:cs="Times New Roman"/>
                <w:color w:val="000000"/>
                <w:sz w:val="20"/>
                <w:szCs w:val="20"/>
                <w:lang w:eastAsia="fr-FR"/>
              </w:rPr>
              <w:t>0</w:t>
            </w:r>
          </w:p>
        </w:tc>
        <w:tc>
          <w:tcPr>
            <w:tcW w:w="1931" w:type="dxa"/>
            <w:noWrap/>
            <w:hideMark/>
          </w:tcPr>
          <w:p w14:paraId="112A516C" w14:textId="77777777" w:rsidR="00063B1E" w:rsidRPr="00285126" w:rsidRDefault="00063B1E"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90</w:t>
            </w:r>
            <w:r w:rsidR="00B026AD" w:rsidRPr="00285126">
              <w:rPr>
                <w:rFonts w:ascii="Times New Roman" w:eastAsia="Times New Roman" w:hAnsi="Times New Roman" w:cs="Times New Roman"/>
                <w:color w:val="000000"/>
                <w:sz w:val="20"/>
                <w:szCs w:val="20"/>
                <w:lang w:eastAsia="fr-FR"/>
              </w:rPr>
              <w:t>.</w:t>
            </w:r>
            <w:r w:rsidRPr="00285126">
              <w:rPr>
                <w:rFonts w:ascii="Times New Roman" w:eastAsia="Times New Roman" w:hAnsi="Times New Roman" w:cs="Times New Roman"/>
                <w:color w:val="000000"/>
                <w:sz w:val="20"/>
                <w:szCs w:val="20"/>
                <w:lang w:eastAsia="fr-FR"/>
              </w:rPr>
              <w:t>1</w:t>
            </w:r>
          </w:p>
        </w:tc>
      </w:tr>
      <w:tr w:rsidR="00063B1E" w:rsidRPr="00285126" w14:paraId="5B9747FC" w14:textId="77777777" w:rsidTr="00E35ACE">
        <w:trPr>
          <w:trHeight w:val="369"/>
        </w:trPr>
        <w:tc>
          <w:tcPr>
            <w:tcW w:w="1621" w:type="dxa"/>
            <w:noWrap/>
            <w:hideMark/>
          </w:tcPr>
          <w:p w14:paraId="663E5F05" w14:textId="77777777" w:rsidR="00063B1E" w:rsidRPr="00285126" w:rsidRDefault="00B026AD"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Day</w:t>
            </w:r>
            <w:r w:rsidR="00063B1E" w:rsidRPr="00285126">
              <w:rPr>
                <w:rFonts w:ascii="Times New Roman" w:eastAsia="Times New Roman" w:hAnsi="Times New Roman" w:cs="Times New Roman"/>
                <w:color w:val="000000"/>
                <w:sz w:val="20"/>
                <w:szCs w:val="20"/>
                <w:lang w:eastAsia="fr-FR"/>
              </w:rPr>
              <w:t>6</w:t>
            </w:r>
          </w:p>
        </w:tc>
        <w:tc>
          <w:tcPr>
            <w:tcW w:w="2632" w:type="dxa"/>
            <w:noWrap/>
            <w:hideMark/>
          </w:tcPr>
          <w:p w14:paraId="01D024D4" w14:textId="77777777" w:rsidR="00063B1E" w:rsidRPr="00285126" w:rsidRDefault="00063B1E"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732</w:t>
            </w:r>
            <w:r w:rsidR="00B026AD" w:rsidRPr="00285126">
              <w:rPr>
                <w:rFonts w:ascii="Times New Roman" w:eastAsia="Times New Roman" w:hAnsi="Times New Roman" w:cs="Times New Roman"/>
                <w:color w:val="000000"/>
                <w:sz w:val="20"/>
                <w:szCs w:val="20"/>
                <w:lang w:eastAsia="fr-FR"/>
              </w:rPr>
              <w:t>.</w:t>
            </w:r>
            <w:r w:rsidRPr="00285126">
              <w:rPr>
                <w:rFonts w:ascii="Times New Roman" w:eastAsia="Times New Roman" w:hAnsi="Times New Roman" w:cs="Times New Roman"/>
                <w:color w:val="000000"/>
                <w:sz w:val="20"/>
                <w:szCs w:val="20"/>
                <w:lang w:eastAsia="fr-FR"/>
              </w:rPr>
              <w:t>50</w:t>
            </w:r>
          </w:p>
        </w:tc>
        <w:tc>
          <w:tcPr>
            <w:tcW w:w="2747" w:type="dxa"/>
            <w:noWrap/>
            <w:hideMark/>
          </w:tcPr>
          <w:p w14:paraId="29217C9C" w14:textId="77777777" w:rsidR="00063B1E" w:rsidRPr="00285126" w:rsidRDefault="00063B1E"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63</w:t>
            </w:r>
            <w:r w:rsidR="00B026AD" w:rsidRPr="00285126">
              <w:rPr>
                <w:rFonts w:ascii="Times New Roman" w:eastAsia="Times New Roman" w:hAnsi="Times New Roman" w:cs="Times New Roman"/>
                <w:color w:val="000000"/>
                <w:sz w:val="20"/>
                <w:szCs w:val="20"/>
                <w:lang w:eastAsia="fr-FR"/>
              </w:rPr>
              <w:t>0</w:t>
            </w:r>
          </w:p>
        </w:tc>
        <w:tc>
          <w:tcPr>
            <w:tcW w:w="1931" w:type="dxa"/>
            <w:noWrap/>
            <w:hideMark/>
          </w:tcPr>
          <w:p w14:paraId="04B62ADE" w14:textId="77777777" w:rsidR="00063B1E" w:rsidRPr="00285126" w:rsidRDefault="00063B1E"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90</w:t>
            </w:r>
            <w:r w:rsidR="00B026AD" w:rsidRPr="00285126">
              <w:rPr>
                <w:rFonts w:ascii="Times New Roman" w:eastAsia="Times New Roman" w:hAnsi="Times New Roman" w:cs="Times New Roman"/>
                <w:color w:val="000000"/>
                <w:sz w:val="20"/>
                <w:szCs w:val="20"/>
                <w:lang w:eastAsia="fr-FR"/>
              </w:rPr>
              <w:t>.</w:t>
            </w:r>
            <w:r w:rsidRPr="00285126">
              <w:rPr>
                <w:rFonts w:ascii="Times New Roman" w:eastAsia="Times New Roman" w:hAnsi="Times New Roman" w:cs="Times New Roman"/>
                <w:color w:val="000000"/>
                <w:sz w:val="20"/>
                <w:szCs w:val="20"/>
                <w:lang w:eastAsia="fr-FR"/>
              </w:rPr>
              <w:t>0</w:t>
            </w:r>
          </w:p>
        </w:tc>
      </w:tr>
      <w:tr w:rsidR="00063B1E" w:rsidRPr="00285126" w14:paraId="2AB29E53" w14:textId="77777777" w:rsidTr="00E35ACE">
        <w:trPr>
          <w:trHeight w:val="369"/>
        </w:trPr>
        <w:tc>
          <w:tcPr>
            <w:tcW w:w="1621" w:type="dxa"/>
            <w:noWrap/>
            <w:hideMark/>
          </w:tcPr>
          <w:p w14:paraId="55B1775F" w14:textId="77777777" w:rsidR="00063B1E" w:rsidRPr="00285126" w:rsidRDefault="00B026AD"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Day</w:t>
            </w:r>
            <w:r w:rsidR="00063B1E" w:rsidRPr="00285126">
              <w:rPr>
                <w:rFonts w:ascii="Times New Roman" w:eastAsia="Times New Roman" w:hAnsi="Times New Roman" w:cs="Times New Roman"/>
                <w:color w:val="000000"/>
                <w:sz w:val="20"/>
                <w:szCs w:val="20"/>
                <w:lang w:eastAsia="fr-FR"/>
              </w:rPr>
              <w:t>7</w:t>
            </w:r>
          </w:p>
        </w:tc>
        <w:tc>
          <w:tcPr>
            <w:tcW w:w="2632" w:type="dxa"/>
            <w:noWrap/>
            <w:hideMark/>
          </w:tcPr>
          <w:p w14:paraId="143D55C6" w14:textId="77777777" w:rsidR="00063B1E" w:rsidRPr="00285126" w:rsidRDefault="00063B1E"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730</w:t>
            </w:r>
            <w:r w:rsidR="00B026AD" w:rsidRPr="00285126">
              <w:rPr>
                <w:rFonts w:ascii="Times New Roman" w:eastAsia="Times New Roman" w:hAnsi="Times New Roman" w:cs="Times New Roman"/>
                <w:color w:val="000000"/>
                <w:sz w:val="20"/>
                <w:szCs w:val="20"/>
                <w:lang w:eastAsia="fr-FR"/>
              </w:rPr>
              <w:t>.</w:t>
            </w:r>
            <w:r w:rsidRPr="00285126">
              <w:rPr>
                <w:rFonts w:ascii="Times New Roman" w:eastAsia="Times New Roman" w:hAnsi="Times New Roman" w:cs="Times New Roman"/>
                <w:color w:val="000000"/>
                <w:sz w:val="20"/>
                <w:szCs w:val="20"/>
                <w:lang w:eastAsia="fr-FR"/>
              </w:rPr>
              <w:t>60</w:t>
            </w:r>
          </w:p>
        </w:tc>
        <w:tc>
          <w:tcPr>
            <w:tcW w:w="2747" w:type="dxa"/>
            <w:noWrap/>
            <w:hideMark/>
          </w:tcPr>
          <w:p w14:paraId="101053BD" w14:textId="77777777" w:rsidR="00063B1E" w:rsidRPr="00285126" w:rsidRDefault="00063B1E"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63</w:t>
            </w:r>
            <w:r w:rsidR="00B026AD" w:rsidRPr="00285126">
              <w:rPr>
                <w:rFonts w:ascii="Times New Roman" w:eastAsia="Times New Roman" w:hAnsi="Times New Roman" w:cs="Times New Roman"/>
                <w:color w:val="000000"/>
                <w:sz w:val="20"/>
                <w:szCs w:val="20"/>
                <w:lang w:eastAsia="fr-FR"/>
              </w:rPr>
              <w:t>0</w:t>
            </w:r>
          </w:p>
        </w:tc>
        <w:tc>
          <w:tcPr>
            <w:tcW w:w="1931" w:type="dxa"/>
            <w:noWrap/>
            <w:hideMark/>
          </w:tcPr>
          <w:p w14:paraId="5D694616" w14:textId="77777777" w:rsidR="00063B1E" w:rsidRPr="00285126" w:rsidRDefault="00063B1E"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90</w:t>
            </w:r>
            <w:r w:rsidR="00B026AD" w:rsidRPr="00285126">
              <w:rPr>
                <w:rFonts w:ascii="Times New Roman" w:eastAsia="Times New Roman" w:hAnsi="Times New Roman" w:cs="Times New Roman"/>
                <w:color w:val="000000"/>
                <w:sz w:val="20"/>
                <w:szCs w:val="20"/>
                <w:lang w:eastAsia="fr-FR"/>
              </w:rPr>
              <w:t>.</w:t>
            </w:r>
            <w:r w:rsidRPr="00285126">
              <w:rPr>
                <w:rFonts w:ascii="Times New Roman" w:eastAsia="Times New Roman" w:hAnsi="Times New Roman" w:cs="Times New Roman"/>
                <w:color w:val="000000"/>
                <w:sz w:val="20"/>
                <w:szCs w:val="20"/>
                <w:lang w:eastAsia="fr-FR"/>
              </w:rPr>
              <w:t>1</w:t>
            </w:r>
          </w:p>
        </w:tc>
      </w:tr>
      <w:tr w:rsidR="00063B1E" w:rsidRPr="00285126" w14:paraId="30F1D419" w14:textId="77777777" w:rsidTr="00E35ACE">
        <w:trPr>
          <w:trHeight w:val="369"/>
        </w:trPr>
        <w:tc>
          <w:tcPr>
            <w:tcW w:w="1621" w:type="dxa"/>
            <w:noWrap/>
            <w:hideMark/>
          </w:tcPr>
          <w:p w14:paraId="217091F3" w14:textId="77777777" w:rsidR="00063B1E" w:rsidRPr="00285126" w:rsidRDefault="000D341A"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Day</w:t>
            </w:r>
            <w:r w:rsidR="00063B1E" w:rsidRPr="00285126">
              <w:rPr>
                <w:rFonts w:ascii="Times New Roman" w:eastAsia="Times New Roman" w:hAnsi="Times New Roman" w:cs="Times New Roman"/>
                <w:color w:val="000000"/>
                <w:sz w:val="20"/>
                <w:szCs w:val="20"/>
                <w:lang w:eastAsia="fr-FR"/>
              </w:rPr>
              <w:t>8</w:t>
            </w:r>
          </w:p>
        </w:tc>
        <w:tc>
          <w:tcPr>
            <w:tcW w:w="2632" w:type="dxa"/>
            <w:noWrap/>
            <w:hideMark/>
          </w:tcPr>
          <w:p w14:paraId="769BC8CD" w14:textId="77777777" w:rsidR="00063B1E" w:rsidRPr="00285126" w:rsidRDefault="00063B1E"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732</w:t>
            </w:r>
            <w:r w:rsidR="00B026AD" w:rsidRPr="00285126">
              <w:rPr>
                <w:rFonts w:ascii="Times New Roman" w:eastAsia="Times New Roman" w:hAnsi="Times New Roman" w:cs="Times New Roman"/>
                <w:color w:val="000000"/>
                <w:sz w:val="20"/>
                <w:szCs w:val="20"/>
                <w:lang w:eastAsia="fr-FR"/>
              </w:rPr>
              <w:t>.</w:t>
            </w:r>
            <w:r w:rsidRPr="00285126">
              <w:rPr>
                <w:rFonts w:ascii="Times New Roman" w:eastAsia="Times New Roman" w:hAnsi="Times New Roman" w:cs="Times New Roman"/>
                <w:color w:val="000000"/>
                <w:sz w:val="20"/>
                <w:szCs w:val="20"/>
                <w:lang w:eastAsia="fr-FR"/>
              </w:rPr>
              <w:t>10</w:t>
            </w:r>
          </w:p>
        </w:tc>
        <w:tc>
          <w:tcPr>
            <w:tcW w:w="2747" w:type="dxa"/>
            <w:noWrap/>
            <w:hideMark/>
          </w:tcPr>
          <w:p w14:paraId="51736326" w14:textId="77777777" w:rsidR="00063B1E" w:rsidRPr="00285126" w:rsidRDefault="00063B1E"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64</w:t>
            </w:r>
            <w:r w:rsidR="00B026AD" w:rsidRPr="00285126">
              <w:rPr>
                <w:rFonts w:ascii="Times New Roman" w:eastAsia="Times New Roman" w:hAnsi="Times New Roman" w:cs="Times New Roman"/>
                <w:color w:val="000000"/>
                <w:sz w:val="20"/>
                <w:szCs w:val="20"/>
                <w:lang w:eastAsia="fr-FR"/>
              </w:rPr>
              <w:t>0</w:t>
            </w:r>
          </w:p>
        </w:tc>
        <w:tc>
          <w:tcPr>
            <w:tcW w:w="1931" w:type="dxa"/>
            <w:noWrap/>
            <w:hideMark/>
          </w:tcPr>
          <w:p w14:paraId="52AF7A40" w14:textId="77777777" w:rsidR="00063B1E" w:rsidRPr="00285126" w:rsidRDefault="00063B1E"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90</w:t>
            </w:r>
            <w:r w:rsidR="00B026AD" w:rsidRPr="00285126">
              <w:rPr>
                <w:rFonts w:ascii="Times New Roman" w:eastAsia="Times New Roman" w:hAnsi="Times New Roman" w:cs="Times New Roman"/>
                <w:color w:val="000000"/>
                <w:sz w:val="20"/>
                <w:szCs w:val="20"/>
                <w:lang w:eastAsia="fr-FR"/>
              </w:rPr>
              <w:t>.</w:t>
            </w:r>
            <w:r w:rsidRPr="00285126">
              <w:rPr>
                <w:rFonts w:ascii="Times New Roman" w:eastAsia="Times New Roman" w:hAnsi="Times New Roman" w:cs="Times New Roman"/>
                <w:color w:val="000000"/>
                <w:sz w:val="20"/>
                <w:szCs w:val="20"/>
                <w:lang w:eastAsia="fr-FR"/>
              </w:rPr>
              <w:t>1</w:t>
            </w:r>
          </w:p>
        </w:tc>
      </w:tr>
    </w:tbl>
    <w:p w14:paraId="48629DAC" w14:textId="77777777" w:rsidR="004E2CB8" w:rsidRPr="00285126" w:rsidRDefault="0083031F" w:rsidP="00D27802">
      <w:pPr>
        <w:keepNext/>
        <w:spacing w:before="240" w:line="240" w:lineRule="auto"/>
        <w:rPr>
          <w:rFonts w:ascii="Times New Roman" w:hAnsi="Times New Roman" w:cs="Times New Roman"/>
          <w:sz w:val="20"/>
          <w:szCs w:val="20"/>
        </w:rPr>
      </w:pPr>
      <w:r w:rsidRPr="00285126">
        <w:rPr>
          <w:rFonts w:ascii="Times New Roman" w:eastAsiaTheme="minorEastAsia" w:hAnsi="Times New Roman" w:cs="Times New Roman"/>
          <w:sz w:val="20"/>
          <w:szCs w:val="20"/>
        </w:rPr>
        <w:t>Figure 2 shows the variation profiles of three parameters (density, sulfur content, and octane number) over the days of analysis.</w:t>
      </w:r>
      <w:r w:rsidRPr="00285126">
        <w:rPr>
          <w:rFonts w:ascii="Times New Roman" w:eastAsiaTheme="minorEastAsia" w:hAnsi="Times New Roman" w:cs="Times New Roman"/>
          <w:sz w:val="20"/>
          <w:szCs w:val="20"/>
        </w:rPr>
        <w:cr/>
      </w:r>
      <w:r w:rsidR="00CE33E1" w:rsidRPr="00285126">
        <w:rPr>
          <w:rFonts w:ascii="Times New Roman" w:hAnsi="Times New Roman" w:cs="Times New Roman"/>
          <w:noProof/>
          <w:sz w:val="20"/>
          <w:szCs w:val="20"/>
          <w:lang w:eastAsia="fr-FR"/>
        </w:rPr>
        <w:drawing>
          <wp:inline distT="0" distB="0" distL="0" distR="0" wp14:anchorId="09CDEA05" wp14:editId="3B977AD6">
            <wp:extent cx="4356100" cy="3267075"/>
            <wp:effectExtent l="0" t="0" r="6350" b="95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essence-article5.png"/>
                    <pic:cNvPicPr/>
                  </pic:nvPicPr>
                  <pic:blipFill>
                    <a:blip r:embed="rId8">
                      <a:extLst>
                        <a:ext uri="{28A0092B-C50C-407E-A947-70E740481C1C}">
                          <a14:useLocalDpi xmlns:a14="http://schemas.microsoft.com/office/drawing/2010/main" val="0"/>
                        </a:ext>
                      </a:extLst>
                    </a:blip>
                    <a:stretch>
                      <a:fillRect/>
                    </a:stretch>
                  </pic:blipFill>
                  <pic:spPr>
                    <a:xfrm>
                      <a:off x="0" y="0"/>
                      <a:ext cx="4363277" cy="3272458"/>
                    </a:xfrm>
                    <a:prstGeom prst="rect">
                      <a:avLst/>
                    </a:prstGeom>
                  </pic:spPr>
                </pic:pic>
              </a:graphicData>
            </a:graphic>
          </wp:inline>
        </w:drawing>
      </w:r>
    </w:p>
    <w:p w14:paraId="0A479A1E" w14:textId="77777777" w:rsidR="00063B1E" w:rsidRPr="00285126" w:rsidRDefault="004E2CB8" w:rsidP="00D27802">
      <w:pPr>
        <w:pStyle w:val="Caption"/>
        <w:rPr>
          <w:rFonts w:ascii="Times New Roman" w:hAnsi="Times New Roman" w:cs="Times New Roman"/>
          <w:i w:val="0"/>
          <w:color w:val="000000" w:themeColor="text1"/>
          <w:sz w:val="20"/>
          <w:szCs w:val="20"/>
        </w:rPr>
      </w:pPr>
      <w:r w:rsidRPr="00285126">
        <w:rPr>
          <w:rFonts w:ascii="Times New Roman" w:hAnsi="Times New Roman" w:cs="Times New Roman"/>
          <w:i w:val="0"/>
          <w:color w:val="000000" w:themeColor="text1"/>
          <w:sz w:val="20"/>
          <w:szCs w:val="20"/>
        </w:rPr>
        <w:t xml:space="preserve">Figure </w:t>
      </w:r>
      <w:r w:rsidRPr="00285126">
        <w:rPr>
          <w:rFonts w:ascii="Times New Roman" w:hAnsi="Times New Roman" w:cs="Times New Roman"/>
          <w:i w:val="0"/>
          <w:color w:val="000000" w:themeColor="text1"/>
          <w:sz w:val="20"/>
          <w:szCs w:val="20"/>
        </w:rPr>
        <w:fldChar w:fldCharType="begin"/>
      </w:r>
      <w:r w:rsidRPr="00285126">
        <w:rPr>
          <w:rFonts w:ascii="Times New Roman" w:hAnsi="Times New Roman" w:cs="Times New Roman"/>
          <w:i w:val="0"/>
          <w:color w:val="000000" w:themeColor="text1"/>
          <w:sz w:val="20"/>
          <w:szCs w:val="20"/>
        </w:rPr>
        <w:instrText xml:space="preserve"> SEQ Figure \* ARABIC </w:instrText>
      </w:r>
      <w:r w:rsidRPr="00285126">
        <w:rPr>
          <w:rFonts w:ascii="Times New Roman" w:hAnsi="Times New Roman" w:cs="Times New Roman"/>
          <w:i w:val="0"/>
          <w:color w:val="000000" w:themeColor="text1"/>
          <w:sz w:val="20"/>
          <w:szCs w:val="20"/>
        </w:rPr>
        <w:fldChar w:fldCharType="separate"/>
      </w:r>
      <w:r w:rsidRPr="00285126">
        <w:rPr>
          <w:rFonts w:ascii="Times New Roman" w:hAnsi="Times New Roman" w:cs="Times New Roman"/>
          <w:i w:val="0"/>
          <w:noProof/>
          <w:color w:val="000000" w:themeColor="text1"/>
          <w:sz w:val="20"/>
          <w:szCs w:val="20"/>
        </w:rPr>
        <w:t>1</w:t>
      </w:r>
      <w:r w:rsidRPr="00285126">
        <w:rPr>
          <w:rFonts w:ascii="Times New Roman" w:hAnsi="Times New Roman" w:cs="Times New Roman"/>
          <w:i w:val="0"/>
          <w:color w:val="000000" w:themeColor="text1"/>
          <w:sz w:val="20"/>
          <w:szCs w:val="20"/>
        </w:rPr>
        <w:fldChar w:fldCharType="end"/>
      </w:r>
      <w:r w:rsidRPr="00285126">
        <w:rPr>
          <w:rFonts w:ascii="Times New Roman" w:hAnsi="Times New Roman" w:cs="Times New Roman"/>
          <w:i w:val="0"/>
          <w:color w:val="000000" w:themeColor="text1"/>
          <w:sz w:val="20"/>
          <w:szCs w:val="20"/>
        </w:rPr>
        <w:t xml:space="preserve">: </w:t>
      </w:r>
      <w:r w:rsidR="00D14332" w:rsidRPr="00285126">
        <w:rPr>
          <w:rFonts w:ascii="Times New Roman" w:hAnsi="Times New Roman" w:cs="Times New Roman"/>
          <w:i w:val="0"/>
          <w:color w:val="000000" w:themeColor="text1"/>
          <w:sz w:val="20"/>
          <w:szCs w:val="20"/>
        </w:rPr>
        <w:t>Variations in density, sulfur content, and octane rating by day</w:t>
      </w:r>
    </w:p>
    <w:p w14:paraId="77F02113" w14:textId="77777777" w:rsidR="00D14332" w:rsidRPr="00285126" w:rsidRDefault="00D14332" w:rsidP="00D27802">
      <w:pPr>
        <w:spacing w:line="240" w:lineRule="auto"/>
        <w:rPr>
          <w:rFonts w:ascii="Times New Roman" w:hAnsi="Times New Roman" w:cs="Times New Roman"/>
          <w:sz w:val="20"/>
          <w:szCs w:val="20"/>
        </w:rPr>
      </w:pPr>
      <w:r w:rsidRPr="00285126">
        <w:rPr>
          <w:rFonts w:ascii="Times New Roman" w:hAnsi="Times New Roman" w:cs="Times New Roman"/>
          <w:sz w:val="20"/>
          <w:szCs w:val="20"/>
        </w:rPr>
        <w:t xml:space="preserve">The variation curves for the above parameters (Figure 2) only confirm the observations and interpretations made in the previous paragraph. In fact, none of the parameters studied actually varies significantly from day to day. However, to highlight the correlation (if any) between density, sulfur content, and the octane number—which is the target characteristic—we analyzed Table II above. This analysis allowed us to observe that there is no significant variation in the octane number based on density (at 15°C) and sulfur content. These parameters change independently of one another. This could be explained by the fact that, originally, these parameters (density and sulfur content) do not have a significant influence on the octane number. The latter can therefore </w:t>
      </w:r>
      <w:r w:rsidRPr="00285126">
        <w:rPr>
          <w:rFonts w:ascii="Times New Roman" w:hAnsi="Times New Roman" w:cs="Times New Roman"/>
          <w:sz w:val="20"/>
          <w:szCs w:val="20"/>
        </w:rPr>
        <w:lastRenderedPageBreak/>
        <w:t>only vary depending on the efficiency of the cracking operation or the performance of the FCC unit, and thus on the different types of reactions that occur during the cracking of the feedstock (atmospheric residue). Thus, while the literature indicates that the octane number can be improved by isomerization of the molecules present in the gasoline composition, this number may depend on the PONA composition (Paraffins, Olefins, Naphthenes, and Aromatics), particularly the fraction of paraffins contained in the gasoline.</w:t>
      </w:r>
    </w:p>
    <w:p w14:paraId="5231CE3D" w14:textId="77777777" w:rsidR="00D14332" w:rsidRPr="00285126" w:rsidRDefault="00D14332" w:rsidP="00D27802">
      <w:pPr>
        <w:pStyle w:val="Caption"/>
        <w:keepNext/>
        <w:rPr>
          <w:rFonts w:ascii="Times New Roman" w:hAnsi="Times New Roman" w:cs="Times New Roman"/>
          <w:i w:val="0"/>
          <w:iCs w:val="0"/>
          <w:color w:val="auto"/>
          <w:sz w:val="20"/>
          <w:szCs w:val="20"/>
        </w:rPr>
      </w:pPr>
      <w:bookmarkStart w:id="3" w:name="_Toc203665112"/>
      <w:r w:rsidRPr="00285126">
        <w:rPr>
          <w:rFonts w:ascii="Times New Roman" w:hAnsi="Times New Roman" w:cs="Times New Roman"/>
          <w:i w:val="0"/>
          <w:iCs w:val="0"/>
          <w:color w:val="auto"/>
          <w:sz w:val="20"/>
          <w:szCs w:val="20"/>
        </w:rPr>
        <w:t xml:space="preserve">To verify the accuracy of the previous interpretations, we also plotted the ASTM distillation curve (ASTM D86) for the same gasoline (Figure 2) using the values shown in Table III. </w:t>
      </w:r>
    </w:p>
    <w:p w14:paraId="5BC1C935" w14:textId="77777777" w:rsidR="00063B1E" w:rsidRPr="00285126" w:rsidRDefault="00063B1E" w:rsidP="00D27802">
      <w:pPr>
        <w:pStyle w:val="Caption"/>
        <w:keepNext/>
        <w:rPr>
          <w:rFonts w:ascii="Times New Roman" w:hAnsi="Times New Roman" w:cs="Times New Roman"/>
          <w:i w:val="0"/>
          <w:color w:val="auto"/>
          <w:sz w:val="20"/>
          <w:szCs w:val="20"/>
        </w:rPr>
      </w:pPr>
      <w:r w:rsidRPr="00285126">
        <w:rPr>
          <w:rFonts w:ascii="Times New Roman" w:hAnsi="Times New Roman" w:cs="Times New Roman"/>
          <w:i w:val="0"/>
          <w:color w:val="auto"/>
          <w:sz w:val="20"/>
          <w:szCs w:val="20"/>
        </w:rPr>
        <w:t xml:space="preserve">Table </w:t>
      </w:r>
      <w:r w:rsidRPr="00285126">
        <w:rPr>
          <w:rFonts w:ascii="Times New Roman" w:hAnsi="Times New Roman" w:cs="Times New Roman"/>
          <w:i w:val="0"/>
          <w:color w:val="auto"/>
          <w:sz w:val="20"/>
          <w:szCs w:val="20"/>
        </w:rPr>
        <w:fldChar w:fldCharType="begin"/>
      </w:r>
      <w:r w:rsidRPr="00285126">
        <w:rPr>
          <w:rFonts w:ascii="Times New Roman" w:hAnsi="Times New Roman" w:cs="Times New Roman"/>
          <w:i w:val="0"/>
          <w:color w:val="auto"/>
          <w:sz w:val="20"/>
          <w:szCs w:val="20"/>
        </w:rPr>
        <w:instrText xml:space="preserve"> SEQ Tableau \* ROMAN </w:instrText>
      </w:r>
      <w:r w:rsidRPr="00285126">
        <w:rPr>
          <w:rFonts w:ascii="Times New Roman" w:hAnsi="Times New Roman" w:cs="Times New Roman"/>
          <w:i w:val="0"/>
          <w:color w:val="auto"/>
          <w:sz w:val="20"/>
          <w:szCs w:val="20"/>
        </w:rPr>
        <w:fldChar w:fldCharType="separate"/>
      </w:r>
      <w:r w:rsidRPr="00285126">
        <w:rPr>
          <w:rFonts w:ascii="Times New Roman" w:hAnsi="Times New Roman" w:cs="Times New Roman"/>
          <w:i w:val="0"/>
          <w:noProof/>
          <w:color w:val="auto"/>
          <w:sz w:val="20"/>
          <w:szCs w:val="20"/>
        </w:rPr>
        <w:t>III</w:t>
      </w:r>
      <w:r w:rsidRPr="00285126">
        <w:rPr>
          <w:rFonts w:ascii="Times New Roman" w:hAnsi="Times New Roman" w:cs="Times New Roman"/>
          <w:i w:val="0"/>
          <w:color w:val="auto"/>
          <w:sz w:val="20"/>
          <w:szCs w:val="20"/>
        </w:rPr>
        <w:fldChar w:fldCharType="end"/>
      </w:r>
      <w:r w:rsidRPr="00285126">
        <w:rPr>
          <w:rFonts w:ascii="Times New Roman" w:hAnsi="Times New Roman" w:cs="Times New Roman"/>
          <w:i w:val="0"/>
          <w:color w:val="auto"/>
          <w:sz w:val="20"/>
          <w:szCs w:val="20"/>
        </w:rPr>
        <w:t xml:space="preserve">: </w:t>
      </w:r>
      <w:bookmarkEnd w:id="3"/>
      <w:r w:rsidR="00D14332" w:rsidRPr="00285126">
        <w:rPr>
          <w:rFonts w:ascii="Times New Roman" w:hAnsi="Times New Roman" w:cs="Times New Roman"/>
          <w:i w:val="0"/>
          <w:color w:val="auto"/>
          <w:sz w:val="20"/>
          <w:szCs w:val="20"/>
        </w:rPr>
        <w:t>ASTM D86 distillation data for cracked heavy gasoline</w:t>
      </w:r>
    </w:p>
    <w:tbl>
      <w:tblPr>
        <w:tblStyle w:val="PlainTable2"/>
        <w:tblW w:w="7938" w:type="dxa"/>
        <w:tblLook w:val="0620" w:firstRow="1" w:lastRow="0" w:firstColumn="0" w:lastColumn="0" w:noHBand="1" w:noVBand="1"/>
      </w:tblPr>
      <w:tblGrid>
        <w:gridCol w:w="4875"/>
        <w:gridCol w:w="3063"/>
      </w:tblGrid>
      <w:tr w:rsidR="00063B1E" w:rsidRPr="00285126" w14:paraId="6FA94266" w14:textId="77777777" w:rsidTr="00E35ACE">
        <w:trPr>
          <w:cnfStyle w:val="100000000000" w:firstRow="1" w:lastRow="0" w:firstColumn="0" w:lastColumn="0" w:oddVBand="0" w:evenVBand="0" w:oddHBand="0" w:evenHBand="0" w:firstRowFirstColumn="0" w:firstRowLastColumn="0" w:lastRowFirstColumn="0" w:lastRowLastColumn="0"/>
          <w:trHeight w:val="333"/>
        </w:trPr>
        <w:tc>
          <w:tcPr>
            <w:tcW w:w="4875" w:type="dxa"/>
            <w:noWrap/>
            <w:hideMark/>
          </w:tcPr>
          <w:p w14:paraId="3450E84C" w14:textId="77777777" w:rsidR="00063B1E" w:rsidRPr="00285126" w:rsidRDefault="00063B1E"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Température (°C)</w:t>
            </w:r>
          </w:p>
        </w:tc>
        <w:tc>
          <w:tcPr>
            <w:tcW w:w="3063" w:type="dxa"/>
            <w:noWrap/>
            <w:hideMark/>
          </w:tcPr>
          <w:p w14:paraId="1EEC709F" w14:textId="77777777" w:rsidR="00063B1E" w:rsidRPr="00285126" w:rsidRDefault="00063B1E" w:rsidP="00D27802">
            <w:pPr>
              <w:ind w:firstLineChars="100" w:firstLine="201"/>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Volume (%)</w:t>
            </w:r>
          </w:p>
        </w:tc>
      </w:tr>
      <w:tr w:rsidR="00063B1E" w:rsidRPr="00285126" w14:paraId="065785E1" w14:textId="77777777" w:rsidTr="00E35ACE">
        <w:trPr>
          <w:trHeight w:val="333"/>
        </w:trPr>
        <w:tc>
          <w:tcPr>
            <w:tcW w:w="4875" w:type="dxa"/>
            <w:noWrap/>
            <w:hideMark/>
          </w:tcPr>
          <w:p w14:paraId="4B653D90" w14:textId="77777777" w:rsidR="00063B1E" w:rsidRPr="00285126" w:rsidRDefault="00063B1E"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32.13</w:t>
            </w:r>
          </w:p>
        </w:tc>
        <w:tc>
          <w:tcPr>
            <w:tcW w:w="3063" w:type="dxa"/>
            <w:noWrap/>
            <w:hideMark/>
          </w:tcPr>
          <w:p w14:paraId="05F7968E" w14:textId="77777777" w:rsidR="00063B1E" w:rsidRPr="00285126" w:rsidRDefault="00063B1E" w:rsidP="00D27802">
            <w:pPr>
              <w:ind w:firstLineChars="400" w:firstLine="800"/>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0</w:t>
            </w:r>
          </w:p>
        </w:tc>
      </w:tr>
      <w:tr w:rsidR="00063B1E" w:rsidRPr="00285126" w14:paraId="08A0AB97" w14:textId="77777777" w:rsidTr="00E35ACE">
        <w:trPr>
          <w:trHeight w:val="333"/>
        </w:trPr>
        <w:tc>
          <w:tcPr>
            <w:tcW w:w="4875" w:type="dxa"/>
            <w:noWrap/>
            <w:hideMark/>
          </w:tcPr>
          <w:p w14:paraId="66B7B65E" w14:textId="77777777" w:rsidR="00063B1E" w:rsidRPr="00285126" w:rsidRDefault="00063B1E"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43.16</w:t>
            </w:r>
          </w:p>
        </w:tc>
        <w:tc>
          <w:tcPr>
            <w:tcW w:w="3063" w:type="dxa"/>
            <w:noWrap/>
            <w:hideMark/>
          </w:tcPr>
          <w:p w14:paraId="30DC25BE" w14:textId="77777777" w:rsidR="00063B1E" w:rsidRPr="00285126" w:rsidRDefault="00063B1E" w:rsidP="00D27802">
            <w:pPr>
              <w:ind w:firstLineChars="400" w:firstLine="800"/>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10</w:t>
            </w:r>
          </w:p>
        </w:tc>
      </w:tr>
      <w:tr w:rsidR="00063B1E" w:rsidRPr="00285126" w14:paraId="38E73539" w14:textId="77777777" w:rsidTr="00E35ACE">
        <w:trPr>
          <w:trHeight w:val="333"/>
        </w:trPr>
        <w:tc>
          <w:tcPr>
            <w:tcW w:w="4875" w:type="dxa"/>
            <w:noWrap/>
            <w:hideMark/>
          </w:tcPr>
          <w:p w14:paraId="16E370DD" w14:textId="77777777" w:rsidR="00063B1E" w:rsidRPr="00285126" w:rsidRDefault="00063B1E"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92.23</w:t>
            </w:r>
          </w:p>
        </w:tc>
        <w:tc>
          <w:tcPr>
            <w:tcW w:w="3063" w:type="dxa"/>
            <w:noWrap/>
            <w:hideMark/>
          </w:tcPr>
          <w:p w14:paraId="2E6D79D2" w14:textId="77777777" w:rsidR="00063B1E" w:rsidRPr="00285126" w:rsidRDefault="00063B1E" w:rsidP="00D27802">
            <w:pPr>
              <w:ind w:firstLineChars="400" w:firstLine="800"/>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50</w:t>
            </w:r>
          </w:p>
        </w:tc>
      </w:tr>
      <w:tr w:rsidR="00063B1E" w:rsidRPr="00285126" w14:paraId="3A3786C9" w14:textId="77777777" w:rsidTr="00E35ACE">
        <w:trPr>
          <w:trHeight w:val="333"/>
        </w:trPr>
        <w:tc>
          <w:tcPr>
            <w:tcW w:w="4875" w:type="dxa"/>
            <w:noWrap/>
            <w:hideMark/>
          </w:tcPr>
          <w:p w14:paraId="18F18D92" w14:textId="77777777" w:rsidR="00063B1E" w:rsidRPr="00285126" w:rsidRDefault="00063B1E"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183.38</w:t>
            </w:r>
          </w:p>
        </w:tc>
        <w:tc>
          <w:tcPr>
            <w:tcW w:w="3063" w:type="dxa"/>
            <w:noWrap/>
            <w:hideMark/>
          </w:tcPr>
          <w:p w14:paraId="05D0E6EB" w14:textId="77777777" w:rsidR="00063B1E" w:rsidRPr="00285126" w:rsidRDefault="00063B1E" w:rsidP="00D27802">
            <w:pPr>
              <w:ind w:firstLineChars="400" w:firstLine="800"/>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90</w:t>
            </w:r>
          </w:p>
        </w:tc>
      </w:tr>
      <w:tr w:rsidR="00063B1E" w:rsidRPr="00285126" w14:paraId="7BF965A0" w14:textId="77777777" w:rsidTr="00E35ACE">
        <w:trPr>
          <w:trHeight w:val="333"/>
        </w:trPr>
        <w:tc>
          <w:tcPr>
            <w:tcW w:w="4875" w:type="dxa"/>
            <w:noWrap/>
            <w:hideMark/>
          </w:tcPr>
          <w:p w14:paraId="7F3A9672" w14:textId="77777777" w:rsidR="00063B1E" w:rsidRPr="00285126" w:rsidRDefault="00063B1E" w:rsidP="00D27802">
            <w:pP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209.41</w:t>
            </w:r>
          </w:p>
        </w:tc>
        <w:tc>
          <w:tcPr>
            <w:tcW w:w="3063" w:type="dxa"/>
            <w:noWrap/>
            <w:hideMark/>
          </w:tcPr>
          <w:p w14:paraId="05AA93EC" w14:textId="77777777" w:rsidR="00063B1E" w:rsidRPr="00285126" w:rsidRDefault="00063B1E" w:rsidP="00D27802">
            <w:pPr>
              <w:ind w:firstLineChars="400" w:firstLine="800"/>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100</w:t>
            </w:r>
          </w:p>
        </w:tc>
      </w:tr>
    </w:tbl>
    <w:p w14:paraId="29BCA15D" w14:textId="77777777" w:rsidR="00063B1E" w:rsidRPr="00285126" w:rsidRDefault="006C12BE" w:rsidP="00D27802">
      <w:pPr>
        <w:spacing w:before="240" w:line="240" w:lineRule="auto"/>
        <w:rPr>
          <w:rFonts w:ascii="Times New Roman" w:hAnsi="Times New Roman" w:cs="Times New Roman"/>
          <w:sz w:val="20"/>
          <w:szCs w:val="20"/>
        </w:rPr>
      </w:pPr>
      <w:r w:rsidRPr="00285126">
        <w:rPr>
          <w:rFonts w:ascii="Times New Roman" w:hAnsi="Times New Roman" w:cs="Times New Roman"/>
          <w:sz w:val="20"/>
          <w:szCs w:val="20"/>
        </w:rPr>
        <w:t>However, these are the average values derived from several days’ worth of analytical data (over a two-month period). This data allowed us to plot the distillation curve (Figure 2).</w:t>
      </w:r>
    </w:p>
    <w:p w14:paraId="4487388A" w14:textId="77777777" w:rsidR="00063B1E" w:rsidRPr="00285126" w:rsidRDefault="00EB41E8" w:rsidP="00D27802">
      <w:pPr>
        <w:keepNext/>
        <w:spacing w:line="240" w:lineRule="auto"/>
        <w:rPr>
          <w:rFonts w:ascii="Times New Roman" w:hAnsi="Times New Roman" w:cs="Times New Roman"/>
          <w:sz w:val="20"/>
          <w:szCs w:val="20"/>
        </w:rPr>
      </w:pPr>
      <w:r w:rsidRPr="00285126">
        <w:rPr>
          <w:rFonts w:ascii="Times New Roman" w:hAnsi="Times New Roman" w:cs="Times New Roman"/>
          <w:noProof/>
          <w:sz w:val="20"/>
          <w:szCs w:val="20"/>
          <w:lang w:eastAsia="fr-FR"/>
        </w:rPr>
        <w:drawing>
          <wp:inline distT="0" distB="0" distL="0" distR="0" wp14:anchorId="3D504659" wp14:editId="4BA79FAB">
            <wp:extent cx="4660900" cy="3495675"/>
            <wp:effectExtent l="0" t="0" r="635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ess-dist-article5.png"/>
                    <pic:cNvPicPr/>
                  </pic:nvPicPr>
                  <pic:blipFill>
                    <a:blip r:embed="rId9">
                      <a:extLst>
                        <a:ext uri="{28A0092B-C50C-407E-A947-70E740481C1C}">
                          <a14:useLocalDpi xmlns:a14="http://schemas.microsoft.com/office/drawing/2010/main" val="0"/>
                        </a:ext>
                      </a:extLst>
                    </a:blip>
                    <a:stretch>
                      <a:fillRect/>
                    </a:stretch>
                  </pic:blipFill>
                  <pic:spPr>
                    <a:xfrm>
                      <a:off x="0" y="0"/>
                      <a:ext cx="4675323" cy="3506492"/>
                    </a:xfrm>
                    <a:prstGeom prst="rect">
                      <a:avLst/>
                    </a:prstGeom>
                  </pic:spPr>
                </pic:pic>
              </a:graphicData>
            </a:graphic>
          </wp:inline>
        </w:drawing>
      </w:r>
    </w:p>
    <w:p w14:paraId="1290D21D" w14:textId="77777777" w:rsidR="00063B1E" w:rsidRPr="00285126" w:rsidRDefault="00063B1E" w:rsidP="00D27802">
      <w:pPr>
        <w:pStyle w:val="Caption"/>
        <w:rPr>
          <w:rFonts w:ascii="Times New Roman" w:hAnsi="Times New Roman" w:cs="Times New Roman"/>
          <w:i w:val="0"/>
          <w:color w:val="auto"/>
          <w:sz w:val="20"/>
          <w:szCs w:val="20"/>
        </w:rPr>
      </w:pPr>
      <w:bookmarkStart w:id="4" w:name="_Toc203665279"/>
      <w:r w:rsidRPr="00285126">
        <w:rPr>
          <w:rFonts w:ascii="Times New Roman" w:hAnsi="Times New Roman" w:cs="Times New Roman"/>
          <w:i w:val="0"/>
          <w:color w:val="auto"/>
          <w:sz w:val="20"/>
          <w:szCs w:val="20"/>
        </w:rPr>
        <w:t xml:space="preserve">Figure </w:t>
      </w:r>
      <w:r w:rsidRPr="00285126">
        <w:rPr>
          <w:rFonts w:ascii="Times New Roman" w:hAnsi="Times New Roman" w:cs="Times New Roman"/>
          <w:i w:val="0"/>
          <w:color w:val="auto"/>
          <w:sz w:val="20"/>
          <w:szCs w:val="20"/>
        </w:rPr>
        <w:fldChar w:fldCharType="begin"/>
      </w:r>
      <w:r w:rsidRPr="00285126">
        <w:rPr>
          <w:rFonts w:ascii="Times New Roman" w:hAnsi="Times New Roman" w:cs="Times New Roman"/>
          <w:i w:val="0"/>
          <w:color w:val="auto"/>
          <w:sz w:val="20"/>
          <w:szCs w:val="20"/>
        </w:rPr>
        <w:instrText xml:space="preserve"> SEQ Figure \* ARABIC </w:instrText>
      </w:r>
      <w:r w:rsidRPr="00285126">
        <w:rPr>
          <w:rFonts w:ascii="Times New Roman" w:hAnsi="Times New Roman" w:cs="Times New Roman"/>
          <w:i w:val="0"/>
          <w:color w:val="auto"/>
          <w:sz w:val="20"/>
          <w:szCs w:val="20"/>
        </w:rPr>
        <w:fldChar w:fldCharType="separate"/>
      </w:r>
      <w:r w:rsidR="004E2CB8" w:rsidRPr="00285126">
        <w:rPr>
          <w:rFonts w:ascii="Times New Roman" w:hAnsi="Times New Roman" w:cs="Times New Roman"/>
          <w:i w:val="0"/>
          <w:noProof/>
          <w:color w:val="auto"/>
          <w:sz w:val="20"/>
          <w:szCs w:val="20"/>
        </w:rPr>
        <w:t>2</w:t>
      </w:r>
      <w:r w:rsidRPr="00285126">
        <w:rPr>
          <w:rFonts w:ascii="Times New Roman" w:hAnsi="Times New Roman" w:cs="Times New Roman"/>
          <w:i w:val="0"/>
          <w:color w:val="auto"/>
          <w:sz w:val="20"/>
          <w:szCs w:val="20"/>
        </w:rPr>
        <w:fldChar w:fldCharType="end"/>
      </w:r>
      <w:r w:rsidRPr="00285126">
        <w:rPr>
          <w:rFonts w:ascii="Times New Roman" w:hAnsi="Times New Roman" w:cs="Times New Roman"/>
          <w:i w:val="0"/>
          <w:color w:val="auto"/>
          <w:sz w:val="20"/>
          <w:szCs w:val="20"/>
        </w:rPr>
        <w:t xml:space="preserve">: </w:t>
      </w:r>
      <w:bookmarkEnd w:id="4"/>
      <w:r w:rsidR="006C12BE" w:rsidRPr="00285126">
        <w:rPr>
          <w:rFonts w:ascii="Times New Roman" w:hAnsi="Times New Roman" w:cs="Times New Roman"/>
          <w:i w:val="0"/>
          <w:color w:val="auto"/>
          <w:sz w:val="20"/>
          <w:szCs w:val="20"/>
        </w:rPr>
        <w:t>Distillation curve of FCC gasoline according to ASTM D86</w:t>
      </w:r>
    </w:p>
    <w:p w14:paraId="58D95D0E" w14:textId="77777777" w:rsidR="006C12BE" w:rsidRPr="00285126" w:rsidRDefault="006C12BE" w:rsidP="00D27802">
      <w:pPr>
        <w:pStyle w:val="NormalWeb"/>
        <w:rPr>
          <w:sz w:val="20"/>
          <w:szCs w:val="20"/>
        </w:rPr>
      </w:pPr>
      <w:r w:rsidRPr="00285126">
        <w:rPr>
          <w:sz w:val="20"/>
          <w:szCs w:val="20"/>
        </w:rPr>
        <w:t>Analysis of this curve shows that its behavior differs from that of the crude oil and diesel distillation curves. In fact, the distillation temperature rises gradually to form a linear (sloping) line from the starting point until 50% of the distillate is obtained. From that point onward, the temperature also rises gradually, forming a straight line (sloping) as in the first case. It is therefore the junction of two straight lines, so the point with coordinates (50%, 92.23°C) represents their point of intersection. This could be due to the fact that the distilled heavy gasoline is mainly composed of aliphatic hydrocarbons, as well as a negligible amount of impurities. Thus, as in the case of diesel distillation, the distillation of heavy gasoline does not result in significant losses (low loss rate). This allows us to conclude that, compared to distilled crude oil and diesel, heavy gasoline has a higher purity level than the latter (crude oil and diesel).</w:t>
      </w:r>
    </w:p>
    <w:p w14:paraId="25D3B69B" w14:textId="77777777" w:rsidR="00F9158E" w:rsidRPr="00285126" w:rsidRDefault="00F9158E" w:rsidP="00D27802">
      <w:pPr>
        <w:pStyle w:val="Heading1"/>
        <w:numPr>
          <w:ilvl w:val="0"/>
          <w:numId w:val="2"/>
        </w:numPr>
        <w:rPr>
          <w:rFonts w:ascii="Times New Roman" w:hAnsi="Times New Roman" w:cs="Times New Roman"/>
          <w:b/>
          <w:sz w:val="20"/>
          <w:szCs w:val="20"/>
        </w:rPr>
      </w:pPr>
      <w:r w:rsidRPr="00285126">
        <w:rPr>
          <w:rFonts w:ascii="Times New Roman" w:hAnsi="Times New Roman" w:cs="Times New Roman"/>
          <w:b/>
          <w:color w:val="auto"/>
          <w:sz w:val="20"/>
          <w:szCs w:val="20"/>
        </w:rPr>
        <w:lastRenderedPageBreak/>
        <w:t xml:space="preserve">Conclusion </w:t>
      </w:r>
    </w:p>
    <w:p w14:paraId="46112DF4" w14:textId="77777777" w:rsidR="006C12BE" w:rsidRPr="00285126" w:rsidRDefault="006C12BE" w:rsidP="00D27802">
      <w:pPr>
        <w:spacing w:before="240"/>
        <w:rPr>
          <w:rFonts w:ascii="Times New Roman" w:hAnsi="Times New Roman" w:cs="Times New Roman"/>
          <w:sz w:val="20"/>
          <w:szCs w:val="20"/>
        </w:rPr>
      </w:pPr>
      <w:r w:rsidRPr="00285126">
        <w:rPr>
          <w:rFonts w:ascii="Times New Roman" w:hAnsi="Times New Roman" w:cs="Times New Roman"/>
          <w:sz w:val="20"/>
          <w:szCs w:val="20"/>
        </w:rPr>
        <w:t>The characterization of heavy gasoline produced by the fluidized catalytic cracking (FCC) process conducted in this study allowed us to determine some of the essential physicochemical parameters and/or properties, although it is not exhaustive. Indeed, the results obtained showed that the average values for density at 15°C, corrosion, mercaptan sulfur content, sulfur content, vapor pressure, and octane number are acceptable. However, the gasoline obtained must undergo additional processing to improve its quality and ensure it meets marketing standards. For example, the octane number (90.05) and sulfur content (64</w:t>
      </w:r>
      <w:r w:rsidR="00A848D9" w:rsidRPr="00285126">
        <w:rPr>
          <w:rFonts w:ascii="Times New Roman" w:hAnsi="Times New Roman" w:cs="Times New Roman"/>
          <w:sz w:val="20"/>
          <w:szCs w:val="20"/>
        </w:rPr>
        <w:t>0</w:t>
      </w:r>
      <w:r w:rsidRPr="00285126">
        <w:rPr>
          <w:rFonts w:ascii="Times New Roman" w:hAnsi="Times New Roman" w:cs="Times New Roman"/>
          <w:sz w:val="20"/>
          <w:szCs w:val="20"/>
        </w:rPr>
        <w:t xml:space="preserve"> ppm) obtained in this study do not meet international specifications, which are 91 and 10 ppm, respectively, for octane number and sulfur content. </w:t>
      </w:r>
    </w:p>
    <w:p w14:paraId="43E22A6E" w14:textId="77777777" w:rsidR="002A682F" w:rsidRDefault="008A7D11" w:rsidP="00D27802">
      <w:pPr>
        <w:pStyle w:val="NormalWeb"/>
        <w:rPr>
          <w:sz w:val="20"/>
          <w:szCs w:val="20"/>
        </w:rPr>
      </w:pPr>
      <w:r w:rsidRPr="00285126">
        <w:rPr>
          <w:sz w:val="20"/>
          <w:szCs w:val="20"/>
        </w:rPr>
        <w:t>Nevertheless, these results led us to conclude that this gasoline is of acceptable quality, as they allowed us to predict that its quality will be excellent after additional purification treatments. It is in this sense that we concluded that the objective of determining whether the gasoline obtained can be released for consumption prior to purification treatments has been achieved. This has earned the gasoline produced by fluid catalytic cracking in Niger (manufactured at SORAZ) an exceptional quality. This makes this product (gasoline) much more competitive on international markets,</w:t>
      </w:r>
      <w:r w:rsidR="006D4F21" w:rsidRPr="00285126">
        <w:rPr>
          <w:sz w:val="20"/>
          <w:szCs w:val="20"/>
        </w:rPr>
        <w:t xml:space="preserve"> particularly in the subregion.</w:t>
      </w:r>
    </w:p>
    <w:p w14:paraId="6A5CCCC6" w14:textId="77777777" w:rsidR="002A682F" w:rsidRDefault="002A682F" w:rsidP="00D27802">
      <w:pPr>
        <w:pStyle w:val="NormalWeb"/>
        <w:rPr>
          <w:sz w:val="20"/>
          <w:szCs w:val="20"/>
        </w:rPr>
      </w:pPr>
    </w:p>
    <w:p w14:paraId="7EE5984E" w14:textId="77777777" w:rsidR="002A682F" w:rsidRPr="002A682F" w:rsidRDefault="002A682F" w:rsidP="002A682F">
      <w:pPr>
        <w:pStyle w:val="NormalWeb"/>
        <w:rPr>
          <w:b/>
          <w:bCs/>
          <w:sz w:val="20"/>
          <w:szCs w:val="20"/>
          <w:lang w:val="en-GB"/>
        </w:rPr>
      </w:pPr>
      <w:r w:rsidRPr="002A682F">
        <w:rPr>
          <w:b/>
          <w:bCs/>
          <w:sz w:val="20"/>
          <w:szCs w:val="20"/>
          <w:lang w:val="en-GB"/>
        </w:rPr>
        <w:t>COMPETING INTERESTS DISCLAIMER:</w:t>
      </w:r>
    </w:p>
    <w:p w14:paraId="4910D701" w14:textId="77777777" w:rsidR="002A682F" w:rsidRPr="002A682F" w:rsidRDefault="002A682F" w:rsidP="002A682F">
      <w:pPr>
        <w:pStyle w:val="NormalWeb"/>
        <w:rPr>
          <w:sz w:val="20"/>
          <w:szCs w:val="20"/>
          <w:lang w:val="en-GB"/>
        </w:rPr>
      </w:pPr>
      <w:r w:rsidRPr="002A682F">
        <w:rPr>
          <w:sz w:val="20"/>
          <w:szCs w:val="20"/>
          <w:lang w:val="en-GB"/>
        </w:rPr>
        <w:t>Authors have declared that they have no known competing financial interests OR non-financial interests OR personal relationships that could have appeared to influence the work reported in this paper.</w:t>
      </w:r>
    </w:p>
    <w:p w14:paraId="1C1CB4B9" w14:textId="56829361" w:rsidR="006D4F21" w:rsidRPr="00285126" w:rsidRDefault="00A710F2" w:rsidP="00D27802">
      <w:pPr>
        <w:pStyle w:val="NormalWeb"/>
        <w:rPr>
          <w:sz w:val="20"/>
          <w:szCs w:val="20"/>
        </w:rPr>
      </w:pPr>
      <w:r w:rsidRPr="00285126">
        <w:rPr>
          <w:sz w:val="20"/>
          <w:szCs w:val="20"/>
        </w:rPr>
        <w:fldChar w:fldCharType="begin"/>
      </w:r>
      <w:r w:rsidRPr="00285126">
        <w:rPr>
          <w:sz w:val="20"/>
          <w:szCs w:val="20"/>
        </w:rPr>
        <w:instrText xml:space="preserve"> ADDIN ZOTERO_BIBL {"uncited":[],"omitted":[],"custom":[]} CSL_BIBLIOGRAPHY </w:instrText>
      </w:r>
      <w:r w:rsidRPr="00285126">
        <w:rPr>
          <w:sz w:val="20"/>
          <w:szCs w:val="20"/>
        </w:rPr>
        <w:fldChar w:fldCharType="separate"/>
      </w:r>
    </w:p>
    <w:p w14:paraId="144DD0D6" w14:textId="76457B85" w:rsidR="00964EB6" w:rsidRPr="00285126" w:rsidRDefault="00964EB6" w:rsidP="00D27802">
      <w:pPr>
        <w:pStyle w:val="Heading1"/>
        <w:rPr>
          <w:rFonts w:ascii="Times New Roman" w:hAnsi="Times New Roman" w:cs="Times New Roman"/>
          <w:b/>
          <w:color w:val="auto"/>
          <w:sz w:val="20"/>
          <w:szCs w:val="20"/>
        </w:rPr>
      </w:pPr>
      <w:r w:rsidRPr="00285126">
        <w:rPr>
          <w:rFonts w:ascii="Times New Roman" w:hAnsi="Times New Roman" w:cs="Times New Roman"/>
          <w:sz w:val="20"/>
          <w:szCs w:val="20"/>
        </w:rPr>
        <w:t xml:space="preserve"> </w:t>
      </w:r>
      <w:r w:rsidRPr="00285126">
        <w:rPr>
          <w:rFonts w:ascii="Times New Roman" w:hAnsi="Times New Roman" w:cs="Times New Roman"/>
          <w:b/>
          <w:color w:val="auto"/>
          <w:sz w:val="20"/>
          <w:szCs w:val="20"/>
        </w:rPr>
        <w:t>Référence</w:t>
      </w:r>
    </w:p>
    <w:p w14:paraId="10151F3C" w14:textId="77777777" w:rsidR="00EF1445" w:rsidRPr="00EF1445" w:rsidRDefault="00EF1445" w:rsidP="00EF1445">
      <w:pPr>
        <w:spacing w:line="240" w:lineRule="auto"/>
        <w:rPr>
          <w:rFonts w:ascii="Times New Roman" w:hAnsi="Times New Roman" w:cs="Times New Roman"/>
          <w:sz w:val="20"/>
          <w:szCs w:val="20"/>
        </w:rPr>
      </w:pPr>
      <w:r w:rsidRPr="00EF1445">
        <w:rPr>
          <w:rFonts w:ascii="Times New Roman" w:hAnsi="Times New Roman" w:cs="Times New Roman"/>
          <w:sz w:val="20"/>
          <w:szCs w:val="20"/>
        </w:rPr>
        <w:t>[1]</w:t>
      </w:r>
      <w:r w:rsidRPr="00EF1445">
        <w:rPr>
          <w:rFonts w:ascii="Times New Roman" w:hAnsi="Times New Roman" w:cs="Times New Roman"/>
          <w:sz w:val="20"/>
          <w:szCs w:val="20"/>
        </w:rPr>
        <w:tab/>
        <w:t>P. Criqui, P. Noel, and 38-Grenoble (France) Institute of Energy Economics and Policy - IEPE-CNRS/ Pierre Mendès-France University, "Energy markets and petroleum geo-policy, 1990-2030," Institute of Energy Economics and Policy - IEPE-CNRS/ Pierre Mendès-France University, 38 - Grenoble (France), INIS-FR--1902, Sept. 1998. Accessed: May 24, 2025. [Online]. Available at: https://inis.iaea.org/records/jtdf9-2f334</w:t>
      </w:r>
    </w:p>
    <w:p w14:paraId="155BEDE8" w14:textId="77777777" w:rsidR="00EF1445" w:rsidRPr="00EF1445" w:rsidRDefault="00EF1445" w:rsidP="00EF1445">
      <w:pPr>
        <w:spacing w:line="240" w:lineRule="auto"/>
        <w:rPr>
          <w:rFonts w:ascii="Times New Roman" w:hAnsi="Times New Roman" w:cs="Times New Roman"/>
          <w:sz w:val="20"/>
          <w:szCs w:val="20"/>
        </w:rPr>
      </w:pPr>
      <w:r w:rsidRPr="00EF1445">
        <w:rPr>
          <w:rFonts w:ascii="Times New Roman" w:hAnsi="Times New Roman" w:cs="Times New Roman"/>
          <w:sz w:val="20"/>
          <w:szCs w:val="20"/>
        </w:rPr>
        <w:t>[2]</w:t>
      </w:r>
      <w:r w:rsidRPr="00EF1445">
        <w:rPr>
          <w:rFonts w:ascii="Times New Roman" w:hAnsi="Times New Roman" w:cs="Times New Roman"/>
          <w:sz w:val="20"/>
          <w:szCs w:val="20"/>
        </w:rPr>
        <w:tab/>
        <w:t>Zinder Refinery Co., Ltd., "Operation Manual for Catalytic Reforming Unit," 2016.</w:t>
      </w:r>
    </w:p>
    <w:p w14:paraId="02C29E19" w14:textId="77777777" w:rsidR="00EF1445" w:rsidRPr="00EF1445" w:rsidRDefault="00EF1445" w:rsidP="00EF1445">
      <w:pPr>
        <w:spacing w:line="240" w:lineRule="auto"/>
        <w:rPr>
          <w:rFonts w:ascii="Times New Roman" w:hAnsi="Times New Roman" w:cs="Times New Roman"/>
          <w:sz w:val="20"/>
          <w:szCs w:val="20"/>
        </w:rPr>
      </w:pPr>
      <w:r w:rsidRPr="00EF1445">
        <w:rPr>
          <w:rFonts w:ascii="Times New Roman" w:hAnsi="Times New Roman" w:cs="Times New Roman"/>
          <w:sz w:val="20"/>
          <w:szCs w:val="20"/>
        </w:rPr>
        <w:t>[3]</w:t>
      </w:r>
      <w:r w:rsidRPr="00EF1445">
        <w:rPr>
          <w:rFonts w:ascii="Times New Roman" w:hAnsi="Times New Roman" w:cs="Times New Roman"/>
          <w:sz w:val="20"/>
          <w:szCs w:val="20"/>
        </w:rPr>
        <w:tab/>
        <w:t>A. D. M. Oumarou, "VALORIZATION OF A PETROLEUM RESIDUE THROUGH CRACKING USING NOVEL CLAY-BASED SEMI-SYNTHETIC CATALYSTS: THE CASE OF A RESIDUE FROM NIGER," National Polytechnic Institute Félix Houphouët-Boigny of Yamoussoukro / Polytechnic Doctoral School, Yamoussoukro (Côte d’Ivoire), 2020.</w:t>
      </w:r>
    </w:p>
    <w:p w14:paraId="7F37DD20" w14:textId="77777777" w:rsidR="00EF1445" w:rsidRPr="00EF1445" w:rsidRDefault="00EF1445" w:rsidP="00EF1445">
      <w:pPr>
        <w:spacing w:line="240" w:lineRule="auto"/>
        <w:rPr>
          <w:rFonts w:ascii="Times New Roman" w:hAnsi="Times New Roman" w:cs="Times New Roman"/>
          <w:sz w:val="20"/>
          <w:szCs w:val="20"/>
        </w:rPr>
      </w:pPr>
      <w:r w:rsidRPr="00EF1445">
        <w:rPr>
          <w:rFonts w:ascii="Times New Roman" w:hAnsi="Times New Roman" w:cs="Times New Roman"/>
          <w:sz w:val="20"/>
          <w:szCs w:val="20"/>
        </w:rPr>
        <w:t>[4]</w:t>
      </w:r>
      <w:r w:rsidRPr="00EF1445">
        <w:rPr>
          <w:rFonts w:ascii="Times New Roman" w:hAnsi="Times New Roman" w:cs="Times New Roman"/>
          <w:sz w:val="20"/>
          <w:szCs w:val="20"/>
        </w:rPr>
        <w:tab/>
        <w:t>M. R. Riazi, "Al-Sahhaf, T. 'Physical Properties of n-Alkanes and n-Alkyl Hydrocarbons: Application to Petroleum Mixtures,'" I &amp; EC Res., vol. 34, 1995, doi: 10.1021/ie00038a062.</w:t>
      </w:r>
    </w:p>
    <w:p w14:paraId="1D2B0FBD" w14:textId="77777777" w:rsidR="00EF1445" w:rsidRPr="00EF1445" w:rsidRDefault="00EF1445" w:rsidP="00EF1445">
      <w:pPr>
        <w:spacing w:line="240" w:lineRule="auto"/>
        <w:rPr>
          <w:rFonts w:ascii="Times New Roman" w:hAnsi="Times New Roman" w:cs="Times New Roman"/>
          <w:sz w:val="20"/>
          <w:szCs w:val="20"/>
        </w:rPr>
      </w:pPr>
      <w:r w:rsidRPr="00EF1445">
        <w:rPr>
          <w:rFonts w:ascii="Times New Roman" w:hAnsi="Times New Roman" w:cs="Times New Roman"/>
          <w:sz w:val="20"/>
          <w:szCs w:val="20"/>
        </w:rPr>
        <w:t>[5]</w:t>
      </w:r>
      <w:r w:rsidRPr="00EF1445">
        <w:rPr>
          <w:rFonts w:ascii="Times New Roman" w:hAnsi="Times New Roman" w:cs="Times New Roman"/>
          <w:sz w:val="20"/>
          <w:szCs w:val="20"/>
        </w:rPr>
        <w:tab/>
        <w:t>P. K. Huang, "Characterization and Thermodynamic Correlations for Undefined Hydrocarbon Mixtures," Ph.D. Dissertation. Pennsylvania: Pennsylvania State University, University Park, 1977.</w:t>
      </w:r>
    </w:p>
    <w:p w14:paraId="18077A7D" w14:textId="77777777" w:rsidR="00EF1445" w:rsidRPr="00EF1445" w:rsidRDefault="00EF1445" w:rsidP="00EF1445">
      <w:pPr>
        <w:spacing w:line="240" w:lineRule="auto"/>
        <w:rPr>
          <w:rFonts w:ascii="Times New Roman" w:hAnsi="Times New Roman" w:cs="Times New Roman"/>
          <w:sz w:val="20"/>
          <w:szCs w:val="20"/>
        </w:rPr>
      </w:pPr>
      <w:r w:rsidRPr="00EF1445">
        <w:rPr>
          <w:rFonts w:ascii="Times New Roman" w:hAnsi="Times New Roman" w:cs="Times New Roman"/>
          <w:sz w:val="20"/>
          <w:szCs w:val="20"/>
        </w:rPr>
        <w:t>[6]</w:t>
      </w:r>
      <w:r w:rsidRPr="00EF1445">
        <w:rPr>
          <w:rFonts w:ascii="Times New Roman" w:hAnsi="Times New Roman" w:cs="Times New Roman"/>
          <w:sz w:val="20"/>
          <w:szCs w:val="20"/>
        </w:rPr>
        <w:tab/>
        <w:t>M. R. Riazi and T. E. Daubert, “Characterization Parameters for Petroleum Fractions,” I &amp; EC Res, vol. 26, 1987, doi: 10.1021/ie00064a023.</w:t>
      </w:r>
    </w:p>
    <w:p w14:paraId="71F2C30E" w14:textId="77777777" w:rsidR="00EF1445" w:rsidRPr="00EF1445" w:rsidRDefault="00EF1445" w:rsidP="00EF1445">
      <w:pPr>
        <w:spacing w:line="240" w:lineRule="auto"/>
        <w:rPr>
          <w:rFonts w:ascii="Times New Roman" w:hAnsi="Times New Roman" w:cs="Times New Roman"/>
          <w:sz w:val="20"/>
          <w:szCs w:val="20"/>
        </w:rPr>
      </w:pPr>
      <w:r w:rsidRPr="00EF1445">
        <w:rPr>
          <w:rFonts w:ascii="Times New Roman" w:hAnsi="Times New Roman" w:cs="Times New Roman"/>
          <w:sz w:val="20"/>
          <w:szCs w:val="20"/>
        </w:rPr>
        <w:t>[7]</w:t>
      </w:r>
      <w:r w:rsidRPr="00EF1445">
        <w:rPr>
          <w:rFonts w:ascii="Times New Roman" w:hAnsi="Times New Roman" w:cs="Times New Roman"/>
          <w:sz w:val="20"/>
          <w:szCs w:val="20"/>
        </w:rPr>
        <w:tab/>
        <w:t>K. M. Watson, E. F. Nelson, and G. B. Murphy, “Characterization of Petroleum Fractions,” Ind. Eng. Chem., vol. 27, 1935.</w:t>
      </w:r>
    </w:p>
    <w:p w14:paraId="0931F264" w14:textId="77777777" w:rsidR="00EF1445" w:rsidRPr="00EF1445" w:rsidRDefault="00EF1445" w:rsidP="00EF1445">
      <w:pPr>
        <w:spacing w:line="240" w:lineRule="auto"/>
        <w:rPr>
          <w:rFonts w:ascii="Times New Roman" w:hAnsi="Times New Roman" w:cs="Times New Roman"/>
          <w:sz w:val="20"/>
          <w:szCs w:val="20"/>
        </w:rPr>
      </w:pPr>
      <w:r w:rsidRPr="00EF1445">
        <w:rPr>
          <w:rFonts w:ascii="Times New Roman" w:hAnsi="Times New Roman" w:cs="Times New Roman"/>
          <w:sz w:val="20"/>
          <w:szCs w:val="20"/>
        </w:rPr>
        <w:t>[8]</w:t>
      </w:r>
      <w:r w:rsidRPr="00EF1445">
        <w:rPr>
          <w:rFonts w:ascii="Times New Roman" w:hAnsi="Times New Roman" w:cs="Times New Roman"/>
          <w:sz w:val="20"/>
          <w:szCs w:val="20"/>
        </w:rPr>
        <w:tab/>
        <w:t>Speight, James G., Handbook of Petroleum Analysis. 2001. Accessed: May 24, 2025. [Online]. Available at: https://www.abebooks.com/9780471361671/Handbook-Petroleum-Analysis-Speight-James-0471361674/plp</w:t>
      </w:r>
    </w:p>
    <w:p w14:paraId="5C2C9502" w14:textId="77777777" w:rsidR="00EF1445" w:rsidRPr="00EF1445" w:rsidRDefault="00EF1445" w:rsidP="00EF1445">
      <w:pPr>
        <w:spacing w:line="240" w:lineRule="auto"/>
        <w:rPr>
          <w:rFonts w:ascii="Times New Roman" w:hAnsi="Times New Roman" w:cs="Times New Roman"/>
          <w:sz w:val="20"/>
          <w:szCs w:val="20"/>
        </w:rPr>
      </w:pPr>
      <w:r w:rsidRPr="00EF1445">
        <w:rPr>
          <w:rFonts w:ascii="Times New Roman" w:hAnsi="Times New Roman" w:cs="Times New Roman"/>
          <w:sz w:val="20"/>
          <w:szCs w:val="20"/>
        </w:rPr>
        <w:t>[9]</w:t>
      </w:r>
      <w:r w:rsidRPr="00EF1445">
        <w:rPr>
          <w:rFonts w:ascii="Times New Roman" w:hAnsi="Times New Roman" w:cs="Times New Roman"/>
          <w:sz w:val="20"/>
          <w:szCs w:val="20"/>
        </w:rPr>
        <w:tab/>
        <w:t>J. G. Speight, Handbook of Petroleum Product Analysis. Hoboken: Wiley, 2015.</w:t>
      </w:r>
    </w:p>
    <w:p w14:paraId="355D4DC9" w14:textId="77777777" w:rsidR="00EF1445" w:rsidRPr="00EF1445" w:rsidRDefault="00EF1445" w:rsidP="00EF1445">
      <w:pPr>
        <w:spacing w:line="240" w:lineRule="auto"/>
        <w:rPr>
          <w:rFonts w:ascii="Times New Roman" w:hAnsi="Times New Roman" w:cs="Times New Roman"/>
          <w:sz w:val="20"/>
          <w:szCs w:val="20"/>
        </w:rPr>
      </w:pPr>
      <w:r w:rsidRPr="00EF1445">
        <w:rPr>
          <w:rFonts w:ascii="Times New Roman" w:hAnsi="Times New Roman" w:cs="Times New Roman"/>
          <w:sz w:val="20"/>
          <w:szCs w:val="20"/>
        </w:rPr>
        <w:t>[10]</w:t>
      </w:r>
      <w:r w:rsidRPr="00EF1445">
        <w:rPr>
          <w:rFonts w:ascii="Times New Roman" w:hAnsi="Times New Roman" w:cs="Times New Roman"/>
          <w:sz w:val="20"/>
          <w:szCs w:val="20"/>
        </w:rPr>
        <w:tab/>
        <w:t>Wauquier, Le raffinage du pétrole: Tome 1, Pétrole brut, produits pétroliers, schémas de fabrication — Softcover. 1994. Accessed: May 24, 2025. [Online]. Available at: https://www.eyrolles.com/Sciences/Livre/le-raffinage-du-petrole-tome-1-9782710806684/</w:t>
      </w:r>
    </w:p>
    <w:p w14:paraId="577DEC9D" w14:textId="77777777" w:rsidR="00EF1445" w:rsidRPr="00EF1445" w:rsidRDefault="00EF1445" w:rsidP="00EF1445">
      <w:pPr>
        <w:spacing w:line="240" w:lineRule="auto"/>
        <w:rPr>
          <w:rFonts w:ascii="Times New Roman" w:hAnsi="Times New Roman" w:cs="Times New Roman"/>
          <w:sz w:val="20"/>
          <w:szCs w:val="20"/>
        </w:rPr>
      </w:pPr>
      <w:r w:rsidRPr="00EF1445">
        <w:rPr>
          <w:rFonts w:ascii="Times New Roman" w:hAnsi="Times New Roman" w:cs="Times New Roman"/>
          <w:sz w:val="20"/>
          <w:szCs w:val="20"/>
        </w:rPr>
        <w:lastRenderedPageBreak/>
        <w:t>[11]</w:t>
      </w:r>
      <w:r w:rsidRPr="00EF1445">
        <w:rPr>
          <w:rFonts w:ascii="Times New Roman" w:hAnsi="Times New Roman" w:cs="Times New Roman"/>
          <w:sz w:val="20"/>
          <w:szCs w:val="20"/>
        </w:rPr>
        <w:tab/>
        <w:t>D. D. Amadou, A. B. I. Awali, C. O. M. Imrana, and M. A. Salam, “Hydrodesulfurization of Mixed FCC Gasoil, CDU Gasoil, and Heavy Gasoline Feedstocks at the SORAZ Refinery,” Asian Journal of Chemical Sciences, vol. 15, no. 3, p. 42–54, May 2025, doi: 10.9734/ajocs/2025/v15i3372.</w:t>
      </w:r>
    </w:p>
    <w:p w14:paraId="14EB1FA6" w14:textId="77777777" w:rsidR="00EF1445" w:rsidRPr="00EF1445" w:rsidRDefault="00EF1445" w:rsidP="00EF1445">
      <w:pPr>
        <w:spacing w:line="240" w:lineRule="auto"/>
        <w:rPr>
          <w:rFonts w:ascii="Times New Roman" w:hAnsi="Times New Roman" w:cs="Times New Roman"/>
          <w:sz w:val="20"/>
          <w:szCs w:val="20"/>
        </w:rPr>
      </w:pPr>
      <w:r w:rsidRPr="00EF1445">
        <w:rPr>
          <w:rFonts w:ascii="Times New Roman" w:hAnsi="Times New Roman" w:cs="Times New Roman"/>
          <w:sz w:val="20"/>
          <w:szCs w:val="20"/>
        </w:rPr>
        <w:t>[12]</w:t>
      </w:r>
      <w:r w:rsidRPr="00EF1445">
        <w:rPr>
          <w:rFonts w:ascii="Times New Roman" w:hAnsi="Times New Roman" w:cs="Times New Roman"/>
          <w:sz w:val="20"/>
          <w:szCs w:val="20"/>
        </w:rPr>
        <w:tab/>
        <w:t>G. S. Pfleger, R. Teubler, and S. Schober, “A novel gas chromatographic method for high-resolution analysis of gasoline fuels that enables the calculation of CHO ratio, higher and lower heating value, density and energy density,” Fuel, vol. 376, p. 132704, Nov. 2024, doi: 10.1016/j.fuel.2024.132704.</w:t>
      </w:r>
    </w:p>
    <w:p w14:paraId="1B29EA44" w14:textId="77777777" w:rsidR="00EF1445" w:rsidRPr="00EF1445" w:rsidRDefault="00EF1445" w:rsidP="00EF1445">
      <w:pPr>
        <w:spacing w:line="240" w:lineRule="auto"/>
        <w:rPr>
          <w:rFonts w:ascii="Times New Roman" w:hAnsi="Times New Roman" w:cs="Times New Roman"/>
          <w:sz w:val="20"/>
          <w:szCs w:val="20"/>
        </w:rPr>
      </w:pPr>
      <w:r w:rsidRPr="00EF1445">
        <w:rPr>
          <w:rFonts w:ascii="Times New Roman" w:hAnsi="Times New Roman" w:cs="Times New Roman"/>
          <w:sz w:val="20"/>
          <w:szCs w:val="20"/>
        </w:rPr>
        <w:t>[13]</w:t>
      </w:r>
      <w:r w:rsidRPr="00EF1445">
        <w:rPr>
          <w:rFonts w:ascii="Times New Roman" w:hAnsi="Times New Roman" w:cs="Times New Roman"/>
          <w:sz w:val="20"/>
          <w:szCs w:val="20"/>
        </w:rPr>
        <w:tab/>
        <w:t>“ALK-CRM-DEGA.” Accessed: Aug. 3, 2025. [Online]. Available at: https://www.lgcstandards.com/US/en/Density-Gasoline-Nominal-0-7429-g-mL-15-C-/p/ALK-CRM-DEGA</w:t>
      </w:r>
    </w:p>
    <w:p w14:paraId="320CE6B4" w14:textId="77777777" w:rsidR="00EF1445" w:rsidRPr="00EF1445" w:rsidRDefault="00EF1445" w:rsidP="00EF1445">
      <w:pPr>
        <w:spacing w:line="240" w:lineRule="auto"/>
        <w:rPr>
          <w:rFonts w:ascii="Times New Roman" w:hAnsi="Times New Roman" w:cs="Times New Roman"/>
          <w:sz w:val="20"/>
          <w:szCs w:val="20"/>
        </w:rPr>
      </w:pPr>
      <w:r w:rsidRPr="00EF1445">
        <w:rPr>
          <w:rFonts w:ascii="Times New Roman" w:hAnsi="Times New Roman" w:cs="Times New Roman"/>
          <w:sz w:val="20"/>
          <w:szCs w:val="20"/>
        </w:rPr>
        <w:t>[14]</w:t>
      </w:r>
      <w:r w:rsidRPr="00EF1445">
        <w:rPr>
          <w:rFonts w:ascii="Times New Roman" w:hAnsi="Times New Roman" w:cs="Times New Roman"/>
          <w:sz w:val="20"/>
          <w:szCs w:val="20"/>
        </w:rPr>
        <w:tab/>
        <w:t>“Fuel Oils - Densities vs. Temperature.” Accessed: Aug. 3, 2025. [Online]. Available at: https://www.engineeringtoolbox.com/fuel-oil-density-temperature-gravity-volume-correction-ASTM-D1250-d_1942.</w:t>
      </w:r>
    </w:p>
    <w:p w14:paraId="33FB637B" w14:textId="77777777" w:rsidR="00EF1445" w:rsidRPr="00EF1445" w:rsidRDefault="00EF1445" w:rsidP="00EF1445">
      <w:pPr>
        <w:spacing w:line="240" w:lineRule="auto"/>
        <w:rPr>
          <w:rFonts w:ascii="Times New Roman" w:hAnsi="Times New Roman" w:cs="Times New Roman"/>
          <w:sz w:val="20"/>
          <w:szCs w:val="20"/>
        </w:rPr>
      </w:pPr>
      <w:r w:rsidRPr="00EF1445">
        <w:rPr>
          <w:rFonts w:ascii="Times New Roman" w:hAnsi="Times New Roman" w:cs="Times New Roman"/>
          <w:sz w:val="20"/>
          <w:szCs w:val="20"/>
        </w:rPr>
        <w:t>[15]</w:t>
      </w:r>
      <w:r w:rsidRPr="00EF1445">
        <w:rPr>
          <w:rFonts w:ascii="Times New Roman" w:hAnsi="Times New Roman" w:cs="Times New Roman"/>
          <w:sz w:val="20"/>
          <w:szCs w:val="20"/>
        </w:rPr>
        <w:tab/>
        <w:t>“CARBURA_GB_2024_FR.pdf.” Accessed: Mar. 15, 2026. [Online]. Available at: https://www.carbura.ch/fileadmin/user_upload/editors/web_dokumente/pdf_dokumente/Geschaeftsberichte/CARBURA_GB_2024_FR.pdf</w:t>
      </w:r>
    </w:p>
    <w:p w14:paraId="4E24223A" w14:textId="77777777" w:rsidR="00EF1445" w:rsidRPr="00EF1445" w:rsidRDefault="00EF1445" w:rsidP="00EF1445">
      <w:pPr>
        <w:spacing w:line="240" w:lineRule="auto"/>
        <w:rPr>
          <w:rFonts w:ascii="Times New Roman" w:hAnsi="Times New Roman" w:cs="Times New Roman"/>
          <w:sz w:val="20"/>
          <w:szCs w:val="20"/>
        </w:rPr>
      </w:pPr>
      <w:r w:rsidRPr="00EF1445">
        <w:rPr>
          <w:rFonts w:ascii="Times New Roman" w:hAnsi="Times New Roman" w:cs="Times New Roman"/>
          <w:sz w:val="20"/>
          <w:szCs w:val="20"/>
        </w:rPr>
        <w:t>[16]</w:t>
      </w:r>
      <w:r w:rsidRPr="00EF1445">
        <w:rPr>
          <w:rFonts w:ascii="Times New Roman" w:hAnsi="Times New Roman" w:cs="Times New Roman"/>
          <w:sz w:val="20"/>
          <w:szCs w:val="20"/>
        </w:rPr>
        <w:tab/>
        <w:t>“PCM224191_Carbura_GB_2023_DE_CC23.indd.” Accessed: Mar. 15, 2026. [Online]. Available at: https://www.carbura.ch/fileadmin/user_upload/editors/web_dokumente/pdf_dokumente/Geschaeftsberichte/2023_CARBURA_GB_DE.pdf</w:t>
      </w:r>
    </w:p>
    <w:p w14:paraId="5B41DBEB" w14:textId="77777777" w:rsidR="00EF1445" w:rsidRPr="00EF1445" w:rsidRDefault="00EF1445" w:rsidP="00EF1445">
      <w:pPr>
        <w:spacing w:line="240" w:lineRule="auto"/>
        <w:rPr>
          <w:rFonts w:ascii="Times New Roman" w:hAnsi="Times New Roman" w:cs="Times New Roman"/>
          <w:sz w:val="20"/>
          <w:szCs w:val="20"/>
        </w:rPr>
      </w:pPr>
      <w:r w:rsidRPr="00EF1445">
        <w:rPr>
          <w:rFonts w:ascii="Times New Roman" w:hAnsi="Times New Roman" w:cs="Times New Roman"/>
          <w:sz w:val="20"/>
          <w:szCs w:val="20"/>
        </w:rPr>
        <w:t>[17]</w:t>
      </w:r>
      <w:r w:rsidRPr="00EF1445">
        <w:rPr>
          <w:rFonts w:ascii="Times New Roman" w:hAnsi="Times New Roman" w:cs="Times New Roman"/>
          <w:sz w:val="20"/>
          <w:szCs w:val="20"/>
        </w:rPr>
        <w:tab/>
        <w:t>Innovation, Science and Economic Development Canada, "Volume correction factors – gasoline," p. 5, 2018.</w:t>
      </w:r>
    </w:p>
    <w:p w14:paraId="0982CC3F" w14:textId="089E9FD7" w:rsidR="00964EB6" w:rsidRPr="00285126" w:rsidRDefault="00EF1445" w:rsidP="00EF1445">
      <w:pPr>
        <w:spacing w:line="240" w:lineRule="auto"/>
        <w:rPr>
          <w:rFonts w:ascii="Times New Roman" w:hAnsi="Times New Roman" w:cs="Times New Roman"/>
          <w:sz w:val="20"/>
          <w:szCs w:val="20"/>
        </w:rPr>
      </w:pPr>
      <w:r w:rsidRPr="00EF1445">
        <w:rPr>
          <w:rFonts w:ascii="Times New Roman" w:hAnsi="Times New Roman" w:cs="Times New Roman"/>
          <w:sz w:val="20"/>
          <w:szCs w:val="20"/>
        </w:rPr>
        <w:t>[18]</w:t>
      </w:r>
      <w:r w:rsidRPr="00EF1445">
        <w:rPr>
          <w:rFonts w:ascii="Times New Roman" w:hAnsi="Times New Roman" w:cs="Times New Roman"/>
          <w:sz w:val="20"/>
          <w:szCs w:val="20"/>
        </w:rPr>
        <w:tab/>
        <w:t>I. Government of Canada, "Volume correction factors—gasoline and gasoline ethanol blends." Accessed: March 15, 2026. [Online]. Available at: https://ised-isde.canada.ca/site/measurement-canada/en/laws-and-requirements/volume-correction-factors-gasoline-and-gasoline-ethanol-blends</w:t>
      </w:r>
    </w:p>
    <w:p w14:paraId="79E24262" w14:textId="77777777" w:rsidR="00964EB6" w:rsidRPr="00285126" w:rsidRDefault="00964EB6" w:rsidP="00D27802">
      <w:pPr>
        <w:rPr>
          <w:rFonts w:ascii="Times New Roman" w:hAnsi="Times New Roman" w:cs="Times New Roman"/>
          <w:sz w:val="20"/>
          <w:szCs w:val="20"/>
        </w:rPr>
      </w:pPr>
    </w:p>
    <w:p w14:paraId="78199DF6" w14:textId="77777777" w:rsidR="00C31F8A" w:rsidRPr="00285126" w:rsidRDefault="00A710F2" w:rsidP="00D27802">
      <w:pPr>
        <w:spacing w:line="240" w:lineRule="auto"/>
        <w:rPr>
          <w:rFonts w:ascii="Times New Roman" w:hAnsi="Times New Roman" w:cs="Times New Roman"/>
          <w:sz w:val="20"/>
          <w:szCs w:val="20"/>
        </w:rPr>
      </w:pPr>
      <w:r w:rsidRPr="00285126">
        <w:rPr>
          <w:rFonts w:ascii="Times New Roman" w:hAnsi="Times New Roman" w:cs="Times New Roman"/>
          <w:sz w:val="20"/>
          <w:szCs w:val="20"/>
        </w:rPr>
        <w:fldChar w:fldCharType="end"/>
      </w:r>
    </w:p>
    <w:sectPr w:rsidR="00C31F8A" w:rsidRPr="00285126" w:rsidSect="00D27802">
      <w:headerReference w:type="even" r:id="rId10"/>
      <w:headerReference w:type="default" r:id="rId11"/>
      <w:footerReference w:type="even" r:id="rId12"/>
      <w:footerReference w:type="default" r:id="rId13"/>
      <w:headerReference w:type="first" r:id="rId14"/>
      <w:footerReference w:type="first" r:id="rId15"/>
      <w:pgSz w:w="11906" w:h="16838" w:code="9"/>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8666D" w14:textId="77777777" w:rsidR="00204B87" w:rsidRDefault="00204B87" w:rsidP="00504168">
      <w:pPr>
        <w:spacing w:after="0" w:line="240" w:lineRule="auto"/>
      </w:pPr>
      <w:r>
        <w:separator/>
      </w:r>
    </w:p>
  </w:endnote>
  <w:endnote w:type="continuationSeparator" w:id="0">
    <w:p w14:paraId="401DBF2A" w14:textId="77777777" w:rsidR="00204B87" w:rsidRDefault="00204B87" w:rsidP="0050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01B9B" w14:textId="77777777" w:rsidR="00504168" w:rsidRDefault="00504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368A" w14:textId="77777777" w:rsidR="00504168" w:rsidRDefault="005041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2C0B0" w14:textId="77777777" w:rsidR="00504168" w:rsidRDefault="0050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932D8" w14:textId="77777777" w:rsidR="00204B87" w:rsidRDefault="00204B87" w:rsidP="00504168">
      <w:pPr>
        <w:spacing w:after="0" w:line="240" w:lineRule="auto"/>
      </w:pPr>
      <w:r>
        <w:separator/>
      </w:r>
    </w:p>
  </w:footnote>
  <w:footnote w:type="continuationSeparator" w:id="0">
    <w:p w14:paraId="3CFCA7EF" w14:textId="77777777" w:rsidR="00204B87" w:rsidRDefault="00204B87" w:rsidP="0050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3298F" w14:textId="34D2FAB4" w:rsidR="00504168" w:rsidRDefault="00504168">
    <w:pPr>
      <w:pStyle w:val="Header"/>
    </w:pPr>
    <w:r>
      <w:rPr>
        <w:noProof/>
      </w:rPr>
      <w:pict w14:anchorId="5FD97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8235" o:spid="_x0000_s2050" type="#_x0000_t136" style="position:absolute;margin-left:0;margin-top:0;width:539.25pt;height:101.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8B5E2" w14:textId="52EB797A" w:rsidR="00504168" w:rsidRDefault="00504168">
    <w:pPr>
      <w:pStyle w:val="Header"/>
    </w:pPr>
    <w:r>
      <w:rPr>
        <w:noProof/>
      </w:rPr>
      <w:pict w14:anchorId="6F4F5E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8236" o:spid="_x0000_s2051" type="#_x0000_t136" style="position:absolute;margin-left:0;margin-top:0;width:539.25pt;height:101.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73F37" w14:textId="775085DB" w:rsidR="00504168" w:rsidRDefault="00504168">
    <w:pPr>
      <w:pStyle w:val="Header"/>
    </w:pPr>
    <w:r>
      <w:rPr>
        <w:noProof/>
      </w:rPr>
      <w:pict w14:anchorId="0397F2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8234" o:spid="_x0000_s2049" type="#_x0000_t136" style="position:absolute;margin-left:0;margin-top:0;width:539.25pt;height:101.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16503"/>
    <w:multiLevelType w:val="hybridMultilevel"/>
    <w:tmpl w:val="FFA4BF1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9474D5"/>
    <w:multiLevelType w:val="hybridMultilevel"/>
    <w:tmpl w:val="2B085B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A86C9A"/>
    <w:multiLevelType w:val="hybridMultilevel"/>
    <w:tmpl w:val="3B160C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23741D"/>
    <w:multiLevelType w:val="hybridMultilevel"/>
    <w:tmpl w:val="16785C62"/>
    <w:lvl w:ilvl="0" w:tplc="89C48CD0">
      <w:start w:val="1"/>
      <w:numFmt w:val="upperRoman"/>
      <w:lvlText w:val="%1."/>
      <w:lvlJc w:val="left"/>
      <w:pPr>
        <w:ind w:left="720" w:hanging="720"/>
      </w:pPr>
      <w:rPr>
        <w:rFonts w:hint="default"/>
        <w:color w:val="auto"/>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9EC070D"/>
    <w:multiLevelType w:val="hybridMultilevel"/>
    <w:tmpl w:val="E5E41B0C"/>
    <w:lvl w:ilvl="0" w:tplc="A8A69620">
      <w:start w:val="1"/>
      <w:numFmt w:val="upperRoman"/>
      <w:lvlText w:val="%1."/>
      <w:lvlJc w:val="left"/>
      <w:pPr>
        <w:ind w:left="72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01312EF"/>
    <w:multiLevelType w:val="hybridMultilevel"/>
    <w:tmpl w:val="B95CACAA"/>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1DF7F6B"/>
    <w:multiLevelType w:val="hybridMultilevel"/>
    <w:tmpl w:val="12E416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9D3A75"/>
    <w:multiLevelType w:val="hybridMultilevel"/>
    <w:tmpl w:val="D6808BA6"/>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61577B"/>
    <w:multiLevelType w:val="hybridMultilevel"/>
    <w:tmpl w:val="A05C62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B4743F1"/>
    <w:multiLevelType w:val="hybridMultilevel"/>
    <w:tmpl w:val="11C86B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0897993"/>
    <w:multiLevelType w:val="hybridMultilevel"/>
    <w:tmpl w:val="8202160A"/>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F66992"/>
    <w:multiLevelType w:val="hybridMultilevel"/>
    <w:tmpl w:val="B2DA05E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1"/>
  </w:num>
  <w:num w:numId="5">
    <w:abstractNumId w:val="9"/>
  </w:num>
  <w:num w:numId="6">
    <w:abstractNumId w:val="8"/>
  </w:num>
  <w:num w:numId="7">
    <w:abstractNumId w:val="7"/>
  </w:num>
  <w:num w:numId="8">
    <w:abstractNumId w:val="10"/>
  </w:num>
  <w:num w:numId="9">
    <w:abstractNumId w:val="1"/>
  </w:num>
  <w:num w:numId="10">
    <w:abstractNumId w:val="5"/>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F7"/>
    <w:rsid w:val="00016DF8"/>
    <w:rsid w:val="00031B64"/>
    <w:rsid w:val="0004341C"/>
    <w:rsid w:val="00053C6A"/>
    <w:rsid w:val="00063B1E"/>
    <w:rsid w:val="000644E4"/>
    <w:rsid w:val="0007282F"/>
    <w:rsid w:val="000B2C84"/>
    <w:rsid w:val="000C21B2"/>
    <w:rsid w:val="000D341A"/>
    <w:rsid w:val="000E45BC"/>
    <w:rsid w:val="000E759F"/>
    <w:rsid w:val="001132D0"/>
    <w:rsid w:val="00132F40"/>
    <w:rsid w:val="00135C79"/>
    <w:rsid w:val="00160991"/>
    <w:rsid w:val="00183B4B"/>
    <w:rsid w:val="001851BF"/>
    <w:rsid w:val="001A56D8"/>
    <w:rsid w:val="001B2F31"/>
    <w:rsid w:val="00200376"/>
    <w:rsid w:val="00204B87"/>
    <w:rsid w:val="002304AA"/>
    <w:rsid w:val="00260076"/>
    <w:rsid w:val="00281125"/>
    <w:rsid w:val="00283B9F"/>
    <w:rsid w:val="00285126"/>
    <w:rsid w:val="002A682F"/>
    <w:rsid w:val="002B0CF0"/>
    <w:rsid w:val="002C16EE"/>
    <w:rsid w:val="002D66CB"/>
    <w:rsid w:val="002E4D69"/>
    <w:rsid w:val="00300B52"/>
    <w:rsid w:val="00350C2D"/>
    <w:rsid w:val="00362914"/>
    <w:rsid w:val="00364996"/>
    <w:rsid w:val="0036504E"/>
    <w:rsid w:val="003652B0"/>
    <w:rsid w:val="0038495D"/>
    <w:rsid w:val="003A7B5D"/>
    <w:rsid w:val="003E6DB3"/>
    <w:rsid w:val="00446E05"/>
    <w:rsid w:val="00462499"/>
    <w:rsid w:val="004631B0"/>
    <w:rsid w:val="00464E61"/>
    <w:rsid w:val="00474CF4"/>
    <w:rsid w:val="004875FD"/>
    <w:rsid w:val="00495DC3"/>
    <w:rsid w:val="004E129C"/>
    <w:rsid w:val="004E2CB8"/>
    <w:rsid w:val="00500B87"/>
    <w:rsid w:val="00504168"/>
    <w:rsid w:val="005042E5"/>
    <w:rsid w:val="00504B24"/>
    <w:rsid w:val="005114C3"/>
    <w:rsid w:val="005415F0"/>
    <w:rsid w:val="005566AD"/>
    <w:rsid w:val="00560C12"/>
    <w:rsid w:val="00574914"/>
    <w:rsid w:val="005E5CA0"/>
    <w:rsid w:val="005E7AD1"/>
    <w:rsid w:val="00606827"/>
    <w:rsid w:val="00617A8F"/>
    <w:rsid w:val="00634CF0"/>
    <w:rsid w:val="00645B39"/>
    <w:rsid w:val="00666734"/>
    <w:rsid w:val="006B2CE5"/>
    <w:rsid w:val="006C12BE"/>
    <w:rsid w:val="006D4F21"/>
    <w:rsid w:val="00710E50"/>
    <w:rsid w:val="00714C24"/>
    <w:rsid w:val="00717BF3"/>
    <w:rsid w:val="00723914"/>
    <w:rsid w:val="00735C38"/>
    <w:rsid w:val="0076298C"/>
    <w:rsid w:val="007D5AA2"/>
    <w:rsid w:val="00800CB1"/>
    <w:rsid w:val="00813428"/>
    <w:rsid w:val="0083031F"/>
    <w:rsid w:val="008415E5"/>
    <w:rsid w:val="008545DE"/>
    <w:rsid w:val="008A7D11"/>
    <w:rsid w:val="008B003B"/>
    <w:rsid w:val="008C406C"/>
    <w:rsid w:val="008C5FD8"/>
    <w:rsid w:val="009109B1"/>
    <w:rsid w:val="00945B0A"/>
    <w:rsid w:val="00964EB6"/>
    <w:rsid w:val="00965FB3"/>
    <w:rsid w:val="00966855"/>
    <w:rsid w:val="00985A29"/>
    <w:rsid w:val="009A4FF1"/>
    <w:rsid w:val="009B5B4B"/>
    <w:rsid w:val="009C5866"/>
    <w:rsid w:val="009D7E42"/>
    <w:rsid w:val="009E124A"/>
    <w:rsid w:val="009F51BF"/>
    <w:rsid w:val="00A02920"/>
    <w:rsid w:val="00A26995"/>
    <w:rsid w:val="00A35CB5"/>
    <w:rsid w:val="00A40554"/>
    <w:rsid w:val="00A426B7"/>
    <w:rsid w:val="00A43015"/>
    <w:rsid w:val="00A52674"/>
    <w:rsid w:val="00A54EE6"/>
    <w:rsid w:val="00A57570"/>
    <w:rsid w:val="00A66CF2"/>
    <w:rsid w:val="00A710F2"/>
    <w:rsid w:val="00A76382"/>
    <w:rsid w:val="00A848D9"/>
    <w:rsid w:val="00AA48CA"/>
    <w:rsid w:val="00AA6754"/>
    <w:rsid w:val="00AB347F"/>
    <w:rsid w:val="00AC1213"/>
    <w:rsid w:val="00AC4693"/>
    <w:rsid w:val="00B026AD"/>
    <w:rsid w:val="00B24955"/>
    <w:rsid w:val="00B44838"/>
    <w:rsid w:val="00B86FCB"/>
    <w:rsid w:val="00B92F74"/>
    <w:rsid w:val="00BC0633"/>
    <w:rsid w:val="00BE47ED"/>
    <w:rsid w:val="00BF3EFF"/>
    <w:rsid w:val="00BF5F6D"/>
    <w:rsid w:val="00C016A8"/>
    <w:rsid w:val="00C05A20"/>
    <w:rsid w:val="00C078E2"/>
    <w:rsid w:val="00C24C6F"/>
    <w:rsid w:val="00C31F8A"/>
    <w:rsid w:val="00C479BC"/>
    <w:rsid w:val="00C902F7"/>
    <w:rsid w:val="00C94FD6"/>
    <w:rsid w:val="00CB2B3A"/>
    <w:rsid w:val="00CE33E1"/>
    <w:rsid w:val="00CF2E7F"/>
    <w:rsid w:val="00D14332"/>
    <w:rsid w:val="00D27152"/>
    <w:rsid w:val="00D27802"/>
    <w:rsid w:val="00D44516"/>
    <w:rsid w:val="00D630BC"/>
    <w:rsid w:val="00D75E9C"/>
    <w:rsid w:val="00D86986"/>
    <w:rsid w:val="00DA2E7C"/>
    <w:rsid w:val="00DA6E0A"/>
    <w:rsid w:val="00DE267B"/>
    <w:rsid w:val="00DE3258"/>
    <w:rsid w:val="00E15F03"/>
    <w:rsid w:val="00E2014A"/>
    <w:rsid w:val="00E27DEB"/>
    <w:rsid w:val="00E35ACE"/>
    <w:rsid w:val="00E6171E"/>
    <w:rsid w:val="00E6208C"/>
    <w:rsid w:val="00E62682"/>
    <w:rsid w:val="00E74B7A"/>
    <w:rsid w:val="00E8399E"/>
    <w:rsid w:val="00E84519"/>
    <w:rsid w:val="00E91D72"/>
    <w:rsid w:val="00EB41E8"/>
    <w:rsid w:val="00EE5FCC"/>
    <w:rsid w:val="00EF1445"/>
    <w:rsid w:val="00EF1C73"/>
    <w:rsid w:val="00F06904"/>
    <w:rsid w:val="00F16EDA"/>
    <w:rsid w:val="00F22A4D"/>
    <w:rsid w:val="00F32328"/>
    <w:rsid w:val="00F33D89"/>
    <w:rsid w:val="00F351E5"/>
    <w:rsid w:val="00F42532"/>
    <w:rsid w:val="00F85732"/>
    <w:rsid w:val="00F9158E"/>
    <w:rsid w:val="00F9402B"/>
    <w:rsid w:val="00F948F4"/>
    <w:rsid w:val="00FC56AA"/>
    <w:rsid w:val="00FC6893"/>
    <w:rsid w:val="00FD0E8B"/>
    <w:rsid w:val="00FF0688"/>
    <w:rsid w:val="00FF69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E3D7F2"/>
  <w15:chartTrackingRefBased/>
  <w15:docId w15:val="{6435CE2D-7F90-4F33-8A21-222F6614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02F7"/>
  </w:style>
  <w:style w:type="paragraph" w:styleId="Heading1">
    <w:name w:val="heading 1"/>
    <w:basedOn w:val="Normal"/>
    <w:next w:val="Normal"/>
    <w:link w:val="Heading1Char"/>
    <w:uiPriority w:val="9"/>
    <w:qFormat/>
    <w:rsid w:val="00F857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57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C902F7"/>
    <w:pPr>
      <w:keepNext/>
      <w:keepLines/>
      <w:spacing w:before="40" w:after="240"/>
      <w:jc w:val="both"/>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02F7"/>
    <w:rPr>
      <w:rFonts w:ascii="Times New Roman" w:eastAsiaTheme="majorEastAsia" w:hAnsi="Times New Roman" w:cstheme="majorBidi"/>
      <w:b/>
      <w:color w:val="000000" w:themeColor="text1"/>
      <w:sz w:val="24"/>
      <w:szCs w:val="24"/>
    </w:rPr>
  </w:style>
  <w:style w:type="table" w:styleId="PlainTable2">
    <w:name w:val="Plain Table 2"/>
    <w:basedOn w:val="TableNormal"/>
    <w:uiPriority w:val="42"/>
    <w:rsid w:val="00C902F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C902F7"/>
    <w:pPr>
      <w:spacing w:after="200" w:line="240" w:lineRule="auto"/>
    </w:pPr>
    <w:rPr>
      <w:i/>
      <w:iCs/>
      <w:color w:val="44546A" w:themeColor="text2"/>
      <w:sz w:val="18"/>
      <w:szCs w:val="18"/>
    </w:rPr>
  </w:style>
  <w:style w:type="character" w:styleId="Hyperlink">
    <w:name w:val="Hyperlink"/>
    <w:basedOn w:val="DefaultParagraphFont"/>
    <w:uiPriority w:val="99"/>
    <w:unhideWhenUsed/>
    <w:rsid w:val="00C902F7"/>
    <w:rPr>
      <w:color w:val="0563C1" w:themeColor="hyperlink"/>
      <w:u w:val="single"/>
    </w:rPr>
  </w:style>
  <w:style w:type="paragraph" w:styleId="ListParagraph">
    <w:name w:val="List Paragraph"/>
    <w:basedOn w:val="Normal"/>
    <w:qFormat/>
    <w:rsid w:val="00063B1E"/>
    <w:pPr>
      <w:ind w:left="720"/>
      <w:contextualSpacing/>
    </w:pPr>
  </w:style>
  <w:style w:type="character" w:customStyle="1" w:styleId="Heading1Char">
    <w:name w:val="Heading 1 Char"/>
    <w:basedOn w:val="DefaultParagraphFont"/>
    <w:link w:val="Heading1"/>
    <w:uiPriority w:val="9"/>
    <w:rsid w:val="00F8573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85732"/>
    <w:rPr>
      <w:rFonts w:asciiTheme="majorHAnsi" w:eastAsiaTheme="majorEastAsia" w:hAnsiTheme="majorHAnsi" w:cstheme="majorBidi"/>
      <w:color w:val="2E74B5" w:themeColor="accent1" w:themeShade="BF"/>
      <w:sz w:val="26"/>
      <w:szCs w:val="26"/>
    </w:rPr>
  </w:style>
  <w:style w:type="paragraph" w:styleId="Bibliography">
    <w:name w:val="Bibliography"/>
    <w:basedOn w:val="Normal"/>
    <w:next w:val="Normal"/>
    <w:uiPriority w:val="37"/>
    <w:unhideWhenUsed/>
    <w:rsid w:val="00C31F8A"/>
  </w:style>
  <w:style w:type="paragraph" w:styleId="NormalWeb">
    <w:name w:val="Normal (Web)"/>
    <w:basedOn w:val="Normal"/>
    <w:uiPriority w:val="99"/>
    <w:unhideWhenUsed/>
    <w:rsid w:val="0038495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UnresolvedMention">
    <w:name w:val="Unresolved Mention"/>
    <w:basedOn w:val="DefaultParagraphFont"/>
    <w:uiPriority w:val="99"/>
    <w:semiHidden/>
    <w:unhideWhenUsed/>
    <w:rsid w:val="00A40554"/>
    <w:rPr>
      <w:color w:val="605E5C"/>
      <w:shd w:val="clear" w:color="auto" w:fill="E1DFDD"/>
    </w:rPr>
  </w:style>
  <w:style w:type="paragraph" w:styleId="Header">
    <w:name w:val="header"/>
    <w:basedOn w:val="Normal"/>
    <w:link w:val="HeaderChar"/>
    <w:uiPriority w:val="99"/>
    <w:unhideWhenUsed/>
    <w:rsid w:val="005041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168"/>
  </w:style>
  <w:style w:type="paragraph" w:styleId="Footer">
    <w:name w:val="footer"/>
    <w:basedOn w:val="Normal"/>
    <w:link w:val="FooterChar"/>
    <w:uiPriority w:val="99"/>
    <w:unhideWhenUsed/>
    <w:rsid w:val="005041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759566">
      <w:bodyDiv w:val="1"/>
      <w:marLeft w:val="0"/>
      <w:marRight w:val="0"/>
      <w:marTop w:val="0"/>
      <w:marBottom w:val="0"/>
      <w:divBdr>
        <w:top w:val="none" w:sz="0" w:space="0" w:color="auto"/>
        <w:left w:val="none" w:sz="0" w:space="0" w:color="auto"/>
        <w:bottom w:val="none" w:sz="0" w:space="0" w:color="auto"/>
        <w:right w:val="none" w:sz="0" w:space="0" w:color="auto"/>
      </w:divBdr>
    </w:div>
    <w:div w:id="443355226">
      <w:bodyDiv w:val="1"/>
      <w:marLeft w:val="0"/>
      <w:marRight w:val="0"/>
      <w:marTop w:val="0"/>
      <w:marBottom w:val="0"/>
      <w:divBdr>
        <w:top w:val="none" w:sz="0" w:space="0" w:color="auto"/>
        <w:left w:val="none" w:sz="0" w:space="0" w:color="auto"/>
        <w:bottom w:val="none" w:sz="0" w:space="0" w:color="auto"/>
        <w:right w:val="none" w:sz="0" w:space="0" w:color="auto"/>
      </w:divBdr>
    </w:div>
    <w:div w:id="1662346563">
      <w:bodyDiv w:val="1"/>
      <w:marLeft w:val="0"/>
      <w:marRight w:val="0"/>
      <w:marTop w:val="0"/>
      <w:marBottom w:val="0"/>
      <w:divBdr>
        <w:top w:val="none" w:sz="0" w:space="0" w:color="auto"/>
        <w:left w:val="none" w:sz="0" w:space="0" w:color="auto"/>
        <w:bottom w:val="none" w:sz="0" w:space="0" w:color="auto"/>
        <w:right w:val="none" w:sz="0" w:space="0" w:color="auto"/>
      </w:divBdr>
    </w:div>
    <w:div w:id="200674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BED36-70BF-4C5D-9616-F6A365EA0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1459</TotalTime>
  <Pages>9</Pages>
  <Words>4094</Words>
  <Characters>23340</Characters>
  <Application>Microsoft Office Word</Application>
  <DocSecurity>0</DocSecurity>
  <Lines>194</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Niger 2024</dc:creator>
  <cp:keywords/>
  <dc:description/>
  <cp:lastModifiedBy>SDI 1166</cp:lastModifiedBy>
  <cp:revision>131</cp:revision>
  <dcterms:created xsi:type="dcterms:W3CDTF">2025-08-02T13:43:00Z</dcterms:created>
  <dcterms:modified xsi:type="dcterms:W3CDTF">2026-03-24T10:13:00Z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id="qaJbZFKY"/&gt;&lt;style id="http://www.zotero.org/styles/ieee" locale="fr-FR" hasBibliography="1" bibliographyStyleHasBeenSet="1"/&gt;&lt;prefs&gt;&lt;pref name="fieldType" value="Field"/&gt;&lt;/prefs&gt;&lt;/data&gt;</vt:lpwstr>
  </property>
</Properties>
</file>