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Ex2.xml" ContentType="application/vnd.ms-office.chartex+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3.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B0125" w14:textId="77777777" w:rsidR="008A32CA" w:rsidRPr="008A32CA" w:rsidRDefault="008A32CA" w:rsidP="008A32CA">
      <w:pPr>
        <w:spacing w:line="240" w:lineRule="auto"/>
        <w:ind w:firstLine="0"/>
        <w:jc w:val="center"/>
        <w:rPr>
          <w:rFonts w:ascii="Arial" w:hAnsi="Arial" w:cs="Arial"/>
          <w:b/>
          <w:bCs/>
          <w:i/>
          <w:iCs/>
          <w:sz w:val="36"/>
          <w:szCs w:val="36"/>
          <w:u w:val="single"/>
          <w:lang w:val="en-US"/>
        </w:rPr>
      </w:pPr>
      <w:r w:rsidRPr="008A32CA">
        <w:rPr>
          <w:rFonts w:ascii="Arial" w:hAnsi="Arial" w:cs="Arial"/>
          <w:b/>
          <w:bCs/>
          <w:i/>
          <w:iCs/>
          <w:sz w:val="36"/>
          <w:szCs w:val="36"/>
          <w:u w:val="single"/>
          <w:lang w:val="en-US"/>
        </w:rPr>
        <w:t>Original Research Article</w:t>
      </w:r>
    </w:p>
    <w:p w14:paraId="5AA3D7B0" w14:textId="2EE034DD" w:rsidR="00305BCD" w:rsidRPr="00E77D5E" w:rsidRDefault="00E77D5E" w:rsidP="00E77D5E">
      <w:pPr>
        <w:spacing w:line="240" w:lineRule="auto"/>
        <w:ind w:firstLine="0"/>
        <w:jc w:val="center"/>
        <w:rPr>
          <w:rFonts w:ascii="Arial" w:hAnsi="Arial" w:cs="Arial"/>
          <w:b/>
          <w:bCs/>
          <w:sz w:val="36"/>
          <w:szCs w:val="36"/>
          <w:lang w:val="en-US"/>
        </w:rPr>
      </w:pPr>
      <w:r w:rsidRPr="00E77D5E">
        <w:rPr>
          <w:rFonts w:ascii="Arial" w:hAnsi="Arial" w:cs="Arial"/>
          <w:b/>
          <w:bCs/>
          <w:sz w:val="36"/>
          <w:szCs w:val="36"/>
        </w:rPr>
        <w:t xml:space="preserve">Relationship </w:t>
      </w:r>
      <w:r>
        <w:rPr>
          <w:rFonts w:ascii="Arial" w:hAnsi="Arial" w:cs="Arial"/>
          <w:b/>
          <w:bCs/>
          <w:sz w:val="36"/>
          <w:szCs w:val="36"/>
          <w:lang w:val="en-US"/>
        </w:rPr>
        <w:t>b</w:t>
      </w:r>
      <w:r w:rsidRPr="00E77D5E">
        <w:rPr>
          <w:rFonts w:ascii="Arial" w:hAnsi="Arial" w:cs="Arial"/>
          <w:b/>
          <w:bCs/>
          <w:sz w:val="36"/>
          <w:szCs w:val="36"/>
        </w:rPr>
        <w:t xml:space="preserve">etween </w:t>
      </w:r>
      <w:r>
        <w:rPr>
          <w:rFonts w:ascii="Arial" w:hAnsi="Arial" w:cs="Arial"/>
          <w:b/>
          <w:bCs/>
          <w:sz w:val="36"/>
          <w:szCs w:val="36"/>
          <w:lang w:val="en-US"/>
        </w:rPr>
        <w:t>o</w:t>
      </w:r>
      <w:r w:rsidRPr="00E77D5E">
        <w:rPr>
          <w:rFonts w:ascii="Arial" w:hAnsi="Arial" w:cs="Arial"/>
          <w:b/>
          <w:bCs/>
          <w:sz w:val="36"/>
          <w:szCs w:val="36"/>
        </w:rPr>
        <w:t xml:space="preserve">rganic </w:t>
      </w:r>
      <w:r>
        <w:rPr>
          <w:rFonts w:ascii="Arial" w:hAnsi="Arial" w:cs="Arial"/>
          <w:b/>
          <w:bCs/>
          <w:sz w:val="36"/>
          <w:szCs w:val="36"/>
          <w:lang w:val="en-US"/>
        </w:rPr>
        <w:t>p</w:t>
      </w:r>
      <w:r w:rsidRPr="00E77D5E">
        <w:rPr>
          <w:rFonts w:ascii="Arial" w:hAnsi="Arial" w:cs="Arial"/>
          <w:b/>
          <w:bCs/>
          <w:sz w:val="36"/>
          <w:szCs w:val="36"/>
        </w:rPr>
        <w:t xml:space="preserve">ollution, </w:t>
      </w:r>
      <w:r>
        <w:rPr>
          <w:rFonts w:ascii="Arial" w:hAnsi="Arial" w:cs="Arial"/>
          <w:b/>
          <w:bCs/>
          <w:sz w:val="36"/>
          <w:szCs w:val="36"/>
          <w:lang w:val="en-US"/>
        </w:rPr>
        <w:t>m</w:t>
      </w:r>
      <w:r w:rsidRPr="00E77D5E">
        <w:rPr>
          <w:rFonts w:ascii="Arial" w:hAnsi="Arial" w:cs="Arial"/>
          <w:b/>
          <w:bCs/>
          <w:sz w:val="36"/>
          <w:szCs w:val="36"/>
        </w:rPr>
        <w:t xml:space="preserve">icrobial </w:t>
      </w:r>
      <w:proofErr w:type="spellStart"/>
      <w:r>
        <w:rPr>
          <w:rFonts w:ascii="Arial" w:hAnsi="Arial" w:cs="Arial"/>
          <w:b/>
          <w:bCs/>
          <w:sz w:val="36"/>
          <w:szCs w:val="36"/>
          <w:lang w:val="en-US"/>
        </w:rPr>
        <w:t>i</w:t>
      </w:r>
      <w:proofErr w:type="spellEnd"/>
      <w:r w:rsidRPr="00E77D5E">
        <w:rPr>
          <w:rFonts w:ascii="Arial" w:hAnsi="Arial" w:cs="Arial"/>
          <w:b/>
          <w:bCs/>
          <w:sz w:val="36"/>
          <w:szCs w:val="36"/>
        </w:rPr>
        <w:t xml:space="preserve">ndicators, </w:t>
      </w:r>
      <w:r>
        <w:rPr>
          <w:rFonts w:ascii="Arial" w:hAnsi="Arial" w:cs="Arial"/>
          <w:b/>
          <w:bCs/>
          <w:sz w:val="36"/>
          <w:szCs w:val="36"/>
          <w:lang w:val="en-US"/>
        </w:rPr>
        <w:t>a</w:t>
      </w:r>
      <w:r w:rsidRPr="00E77D5E">
        <w:rPr>
          <w:rFonts w:ascii="Arial" w:hAnsi="Arial" w:cs="Arial"/>
          <w:b/>
          <w:bCs/>
          <w:sz w:val="36"/>
          <w:szCs w:val="36"/>
        </w:rPr>
        <w:t xml:space="preserve">nd </w:t>
      </w:r>
      <w:r>
        <w:rPr>
          <w:rFonts w:ascii="Arial" w:hAnsi="Arial" w:cs="Arial"/>
          <w:b/>
          <w:bCs/>
          <w:sz w:val="36"/>
          <w:szCs w:val="36"/>
          <w:lang w:val="en-US"/>
        </w:rPr>
        <w:t>s</w:t>
      </w:r>
      <w:r w:rsidRPr="00E77D5E">
        <w:rPr>
          <w:rFonts w:ascii="Arial" w:hAnsi="Arial" w:cs="Arial"/>
          <w:b/>
          <w:bCs/>
          <w:sz w:val="36"/>
          <w:szCs w:val="36"/>
        </w:rPr>
        <w:t xml:space="preserve">urface </w:t>
      </w:r>
      <w:r>
        <w:rPr>
          <w:rFonts w:ascii="Arial" w:hAnsi="Arial" w:cs="Arial"/>
          <w:b/>
          <w:bCs/>
          <w:sz w:val="36"/>
          <w:szCs w:val="36"/>
          <w:lang w:val="en-US"/>
        </w:rPr>
        <w:t>w</w:t>
      </w:r>
      <w:r w:rsidRPr="00E77D5E">
        <w:rPr>
          <w:rFonts w:ascii="Arial" w:hAnsi="Arial" w:cs="Arial"/>
          <w:b/>
          <w:bCs/>
          <w:sz w:val="36"/>
          <w:szCs w:val="36"/>
        </w:rPr>
        <w:t xml:space="preserve">ater </w:t>
      </w:r>
      <w:r>
        <w:rPr>
          <w:rFonts w:ascii="Arial" w:hAnsi="Arial" w:cs="Arial"/>
          <w:b/>
          <w:bCs/>
          <w:sz w:val="36"/>
          <w:szCs w:val="36"/>
          <w:lang w:val="en-US"/>
        </w:rPr>
        <w:t>q</w:t>
      </w:r>
      <w:r w:rsidRPr="00E77D5E">
        <w:rPr>
          <w:rFonts w:ascii="Arial" w:hAnsi="Arial" w:cs="Arial"/>
          <w:b/>
          <w:bCs/>
          <w:sz w:val="36"/>
          <w:szCs w:val="36"/>
        </w:rPr>
        <w:t xml:space="preserve">uality </w:t>
      </w:r>
      <w:proofErr w:type="spellStart"/>
      <w:r>
        <w:rPr>
          <w:rFonts w:ascii="Arial" w:hAnsi="Arial" w:cs="Arial"/>
          <w:b/>
          <w:bCs/>
          <w:sz w:val="36"/>
          <w:szCs w:val="36"/>
          <w:lang w:val="en-US"/>
        </w:rPr>
        <w:t>i</w:t>
      </w:r>
      <w:proofErr w:type="spellEnd"/>
      <w:r w:rsidRPr="00E77D5E">
        <w:rPr>
          <w:rFonts w:ascii="Arial" w:hAnsi="Arial" w:cs="Arial"/>
          <w:b/>
          <w:bCs/>
          <w:sz w:val="36"/>
          <w:szCs w:val="36"/>
        </w:rPr>
        <w:t xml:space="preserve">n </w:t>
      </w:r>
      <w:r>
        <w:rPr>
          <w:rFonts w:ascii="Arial" w:hAnsi="Arial" w:cs="Arial"/>
          <w:b/>
          <w:bCs/>
          <w:sz w:val="36"/>
          <w:szCs w:val="36"/>
          <w:lang w:val="en-US"/>
        </w:rPr>
        <w:t>t</w:t>
      </w:r>
      <w:r w:rsidRPr="00E77D5E">
        <w:rPr>
          <w:rFonts w:ascii="Arial" w:hAnsi="Arial" w:cs="Arial"/>
          <w:b/>
          <w:bCs/>
          <w:sz w:val="36"/>
          <w:szCs w:val="36"/>
        </w:rPr>
        <w:t xml:space="preserve">he Can Gio </w:t>
      </w:r>
      <w:r>
        <w:rPr>
          <w:rFonts w:ascii="Arial" w:hAnsi="Arial" w:cs="Arial"/>
          <w:b/>
          <w:bCs/>
          <w:sz w:val="36"/>
          <w:szCs w:val="36"/>
          <w:lang w:val="en-US"/>
        </w:rPr>
        <w:t>e</w:t>
      </w:r>
      <w:r w:rsidRPr="00E77D5E">
        <w:rPr>
          <w:rFonts w:ascii="Arial" w:hAnsi="Arial" w:cs="Arial"/>
          <w:b/>
          <w:bCs/>
          <w:sz w:val="36"/>
          <w:szCs w:val="36"/>
        </w:rPr>
        <w:t>stuary, Vietnam</w:t>
      </w:r>
    </w:p>
    <w:p w14:paraId="2C150CC6" w14:textId="250FB97F" w:rsidR="00A0137A" w:rsidRDefault="00A0137A" w:rsidP="00A0137A">
      <w:pPr>
        <w:spacing w:line="24" w:lineRule="atLeast"/>
        <w:jc w:val="right"/>
        <w:rPr>
          <w:rFonts w:ascii="Arial" w:hAnsi="Arial" w:cs="Arial"/>
          <w:i/>
          <w:iCs/>
          <w:sz w:val="20"/>
          <w:szCs w:val="20"/>
          <w:lang w:val="en-US"/>
        </w:rPr>
      </w:pPr>
    </w:p>
    <w:p w14:paraId="674BF64E" w14:textId="77777777" w:rsidR="002153B2" w:rsidRPr="00A0137A" w:rsidRDefault="002153B2" w:rsidP="00A0137A">
      <w:pPr>
        <w:spacing w:line="24" w:lineRule="atLeast"/>
        <w:jc w:val="right"/>
        <w:rPr>
          <w:rFonts w:ascii="Arial" w:hAnsi="Arial" w:cs="Arial"/>
          <w:i/>
          <w:iCs/>
          <w:sz w:val="20"/>
          <w:szCs w:val="20"/>
          <w:lang w:val="en-US"/>
        </w:rPr>
      </w:pPr>
    </w:p>
    <w:p w14:paraId="470E6708" w14:textId="77777777" w:rsidR="00A0137A" w:rsidRPr="00830259" w:rsidRDefault="00A0137A" w:rsidP="00830259">
      <w:pPr>
        <w:spacing w:line="24" w:lineRule="atLeast"/>
        <w:jc w:val="right"/>
        <w:rPr>
          <w:rFonts w:ascii="Arial" w:hAnsi="Arial" w:cs="Arial"/>
          <w:i/>
          <w:iCs/>
          <w:sz w:val="20"/>
          <w:szCs w:val="20"/>
          <w:lang w:val="en-US"/>
        </w:rPr>
      </w:pPr>
    </w:p>
    <w:p w14:paraId="361B2D88" w14:textId="2B3AC8EC" w:rsidR="003D7D44" w:rsidRPr="00830259" w:rsidRDefault="003D7D44" w:rsidP="00830259">
      <w:pPr>
        <w:ind w:firstLine="0"/>
        <w:rPr>
          <w:rFonts w:ascii="Arial" w:hAnsi="Arial" w:cs="Arial"/>
          <w:b/>
          <w:bCs/>
          <w:sz w:val="22"/>
          <w:lang w:val="en-US"/>
        </w:rPr>
      </w:pPr>
      <w:r w:rsidRPr="00830259">
        <w:rPr>
          <w:rFonts w:ascii="Arial" w:hAnsi="Arial" w:cs="Arial"/>
          <w:b/>
          <w:bCs/>
          <w:sz w:val="22"/>
        </w:rPr>
        <w:t>ABSTRACT</w:t>
      </w:r>
    </w:p>
    <w:p w14:paraId="24D3C04D" w14:textId="3287B04D" w:rsidR="00BD0378" w:rsidRPr="00E77D5E" w:rsidRDefault="00863711" w:rsidP="007F5B9E">
      <w:pPr>
        <w:pBdr>
          <w:top w:val="single" w:sz="4" w:space="1" w:color="auto"/>
          <w:left w:val="single" w:sz="4" w:space="4" w:color="auto"/>
          <w:bottom w:val="single" w:sz="4" w:space="1" w:color="auto"/>
          <w:right w:val="single" w:sz="4" w:space="4" w:color="auto"/>
        </w:pBdr>
        <w:spacing w:line="240" w:lineRule="auto"/>
        <w:rPr>
          <w:rFonts w:ascii="Arial" w:hAnsi="Arial" w:cs="Arial"/>
          <w:sz w:val="20"/>
          <w:szCs w:val="20"/>
          <w:lang w:val="en-US"/>
        </w:rPr>
      </w:pPr>
      <w:r w:rsidRPr="00E77D5E">
        <w:rPr>
          <w:rFonts w:ascii="Arial" w:hAnsi="Arial" w:cs="Arial"/>
          <w:sz w:val="20"/>
          <w:szCs w:val="20"/>
        </w:rPr>
        <w:t>This study re-analyzes a surface water quality monitoring dataset from the Can Gio estuary, Vietnam, to clarify the relationships among organic pollution, microbial contamination, and water quality in a mangrove estuarine system influenced by both natural processes and human activities</w:t>
      </w:r>
      <w:r w:rsidR="00BD0378" w:rsidRPr="00E77D5E">
        <w:rPr>
          <w:rFonts w:ascii="Arial" w:hAnsi="Arial" w:cs="Arial"/>
          <w:sz w:val="20"/>
          <w:szCs w:val="20"/>
        </w:rPr>
        <w:t xml:space="preserve">. </w:t>
      </w:r>
      <w:r w:rsidRPr="00E77D5E">
        <w:rPr>
          <w:rFonts w:ascii="Arial" w:hAnsi="Arial" w:cs="Arial"/>
          <w:sz w:val="20"/>
          <w:szCs w:val="20"/>
        </w:rPr>
        <w:t>The dataset was obtained from 14 sampling sites surveyed during two periods representing the dry season</w:t>
      </w:r>
      <w:r w:rsidR="00BD0378" w:rsidRPr="00E77D5E">
        <w:rPr>
          <w:rFonts w:ascii="Arial" w:hAnsi="Arial" w:cs="Arial"/>
          <w:sz w:val="20"/>
          <w:szCs w:val="20"/>
        </w:rPr>
        <w:t xml:space="preserve"> (March 2023) and the rainy season (September 2023). Parameters considered include DO, BOD</w:t>
      </w:r>
      <w:r w:rsidR="00BD0378" w:rsidRPr="00E77D5E">
        <w:rPr>
          <w:rFonts w:ascii="Cambria Math" w:hAnsi="Cambria Math" w:cs="Cambria Math"/>
          <w:sz w:val="20"/>
          <w:szCs w:val="20"/>
        </w:rPr>
        <w:t>₅</w:t>
      </w:r>
      <w:r w:rsidR="00BD0378" w:rsidRPr="00E77D5E">
        <w:rPr>
          <w:rFonts w:ascii="Arial" w:hAnsi="Arial" w:cs="Arial"/>
          <w:sz w:val="20"/>
          <w:szCs w:val="20"/>
        </w:rPr>
        <w:t>, COD, NH</w:t>
      </w:r>
      <w:r w:rsidR="00BD0378" w:rsidRPr="00E77D5E">
        <w:rPr>
          <w:rFonts w:ascii="Cambria Math" w:hAnsi="Cambria Math" w:cs="Cambria Math"/>
          <w:sz w:val="20"/>
          <w:szCs w:val="20"/>
        </w:rPr>
        <w:t>₄⁺</w:t>
      </w:r>
      <w:r w:rsidR="00BD0378" w:rsidRPr="00E77D5E">
        <w:rPr>
          <w:rFonts w:ascii="Arial" w:hAnsi="Arial" w:cs="Arial"/>
          <w:sz w:val="20"/>
          <w:szCs w:val="20"/>
        </w:rPr>
        <w:t>, NO</w:t>
      </w:r>
      <w:r w:rsidR="00BD0378" w:rsidRPr="00E77D5E">
        <w:rPr>
          <w:rFonts w:ascii="Cambria Math" w:hAnsi="Cambria Math" w:cs="Cambria Math"/>
          <w:sz w:val="20"/>
          <w:szCs w:val="20"/>
        </w:rPr>
        <w:t>₂⁻</w:t>
      </w:r>
      <w:r w:rsidR="00BD0378" w:rsidRPr="00E77D5E">
        <w:rPr>
          <w:rFonts w:ascii="Arial" w:hAnsi="Arial" w:cs="Arial"/>
          <w:sz w:val="20"/>
          <w:szCs w:val="20"/>
        </w:rPr>
        <w:t>, PO</w:t>
      </w:r>
      <w:r w:rsidR="00BD0378" w:rsidRPr="00E77D5E">
        <w:rPr>
          <w:rFonts w:ascii="Cambria Math" w:hAnsi="Cambria Math" w:cs="Cambria Math"/>
          <w:sz w:val="20"/>
          <w:szCs w:val="20"/>
        </w:rPr>
        <w:t>₄</w:t>
      </w:r>
      <w:r w:rsidR="00BD0378" w:rsidRPr="00E77D5E">
        <w:rPr>
          <w:rFonts w:ascii="Arial" w:hAnsi="Arial" w:cs="Arial"/>
          <w:sz w:val="20"/>
          <w:szCs w:val="20"/>
        </w:rPr>
        <w:t>³</w:t>
      </w:r>
      <w:r w:rsidR="00BD0378" w:rsidRPr="00E77D5E">
        <w:rPr>
          <w:rFonts w:ascii="Cambria Math" w:hAnsi="Cambria Math" w:cs="Cambria Math"/>
          <w:sz w:val="20"/>
          <w:szCs w:val="20"/>
        </w:rPr>
        <w:t>⁻</w:t>
      </w:r>
      <w:r w:rsidR="00BD0378" w:rsidRPr="00E77D5E">
        <w:rPr>
          <w:rFonts w:ascii="Arial" w:hAnsi="Arial" w:cs="Arial"/>
          <w:sz w:val="20"/>
          <w:szCs w:val="20"/>
        </w:rPr>
        <w:t xml:space="preserve">, total </w:t>
      </w:r>
      <w:r w:rsidR="00333E94" w:rsidRPr="00E77D5E">
        <w:rPr>
          <w:rFonts w:ascii="Arial" w:hAnsi="Arial" w:cs="Arial"/>
          <w:sz w:val="20"/>
          <w:szCs w:val="20"/>
          <w:lang w:val="en-US"/>
        </w:rPr>
        <w:t>C</w:t>
      </w:r>
      <w:r w:rsidR="00BD0378" w:rsidRPr="00E77D5E">
        <w:rPr>
          <w:rFonts w:ascii="Arial" w:hAnsi="Arial" w:cs="Arial"/>
          <w:sz w:val="20"/>
          <w:szCs w:val="20"/>
        </w:rPr>
        <w:t xml:space="preserve">oliform, and </w:t>
      </w:r>
      <w:r w:rsidR="00BD0378" w:rsidRPr="00E77D5E">
        <w:rPr>
          <w:rFonts w:ascii="Arial" w:hAnsi="Arial" w:cs="Arial"/>
          <w:i/>
          <w:iCs/>
          <w:sz w:val="20"/>
          <w:szCs w:val="20"/>
        </w:rPr>
        <w:t>Escherichia coli</w:t>
      </w:r>
      <w:r w:rsidR="00BD0378" w:rsidRPr="00E77D5E">
        <w:rPr>
          <w:rFonts w:ascii="Arial" w:hAnsi="Arial" w:cs="Arial"/>
          <w:sz w:val="20"/>
          <w:szCs w:val="20"/>
        </w:rPr>
        <w:t>. The results showed that water quality fluctuated significantly with the seasons, with BOD</w:t>
      </w:r>
      <w:r w:rsidR="00BD0378" w:rsidRPr="00E77D5E">
        <w:rPr>
          <w:rFonts w:ascii="Cambria Math" w:hAnsi="Cambria Math" w:cs="Cambria Math"/>
          <w:sz w:val="20"/>
          <w:szCs w:val="20"/>
        </w:rPr>
        <w:t>₅</w:t>
      </w:r>
      <w:r w:rsidR="00BD0378" w:rsidRPr="00E77D5E">
        <w:rPr>
          <w:rFonts w:ascii="Arial" w:hAnsi="Arial" w:cs="Arial"/>
          <w:sz w:val="20"/>
          <w:szCs w:val="20"/>
        </w:rPr>
        <w:t xml:space="preserve"> and COD being higher in the dry season, and DO tending to be slightly higher in the rainy season. </w:t>
      </w:r>
      <w:r w:rsidRPr="00E77D5E">
        <w:rPr>
          <w:rFonts w:ascii="Arial" w:hAnsi="Arial" w:cs="Arial"/>
          <w:sz w:val="20"/>
          <w:szCs w:val="20"/>
        </w:rPr>
        <w:t>Spatially, organic pollution was unevenly distributed among sites</w:t>
      </w:r>
      <w:r w:rsidR="00BD0378" w:rsidRPr="00E77D5E">
        <w:rPr>
          <w:rFonts w:ascii="Arial" w:hAnsi="Arial" w:cs="Arial"/>
          <w:sz w:val="20"/>
          <w:szCs w:val="20"/>
        </w:rPr>
        <w:t xml:space="preserve">, with some points showing markedly higher organic loads, </w:t>
      </w:r>
      <w:r w:rsidRPr="00E77D5E">
        <w:rPr>
          <w:rFonts w:ascii="Arial" w:hAnsi="Arial" w:cs="Arial"/>
          <w:sz w:val="20"/>
          <w:szCs w:val="20"/>
        </w:rPr>
        <w:t>suggesting the influence of aquaculture, household wastewater, and local anthropogenic activities</w:t>
      </w:r>
      <w:r w:rsidR="00BD0378" w:rsidRPr="00E77D5E">
        <w:rPr>
          <w:rFonts w:ascii="Arial" w:hAnsi="Arial" w:cs="Arial"/>
          <w:sz w:val="20"/>
          <w:szCs w:val="20"/>
        </w:rPr>
        <w:t xml:space="preserve">. </w:t>
      </w:r>
      <w:r w:rsidRPr="00E77D5E">
        <w:rPr>
          <w:rFonts w:ascii="Arial" w:hAnsi="Arial" w:cs="Arial"/>
          <w:sz w:val="20"/>
          <w:szCs w:val="20"/>
        </w:rPr>
        <w:t>Among the nutrient parameters, NO</w:t>
      </w:r>
      <w:r w:rsidRPr="00E77D5E">
        <w:rPr>
          <w:rFonts w:ascii="Cambria Math" w:hAnsi="Cambria Math" w:cs="Cambria Math"/>
          <w:sz w:val="20"/>
          <w:szCs w:val="20"/>
        </w:rPr>
        <w:t>₂⁻</w:t>
      </w:r>
      <w:r w:rsidRPr="00E77D5E">
        <w:rPr>
          <w:rFonts w:ascii="Arial" w:hAnsi="Arial" w:cs="Arial"/>
          <w:sz w:val="20"/>
          <w:szCs w:val="20"/>
        </w:rPr>
        <w:t xml:space="preserve"> showed the clearest seasonal variation</w:t>
      </w:r>
      <w:r w:rsidR="00BD0378" w:rsidRPr="00E77D5E">
        <w:rPr>
          <w:rFonts w:ascii="Arial" w:hAnsi="Arial" w:cs="Arial"/>
          <w:sz w:val="20"/>
          <w:szCs w:val="20"/>
        </w:rPr>
        <w:t xml:space="preserve">, </w:t>
      </w:r>
      <w:r w:rsidR="00833659" w:rsidRPr="00E77D5E">
        <w:rPr>
          <w:rFonts w:ascii="Arial" w:hAnsi="Arial" w:cs="Arial"/>
          <w:sz w:val="20"/>
          <w:szCs w:val="20"/>
        </w:rPr>
        <w:t>while NH</w:t>
      </w:r>
      <w:r w:rsidR="00833659" w:rsidRPr="00E77D5E">
        <w:rPr>
          <w:rFonts w:ascii="Cambria Math" w:hAnsi="Cambria Math" w:cs="Cambria Math"/>
          <w:sz w:val="20"/>
          <w:szCs w:val="20"/>
        </w:rPr>
        <w:t>₄⁺</w:t>
      </w:r>
      <w:r w:rsidR="00833659" w:rsidRPr="00E77D5E">
        <w:rPr>
          <w:rFonts w:ascii="Arial" w:hAnsi="Arial" w:cs="Arial"/>
          <w:sz w:val="20"/>
          <w:szCs w:val="20"/>
        </w:rPr>
        <w:t xml:space="preserve"> and PO</w:t>
      </w:r>
      <w:r w:rsidR="00833659" w:rsidRPr="00E77D5E">
        <w:rPr>
          <w:rFonts w:ascii="Cambria Math" w:hAnsi="Cambria Math" w:cs="Cambria Math"/>
          <w:sz w:val="20"/>
          <w:szCs w:val="20"/>
        </w:rPr>
        <w:t>₄</w:t>
      </w:r>
      <w:r w:rsidR="00833659" w:rsidRPr="00E77D5E">
        <w:rPr>
          <w:rFonts w:ascii="Arial" w:hAnsi="Arial" w:cs="Arial"/>
          <w:sz w:val="20"/>
          <w:szCs w:val="20"/>
        </w:rPr>
        <w:t>³</w:t>
      </w:r>
      <w:r w:rsidR="00833659" w:rsidRPr="00E77D5E">
        <w:rPr>
          <w:rFonts w:ascii="Cambria Math" w:hAnsi="Cambria Math" w:cs="Cambria Math"/>
          <w:sz w:val="20"/>
          <w:szCs w:val="20"/>
        </w:rPr>
        <w:t>⁻</w:t>
      </w:r>
      <w:r w:rsidR="00833659" w:rsidRPr="00E77D5E">
        <w:rPr>
          <w:rFonts w:ascii="Arial" w:hAnsi="Arial" w:cs="Arial"/>
          <w:sz w:val="20"/>
          <w:szCs w:val="20"/>
        </w:rPr>
        <w:t xml:space="preserve"> showed less variation</w:t>
      </w:r>
      <w:r w:rsidR="00BD0378" w:rsidRPr="00E77D5E">
        <w:rPr>
          <w:rFonts w:ascii="Arial" w:hAnsi="Arial" w:cs="Arial"/>
          <w:sz w:val="20"/>
          <w:szCs w:val="20"/>
        </w:rPr>
        <w:t xml:space="preserve">. Microbial indicators remained high in both seasons, with </w:t>
      </w:r>
      <w:r w:rsidR="00BD0378" w:rsidRPr="00E77D5E">
        <w:rPr>
          <w:rFonts w:ascii="Arial" w:hAnsi="Arial" w:cs="Arial"/>
          <w:i/>
          <w:iCs/>
          <w:sz w:val="20"/>
          <w:szCs w:val="20"/>
        </w:rPr>
        <w:t>E. coli</w:t>
      </w:r>
      <w:r w:rsidR="00BD0378" w:rsidRPr="00E77D5E">
        <w:rPr>
          <w:rFonts w:ascii="Arial" w:hAnsi="Arial" w:cs="Arial"/>
          <w:sz w:val="20"/>
          <w:szCs w:val="20"/>
        </w:rPr>
        <w:t xml:space="preserve"> in particular tending to fluctuate more strongly in the rainy season, reflecting the combined impact of on-site discharge and </w:t>
      </w:r>
      <w:r w:rsidR="008A035A" w:rsidRPr="00E77D5E">
        <w:rPr>
          <w:rFonts w:ascii="Arial" w:hAnsi="Arial" w:cs="Arial"/>
          <w:sz w:val="20"/>
          <w:szCs w:val="20"/>
        </w:rPr>
        <w:t>runoff from inland areas</w:t>
      </w:r>
      <w:r w:rsidR="00BD0378" w:rsidRPr="00E77D5E">
        <w:rPr>
          <w:rFonts w:ascii="Arial" w:hAnsi="Arial" w:cs="Arial"/>
          <w:sz w:val="20"/>
          <w:szCs w:val="20"/>
        </w:rPr>
        <w:t>. Analysis of the relationship between BOD</w:t>
      </w:r>
      <w:r w:rsidR="00BD0378" w:rsidRPr="00E77D5E">
        <w:rPr>
          <w:rFonts w:ascii="Cambria Math" w:hAnsi="Cambria Math" w:cs="Cambria Math"/>
          <w:sz w:val="20"/>
          <w:szCs w:val="20"/>
        </w:rPr>
        <w:t>₅</w:t>
      </w:r>
      <w:r w:rsidR="00BD0378" w:rsidRPr="00E77D5E">
        <w:rPr>
          <w:rFonts w:ascii="Arial" w:hAnsi="Arial" w:cs="Arial"/>
          <w:sz w:val="20"/>
          <w:szCs w:val="20"/>
        </w:rPr>
        <w:t xml:space="preserve"> and DO reveals a weak correlation trend at the sampling point scale, suggesting that DO in estuarine systems is governed not only by organic loads but also by hydrodynamic factors and other environmental conditions. In general, the results of the study show that the Can Gio estuary system is under pressure </w:t>
      </w:r>
      <w:r w:rsidR="008A035A" w:rsidRPr="00E77D5E">
        <w:rPr>
          <w:rFonts w:ascii="Arial" w:hAnsi="Arial" w:cs="Arial"/>
          <w:sz w:val="20"/>
          <w:szCs w:val="20"/>
          <w:lang w:val="en-US"/>
        </w:rPr>
        <w:t>from</w:t>
      </w:r>
      <w:r w:rsidR="00BD0378" w:rsidRPr="00E77D5E">
        <w:rPr>
          <w:rFonts w:ascii="Arial" w:hAnsi="Arial" w:cs="Arial"/>
          <w:sz w:val="20"/>
          <w:szCs w:val="20"/>
        </w:rPr>
        <w:t xml:space="preserve"> mixed organic and microbial pollution, in which the dry season is a more sensitive period for the accumulation of organic loads. The study provides a scientific basis for water quality monitoring, warning and management in tropical mangrove estuarine systems in Vietnam</w:t>
      </w:r>
    </w:p>
    <w:p w14:paraId="5C8DB634" w14:textId="6F37D787" w:rsidR="003B3BCF" w:rsidRPr="00E77D5E" w:rsidRDefault="003B3BCF" w:rsidP="007F5B9E">
      <w:pPr>
        <w:spacing w:line="240" w:lineRule="auto"/>
        <w:rPr>
          <w:rFonts w:ascii="Arial" w:hAnsi="Arial" w:cs="Arial"/>
          <w:sz w:val="20"/>
          <w:szCs w:val="20"/>
          <w:lang w:val="en-US"/>
        </w:rPr>
      </w:pPr>
      <w:r w:rsidRPr="00E77D5E">
        <w:rPr>
          <w:rFonts w:ascii="Arial" w:hAnsi="Arial" w:cs="Arial"/>
          <w:b/>
          <w:bCs/>
          <w:sz w:val="20"/>
          <w:szCs w:val="20"/>
        </w:rPr>
        <w:t xml:space="preserve">Keywords: </w:t>
      </w:r>
      <w:r w:rsidR="00BD0378" w:rsidRPr="00E77D5E">
        <w:rPr>
          <w:rFonts w:ascii="Arial" w:hAnsi="Arial" w:cs="Arial"/>
          <w:sz w:val="20"/>
          <w:szCs w:val="20"/>
        </w:rPr>
        <w:t>Can Gio</w:t>
      </w:r>
      <w:r w:rsidR="008A035A" w:rsidRPr="00E77D5E">
        <w:rPr>
          <w:rFonts w:ascii="Arial" w:hAnsi="Arial" w:cs="Arial"/>
          <w:sz w:val="20"/>
          <w:szCs w:val="20"/>
          <w:lang w:val="en-US"/>
        </w:rPr>
        <w:t xml:space="preserve"> </w:t>
      </w:r>
      <w:r w:rsidR="008A035A" w:rsidRPr="00E77D5E">
        <w:rPr>
          <w:rFonts w:ascii="Arial" w:hAnsi="Arial" w:cs="Arial"/>
          <w:sz w:val="20"/>
          <w:szCs w:val="20"/>
        </w:rPr>
        <w:t>estuary</w:t>
      </w:r>
      <w:r w:rsidR="00BD0378" w:rsidRPr="00E77D5E">
        <w:rPr>
          <w:rFonts w:ascii="Arial" w:hAnsi="Arial" w:cs="Arial"/>
          <w:sz w:val="20"/>
          <w:szCs w:val="20"/>
        </w:rPr>
        <w:t xml:space="preserve">; mangrove estuary; surface water quality; organic pollution; </w:t>
      </w:r>
      <w:r w:rsidR="00AD4A1A" w:rsidRPr="00E77D5E">
        <w:rPr>
          <w:rFonts w:ascii="Arial" w:hAnsi="Arial" w:cs="Arial"/>
          <w:sz w:val="20"/>
          <w:szCs w:val="20"/>
        </w:rPr>
        <w:t>microbial indicators</w:t>
      </w:r>
    </w:p>
    <w:p w14:paraId="5ACE587A" w14:textId="2EEFF09F" w:rsidR="006F5E50" w:rsidRPr="00830259" w:rsidRDefault="006F5E50" w:rsidP="00A0137A">
      <w:pPr>
        <w:tabs>
          <w:tab w:val="left" w:pos="2428"/>
        </w:tabs>
        <w:spacing w:line="240" w:lineRule="auto"/>
        <w:ind w:firstLine="0"/>
        <w:rPr>
          <w:rFonts w:ascii="Arial" w:hAnsi="Arial" w:cs="Arial"/>
          <w:b/>
          <w:bCs/>
          <w:sz w:val="22"/>
          <w:lang w:val="en-US"/>
        </w:rPr>
      </w:pPr>
      <w:r w:rsidRPr="00830259">
        <w:rPr>
          <w:rFonts w:ascii="Arial" w:hAnsi="Arial" w:cs="Arial"/>
          <w:b/>
          <w:bCs/>
          <w:sz w:val="22"/>
        </w:rPr>
        <w:t>1. INTRODUCTION</w:t>
      </w:r>
      <w:r w:rsidR="00A0137A">
        <w:rPr>
          <w:rFonts w:ascii="Arial" w:hAnsi="Arial" w:cs="Arial"/>
          <w:b/>
          <w:bCs/>
          <w:sz w:val="22"/>
        </w:rPr>
        <w:tab/>
      </w:r>
    </w:p>
    <w:p w14:paraId="1614E8FB" w14:textId="0A9B71C7" w:rsidR="004260FF" w:rsidRPr="00E77D5E" w:rsidRDefault="004260FF" w:rsidP="009848C1">
      <w:pPr>
        <w:spacing w:line="240" w:lineRule="auto"/>
        <w:ind w:firstLine="426"/>
        <w:rPr>
          <w:rFonts w:ascii="Arial" w:hAnsi="Arial" w:cs="Arial"/>
          <w:sz w:val="20"/>
          <w:szCs w:val="20"/>
          <w:lang w:val="en-US"/>
        </w:rPr>
      </w:pPr>
      <w:r w:rsidRPr="00E77D5E">
        <w:rPr>
          <w:rFonts w:ascii="Arial" w:hAnsi="Arial" w:cs="Arial"/>
          <w:sz w:val="20"/>
          <w:szCs w:val="20"/>
        </w:rPr>
        <w:t xml:space="preserve">Estuarine ecosystems and mangroves are dynamic transition zones between freshwater and saltwater, where intense biogeochemical processes related to nutrient cycling, organic matter decomposition, microbial respiration, carbon storage, and water quality regulation take place. </w:t>
      </w:r>
      <w:r w:rsidR="008A035A" w:rsidRPr="00E77D5E">
        <w:rPr>
          <w:rFonts w:ascii="Arial" w:hAnsi="Arial" w:cs="Arial"/>
          <w:sz w:val="20"/>
          <w:szCs w:val="20"/>
        </w:rPr>
        <w:t>Within these systems, microbial communities not only reflect environmental conditions but also contribute directly to important ecosystem services, including organic matter transformation, maintenance of biological productivity, and the self-purification capacity of water bodies</w:t>
      </w:r>
      <w:r w:rsidRPr="00E77D5E">
        <w:rPr>
          <w:rFonts w:ascii="Arial" w:hAnsi="Arial" w:cs="Arial"/>
          <w:sz w:val="20"/>
          <w:szCs w:val="20"/>
        </w:rPr>
        <w:t xml:space="preserve"> (Crump &amp; Bowen,  2024). Recent studies in Vietnam have also shown that mangrove ecosystems can contribute to biofiltration, pollutant retention and improvement of some water quality characteristics, although this effect is highly dependent on hydrodynamics, </w:t>
      </w:r>
      <w:r w:rsidR="008A035A" w:rsidRPr="00E77D5E">
        <w:rPr>
          <w:rFonts w:ascii="Arial" w:hAnsi="Arial" w:cs="Arial"/>
          <w:sz w:val="20"/>
          <w:szCs w:val="20"/>
        </w:rPr>
        <w:t xml:space="preserve">pollutant inputs </w:t>
      </w:r>
      <w:r w:rsidRPr="00E77D5E">
        <w:rPr>
          <w:rFonts w:ascii="Arial" w:hAnsi="Arial" w:cs="Arial"/>
          <w:sz w:val="20"/>
          <w:szCs w:val="20"/>
        </w:rPr>
        <w:t>and habitat structure (Nguyen et al.,  2026).</w:t>
      </w:r>
      <w:r w:rsidR="009848C1">
        <w:rPr>
          <w:rFonts w:ascii="Arial" w:hAnsi="Arial" w:cs="Arial"/>
          <w:sz w:val="20"/>
          <w:szCs w:val="20"/>
          <w:lang w:val="en-US"/>
        </w:rPr>
        <w:t xml:space="preserve"> </w:t>
      </w:r>
      <w:r w:rsidRPr="00E77D5E">
        <w:rPr>
          <w:rFonts w:ascii="Arial" w:hAnsi="Arial" w:cs="Arial"/>
          <w:sz w:val="20"/>
          <w:szCs w:val="20"/>
        </w:rPr>
        <w:t xml:space="preserve">However, coastal estuarine systems are currently under increasing pressure from aquaculture, domestic wastewater, water transportation, urban development and land-use activities in the basin. Wastewater from aquaculture often contains high levels of organic matter, nitrogen, phosphorus, suspended solids and biological agents; when discharged into receiving waters, these components can increase oxygen demand, promote eutrophication, cause local oxygen deprivation, and degrade water quality (Liu et al., 2024). In Vietnam, many recent studies have documented strong spatial and temporal fluctuations in surface water quality in rivers, canals and coastal areas; </w:t>
      </w:r>
      <w:r w:rsidR="008A035A" w:rsidRPr="00E77D5E">
        <w:rPr>
          <w:rFonts w:ascii="Arial" w:hAnsi="Arial" w:cs="Arial"/>
          <w:sz w:val="20"/>
          <w:szCs w:val="20"/>
        </w:rPr>
        <w:t xml:space="preserve">and have shown that organic, nutrient, and microbial pollution remain major pressure factors </w:t>
      </w:r>
      <w:r w:rsidRPr="00E77D5E">
        <w:rPr>
          <w:rFonts w:ascii="Arial" w:hAnsi="Arial" w:cs="Arial"/>
          <w:sz w:val="20"/>
          <w:szCs w:val="20"/>
        </w:rPr>
        <w:t>that need to be monitored regularly (Giao et al., 2021; Ha et al., 2021; Ha et al., 2025).</w:t>
      </w:r>
    </w:p>
    <w:p w14:paraId="3B3AA087" w14:textId="16B47449" w:rsidR="004260FF" w:rsidRPr="00E77D5E" w:rsidRDefault="004260FF" w:rsidP="009848C1">
      <w:pPr>
        <w:spacing w:line="240" w:lineRule="auto"/>
        <w:ind w:firstLine="426"/>
        <w:rPr>
          <w:rFonts w:ascii="Arial" w:hAnsi="Arial" w:cs="Arial"/>
          <w:sz w:val="20"/>
          <w:szCs w:val="20"/>
          <w:lang w:val="en-US"/>
        </w:rPr>
      </w:pPr>
      <w:r w:rsidRPr="00E77D5E">
        <w:rPr>
          <w:rFonts w:ascii="Arial" w:hAnsi="Arial" w:cs="Arial"/>
          <w:sz w:val="20"/>
          <w:szCs w:val="20"/>
        </w:rPr>
        <w:t>In that context, the assessment of water quality should not stop at each individual indicator. Parameters such as BOD</w:t>
      </w:r>
      <w:r w:rsidRPr="00E77D5E">
        <w:rPr>
          <w:rFonts w:ascii="Cambria Math" w:hAnsi="Cambria Math" w:cs="Cambria Math"/>
          <w:sz w:val="20"/>
          <w:szCs w:val="20"/>
        </w:rPr>
        <w:t>₅</w:t>
      </w:r>
      <w:r w:rsidRPr="00E77D5E">
        <w:rPr>
          <w:rFonts w:ascii="Arial" w:hAnsi="Arial" w:cs="Arial"/>
          <w:sz w:val="20"/>
          <w:szCs w:val="20"/>
        </w:rPr>
        <w:t xml:space="preserve">, COD, ammonium, nitrite, phosphate, DO, Coliforms, and Escherichia coli have a close functional relationship through microbiological respiration, organic matter decomposition, nitrogen metabolism, and flow transport of matter. High organic loads often lead to increased oxygen </w:t>
      </w:r>
      <w:r w:rsidRPr="00E77D5E">
        <w:rPr>
          <w:rFonts w:ascii="Arial" w:hAnsi="Arial" w:cs="Arial"/>
          <w:sz w:val="20"/>
          <w:szCs w:val="20"/>
        </w:rPr>
        <w:lastRenderedPageBreak/>
        <w:t xml:space="preserve">consumption and facilitate the growth of microorganisms; conversely, the structure and activity of the microbiome also determine the rate of mineralization and metabolism of pollutants in estuarine systems (Crump &amp; Bowen, 2024; Liu et al., 2024). Thus, an integrated approach between organic contamination, microbial contamination and oxygen dynamics </w:t>
      </w:r>
      <w:r w:rsidR="008A035A" w:rsidRPr="00E77D5E">
        <w:rPr>
          <w:rFonts w:ascii="Arial" w:hAnsi="Arial" w:cs="Arial"/>
          <w:sz w:val="20"/>
          <w:szCs w:val="20"/>
        </w:rPr>
        <w:t xml:space="preserve">would provide greater explanatory value for understanding underlying mechanisms </w:t>
      </w:r>
      <w:r w:rsidRPr="00E77D5E">
        <w:rPr>
          <w:rFonts w:ascii="Arial" w:hAnsi="Arial" w:cs="Arial"/>
          <w:sz w:val="20"/>
          <w:szCs w:val="20"/>
        </w:rPr>
        <w:t xml:space="preserve">than using mere aggregate indicators or individual evaluation thresholds. </w:t>
      </w:r>
    </w:p>
    <w:p w14:paraId="532D2F7C" w14:textId="75BEE2C7" w:rsidR="004260FF" w:rsidRPr="00E77D5E" w:rsidRDefault="000F7BDC" w:rsidP="009848C1">
      <w:pPr>
        <w:spacing w:line="240" w:lineRule="auto"/>
        <w:ind w:firstLine="426"/>
        <w:rPr>
          <w:rFonts w:ascii="Arial" w:hAnsi="Arial" w:cs="Arial"/>
          <w:sz w:val="20"/>
          <w:szCs w:val="20"/>
          <w:lang w:val="en-US"/>
        </w:rPr>
      </w:pPr>
      <w:r w:rsidRPr="00E77D5E">
        <w:rPr>
          <w:rFonts w:ascii="Arial" w:hAnsi="Arial" w:cs="Arial"/>
          <w:sz w:val="20"/>
          <w:szCs w:val="20"/>
        </w:rPr>
        <w:t>In tropical mangrove estuaries, seasonal changes make the interactions among water quality parameter groups even more complex. Factors such as rainfall, upstream runoff, tidal exchange, salinity, disturbance in the water column, and exchanges between water and sediment can all drive strong variations across both space and time. Evidence from the Sundarban system shows that water quality in mangrove estuaries can shift markedly from one season to another, and even from year to year, under the combined effects of climate, hydrology, and waste inputs</w:t>
      </w:r>
      <w:r w:rsidR="004260FF" w:rsidRPr="00E77D5E">
        <w:rPr>
          <w:rFonts w:ascii="Arial" w:hAnsi="Arial" w:cs="Arial"/>
          <w:sz w:val="20"/>
          <w:szCs w:val="20"/>
        </w:rPr>
        <w:t xml:space="preserve"> (Mondal et al., 2024). In Vietnam, research in Hung Yen mangrove forest also shows that aquaculture-related waste sources can govern water quality, while the mangrove system itself still exhibits a role in biofiltration and pollution reduction under certain conditions (Nguyen et al.,  2026).</w:t>
      </w:r>
    </w:p>
    <w:p w14:paraId="07839D17" w14:textId="6459CB68" w:rsidR="004260FF" w:rsidRPr="00E77D5E" w:rsidRDefault="004260FF" w:rsidP="009848C1">
      <w:pPr>
        <w:spacing w:line="240" w:lineRule="auto"/>
        <w:ind w:firstLine="426"/>
        <w:rPr>
          <w:rFonts w:ascii="Arial" w:hAnsi="Arial" w:cs="Arial"/>
          <w:sz w:val="20"/>
          <w:szCs w:val="20"/>
          <w:lang w:val="en-US"/>
        </w:rPr>
      </w:pPr>
      <w:r w:rsidRPr="00E77D5E">
        <w:rPr>
          <w:rFonts w:ascii="Arial" w:hAnsi="Arial" w:cs="Arial"/>
          <w:sz w:val="20"/>
          <w:szCs w:val="20"/>
        </w:rPr>
        <w:t xml:space="preserve">The Can Gio </w:t>
      </w:r>
      <w:r w:rsidR="008A035A" w:rsidRPr="00E77D5E">
        <w:rPr>
          <w:rFonts w:ascii="Arial" w:hAnsi="Arial" w:cs="Arial"/>
          <w:sz w:val="20"/>
          <w:szCs w:val="20"/>
          <w:lang w:val="en-US"/>
        </w:rPr>
        <w:t>M</w:t>
      </w:r>
      <w:r w:rsidRPr="00E77D5E">
        <w:rPr>
          <w:rFonts w:ascii="Arial" w:hAnsi="Arial" w:cs="Arial"/>
          <w:sz w:val="20"/>
          <w:szCs w:val="20"/>
        </w:rPr>
        <w:t xml:space="preserve">angrove </w:t>
      </w:r>
      <w:r w:rsidR="008A035A" w:rsidRPr="00E77D5E">
        <w:rPr>
          <w:rFonts w:ascii="Arial" w:hAnsi="Arial" w:cs="Arial"/>
          <w:sz w:val="20"/>
          <w:szCs w:val="20"/>
          <w:lang w:val="en-US"/>
        </w:rPr>
        <w:t>B</w:t>
      </w:r>
      <w:r w:rsidRPr="00E77D5E">
        <w:rPr>
          <w:rFonts w:ascii="Arial" w:hAnsi="Arial" w:cs="Arial"/>
          <w:sz w:val="20"/>
          <w:szCs w:val="20"/>
        </w:rPr>
        <w:t xml:space="preserve">iosphere </w:t>
      </w:r>
      <w:r w:rsidR="00833659" w:rsidRPr="00E77D5E">
        <w:rPr>
          <w:rFonts w:ascii="Arial" w:hAnsi="Arial" w:cs="Arial"/>
          <w:sz w:val="20"/>
          <w:szCs w:val="20"/>
          <w:lang w:val="en-US"/>
        </w:rPr>
        <w:t>R</w:t>
      </w:r>
      <w:r w:rsidRPr="00E77D5E">
        <w:rPr>
          <w:rFonts w:ascii="Arial" w:hAnsi="Arial" w:cs="Arial"/>
          <w:sz w:val="20"/>
          <w:szCs w:val="20"/>
        </w:rPr>
        <w:t xml:space="preserve">eserve is a particularly important </w:t>
      </w:r>
      <w:r w:rsidR="00525526" w:rsidRPr="00E77D5E">
        <w:rPr>
          <w:rFonts w:ascii="Arial" w:hAnsi="Arial" w:cs="Arial"/>
          <w:sz w:val="20"/>
          <w:szCs w:val="20"/>
          <w:lang w:val="en-US"/>
        </w:rPr>
        <w:t>study area</w:t>
      </w:r>
      <w:r w:rsidRPr="00E77D5E">
        <w:rPr>
          <w:rFonts w:ascii="Arial" w:hAnsi="Arial" w:cs="Arial"/>
          <w:sz w:val="20"/>
          <w:szCs w:val="20"/>
        </w:rPr>
        <w:t>. In addition to the value of biodiversity and environmental protection for the downstream area of Ho Chi Minh City, this area also maintains many economic activities such as aquaculture, fishing, salt production, trade and tourism</w:t>
      </w:r>
      <w:r w:rsidR="00833659" w:rsidRPr="00E77D5E">
        <w:rPr>
          <w:rFonts w:ascii="Arial" w:hAnsi="Arial" w:cs="Arial"/>
          <w:sz w:val="20"/>
          <w:szCs w:val="20"/>
          <w:lang w:val="en-US"/>
        </w:rPr>
        <w:t>.</w:t>
      </w:r>
      <w:r w:rsidRPr="00E77D5E">
        <w:rPr>
          <w:rFonts w:ascii="Arial" w:hAnsi="Arial" w:cs="Arial"/>
          <w:sz w:val="20"/>
          <w:szCs w:val="20"/>
        </w:rPr>
        <w:t xml:space="preserve"> </w:t>
      </w:r>
      <w:r w:rsidR="00525526" w:rsidRPr="00E77D5E">
        <w:rPr>
          <w:rFonts w:ascii="Arial" w:hAnsi="Arial" w:cs="Arial"/>
          <w:sz w:val="20"/>
          <w:szCs w:val="20"/>
        </w:rPr>
        <w:t>Therefore, environmental pressures in this area are multi-sourced and persistent</w:t>
      </w:r>
      <w:r w:rsidRPr="00E77D5E">
        <w:rPr>
          <w:rFonts w:ascii="Arial" w:hAnsi="Arial" w:cs="Arial"/>
          <w:sz w:val="20"/>
          <w:szCs w:val="20"/>
        </w:rPr>
        <w:t xml:space="preserve">. Previous studies in Can Gio have also shown that the </w:t>
      </w:r>
      <w:r w:rsidR="00525526" w:rsidRPr="00E77D5E">
        <w:rPr>
          <w:rFonts w:ascii="Arial" w:hAnsi="Arial" w:cs="Arial"/>
          <w:sz w:val="20"/>
          <w:szCs w:val="20"/>
        </w:rPr>
        <w:t xml:space="preserve">phytoplankton communities </w:t>
      </w:r>
      <w:r w:rsidRPr="00E77D5E">
        <w:rPr>
          <w:rFonts w:ascii="Arial" w:hAnsi="Arial" w:cs="Arial"/>
          <w:sz w:val="20"/>
          <w:szCs w:val="20"/>
        </w:rPr>
        <w:t>and physicochemical conditions of the water are strongly influenced by salinity, turbidity, nutrients and seasonal fluctuations (Pham, 2017, 2019). At the same time, pore water exchange, carbon transport, and nutrient dynamics processes in Can Gio mangrove waters have also been noted to be closely dependent on tidal cycles, seasonality, and vegetation distribution (Taillardat et al., 2018, 2019).</w:t>
      </w:r>
    </w:p>
    <w:p w14:paraId="5F2E2431" w14:textId="07062922" w:rsidR="004260FF" w:rsidRPr="00E77D5E" w:rsidRDefault="004260FF" w:rsidP="009848C1">
      <w:pPr>
        <w:spacing w:line="240" w:lineRule="auto"/>
        <w:ind w:firstLine="426"/>
        <w:rPr>
          <w:rFonts w:ascii="Arial" w:hAnsi="Arial" w:cs="Arial"/>
          <w:sz w:val="20"/>
          <w:szCs w:val="20"/>
          <w:lang w:val="en-US"/>
        </w:rPr>
      </w:pPr>
      <w:r w:rsidRPr="00E77D5E">
        <w:rPr>
          <w:rFonts w:ascii="Arial" w:hAnsi="Arial" w:cs="Arial"/>
          <w:sz w:val="20"/>
          <w:szCs w:val="20"/>
        </w:rPr>
        <w:t xml:space="preserve">Recent results in the same study area show that surface water quality in the Can Gio estuary has significant seasonal fluctuations. </w:t>
      </w:r>
      <w:r w:rsidR="0029465A" w:rsidRPr="00E77D5E">
        <w:rPr>
          <w:rFonts w:ascii="Arial" w:hAnsi="Arial" w:cs="Arial"/>
          <w:sz w:val="20"/>
          <w:szCs w:val="20"/>
          <w:lang w:val="en-US"/>
        </w:rPr>
        <w:t>Trung et al. (2025) observed elevated levels of organic pollution indicators, specifically BOD</w:t>
      </w:r>
      <w:r w:rsidR="0029465A" w:rsidRPr="00E77D5E">
        <w:rPr>
          <w:rFonts w:ascii="Cambria Math" w:hAnsi="Cambria Math" w:cs="Cambria Math"/>
          <w:sz w:val="20"/>
          <w:szCs w:val="20"/>
          <w:lang w:val="en-US"/>
        </w:rPr>
        <w:t>₅</w:t>
      </w:r>
      <w:r w:rsidR="0029465A" w:rsidRPr="00E77D5E">
        <w:rPr>
          <w:rFonts w:ascii="Arial" w:hAnsi="Arial" w:cs="Arial"/>
          <w:sz w:val="20"/>
          <w:szCs w:val="20"/>
          <w:lang w:val="en-US"/>
        </w:rPr>
        <w:t xml:space="preserve"> and COD, during the dry season. Furthermore, Trung et al. (2026) established that the overall water quality, as assessed by the WQI, typically resided within the moderate to good classification, notwithstanding the presence of localized pollution hotspots linked to anthropogenic activities. </w:t>
      </w:r>
      <w:r w:rsidR="00065830" w:rsidRPr="00E77D5E">
        <w:rPr>
          <w:rFonts w:ascii="Arial" w:hAnsi="Arial" w:cs="Arial"/>
          <w:sz w:val="20"/>
          <w:szCs w:val="20"/>
          <w:lang w:val="en-US"/>
        </w:rPr>
        <w:t xml:space="preserve">Nevertheless, the majority of current research predominantly concentrates on delineating </w:t>
      </w:r>
      <w:proofErr w:type="spellStart"/>
      <w:r w:rsidR="00065830" w:rsidRPr="00E77D5E">
        <w:rPr>
          <w:rFonts w:ascii="Arial" w:hAnsi="Arial" w:cs="Arial"/>
          <w:sz w:val="20"/>
          <w:szCs w:val="20"/>
          <w:lang w:val="en-US"/>
        </w:rPr>
        <w:t>physico</w:t>
      </w:r>
      <w:proofErr w:type="spellEnd"/>
      <w:r w:rsidR="00065830" w:rsidRPr="00E77D5E">
        <w:rPr>
          <w:rFonts w:ascii="Arial" w:hAnsi="Arial" w:cs="Arial"/>
          <w:sz w:val="20"/>
          <w:szCs w:val="20"/>
          <w:lang w:val="en-US"/>
        </w:rPr>
        <w:t xml:space="preserve">-chemical characteristics or employing composite indices for the classification of water quality. </w:t>
      </w:r>
      <w:r w:rsidR="00525526" w:rsidRPr="00E77D5E">
        <w:rPr>
          <w:rFonts w:ascii="Arial" w:hAnsi="Arial" w:cs="Arial"/>
          <w:sz w:val="20"/>
          <w:szCs w:val="20"/>
        </w:rPr>
        <w:t xml:space="preserve">Studies examining the relationships among organic pollution, microbial contamination, and oxygen dynamics </w:t>
      </w:r>
      <w:r w:rsidRPr="00E77D5E">
        <w:rPr>
          <w:rFonts w:ascii="Arial" w:hAnsi="Arial" w:cs="Arial"/>
          <w:sz w:val="20"/>
          <w:szCs w:val="20"/>
        </w:rPr>
        <w:t xml:space="preserve">in the context of mangrove estuaries </w:t>
      </w:r>
      <w:r w:rsidR="00525526" w:rsidRPr="00E77D5E">
        <w:rPr>
          <w:rFonts w:ascii="Arial" w:hAnsi="Arial" w:cs="Arial"/>
          <w:sz w:val="20"/>
          <w:szCs w:val="20"/>
        </w:rPr>
        <w:t xml:space="preserve">remain </w:t>
      </w:r>
      <w:r w:rsidRPr="00E77D5E">
        <w:rPr>
          <w:rFonts w:ascii="Arial" w:hAnsi="Arial" w:cs="Arial"/>
          <w:sz w:val="20"/>
          <w:szCs w:val="20"/>
        </w:rPr>
        <w:t xml:space="preserve">limited. This is an important gap, as environmental management based on WQI alone or on individual parameters may not be enough to identify the mechanism of water quality degradation and the priority source of impact. </w:t>
      </w:r>
    </w:p>
    <w:p w14:paraId="082F456B" w14:textId="0373DF28" w:rsidR="004260FF" w:rsidRPr="00E77D5E" w:rsidRDefault="004260FF" w:rsidP="009848C1">
      <w:pPr>
        <w:spacing w:line="240" w:lineRule="auto"/>
        <w:ind w:firstLine="426"/>
        <w:rPr>
          <w:rFonts w:ascii="Arial" w:hAnsi="Arial" w:cs="Arial"/>
          <w:sz w:val="20"/>
          <w:szCs w:val="20"/>
          <w:lang w:val="en-US"/>
        </w:rPr>
      </w:pPr>
      <w:r w:rsidRPr="00E77D5E">
        <w:rPr>
          <w:rFonts w:ascii="Arial" w:hAnsi="Arial" w:cs="Arial"/>
          <w:sz w:val="20"/>
          <w:szCs w:val="20"/>
        </w:rPr>
        <w:t xml:space="preserve">On that basis, this study aims to re-analyze the set of seasonal monitoring data in the Can Gio estuary system in order to: (i) describe seasonal and spatial fluctuations of physicochemical and </w:t>
      </w:r>
      <w:r w:rsidRPr="009848C1">
        <w:rPr>
          <w:rFonts w:ascii="Arial" w:hAnsi="Arial" w:cs="Arial"/>
          <w:sz w:val="20"/>
          <w:szCs w:val="20"/>
          <w:lang w:val="en-US"/>
        </w:rPr>
        <w:t>microbiological</w:t>
      </w:r>
      <w:r w:rsidRPr="00E77D5E">
        <w:rPr>
          <w:rFonts w:ascii="Arial" w:hAnsi="Arial" w:cs="Arial"/>
          <w:sz w:val="20"/>
          <w:szCs w:val="20"/>
        </w:rPr>
        <w:t xml:space="preserve"> parameters in surface water; (ii) </w:t>
      </w:r>
      <w:r w:rsidR="00E619ED" w:rsidRPr="00E77D5E">
        <w:rPr>
          <w:rFonts w:ascii="Arial" w:hAnsi="Arial" w:cs="Arial"/>
          <w:sz w:val="20"/>
          <w:szCs w:val="20"/>
        </w:rPr>
        <w:t>examine the relationships among organic pollution indicators, microbial indicators, and dissolved oxygen</w:t>
      </w:r>
      <w:r w:rsidRPr="00E77D5E">
        <w:rPr>
          <w:rFonts w:ascii="Arial" w:hAnsi="Arial" w:cs="Arial"/>
          <w:sz w:val="20"/>
          <w:szCs w:val="20"/>
        </w:rPr>
        <w:t xml:space="preserve">; and (iii) provide a scientific basis for monitoring, warning, and management of water quality in an estuarine system that is simultaneously affected by natural processes and human activities. This approach not only adds a mechanism perspective to previous assessment results in Can Gio, but also provides a </w:t>
      </w:r>
      <w:r w:rsidR="00525526" w:rsidRPr="00E77D5E">
        <w:rPr>
          <w:rFonts w:ascii="Arial" w:hAnsi="Arial" w:cs="Arial"/>
          <w:sz w:val="20"/>
          <w:szCs w:val="20"/>
          <w:lang w:val="en-US"/>
        </w:rPr>
        <w:t xml:space="preserve">useful </w:t>
      </w:r>
      <w:r w:rsidRPr="00E77D5E">
        <w:rPr>
          <w:rFonts w:ascii="Arial" w:hAnsi="Arial" w:cs="Arial"/>
          <w:sz w:val="20"/>
          <w:szCs w:val="20"/>
        </w:rPr>
        <w:t>reference for other tropical mangrove estuarine systems in Viet Nam.</w:t>
      </w:r>
    </w:p>
    <w:p w14:paraId="27D80B61" w14:textId="14088B39" w:rsidR="00EC26F6" w:rsidRPr="00830259" w:rsidRDefault="00EC26F6" w:rsidP="007F5B9E">
      <w:pPr>
        <w:spacing w:line="240" w:lineRule="auto"/>
        <w:ind w:firstLine="0"/>
        <w:rPr>
          <w:rFonts w:ascii="Arial" w:hAnsi="Arial" w:cs="Arial"/>
          <w:b/>
          <w:bCs/>
          <w:sz w:val="22"/>
          <w:lang w:val="en-US"/>
        </w:rPr>
      </w:pPr>
      <w:r w:rsidRPr="00830259">
        <w:rPr>
          <w:rFonts w:ascii="Arial" w:hAnsi="Arial" w:cs="Arial"/>
          <w:b/>
          <w:bCs/>
          <w:sz w:val="22"/>
        </w:rPr>
        <w:t>2. METHODOLOGY</w:t>
      </w:r>
    </w:p>
    <w:p w14:paraId="6CF80682" w14:textId="77777777" w:rsidR="00CE2D07" w:rsidRPr="00830259" w:rsidRDefault="00CE2D07" w:rsidP="007F5B9E">
      <w:pPr>
        <w:spacing w:line="240" w:lineRule="auto"/>
        <w:ind w:firstLine="0"/>
        <w:rPr>
          <w:rFonts w:ascii="Arial" w:hAnsi="Arial" w:cs="Arial"/>
          <w:b/>
          <w:bCs/>
          <w:sz w:val="22"/>
          <w:lang w:val="en-US"/>
        </w:rPr>
      </w:pPr>
      <w:r w:rsidRPr="00830259">
        <w:rPr>
          <w:rFonts w:ascii="Arial" w:hAnsi="Arial" w:cs="Arial"/>
          <w:b/>
          <w:bCs/>
          <w:sz w:val="22"/>
          <w:lang w:val="en-US"/>
        </w:rPr>
        <w:t>2.1. Study area and data source</w:t>
      </w:r>
    </w:p>
    <w:p w14:paraId="11E64C40" w14:textId="7C4B33FE" w:rsidR="00512992" w:rsidRPr="00E77D5E" w:rsidRDefault="00CE2D07" w:rsidP="009848C1">
      <w:pPr>
        <w:spacing w:line="240" w:lineRule="auto"/>
        <w:ind w:firstLine="426"/>
        <w:rPr>
          <w:rFonts w:ascii="Arial" w:hAnsi="Arial" w:cs="Arial"/>
          <w:sz w:val="20"/>
          <w:szCs w:val="20"/>
          <w:lang w:val="en-US"/>
        </w:rPr>
      </w:pPr>
      <w:r w:rsidRPr="00E77D5E">
        <w:rPr>
          <w:rFonts w:ascii="Arial" w:hAnsi="Arial" w:cs="Arial"/>
          <w:sz w:val="20"/>
          <w:szCs w:val="20"/>
          <w:lang w:val="en-US"/>
        </w:rPr>
        <w:t xml:space="preserve">This study was conducted for the Can Gio estuary, Ho Chi Minh City, Vietnam. </w:t>
      </w:r>
      <w:r w:rsidR="00391FBC" w:rsidRPr="00E77D5E">
        <w:rPr>
          <w:rFonts w:ascii="Arial" w:hAnsi="Arial" w:cs="Arial"/>
          <w:sz w:val="20"/>
          <w:szCs w:val="20"/>
          <w:lang w:val="en-US"/>
        </w:rPr>
        <w:t>This study is a secondary analysis of existing surface water quality data. The dataset comes from two published studies, which used data from 14 sampling sites (CG1-CG14). These sites were sampled in March 2023, during the dry season, and again in September 2023, during the rainy season</w:t>
      </w:r>
      <w:r w:rsidRPr="00E77D5E">
        <w:rPr>
          <w:rFonts w:ascii="Arial" w:hAnsi="Arial" w:cs="Arial"/>
          <w:sz w:val="20"/>
          <w:szCs w:val="20"/>
          <w:lang w:val="en-US"/>
        </w:rPr>
        <w:t>. These sites represent different environmental settings, including river mouths and aquaculture-affected areas</w:t>
      </w:r>
      <w:r w:rsidR="00525526" w:rsidRPr="00E77D5E">
        <w:rPr>
          <w:rFonts w:ascii="Arial" w:hAnsi="Arial" w:cs="Arial"/>
          <w:sz w:val="20"/>
          <w:szCs w:val="20"/>
        </w:rPr>
        <w:t xml:space="preserve"> </w:t>
      </w:r>
      <w:r w:rsidR="00512992" w:rsidRPr="00E77D5E">
        <w:rPr>
          <w:rFonts w:ascii="Arial" w:hAnsi="Arial" w:cs="Arial"/>
          <w:sz w:val="20"/>
          <w:szCs w:val="20"/>
        </w:rPr>
        <w:t>(Figure 1). (Thai, 2023; Trung et al., 2025, 2026).</w:t>
      </w:r>
    </w:p>
    <w:p w14:paraId="78A85348" w14:textId="77777777" w:rsidR="00B629FE" w:rsidRPr="00E77D5E" w:rsidRDefault="00B629FE" w:rsidP="00B629FE">
      <w:pPr>
        <w:ind w:firstLine="0"/>
        <w:rPr>
          <w:rFonts w:ascii="Arial" w:hAnsi="Arial" w:cs="Arial"/>
          <w:sz w:val="20"/>
          <w:szCs w:val="20"/>
          <w:lang w:val="en-US"/>
        </w:rPr>
      </w:pPr>
      <w:r w:rsidRPr="00E77D5E">
        <w:rPr>
          <w:rFonts w:ascii="Arial" w:hAnsi="Arial" w:cs="Arial"/>
          <w:noProof/>
          <w:sz w:val="20"/>
          <w:szCs w:val="20"/>
        </w:rPr>
        <w:lastRenderedPageBreak/>
        <w:drawing>
          <wp:inline distT="0" distB="0" distL="0" distR="0" wp14:anchorId="6A1C9D4E" wp14:editId="50534617">
            <wp:extent cx="5712460" cy="3289300"/>
            <wp:effectExtent l="0" t="0" r="2540" b="6350"/>
            <wp:docPr id="1274147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144" cy="3294300"/>
                    </a:xfrm>
                    <a:prstGeom prst="rect">
                      <a:avLst/>
                    </a:prstGeom>
                    <a:noFill/>
                    <a:ln>
                      <a:noFill/>
                    </a:ln>
                  </pic:spPr>
                </pic:pic>
              </a:graphicData>
            </a:graphic>
          </wp:inline>
        </w:drawing>
      </w:r>
    </w:p>
    <w:p w14:paraId="6C8FF7A6" w14:textId="74B59453" w:rsidR="00B629FE" w:rsidRPr="00E77D5E" w:rsidRDefault="00B629FE" w:rsidP="008E7CFA">
      <w:pPr>
        <w:spacing w:line="240" w:lineRule="auto"/>
        <w:jc w:val="center"/>
        <w:rPr>
          <w:rFonts w:ascii="Arial" w:hAnsi="Arial" w:cs="Arial"/>
          <w:sz w:val="20"/>
          <w:szCs w:val="20"/>
          <w:lang w:val="en-US"/>
        </w:rPr>
      </w:pPr>
      <w:r w:rsidRPr="00E77D5E">
        <w:rPr>
          <w:rFonts w:ascii="Arial" w:hAnsi="Arial" w:cs="Arial"/>
          <w:b/>
          <w:bCs/>
          <w:sz w:val="20"/>
          <w:szCs w:val="20"/>
        </w:rPr>
        <w:t xml:space="preserve">Figure 1. </w:t>
      </w:r>
      <w:r w:rsidR="00512992" w:rsidRPr="00E77D5E">
        <w:rPr>
          <w:rFonts w:ascii="Arial" w:hAnsi="Arial" w:cs="Arial"/>
          <w:sz w:val="20"/>
          <w:szCs w:val="20"/>
        </w:rPr>
        <w:t>Sample collection sites (Thai, 2023; Trung et al, 2025, 2026)</w:t>
      </w:r>
    </w:p>
    <w:p w14:paraId="1E2257FD" w14:textId="77777777" w:rsidR="00CE2D07" w:rsidRPr="00830259" w:rsidRDefault="00CE2D07" w:rsidP="007F5B9E">
      <w:pPr>
        <w:spacing w:line="240" w:lineRule="auto"/>
        <w:ind w:firstLine="0"/>
        <w:rPr>
          <w:rFonts w:ascii="Arial" w:hAnsi="Arial" w:cs="Arial"/>
          <w:b/>
          <w:bCs/>
          <w:sz w:val="22"/>
          <w:lang w:val="en-US"/>
        </w:rPr>
      </w:pPr>
      <w:r w:rsidRPr="00830259">
        <w:rPr>
          <w:rFonts w:ascii="Arial" w:hAnsi="Arial" w:cs="Arial"/>
          <w:b/>
          <w:bCs/>
          <w:sz w:val="22"/>
          <w:lang w:val="en-US"/>
        </w:rPr>
        <w:t>2.2. Original analytical procedures and data analysis</w:t>
      </w:r>
    </w:p>
    <w:p w14:paraId="26964B6B" w14:textId="2D54F48C" w:rsidR="00CE2D07" w:rsidRPr="00E77D5E" w:rsidRDefault="0029465A" w:rsidP="009848C1">
      <w:pPr>
        <w:spacing w:line="240" w:lineRule="auto"/>
        <w:ind w:firstLine="426"/>
        <w:rPr>
          <w:rFonts w:ascii="Arial" w:hAnsi="Arial" w:cs="Arial"/>
          <w:sz w:val="20"/>
          <w:szCs w:val="20"/>
          <w:lang w:val="en-US"/>
        </w:rPr>
      </w:pPr>
      <w:r w:rsidRPr="00E77D5E">
        <w:rPr>
          <w:rFonts w:ascii="Arial" w:hAnsi="Arial" w:cs="Arial"/>
          <w:sz w:val="20"/>
          <w:szCs w:val="20"/>
          <w:lang w:val="en-US"/>
        </w:rPr>
        <w:t xml:space="preserve">The original sampling and analytical methods were described in detail in the source studies (Thai, 2023; Trung et al., 2025, 2026). Water quality assessment followed the guidelines of QCVN 08:2023/BTNMT and QCVN 10:2023/BTNMT (MONRE, 2023a, 2023b). DO and pH levels were measured using a HI98198 meter (Hanna Instrument, Romania), while turbidity and salinity were measured using an Orion instrument (USA). </w:t>
      </w:r>
      <w:r w:rsidR="00391FBC" w:rsidRPr="00E77D5E">
        <w:rPr>
          <w:rFonts w:ascii="Arial" w:hAnsi="Arial" w:cs="Arial"/>
          <w:sz w:val="20"/>
          <w:szCs w:val="20"/>
          <w:lang w:val="en-US"/>
        </w:rPr>
        <w:t>Furthermore, concentrations of COD, BOD</w:t>
      </w:r>
      <w:r w:rsidR="00391FBC" w:rsidRPr="00E77D5E">
        <w:rPr>
          <w:rFonts w:ascii="Cambria Math" w:hAnsi="Cambria Math" w:cs="Cambria Math"/>
          <w:sz w:val="20"/>
          <w:szCs w:val="20"/>
          <w:lang w:val="en-US"/>
        </w:rPr>
        <w:t>₅</w:t>
      </w:r>
      <w:r w:rsidR="00391FBC" w:rsidRPr="00E77D5E">
        <w:rPr>
          <w:rFonts w:ascii="Arial" w:hAnsi="Arial" w:cs="Arial"/>
          <w:sz w:val="20"/>
          <w:szCs w:val="20"/>
          <w:lang w:val="en-US"/>
        </w:rPr>
        <w:t xml:space="preserve">, TSS, ammonia, nitrite, and phosphate were analyzed according to the Standard Methods for the Examination of Water and Wastewater (APHA, 2005). The results for each parameter were based on three separate </w:t>
      </w:r>
      <w:proofErr w:type="gramStart"/>
      <w:r w:rsidR="00391FBC" w:rsidRPr="00E77D5E">
        <w:rPr>
          <w:rFonts w:ascii="Arial" w:hAnsi="Arial" w:cs="Arial"/>
          <w:sz w:val="20"/>
          <w:szCs w:val="20"/>
          <w:lang w:val="en-US"/>
        </w:rPr>
        <w:t>measurements.</w:t>
      </w:r>
      <w:r w:rsidR="00CE2D07" w:rsidRPr="00E77D5E">
        <w:rPr>
          <w:rFonts w:ascii="Arial" w:hAnsi="Arial" w:cs="Arial"/>
          <w:sz w:val="20"/>
          <w:szCs w:val="20"/>
          <w:lang w:val="en-US"/>
        </w:rPr>
        <w:t>.</w:t>
      </w:r>
      <w:proofErr w:type="gramEnd"/>
      <w:r w:rsidR="00CE2D07" w:rsidRPr="00E77D5E">
        <w:rPr>
          <w:rFonts w:ascii="Arial" w:hAnsi="Arial" w:cs="Arial"/>
          <w:sz w:val="20"/>
          <w:szCs w:val="20"/>
          <w:lang w:val="en-US"/>
        </w:rPr>
        <w:t xml:space="preserve"> In the present study, the published numerical data were reorganized and interpreted using descriptive statistics and graphical methods to compare seasonal and spatial variation in DO, BOD</w:t>
      </w:r>
      <w:r w:rsidR="00CE2D07" w:rsidRPr="00E77D5E">
        <w:rPr>
          <w:rFonts w:ascii="Cambria Math" w:hAnsi="Cambria Math" w:cs="Cambria Math"/>
          <w:sz w:val="20"/>
          <w:szCs w:val="20"/>
          <w:lang w:val="en-US"/>
        </w:rPr>
        <w:t>₅</w:t>
      </w:r>
      <w:r w:rsidR="00CE2D07" w:rsidRPr="00E77D5E">
        <w:rPr>
          <w:rFonts w:ascii="Arial" w:hAnsi="Arial" w:cs="Arial"/>
          <w:sz w:val="20"/>
          <w:szCs w:val="20"/>
          <w:lang w:val="en-US"/>
        </w:rPr>
        <w:t>, COD, NH</w:t>
      </w:r>
      <w:r w:rsidR="00CE2D07" w:rsidRPr="00E77D5E">
        <w:rPr>
          <w:rFonts w:ascii="Cambria Math" w:hAnsi="Cambria Math" w:cs="Cambria Math"/>
          <w:sz w:val="20"/>
          <w:szCs w:val="20"/>
          <w:lang w:val="en-US"/>
        </w:rPr>
        <w:t>₄⁺</w:t>
      </w:r>
      <w:r w:rsidR="00CE2D07" w:rsidRPr="00E77D5E">
        <w:rPr>
          <w:rFonts w:ascii="Arial" w:hAnsi="Arial" w:cs="Arial"/>
          <w:sz w:val="20"/>
          <w:szCs w:val="20"/>
          <w:lang w:val="en-US"/>
        </w:rPr>
        <w:t>, NO</w:t>
      </w:r>
      <w:r w:rsidR="00CE2D07" w:rsidRPr="00E77D5E">
        <w:rPr>
          <w:rFonts w:ascii="Cambria Math" w:hAnsi="Cambria Math" w:cs="Cambria Math"/>
          <w:sz w:val="20"/>
          <w:szCs w:val="20"/>
          <w:lang w:val="en-US"/>
        </w:rPr>
        <w:t>₂⁻</w:t>
      </w:r>
      <w:r w:rsidR="00CE2D07" w:rsidRPr="00E77D5E">
        <w:rPr>
          <w:rFonts w:ascii="Arial" w:hAnsi="Arial" w:cs="Arial"/>
          <w:sz w:val="20"/>
          <w:szCs w:val="20"/>
          <w:lang w:val="en-US"/>
        </w:rPr>
        <w:t>, PO</w:t>
      </w:r>
      <w:r w:rsidR="00CE2D07" w:rsidRPr="00E77D5E">
        <w:rPr>
          <w:rFonts w:ascii="Cambria Math" w:hAnsi="Cambria Math" w:cs="Cambria Math"/>
          <w:sz w:val="20"/>
          <w:szCs w:val="20"/>
          <w:lang w:val="en-US"/>
        </w:rPr>
        <w:t>₄</w:t>
      </w:r>
      <w:r w:rsidR="00CE2D07" w:rsidRPr="00E77D5E">
        <w:rPr>
          <w:rFonts w:ascii="Arial" w:hAnsi="Arial" w:cs="Arial"/>
          <w:sz w:val="20"/>
          <w:szCs w:val="20"/>
          <w:lang w:val="en-US"/>
        </w:rPr>
        <w:t>³</w:t>
      </w:r>
      <w:r w:rsidR="00CE2D07" w:rsidRPr="00E77D5E">
        <w:rPr>
          <w:rFonts w:ascii="Cambria Math" w:hAnsi="Cambria Math" w:cs="Cambria Math"/>
          <w:sz w:val="20"/>
          <w:szCs w:val="20"/>
          <w:lang w:val="en-US"/>
        </w:rPr>
        <w:t>⁻</w:t>
      </w:r>
      <w:r w:rsidR="00CE2D07" w:rsidRPr="00E77D5E">
        <w:rPr>
          <w:rFonts w:ascii="Arial" w:hAnsi="Arial" w:cs="Arial"/>
          <w:sz w:val="20"/>
          <w:szCs w:val="20"/>
          <w:lang w:val="en-US"/>
        </w:rPr>
        <w:t xml:space="preserve">, total </w:t>
      </w:r>
      <w:r w:rsidR="00333E94" w:rsidRPr="00E77D5E">
        <w:rPr>
          <w:rFonts w:ascii="Arial" w:hAnsi="Arial" w:cs="Arial"/>
          <w:sz w:val="20"/>
          <w:szCs w:val="20"/>
          <w:lang w:val="en-US"/>
        </w:rPr>
        <w:t>C</w:t>
      </w:r>
      <w:r w:rsidR="00CE2D07" w:rsidRPr="00E77D5E">
        <w:rPr>
          <w:rFonts w:ascii="Arial" w:hAnsi="Arial" w:cs="Arial"/>
          <w:sz w:val="20"/>
          <w:szCs w:val="20"/>
          <w:lang w:val="en-US"/>
        </w:rPr>
        <w:t xml:space="preserve">oliform, and </w:t>
      </w:r>
      <w:r w:rsidR="00CE2D07" w:rsidRPr="00E77D5E">
        <w:rPr>
          <w:rFonts w:ascii="Arial" w:hAnsi="Arial" w:cs="Arial"/>
          <w:i/>
          <w:iCs/>
          <w:sz w:val="20"/>
          <w:szCs w:val="20"/>
          <w:lang w:val="en-US"/>
        </w:rPr>
        <w:t>E</w:t>
      </w:r>
      <w:r w:rsidR="00333E94" w:rsidRPr="00E77D5E">
        <w:rPr>
          <w:rFonts w:ascii="Arial" w:hAnsi="Arial" w:cs="Arial"/>
          <w:i/>
          <w:iCs/>
          <w:sz w:val="20"/>
          <w:szCs w:val="20"/>
          <w:lang w:val="en-US"/>
        </w:rPr>
        <w:t>.</w:t>
      </w:r>
      <w:r w:rsidR="00CE2D07" w:rsidRPr="00E77D5E">
        <w:rPr>
          <w:rFonts w:ascii="Arial" w:hAnsi="Arial" w:cs="Arial"/>
          <w:i/>
          <w:iCs/>
          <w:sz w:val="20"/>
          <w:szCs w:val="20"/>
          <w:lang w:val="en-US"/>
        </w:rPr>
        <w:t xml:space="preserve"> coli</w:t>
      </w:r>
      <w:r w:rsidR="00CE2D07" w:rsidRPr="00E77D5E">
        <w:rPr>
          <w:rFonts w:ascii="Arial" w:hAnsi="Arial" w:cs="Arial"/>
          <w:sz w:val="20"/>
          <w:szCs w:val="20"/>
          <w:lang w:val="en-US"/>
        </w:rPr>
        <w:t xml:space="preserve">. The regression shown in Figure 6 was used for descriptive purposes only. </w:t>
      </w:r>
    </w:p>
    <w:p w14:paraId="6537D1E0" w14:textId="16AC3EEE" w:rsidR="00A0492B" w:rsidRPr="00830259" w:rsidRDefault="00A0492B" w:rsidP="007F5B9E">
      <w:pPr>
        <w:spacing w:line="240" w:lineRule="auto"/>
        <w:ind w:firstLine="0"/>
        <w:rPr>
          <w:rFonts w:ascii="Arial" w:hAnsi="Arial" w:cs="Arial"/>
          <w:b/>
          <w:bCs/>
          <w:sz w:val="22"/>
          <w:lang w:val="en-US"/>
        </w:rPr>
      </w:pPr>
      <w:r w:rsidRPr="00830259">
        <w:rPr>
          <w:rFonts w:ascii="Arial" w:hAnsi="Arial" w:cs="Arial"/>
          <w:b/>
          <w:bCs/>
          <w:sz w:val="22"/>
        </w:rPr>
        <w:t>3. RESULTS AND DISCUSSION</w:t>
      </w:r>
    </w:p>
    <w:p w14:paraId="297B7716" w14:textId="77777777" w:rsidR="00A0492B" w:rsidRPr="00830259" w:rsidRDefault="00A0492B" w:rsidP="007F5B9E">
      <w:pPr>
        <w:spacing w:line="240" w:lineRule="auto"/>
        <w:ind w:firstLine="0"/>
        <w:rPr>
          <w:rFonts w:ascii="Arial" w:hAnsi="Arial" w:cs="Arial"/>
          <w:b/>
          <w:bCs/>
          <w:sz w:val="22"/>
          <w:lang w:val="en-US"/>
        </w:rPr>
      </w:pPr>
      <w:r w:rsidRPr="00830259">
        <w:rPr>
          <w:rFonts w:ascii="Arial" w:hAnsi="Arial" w:cs="Arial"/>
          <w:b/>
          <w:bCs/>
          <w:sz w:val="22"/>
        </w:rPr>
        <w:t>3.1. Seasonal fluctuations of water quality parameters</w:t>
      </w:r>
    </w:p>
    <w:p w14:paraId="1742233C" w14:textId="05F74E8E" w:rsidR="00501633" w:rsidRPr="00E77D5E" w:rsidRDefault="00501633" w:rsidP="009848C1">
      <w:pPr>
        <w:spacing w:line="240" w:lineRule="auto"/>
        <w:ind w:firstLine="426"/>
        <w:rPr>
          <w:rFonts w:ascii="Arial" w:hAnsi="Arial" w:cs="Arial"/>
          <w:sz w:val="20"/>
          <w:szCs w:val="20"/>
          <w:lang w:val="en-US"/>
        </w:rPr>
      </w:pPr>
      <w:r w:rsidRPr="00E77D5E">
        <w:rPr>
          <w:rFonts w:ascii="Arial" w:hAnsi="Arial" w:cs="Arial"/>
          <w:sz w:val="20"/>
          <w:szCs w:val="20"/>
        </w:rPr>
        <w:t xml:space="preserve">The </w:t>
      </w:r>
      <w:r w:rsidRPr="009848C1">
        <w:rPr>
          <w:rFonts w:ascii="Arial" w:hAnsi="Arial" w:cs="Arial"/>
          <w:sz w:val="20"/>
          <w:szCs w:val="20"/>
          <w:lang w:val="en-US"/>
        </w:rPr>
        <w:t>results</w:t>
      </w:r>
      <w:r w:rsidRPr="00E77D5E">
        <w:rPr>
          <w:rFonts w:ascii="Arial" w:hAnsi="Arial" w:cs="Arial"/>
          <w:sz w:val="20"/>
          <w:szCs w:val="20"/>
        </w:rPr>
        <w:t xml:space="preserve"> in Figure 2 show that the surface water quality at the Can Gio estuary </w:t>
      </w:r>
      <w:r w:rsidR="00100FBF" w:rsidRPr="00E77D5E">
        <w:rPr>
          <w:rFonts w:ascii="Arial" w:hAnsi="Arial" w:cs="Arial"/>
          <w:sz w:val="20"/>
          <w:szCs w:val="20"/>
        </w:rPr>
        <w:t>varies clearly between seasons</w:t>
      </w:r>
      <w:r w:rsidRPr="00E77D5E">
        <w:rPr>
          <w:rFonts w:ascii="Arial" w:hAnsi="Arial" w:cs="Arial"/>
          <w:sz w:val="20"/>
          <w:szCs w:val="20"/>
        </w:rPr>
        <w:t>: DO tends to be slightly higher in the rainy season, while BOD</w:t>
      </w:r>
      <w:r w:rsidRPr="00E77D5E">
        <w:rPr>
          <w:rFonts w:ascii="Cambria Math" w:hAnsi="Cambria Math" w:cs="Cambria Math"/>
          <w:sz w:val="20"/>
          <w:szCs w:val="20"/>
        </w:rPr>
        <w:t>₅</w:t>
      </w:r>
      <w:r w:rsidRPr="00E77D5E">
        <w:rPr>
          <w:rFonts w:ascii="Arial" w:hAnsi="Arial" w:cs="Arial"/>
          <w:sz w:val="20"/>
          <w:szCs w:val="20"/>
        </w:rPr>
        <w:t xml:space="preserve"> and COD increase significantly in the dry season. This pattern is consistent with previous research on the same dataset, in which COD and BOD</w:t>
      </w:r>
      <w:r w:rsidRPr="00E77D5E">
        <w:rPr>
          <w:rFonts w:ascii="Cambria Math" w:hAnsi="Cambria Math" w:cs="Cambria Math"/>
          <w:sz w:val="20"/>
          <w:szCs w:val="20"/>
        </w:rPr>
        <w:t>₅</w:t>
      </w:r>
      <w:r w:rsidRPr="00E77D5E">
        <w:rPr>
          <w:rFonts w:ascii="Arial" w:hAnsi="Arial" w:cs="Arial"/>
          <w:sz w:val="20"/>
          <w:szCs w:val="20"/>
        </w:rPr>
        <w:t xml:space="preserve"> were both significantly higher during the dry season, averaging 51.2 and 29.6 mg of O</w:t>
      </w:r>
      <w:r w:rsidRPr="00E77D5E">
        <w:rPr>
          <w:rFonts w:ascii="Cambria Math" w:hAnsi="Cambria Math" w:cs="Cambria Math"/>
          <w:sz w:val="20"/>
          <w:szCs w:val="20"/>
        </w:rPr>
        <w:t>₂</w:t>
      </w:r>
      <w:r w:rsidR="00F43786" w:rsidRPr="00E77D5E">
        <w:rPr>
          <w:rFonts w:ascii="Arial" w:hAnsi="Arial" w:cs="Arial"/>
          <w:sz w:val="20"/>
          <w:szCs w:val="20"/>
        </w:rPr>
        <w:t xml:space="preserve"> L</w:t>
      </w:r>
      <w:r w:rsidR="00F43786" w:rsidRPr="00E77D5E">
        <w:rPr>
          <w:rFonts w:ascii="Arial" w:hAnsi="Arial" w:cs="Arial"/>
          <w:sz w:val="20"/>
          <w:szCs w:val="20"/>
          <w:vertAlign w:val="superscript"/>
        </w:rPr>
        <w:t>-1</w:t>
      </w:r>
      <w:r w:rsidRPr="00E77D5E">
        <w:rPr>
          <w:rFonts w:ascii="Arial" w:hAnsi="Arial" w:cs="Arial"/>
          <w:sz w:val="20"/>
          <w:szCs w:val="20"/>
        </w:rPr>
        <w:t>, respectively, compared to 42.7 and 23.7 mg of O</w:t>
      </w:r>
      <w:r w:rsidRPr="00E77D5E">
        <w:rPr>
          <w:rFonts w:ascii="Cambria Math" w:hAnsi="Cambria Math" w:cs="Cambria Math"/>
          <w:sz w:val="20"/>
          <w:szCs w:val="20"/>
        </w:rPr>
        <w:t>₂</w:t>
      </w:r>
      <w:r w:rsidR="00F43786" w:rsidRPr="00E77D5E">
        <w:rPr>
          <w:rFonts w:ascii="Arial" w:hAnsi="Arial" w:cs="Arial"/>
          <w:sz w:val="20"/>
          <w:szCs w:val="20"/>
          <w:vertAlign w:val="superscript"/>
        </w:rPr>
        <w:t xml:space="preserve"> </w:t>
      </w:r>
      <w:r w:rsidR="00F43786" w:rsidRPr="00E77D5E">
        <w:rPr>
          <w:rFonts w:ascii="Arial" w:hAnsi="Arial" w:cs="Arial"/>
          <w:sz w:val="20"/>
          <w:szCs w:val="20"/>
        </w:rPr>
        <w:t>L</w:t>
      </w:r>
      <w:r w:rsidR="00F43786" w:rsidRPr="00E77D5E">
        <w:rPr>
          <w:rFonts w:ascii="Arial" w:hAnsi="Arial" w:cs="Arial"/>
          <w:sz w:val="20"/>
          <w:szCs w:val="20"/>
          <w:vertAlign w:val="superscript"/>
        </w:rPr>
        <w:t>-1</w:t>
      </w:r>
      <w:r w:rsidRPr="00E77D5E">
        <w:rPr>
          <w:rFonts w:ascii="Arial" w:hAnsi="Arial" w:cs="Arial"/>
          <w:sz w:val="20"/>
          <w:szCs w:val="20"/>
        </w:rPr>
        <w:t xml:space="preserve"> in the rainy season; and most of the parameters had statistically significant seasonal differences. </w:t>
      </w:r>
      <w:r w:rsidR="00100FBF" w:rsidRPr="00E77D5E">
        <w:rPr>
          <w:rFonts w:ascii="Arial" w:hAnsi="Arial" w:cs="Arial"/>
          <w:sz w:val="20"/>
          <w:szCs w:val="20"/>
        </w:rPr>
        <w:t xml:space="preserve">This result suggests that the dry season is a period during which the system is more prone to organic load accumulation </w:t>
      </w:r>
      <w:r w:rsidRPr="00E77D5E">
        <w:rPr>
          <w:rFonts w:ascii="Arial" w:hAnsi="Arial" w:cs="Arial"/>
          <w:sz w:val="20"/>
          <w:szCs w:val="20"/>
        </w:rPr>
        <w:t xml:space="preserve">due to low flow, longer water retention time, and impaired self-cleaning capacity. </w:t>
      </w:r>
      <w:r w:rsidR="00391FBC" w:rsidRPr="00E77D5E">
        <w:rPr>
          <w:rFonts w:ascii="Arial" w:hAnsi="Arial" w:cs="Arial"/>
          <w:sz w:val="20"/>
          <w:szCs w:val="20"/>
        </w:rPr>
        <w:t>Similar patterns have been observed in other mangrove estuarine environments. During the rainy season or monsoon, water quality usually improves because of increased dilution, better mixing, and more water exchange. However, the degree of this improvement depends significantly on the interaction of hydrology, tidal patterns, and water flow from the surrounding area</w:t>
      </w:r>
      <w:r w:rsidRPr="00E77D5E">
        <w:rPr>
          <w:rFonts w:ascii="Arial" w:hAnsi="Arial" w:cs="Arial"/>
          <w:sz w:val="20"/>
          <w:szCs w:val="20"/>
        </w:rPr>
        <w:t xml:space="preserve"> </w:t>
      </w:r>
      <w:r w:rsidR="00C97255" w:rsidRPr="00E77D5E">
        <w:rPr>
          <w:rFonts w:ascii="Arial" w:hAnsi="Arial" w:cs="Arial"/>
          <w:sz w:val="20"/>
          <w:szCs w:val="20"/>
        </w:rPr>
        <w:t>(Mondal et al., 2024; Trung et al., 2025).</w:t>
      </w:r>
    </w:p>
    <w:p w14:paraId="24C028A3" w14:textId="29CD9418" w:rsidR="00E429A8" w:rsidRPr="00E77D5E" w:rsidRDefault="005A40AD" w:rsidP="008E7CFA">
      <w:pPr>
        <w:spacing w:line="240" w:lineRule="auto"/>
        <w:ind w:firstLine="0"/>
        <w:rPr>
          <w:rFonts w:ascii="Arial" w:hAnsi="Arial" w:cs="Arial"/>
          <w:sz w:val="20"/>
          <w:szCs w:val="20"/>
          <w:lang w:val="en-US"/>
        </w:rPr>
      </w:pPr>
      <w:r w:rsidRPr="00E77D5E">
        <w:rPr>
          <w:rFonts w:ascii="Arial" w:hAnsi="Arial" w:cs="Arial"/>
          <w:noProof/>
          <w:sz w:val="20"/>
          <w:szCs w:val="20"/>
        </w:rPr>
        <w:lastRenderedPageBreak/>
        <mc:AlternateContent>
          <mc:Choice Requires="cx1">
            <w:drawing>
              <wp:inline distT="0" distB="0" distL="0" distR="0" wp14:anchorId="4EB71C2F" wp14:editId="2787CB96">
                <wp:extent cx="5692140" cy="2679700"/>
                <wp:effectExtent l="0" t="0" r="3810" b="6350"/>
                <wp:docPr id="34188592" name="Chart 1">
                  <a:extLst xmlns:a="http://schemas.openxmlformats.org/drawingml/2006/main">
                    <a:ext uri="{FF2B5EF4-FFF2-40B4-BE49-F238E27FC236}">
                      <a16:creationId xmlns:a16="http://schemas.microsoft.com/office/drawing/2014/main" id="{2913E706-A196-144E-1D13-399406040038}"/>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4EB71C2F" wp14:editId="2787CB96">
                <wp:extent cx="5692140" cy="2679700"/>
                <wp:effectExtent l="0" t="0" r="3810" b="6350"/>
                <wp:docPr id="34188592" name="Chart 1">
                  <a:extLst xmlns:a="http://schemas.openxmlformats.org/drawingml/2006/main">
                    <a:ext uri="{FF2B5EF4-FFF2-40B4-BE49-F238E27FC236}">
                      <a16:creationId xmlns:a16="http://schemas.microsoft.com/office/drawing/2014/main" id="{2913E706-A196-144E-1D13-39940604003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4188592" name="Chart 1">
                          <a:extLst>
                            <a:ext uri="{FF2B5EF4-FFF2-40B4-BE49-F238E27FC236}">
                              <a16:creationId xmlns:a16="http://schemas.microsoft.com/office/drawing/2014/main" id="{2913E706-A196-144E-1D13-399406040038}"/>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5692140" cy="2679700"/>
                        </a:xfrm>
                        <a:prstGeom prst="rect">
                          <a:avLst/>
                        </a:prstGeom>
                      </pic:spPr>
                    </pic:pic>
                  </a:graphicData>
                </a:graphic>
              </wp:inline>
            </w:drawing>
          </mc:Fallback>
        </mc:AlternateContent>
      </w:r>
    </w:p>
    <w:p w14:paraId="4C94AF2E" w14:textId="21235A30" w:rsidR="00900203" w:rsidRPr="00E77D5E" w:rsidRDefault="00900203" w:rsidP="007F5B9E">
      <w:pPr>
        <w:spacing w:line="240" w:lineRule="auto"/>
        <w:ind w:firstLine="0"/>
        <w:rPr>
          <w:rFonts w:ascii="Arial" w:hAnsi="Arial" w:cs="Arial"/>
          <w:sz w:val="20"/>
          <w:szCs w:val="20"/>
          <w:lang w:val="en-US"/>
        </w:rPr>
      </w:pPr>
      <w:r w:rsidRPr="00E77D5E">
        <w:rPr>
          <w:rFonts w:ascii="Arial" w:hAnsi="Arial" w:cs="Arial"/>
          <w:b/>
          <w:bCs/>
          <w:sz w:val="20"/>
          <w:szCs w:val="20"/>
        </w:rPr>
        <w:t>Figure 2.</w:t>
      </w:r>
      <w:r w:rsidRPr="00E77D5E">
        <w:rPr>
          <w:rFonts w:ascii="Arial" w:hAnsi="Arial" w:cs="Arial"/>
          <w:sz w:val="20"/>
          <w:szCs w:val="20"/>
        </w:rPr>
        <w:t xml:space="preserve"> Seasonal variation of DO, BOD</w:t>
      </w:r>
      <w:r w:rsidRPr="00E77D5E">
        <w:rPr>
          <w:rFonts w:ascii="Cambria Math" w:hAnsi="Cambria Math" w:cs="Cambria Math"/>
          <w:sz w:val="20"/>
          <w:szCs w:val="20"/>
        </w:rPr>
        <w:t>₅</w:t>
      </w:r>
      <w:r w:rsidRPr="00E77D5E">
        <w:rPr>
          <w:rFonts w:ascii="Arial" w:hAnsi="Arial" w:cs="Arial"/>
          <w:sz w:val="20"/>
          <w:szCs w:val="20"/>
        </w:rPr>
        <w:t>, COD in surface water of the Can Gio estuary, Vietnam. Boxplots show the median, interquartile range, and full data range for dry and rainy seasons, highlighting higher organic pollution and lower dissolved oxygen levels during the dry season.</w:t>
      </w:r>
    </w:p>
    <w:p w14:paraId="11AC6D18" w14:textId="0F1661AF" w:rsidR="00552CE4" w:rsidRPr="00E77D5E" w:rsidRDefault="009B58D2" w:rsidP="009848C1">
      <w:pPr>
        <w:spacing w:line="240" w:lineRule="auto"/>
        <w:ind w:firstLine="426"/>
        <w:rPr>
          <w:rFonts w:ascii="Arial" w:hAnsi="Arial" w:cs="Arial"/>
          <w:sz w:val="20"/>
          <w:szCs w:val="20"/>
          <w:lang w:val="en-US"/>
        </w:rPr>
      </w:pPr>
      <w:r w:rsidRPr="009848C1">
        <w:rPr>
          <w:rFonts w:ascii="Arial" w:hAnsi="Arial" w:cs="Arial"/>
          <w:sz w:val="20"/>
          <w:szCs w:val="20"/>
          <w:lang w:val="en-US"/>
        </w:rPr>
        <w:t>Regionally</w:t>
      </w:r>
      <w:r w:rsidRPr="00E77D5E">
        <w:rPr>
          <w:rFonts w:ascii="Arial" w:hAnsi="Arial" w:cs="Arial"/>
          <w:sz w:val="20"/>
          <w:szCs w:val="20"/>
        </w:rPr>
        <w:t>, the findings from Can Gio align with numerous surface water investigations conducted in Vietnam. These studies frequently observe a pronounced escalation in organic and nutrient pollution indicators within water bodies impacted by domestic wastewater, aquaculture practices, and anthropogenic activities situated along riverbanks and estuarine boundaries. For instance, research undertaken in Dong Thap has identified BOD</w:t>
      </w:r>
      <w:r w:rsidR="00333E94" w:rsidRPr="00E77D5E">
        <w:rPr>
          <w:rFonts w:ascii="Cambria Math" w:hAnsi="Cambria Math" w:cs="Cambria Math"/>
          <w:sz w:val="20"/>
          <w:szCs w:val="20"/>
        </w:rPr>
        <w:t>₅</w:t>
      </w:r>
      <w:r w:rsidRPr="00E77D5E">
        <w:rPr>
          <w:rFonts w:ascii="Arial" w:hAnsi="Arial" w:cs="Arial"/>
          <w:sz w:val="20"/>
          <w:szCs w:val="20"/>
        </w:rPr>
        <w:t>, COD, NH</w:t>
      </w:r>
      <w:r w:rsidRPr="00E77D5E">
        <w:rPr>
          <w:rFonts w:ascii="Cambria Math" w:hAnsi="Cambria Math" w:cs="Cambria Math"/>
          <w:sz w:val="20"/>
          <w:szCs w:val="20"/>
        </w:rPr>
        <w:t>₄⁺</w:t>
      </w:r>
      <w:r w:rsidRPr="00E77D5E">
        <w:rPr>
          <w:rFonts w:ascii="Arial" w:hAnsi="Arial" w:cs="Arial"/>
          <w:sz w:val="20"/>
          <w:szCs w:val="20"/>
        </w:rPr>
        <w:t>, PO</w:t>
      </w:r>
      <w:r w:rsidRPr="00E77D5E">
        <w:rPr>
          <w:rFonts w:ascii="Cambria Math" w:hAnsi="Cambria Math" w:cs="Cambria Math"/>
          <w:sz w:val="20"/>
          <w:szCs w:val="20"/>
        </w:rPr>
        <w:t>₄</w:t>
      </w:r>
      <w:r w:rsidRPr="00E77D5E">
        <w:rPr>
          <w:rFonts w:ascii="Arial" w:hAnsi="Arial" w:cs="Arial"/>
          <w:sz w:val="20"/>
          <w:szCs w:val="20"/>
        </w:rPr>
        <w:t>³</w:t>
      </w:r>
      <w:r w:rsidRPr="00E77D5E">
        <w:rPr>
          <w:rFonts w:ascii="Cambria Math" w:hAnsi="Cambria Math" w:cs="Cambria Math"/>
          <w:sz w:val="20"/>
          <w:szCs w:val="20"/>
        </w:rPr>
        <w:t>⁻</w:t>
      </w:r>
      <w:r w:rsidRPr="00E77D5E">
        <w:rPr>
          <w:rFonts w:ascii="Arial" w:hAnsi="Arial" w:cs="Arial"/>
          <w:sz w:val="20"/>
          <w:szCs w:val="20"/>
        </w:rPr>
        <w:t xml:space="preserve">, </w:t>
      </w:r>
      <w:r w:rsidRPr="00E77D5E">
        <w:rPr>
          <w:rFonts w:ascii="Arial" w:hAnsi="Arial" w:cs="Arial"/>
          <w:sz w:val="20"/>
          <w:szCs w:val="20"/>
          <w:lang w:val="en-US"/>
        </w:rPr>
        <w:t>total C</w:t>
      </w:r>
      <w:r w:rsidRPr="00E77D5E">
        <w:rPr>
          <w:rFonts w:ascii="Arial" w:hAnsi="Arial" w:cs="Arial"/>
          <w:sz w:val="20"/>
          <w:szCs w:val="20"/>
        </w:rPr>
        <w:t xml:space="preserve">oliforms, and </w:t>
      </w:r>
      <w:r w:rsidRPr="00E77D5E">
        <w:rPr>
          <w:rFonts w:ascii="Arial" w:hAnsi="Arial" w:cs="Arial"/>
          <w:i/>
          <w:iCs/>
          <w:sz w:val="20"/>
          <w:szCs w:val="20"/>
        </w:rPr>
        <w:t>E. coli</w:t>
      </w:r>
      <w:r w:rsidRPr="00E77D5E">
        <w:rPr>
          <w:rFonts w:ascii="Arial" w:hAnsi="Arial" w:cs="Arial"/>
          <w:sz w:val="20"/>
          <w:szCs w:val="20"/>
        </w:rPr>
        <w:t xml:space="preserve"> as significant markers of water quality deterioration </w:t>
      </w:r>
      <w:r w:rsidR="00501633" w:rsidRPr="00E77D5E">
        <w:rPr>
          <w:rFonts w:ascii="Arial" w:hAnsi="Arial" w:cs="Arial"/>
          <w:sz w:val="20"/>
          <w:szCs w:val="20"/>
        </w:rPr>
        <w:t>(</w:t>
      </w:r>
      <w:r w:rsidR="004739DD" w:rsidRPr="00E77D5E">
        <w:rPr>
          <w:rFonts w:ascii="Arial" w:hAnsi="Arial" w:cs="Arial"/>
          <w:sz w:val="20"/>
          <w:szCs w:val="20"/>
        </w:rPr>
        <w:t xml:space="preserve">Giao et al., 2021). </w:t>
      </w:r>
      <w:r w:rsidR="00471BB3" w:rsidRPr="00E77D5E">
        <w:rPr>
          <w:rFonts w:ascii="Arial" w:hAnsi="Arial" w:cs="Arial"/>
          <w:sz w:val="20"/>
          <w:szCs w:val="20"/>
        </w:rPr>
        <w:t>The longitudinal investigation spanning from 2013 to 2023 within the same province revealed instances where all collected samples surpassed the established limits for BOD</w:t>
      </w:r>
      <w:r w:rsidR="00471BB3" w:rsidRPr="00E77D5E">
        <w:rPr>
          <w:rFonts w:ascii="Cambria Math" w:hAnsi="Cambria Math" w:cs="Cambria Math"/>
          <w:sz w:val="20"/>
          <w:szCs w:val="20"/>
        </w:rPr>
        <w:t>₅</w:t>
      </w:r>
      <w:r w:rsidR="00471BB3" w:rsidRPr="00E77D5E">
        <w:rPr>
          <w:rFonts w:ascii="Arial" w:hAnsi="Arial" w:cs="Arial"/>
          <w:sz w:val="20"/>
          <w:szCs w:val="20"/>
        </w:rPr>
        <w:t>, NH</w:t>
      </w:r>
      <w:r w:rsidR="00471BB3" w:rsidRPr="00E77D5E">
        <w:rPr>
          <w:rFonts w:ascii="Cambria Math" w:hAnsi="Cambria Math" w:cs="Cambria Math"/>
          <w:sz w:val="20"/>
          <w:szCs w:val="20"/>
        </w:rPr>
        <w:t>₄⁺</w:t>
      </w:r>
      <w:r w:rsidR="00471BB3" w:rsidRPr="00E77D5E">
        <w:rPr>
          <w:rFonts w:ascii="Arial" w:hAnsi="Arial" w:cs="Arial"/>
          <w:sz w:val="20"/>
          <w:szCs w:val="20"/>
        </w:rPr>
        <w:t xml:space="preserve">, and E. coli. </w:t>
      </w:r>
      <w:r w:rsidR="00541052" w:rsidRPr="00E77D5E">
        <w:rPr>
          <w:rFonts w:ascii="Arial" w:hAnsi="Arial" w:cs="Arial"/>
          <w:sz w:val="20"/>
          <w:szCs w:val="20"/>
        </w:rPr>
        <w:t xml:space="preserve">This observation suggests that the seasonal changes seen in Can Gio are not unique. Instead, they reflect a broader pattern seen in tropical surface water systems in Vietnam, which are affected by human activities </w:t>
      </w:r>
      <w:r w:rsidR="004739DD" w:rsidRPr="00E77D5E">
        <w:rPr>
          <w:rFonts w:ascii="Arial" w:hAnsi="Arial" w:cs="Arial"/>
          <w:sz w:val="20"/>
          <w:szCs w:val="20"/>
        </w:rPr>
        <w:t>(Ha et al.,  2025).</w:t>
      </w:r>
    </w:p>
    <w:p w14:paraId="13C01C18" w14:textId="0C124F2D" w:rsidR="00A0492B" w:rsidRPr="00830259" w:rsidRDefault="00A0492B" w:rsidP="007F5B9E">
      <w:pPr>
        <w:spacing w:line="240" w:lineRule="auto"/>
        <w:ind w:firstLine="0"/>
        <w:rPr>
          <w:rFonts w:ascii="Arial" w:hAnsi="Arial" w:cs="Arial"/>
          <w:b/>
          <w:bCs/>
          <w:sz w:val="22"/>
          <w:lang w:val="en-US"/>
        </w:rPr>
      </w:pPr>
      <w:r w:rsidRPr="00830259">
        <w:rPr>
          <w:rFonts w:ascii="Arial" w:hAnsi="Arial" w:cs="Arial"/>
          <w:b/>
          <w:bCs/>
          <w:sz w:val="22"/>
        </w:rPr>
        <w:t xml:space="preserve">3.2. </w:t>
      </w:r>
      <w:r w:rsidR="00AB46D6" w:rsidRPr="00830259">
        <w:rPr>
          <w:rFonts w:ascii="Arial" w:hAnsi="Arial" w:cs="Arial"/>
          <w:b/>
          <w:bCs/>
          <w:sz w:val="22"/>
        </w:rPr>
        <w:t>Spatial characteristics of organic pollution</w:t>
      </w:r>
    </w:p>
    <w:p w14:paraId="57CAE8AC" w14:textId="1A87A7B7" w:rsidR="00690FDE" w:rsidRPr="00E77D5E" w:rsidRDefault="00690FDE" w:rsidP="009848C1">
      <w:pPr>
        <w:spacing w:line="240" w:lineRule="auto"/>
        <w:ind w:firstLine="426"/>
        <w:rPr>
          <w:rFonts w:ascii="Arial" w:hAnsi="Arial" w:cs="Arial"/>
          <w:sz w:val="20"/>
          <w:szCs w:val="20"/>
          <w:lang w:val="en-US"/>
        </w:rPr>
      </w:pPr>
      <w:r w:rsidRPr="009848C1">
        <w:rPr>
          <w:rFonts w:ascii="Arial" w:hAnsi="Arial" w:cs="Arial"/>
          <w:sz w:val="20"/>
          <w:szCs w:val="20"/>
          <w:lang w:val="en-US"/>
        </w:rPr>
        <w:t>Figure</w:t>
      </w:r>
      <w:r w:rsidRPr="00E77D5E">
        <w:rPr>
          <w:rFonts w:ascii="Arial" w:hAnsi="Arial" w:cs="Arial"/>
          <w:sz w:val="20"/>
          <w:szCs w:val="20"/>
        </w:rPr>
        <w:t xml:space="preserve"> 3 shows that organic pollution is not evenly distributed </w:t>
      </w:r>
      <w:r w:rsidR="00AB46D6" w:rsidRPr="00E77D5E">
        <w:rPr>
          <w:rFonts w:ascii="Arial" w:hAnsi="Arial" w:cs="Arial"/>
          <w:sz w:val="20"/>
          <w:szCs w:val="20"/>
        </w:rPr>
        <w:t>among sampling sites</w:t>
      </w:r>
      <w:r w:rsidRPr="00E77D5E">
        <w:rPr>
          <w:rFonts w:ascii="Arial" w:hAnsi="Arial" w:cs="Arial"/>
          <w:sz w:val="20"/>
          <w:szCs w:val="20"/>
        </w:rPr>
        <w:t>. BOD</w:t>
      </w:r>
      <w:r w:rsidRPr="00E77D5E">
        <w:rPr>
          <w:rFonts w:ascii="Cambria Math" w:hAnsi="Cambria Math" w:cs="Cambria Math"/>
          <w:sz w:val="20"/>
          <w:szCs w:val="20"/>
        </w:rPr>
        <w:t>₅</w:t>
      </w:r>
      <w:r w:rsidRPr="00E77D5E">
        <w:rPr>
          <w:rFonts w:ascii="Arial" w:hAnsi="Arial" w:cs="Arial"/>
          <w:sz w:val="20"/>
          <w:szCs w:val="20"/>
        </w:rPr>
        <w:t xml:space="preserve"> and COD were both higher in the dry season at most points, but the sharp increases were more concentrated in some locations such as CG9-CG12. This finding is consistent with the WQI paper on the same area, in which the parameters causing water quality degradation are mainly organic and microbiological groups, while points near aquaculture and human activities such as CG5, CG8, CG9, CG10, CG11 and CG12 have lower WQI than the rest of the sites. </w:t>
      </w:r>
      <w:r w:rsidR="004A4A8B" w:rsidRPr="00E77D5E">
        <w:rPr>
          <w:rFonts w:ascii="Arial" w:hAnsi="Arial" w:cs="Arial"/>
          <w:sz w:val="20"/>
          <w:szCs w:val="20"/>
        </w:rPr>
        <w:t xml:space="preserve">Therefore, </w:t>
      </w:r>
      <w:r w:rsidR="009B58D2" w:rsidRPr="00E77D5E">
        <w:rPr>
          <w:rFonts w:ascii="Arial" w:hAnsi="Arial" w:cs="Arial"/>
          <w:sz w:val="20"/>
          <w:szCs w:val="20"/>
          <w:lang w:val="en-US"/>
        </w:rPr>
        <w:t xml:space="preserve">the </w:t>
      </w:r>
      <w:r w:rsidR="004A4A8B" w:rsidRPr="00E77D5E">
        <w:rPr>
          <w:rFonts w:ascii="Arial" w:hAnsi="Arial" w:cs="Arial"/>
          <w:sz w:val="20"/>
          <w:szCs w:val="20"/>
        </w:rPr>
        <w:t xml:space="preserve">organic pollution in Can Gio shows both seasonal changes and a clear spatial pattern, with "hot spots" linked to human activities </w:t>
      </w:r>
      <w:r w:rsidR="00C97255" w:rsidRPr="00E77D5E">
        <w:rPr>
          <w:rFonts w:ascii="Arial" w:hAnsi="Arial" w:cs="Arial"/>
          <w:sz w:val="20"/>
          <w:szCs w:val="20"/>
        </w:rPr>
        <w:t>(Trung et al., 2026).</w:t>
      </w:r>
    </w:p>
    <w:p w14:paraId="216FBDC1" w14:textId="287BA6D2" w:rsidR="00832FA7" w:rsidRPr="00E77D5E" w:rsidRDefault="00832FA7" w:rsidP="008E7CFA">
      <w:pPr>
        <w:spacing w:line="240" w:lineRule="auto"/>
        <w:ind w:firstLine="0"/>
        <w:rPr>
          <w:rFonts w:ascii="Arial" w:hAnsi="Arial" w:cs="Arial"/>
          <w:sz w:val="20"/>
          <w:szCs w:val="20"/>
          <w:lang w:val="en-US"/>
        </w:rPr>
      </w:pPr>
      <w:r w:rsidRPr="00E77D5E">
        <w:rPr>
          <w:rFonts w:ascii="Arial" w:hAnsi="Arial" w:cs="Arial"/>
          <w:noProof/>
          <w:sz w:val="20"/>
          <w:szCs w:val="20"/>
        </w:rPr>
        <w:drawing>
          <wp:inline distT="0" distB="0" distL="0" distR="0" wp14:anchorId="2ABB8DC6" wp14:editId="4F162047">
            <wp:extent cx="5736590" cy="2292350"/>
            <wp:effectExtent l="0" t="0" r="16510" b="12700"/>
            <wp:docPr id="1502278422" name="Chart 1">
              <a:extLst xmlns:a="http://schemas.openxmlformats.org/drawingml/2006/main">
                <a:ext uri="{FF2B5EF4-FFF2-40B4-BE49-F238E27FC236}">
                  <a16:creationId xmlns:a16="http://schemas.microsoft.com/office/drawing/2014/main" id="{4F416A64-989D-1C6F-C83E-3109957FAD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C0B182" w14:textId="00B2C137" w:rsidR="00F24D56" w:rsidRPr="00E77D5E" w:rsidRDefault="00F24D56" w:rsidP="007F5B9E">
      <w:pPr>
        <w:spacing w:line="240" w:lineRule="auto"/>
        <w:ind w:firstLine="0"/>
        <w:rPr>
          <w:rFonts w:ascii="Arial" w:hAnsi="Arial" w:cs="Arial"/>
          <w:sz w:val="20"/>
          <w:szCs w:val="20"/>
          <w:lang w:val="en-US"/>
        </w:rPr>
      </w:pPr>
      <w:r w:rsidRPr="00E77D5E">
        <w:rPr>
          <w:rFonts w:ascii="Arial" w:hAnsi="Arial" w:cs="Arial"/>
          <w:b/>
          <w:bCs/>
          <w:sz w:val="20"/>
          <w:szCs w:val="20"/>
        </w:rPr>
        <w:t>Figure 3</w:t>
      </w:r>
      <w:r w:rsidRPr="00E77D5E">
        <w:rPr>
          <w:rFonts w:ascii="Arial" w:hAnsi="Arial" w:cs="Arial"/>
          <w:sz w:val="20"/>
          <w:szCs w:val="20"/>
        </w:rPr>
        <w:t>. Spatial variation of biochemical oxygen demand (BOD</w:t>
      </w:r>
      <w:r w:rsidRPr="00E77D5E">
        <w:rPr>
          <w:rFonts w:ascii="Cambria Math" w:hAnsi="Cambria Math" w:cs="Cambria Math"/>
          <w:sz w:val="20"/>
          <w:szCs w:val="20"/>
        </w:rPr>
        <w:t>₅</w:t>
      </w:r>
      <w:r w:rsidRPr="00E77D5E">
        <w:rPr>
          <w:rFonts w:ascii="Arial" w:hAnsi="Arial" w:cs="Arial"/>
          <w:sz w:val="20"/>
          <w:szCs w:val="20"/>
        </w:rPr>
        <w:t>) and chemical oxygen demand (COD) across 14 sampling sites (CG1 - CG14) in the Can Gio estuary, Vietnam. Bars represent concentrations in the dry and rainy seasons.</w:t>
      </w:r>
    </w:p>
    <w:p w14:paraId="79B289D5" w14:textId="52DB2BA0" w:rsidR="00690FDE" w:rsidRPr="00E77D5E" w:rsidRDefault="00690FDE" w:rsidP="009848C1">
      <w:pPr>
        <w:spacing w:line="240" w:lineRule="auto"/>
        <w:ind w:firstLine="426"/>
        <w:rPr>
          <w:rFonts w:ascii="Arial" w:hAnsi="Arial" w:cs="Arial"/>
          <w:sz w:val="20"/>
          <w:szCs w:val="20"/>
          <w:lang w:val="en-US"/>
        </w:rPr>
      </w:pPr>
      <w:r w:rsidRPr="00E77D5E">
        <w:rPr>
          <w:rFonts w:ascii="Arial" w:hAnsi="Arial" w:cs="Arial"/>
          <w:sz w:val="20"/>
          <w:szCs w:val="20"/>
        </w:rPr>
        <w:lastRenderedPageBreak/>
        <w:t xml:space="preserve">Comparison with studies in Vietnam shows that this pattern is quite typical. </w:t>
      </w:r>
      <w:r w:rsidR="004A4A8B" w:rsidRPr="00E77D5E">
        <w:rPr>
          <w:rFonts w:ascii="Arial" w:hAnsi="Arial" w:cs="Arial"/>
          <w:sz w:val="20"/>
          <w:szCs w:val="20"/>
        </w:rPr>
        <w:t xml:space="preserve">In Dong Thap, areas with concentrated socio-economic activities often have poor water quality (Giao et al., 2021). Long-term studies have shown that human activities, along with water conditions, are the main causes of pollution (Ha et al., 2025). Also, in the Hung Yen mangrove forest, </w:t>
      </w:r>
      <w:r w:rsidR="004A4A8B" w:rsidRPr="00E77D5E">
        <w:rPr>
          <w:rFonts w:ascii="Arial" w:hAnsi="Arial" w:cs="Arial"/>
          <w:sz w:val="20"/>
          <w:szCs w:val="20"/>
          <w:lang w:val="en-US"/>
        </w:rPr>
        <w:t>PCA (</w:t>
      </w:r>
      <w:r w:rsidR="004A4A8B" w:rsidRPr="00E77D5E">
        <w:rPr>
          <w:rFonts w:ascii="Arial" w:hAnsi="Arial" w:cs="Arial"/>
          <w:sz w:val="20"/>
          <w:szCs w:val="20"/>
        </w:rPr>
        <w:t>Principal Component Analysis</w:t>
      </w:r>
      <w:r w:rsidR="004A4A8B" w:rsidRPr="00E77D5E">
        <w:rPr>
          <w:rFonts w:ascii="Arial" w:hAnsi="Arial" w:cs="Arial"/>
          <w:sz w:val="20"/>
          <w:szCs w:val="20"/>
          <w:lang w:val="en-US"/>
        </w:rPr>
        <w:t>)</w:t>
      </w:r>
      <w:r w:rsidR="004A4A8B" w:rsidRPr="00E77D5E">
        <w:rPr>
          <w:rFonts w:ascii="Arial" w:hAnsi="Arial" w:cs="Arial"/>
          <w:sz w:val="20"/>
          <w:szCs w:val="20"/>
        </w:rPr>
        <w:t xml:space="preserve"> showed that aquaculture significantly contributes to pollution, while also highlighting the mangrove ecosystem's role in natural </w:t>
      </w:r>
      <w:r w:rsidR="004A4A8B" w:rsidRPr="009848C1">
        <w:rPr>
          <w:rFonts w:ascii="Arial" w:hAnsi="Arial" w:cs="Arial"/>
          <w:sz w:val="20"/>
          <w:szCs w:val="20"/>
          <w:lang w:val="en-US"/>
        </w:rPr>
        <w:t>biofiltration</w:t>
      </w:r>
      <w:r w:rsidR="004A4A8B" w:rsidRPr="00E77D5E">
        <w:rPr>
          <w:rFonts w:ascii="Arial" w:hAnsi="Arial" w:cs="Arial"/>
          <w:sz w:val="20"/>
          <w:szCs w:val="20"/>
          <w:lang w:val="en-US"/>
        </w:rPr>
        <w:t xml:space="preserve"> </w:t>
      </w:r>
      <w:r w:rsidR="004739DD" w:rsidRPr="00E77D5E">
        <w:rPr>
          <w:rFonts w:ascii="Arial" w:hAnsi="Arial" w:cs="Arial"/>
          <w:sz w:val="20"/>
          <w:szCs w:val="20"/>
        </w:rPr>
        <w:t>(Nguyen et al., 2026). Therefore, in Can Gio, points with high BOD</w:t>
      </w:r>
      <w:r w:rsidR="004739DD" w:rsidRPr="00E77D5E">
        <w:rPr>
          <w:rFonts w:ascii="Cambria Math" w:hAnsi="Cambria Math" w:cs="Cambria Math"/>
          <w:sz w:val="20"/>
          <w:szCs w:val="20"/>
        </w:rPr>
        <w:t>₅</w:t>
      </w:r>
      <w:r w:rsidR="004739DD" w:rsidRPr="00E77D5E">
        <w:rPr>
          <w:rFonts w:ascii="Arial" w:hAnsi="Arial" w:cs="Arial"/>
          <w:sz w:val="20"/>
          <w:szCs w:val="20"/>
        </w:rPr>
        <w:t xml:space="preserve">/COD should be discussed </w:t>
      </w:r>
      <w:r w:rsidR="00AB46D6" w:rsidRPr="00E77D5E">
        <w:rPr>
          <w:rFonts w:ascii="Arial" w:hAnsi="Arial" w:cs="Arial"/>
          <w:sz w:val="20"/>
          <w:szCs w:val="20"/>
        </w:rPr>
        <w:t>in terms of two interacting causes</w:t>
      </w:r>
      <w:r w:rsidR="004739DD" w:rsidRPr="00E77D5E">
        <w:rPr>
          <w:rFonts w:ascii="Arial" w:hAnsi="Arial" w:cs="Arial"/>
          <w:sz w:val="20"/>
          <w:szCs w:val="20"/>
        </w:rPr>
        <w:t>: local waste sources from domestic and farming, and differences in water exchange and dilution capacity between estuarine branches.</w:t>
      </w:r>
    </w:p>
    <w:p w14:paraId="1CDB5195" w14:textId="4DF63741" w:rsidR="00026DD0" w:rsidRPr="00830259" w:rsidRDefault="00026DD0" w:rsidP="007F5B9E">
      <w:pPr>
        <w:spacing w:line="240" w:lineRule="auto"/>
        <w:ind w:firstLine="0"/>
        <w:rPr>
          <w:rFonts w:ascii="Arial" w:hAnsi="Arial" w:cs="Arial"/>
          <w:b/>
          <w:bCs/>
          <w:sz w:val="22"/>
          <w:lang w:val="en-US"/>
        </w:rPr>
      </w:pPr>
      <w:r w:rsidRPr="00830259">
        <w:rPr>
          <w:rFonts w:ascii="Arial" w:hAnsi="Arial" w:cs="Arial"/>
          <w:b/>
          <w:bCs/>
          <w:sz w:val="22"/>
        </w:rPr>
        <w:t>3.3. Characteristics of nutrient compounds</w:t>
      </w:r>
    </w:p>
    <w:p w14:paraId="476986B4" w14:textId="03E1EC84" w:rsidR="00690FDE" w:rsidRPr="00E77D5E" w:rsidRDefault="00690FDE" w:rsidP="009848C1">
      <w:pPr>
        <w:spacing w:line="240" w:lineRule="auto"/>
        <w:ind w:firstLine="426"/>
        <w:rPr>
          <w:rFonts w:ascii="Arial" w:hAnsi="Arial" w:cs="Arial"/>
          <w:sz w:val="20"/>
          <w:szCs w:val="20"/>
          <w:lang w:val="en-US"/>
        </w:rPr>
      </w:pPr>
      <w:r w:rsidRPr="00E77D5E">
        <w:rPr>
          <w:rFonts w:ascii="Arial" w:hAnsi="Arial" w:cs="Arial"/>
          <w:sz w:val="20"/>
          <w:szCs w:val="20"/>
        </w:rPr>
        <w:t>Figure 4 shows that NO</w:t>
      </w:r>
      <w:r w:rsidRPr="00E77D5E">
        <w:rPr>
          <w:rFonts w:ascii="Cambria Math" w:hAnsi="Cambria Math" w:cs="Cambria Math"/>
          <w:sz w:val="20"/>
          <w:szCs w:val="20"/>
        </w:rPr>
        <w:t>₂⁻</w:t>
      </w:r>
      <w:r w:rsidRPr="00E77D5E">
        <w:rPr>
          <w:rFonts w:ascii="Arial" w:hAnsi="Arial" w:cs="Arial"/>
          <w:sz w:val="20"/>
          <w:szCs w:val="20"/>
        </w:rPr>
        <w:t xml:space="preserve"> is the </w:t>
      </w:r>
      <w:r w:rsidR="00AB46D6" w:rsidRPr="00E77D5E">
        <w:rPr>
          <w:rFonts w:ascii="Arial" w:hAnsi="Arial" w:cs="Arial"/>
          <w:sz w:val="20"/>
          <w:szCs w:val="20"/>
        </w:rPr>
        <w:t>parameter showing the strongest seasonal response</w:t>
      </w:r>
      <w:r w:rsidRPr="00E77D5E">
        <w:rPr>
          <w:rFonts w:ascii="Arial" w:hAnsi="Arial" w:cs="Arial"/>
          <w:sz w:val="20"/>
          <w:szCs w:val="20"/>
        </w:rPr>
        <w:t xml:space="preserve">, with higher </w:t>
      </w:r>
      <w:r w:rsidRPr="009848C1">
        <w:rPr>
          <w:rFonts w:ascii="Arial" w:hAnsi="Arial" w:cs="Arial"/>
          <w:sz w:val="20"/>
          <w:szCs w:val="20"/>
          <w:lang w:val="en-US"/>
        </w:rPr>
        <w:t>concentrations</w:t>
      </w:r>
      <w:r w:rsidRPr="00E77D5E">
        <w:rPr>
          <w:rFonts w:ascii="Arial" w:hAnsi="Arial" w:cs="Arial"/>
          <w:sz w:val="20"/>
          <w:szCs w:val="20"/>
        </w:rPr>
        <w:t xml:space="preserve"> during the dry season and significantly reduced in the rainy season, while NH</w:t>
      </w:r>
      <w:r w:rsidRPr="00E77D5E">
        <w:rPr>
          <w:rFonts w:ascii="Cambria Math" w:hAnsi="Cambria Math" w:cs="Cambria Math"/>
          <w:sz w:val="20"/>
          <w:szCs w:val="20"/>
        </w:rPr>
        <w:t>₄⁺</w:t>
      </w:r>
      <w:r w:rsidRPr="00E77D5E">
        <w:rPr>
          <w:rFonts w:ascii="Arial" w:hAnsi="Arial" w:cs="Arial"/>
          <w:sz w:val="20"/>
          <w:szCs w:val="20"/>
        </w:rPr>
        <w:t xml:space="preserve"> and PO</w:t>
      </w:r>
      <w:r w:rsidRPr="00E77D5E">
        <w:rPr>
          <w:rFonts w:ascii="Cambria Math" w:hAnsi="Cambria Math" w:cs="Cambria Math"/>
          <w:sz w:val="20"/>
          <w:szCs w:val="20"/>
        </w:rPr>
        <w:t>₄</w:t>
      </w:r>
      <w:r w:rsidRPr="00E77D5E">
        <w:rPr>
          <w:rFonts w:ascii="Arial" w:hAnsi="Arial" w:cs="Arial"/>
          <w:sz w:val="20"/>
          <w:szCs w:val="20"/>
        </w:rPr>
        <w:t>³</w:t>
      </w:r>
      <w:r w:rsidRPr="00E77D5E">
        <w:rPr>
          <w:rFonts w:ascii="Cambria Math" w:hAnsi="Cambria Math" w:cs="Cambria Math"/>
          <w:sz w:val="20"/>
          <w:szCs w:val="20"/>
        </w:rPr>
        <w:t>⁻</w:t>
      </w:r>
      <w:r w:rsidRPr="00E77D5E">
        <w:rPr>
          <w:rFonts w:ascii="Arial" w:hAnsi="Arial" w:cs="Arial"/>
          <w:sz w:val="20"/>
          <w:szCs w:val="20"/>
        </w:rPr>
        <w:t xml:space="preserve"> fluctuate more narrowly. This result is consistent with </w:t>
      </w:r>
      <w:r w:rsidR="00AB46D6" w:rsidRPr="00E77D5E">
        <w:rPr>
          <w:rFonts w:ascii="Arial" w:hAnsi="Arial" w:cs="Arial"/>
          <w:sz w:val="20"/>
          <w:szCs w:val="20"/>
        </w:rPr>
        <w:t>previous physicochemical studies</w:t>
      </w:r>
      <w:r w:rsidRPr="00E77D5E">
        <w:rPr>
          <w:rFonts w:ascii="Arial" w:hAnsi="Arial" w:cs="Arial"/>
          <w:sz w:val="20"/>
          <w:szCs w:val="20"/>
        </w:rPr>
        <w:t xml:space="preserve"> in Can Gio, where nitrites exceeded the standard at 71% of locations in the dry season, while ammonium and phosphate were generally within the allowable threshold and </w:t>
      </w:r>
      <w:r w:rsidR="00AB46D6" w:rsidRPr="00E77D5E">
        <w:rPr>
          <w:rFonts w:ascii="Arial" w:hAnsi="Arial" w:cs="Arial"/>
          <w:sz w:val="20"/>
          <w:szCs w:val="20"/>
        </w:rPr>
        <w:t>more stable across seasons</w:t>
      </w:r>
      <w:r w:rsidRPr="00E77D5E">
        <w:rPr>
          <w:rFonts w:ascii="Arial" w:hAnsi="Arial" w:cs="Arial"/>
          <w:sz w:val="20"/>
          <w:szCs w:val="20"/>
        </w:rPr>
        <w:t xml:space="preserve">. </w:t>
      </w:r>
      <w:r w:rsidR="004A4A8B" w:rsidRPr="00E77D5E">
        <w:rPr>
          <w:rFonts w:ascii="Arial" w:hAnsi="Arial" w:cs="Arial"/>
          <w:sz w:val="20"/>
          <w:szCs w:val="20"/>
        </w:rPr>
        <w:t>Consequently, the data imply that NO</w:t>
      </w:r>
      <w:r w:rsidR="004A4A8B" w:rsidRPr="00E77D5E">
        <w:rPr>
          <w:rFonts w:ascii="Cambria Math" w:hAnsi="Cambria Math" w:cs="Cambria Math"/>
          <w:sz w:val="20"/>
          <w:szCs w:val="20"/>
        </w:rPr>
        <w:t>₂⁻</w:t>
      </w:r>
      <w:r w:rsidR="004A4A8B" w:rsidRPr="00E77D5E">
        <w:rPr>
          <w:rFonts w:ascii="Arial" w:hAnsi="Arial" w:cs="Arial"/>
          <w:sz w:val="20"/>
          <w:szCs w:val="20"/>
        </w:rPr>
        <w:t xml:space="preserve"> serves as a more responsive indicator of fluctuations in oxidation-reduction states and water residence time within estuarine environments. </w:t>
      </w:r>
      <w:r w:rsidR="009B58D2" w:rsidRPr="00E77D5E">
        <w:rPr>
          <w:rFonts w:ascii="Arial" w:hAnsi="Arial" w:cs="Arial"/>
          <w:sz w:val="20"/>
          <w:szCs w:val="20"/>
        </w:rPr>
        <w:t>In contrast, Trung et al. (2025) showed that the concentrations of NH</w:t>
      </w:r>
      <w:r w:rsidR="009B58D2" w:rsidRPr="00E77D5E">
        <w:rPr>
          <w:rFonts w:ascii="Cambria Math" w:hAnsi="Cambria Math" w:cs="Cambria Math"/>
          <w:sz w:val="20"/>
          <w:szCs w:val="20"/>
        </w:rPr>
        <w:t>₄⁺</w:t>
      </w:r>
      <w:r w:rsidR="009B58D2" w:rsidRPr="00E77D5E">
        <w:rPr>
          <w:rFonts w:ascii="Arial" w:hAnsi="Arial" w:cs="Arial"/>
          <w:sz w:val="20"/>
          <w:szCs w:val="20"/>
        </w:rPr>
        <w:t xml:space="preserve"> and PO</w:t>
      </w:r>
      <w:r w:rsidR="009B58D2" w:rsidRPr="00E77D5E">
        <w:rPr>
          <w:rFonts w:ascii="Cambria Math" w:hAnsi="Cambria Math" w:cs="Cambria Math"/>
          <w:sz w:val="20"/>
          <w:szCs w:val="20"/>
        </w:rPr>
        <w:t>₄</w:t>
      </w:r>
      <w:r w:rsidR="009B58D2" w:rsidRPr="00E77D5E">
        <w:rPr>
          <w:rFonts w:ascii="Arial" w:hAnsi="Arial" w:cs="Arial"/>
          <w:sz w:val="20"/>
          <w:szCs w:val="20"/>
        </w:rPr>
        <w:t>³</w:t>
      </w:r>
      <w:r w:rsidR="009B58D2" w:rsidRPr="00E77D5E">
        <w:rPr>
          <w:rFonts w:ascii="Cambria Math" w:hAnsi="Cambria Math" w:cs="Cambria Math"/>
          <w:sz w:val="20"/>
          <w:szCs w:val="20"/>
        </w:rPr>
        <w:t>⁻</w:t>
      </w:r>
      <w:r w:rsidR="009B58D2" w:rsidRPr="00E77D5E">
        <w:rPr>
          <w:rFonts w:ascii="Arial" w:hAnsi="Arial" w:cs="Arial"/>
          <w:sz w:val="20"/>
          <w:szCs w:val="20"/>
        </w:rPr>
        <w:t xml:space="preserve"> </w:t>
      </w:r>
      <w:r w:rsidR="009B58D2" w:rsidRPr="00E77D5E">
        <w:rPr>
          <w:rFonts w:ascii="Arial" w:hAnsi="Arial" w:cs="Arial"/>
          <w:sz w:val="20"/>
          <w:szCs w:val="20"/>
          <w:lang w:val="en-US"/>
        </w:rPr>
        <w:t xml:space="preserve"> </w:t>
      </w:r>
      <w:r w:rsidR="009B58D2" w:rsidRPr="00E77D5E">
        <w:rPr>
          <w:rFonts w:ascii="Arial" w:hAnsi="Arial" w:cs="Arial"/>
          <w:sz w:val="20"/>
          <w:szCs w:val="20"/>
        </w:rPr>
        <w:t>are affected by leaching, sediment adsorption, and dilution, all at the same time</w:t>
      </w:r>
      <w:r w:rsidR="006F72EB" w:rsidRPr="00E77D5E">
        <w:rPr>
          <w:rFonts w:ascii="Arial" w:hAnsi="Arial" w:cs="Arial"/>
          <w:sz w:val="20"/>
          <w:szCs w:val="20"/>
        </w:rPr>
        <w:t>.</w:t>
      </w:r>
    </w:p>
    <w:p w14:paraId="068258C9" w14:textId="6251FDE9" w:rsidR="007D13E2" w:rsidRPr="00E77D5E" w:rsidRDefault="00832FA7" w:rsidP="008E7CFA">
      <w:pPr>
        <w:spacing w:line="240" w:lineRule="auto"/>
        <w:ind w:firstLine="0"/>
        <w:rPr>
          <w:rFonts w:ascii="Arial" w:hAnsi="Arial" w:cs="Arial"/>
          <w:sz w:val="20"/>
          <w:szCs w:val="20"/>
          <w:lang w:val="en-US"/>
        </w:rPr>
      </w:pPr>
      <w:r w:rsidRPr="00E77D5E">
        <w:rPr>
          <w:rFonts w:ascii="Arial" w:hAnsi="Arial" w:cs="Arial"/>
          <w:noProof/>
          <w:sz w:val="20"/>
          <w:szCs w:val="20"/>
        </w:rPr>
        <w:drawing>
          <wp:inline distT="0" distB="0" distL="0" distR="0" wp14:anchorId="7E86B9FE" wp14:editId="4EDD976C">
            <wp:extent cx="5698156" cy="2506980"/>
            <wp:effectExtent l="0" t="0" r="17145" b="7620"/>
            <wp:docPr id="644687441" name="Chart 1">
              <a:extLst xmlns:a="http://schemas.openxmlformats.org/drawingml/2006/main">
                <a:ext uri="{FF2B5EF4-FFF2-40B4-BE49-F238E27FC236}">
                  <a16:creationId xmlns:a16="http://schemas.microsoft.com/office/drawing/2014/main" id="{078E0BC0-81C0-2C59-BAC2-0D1FFC7F89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F481AD" w14:textId="513955AE" w:rsidR="005A40AD" w:rsidRPr="00E77D5E" w:rsidRDefault="005A40AD" w:rsidP="007F5B9E">
      <w:pPr>
        <w:spacing w:line="240" w:lineRule="auto"/>
        <w:ind w:firstLine="0"/>
        <w:rPr>
          <w:rFonts w:ascii="Arial" w:hAnsi="Arial" w:cs="Arial"/>
          <w:sz w:val="20"/>
          <w:szCs w:val="20"/>
          <w:lang w:val="en-US"/>
        </w:rPr>
      </w:pPr>
      <w:r w:rsidRPr="00E77D5E">
        <w:rPr>
          <w:rFonts w:ascii="Arial" w:hAnsi="Arial" w:cs="Arial"/>
          <w:b/>
          <w:bCs/>
          <w:sz w:val="20"/>
          <w:szCs w:val="20"/>
        </w:rPr>
        <w:t xml:space="preserve">Figure 4. </w:t>
      </w:r>
      <w:r w:rsidR="004A4A8B" w:rsidRPr="00E77D5E">
        <w:rPr>
          <w:rFonts w:ascii="Arial" w:hAnsi="Arial" w:cs="Arial"/>
          <w:sz w:val="20"/>
          <w:szCs w:val="20"/>
          <w:lang w:val="en-US"/>
        </w:rPr>
        <w:t>S</w:t>
      </w:r>
      <w:r w:rsidR="004A4A8B" w:rsidRPr="00E77D5E">
        <w:rPr>
          <w:rFonts w:ascii="Arial" w:hAnsi="Arial" w:cs="Arial"/>
          <w:sz w:val="20"/>
          <w:szCs w:val="20"/>
        </w:rPr>
        <w:t>hows how the concentrations of nutrients (NH</w:t>
      </w:r>
      <w:r w:rsidR="004A4A8B" w:rsidRPr="00E77D5E">
        <w:rPr>
          <w:rFonts w:ascii="Cambria Math" w:hAnsi="Cambria Math" w:cs="Cambria Math"/>
          <w:sz w:val="20"/>
          <w:szCs w:val="20"/>
        </w:rPr>
        <w:t>₄⁺</w:t>
      </w:r>
      <w:r w:rsidR="004A4A8B" w:rsidRPr="00E77D5E">
        <w:rPr>
          <w:rFonts w:ascii="Arial" w:hAnsi="Arial" w:cs="Arial"/>
          <w:sz w:val="20"/>
          <w:szCs w:val="20"/>
        </w:rPr>
        <w:t>, NO</w:t>
      </w:r>
      <w:r w:rsidR="004A4A8B" w:rsidRPr="00E77D5E">
        <w:rPr>
          <w:rFonts w:ascii="Cambria Math" w:hAnsi="Cambria Math" w:cs="Cambria Math"/>
          <w:sz w:val="20"/>
          <w:szCs w:val="20"/>
        </w:rPr>
        <w:t>₂⁻</w:t>
      </w:r>
      <w:r w:rsidR="004A4A8B" w:rsidRPr="00E77D5E">
        <w:rPr>
          <w:rFonts w:ascii="Arial" w:hAnsi="Arial" w:cs="Arial"/>
          <w:sz w:val="20"/>
          <w:szCs w:val="20"/>
        </w:rPr>
        <w:t>, and PO</w:t>
      </w:r>
      <w:r w:rsidR="004A4A8B" w:rsidRPr="00E77D5E">
        <w:rPr>
          <w:rFonts w:ascii="Cambria Math" w:hAnsi="Cambria Math" w:cs="Cambria Math"/>
          <w:sz w:val="20"/>
          <w:szCs w:val="20"/>
        </w:rPr>
        <w:t>₄</w:t>
      </w:r>
      <w:r w:rsidR="004A4A8B" w:rsidRPr="00E77D5E">
        <w:rPr>
          <w:rFonts w:ascii="Arial" w:hAnsi="Arial" w:cs="Arial"/>
          <w:sz w:val="20"/>
          <w:szCs w:val="20"/>
        </w:rPr>
        <w:t>³</w:t>
      </w:r>
      <w:r w:rsidR="004A4A8B" w:rsidRPr="00E77D5E">
        <w:rPr>
          <w:rFonts w:ascii="Cambria Math" w:hAnsi="Cambria Math" w:cs="Cambria Math"/>
          <w:sz w:val="20"/>
          <w:szCs w:val="20"/>
        </w:rPr>
        <w:t>⁻</w:t>
      </w:r>
      <w:r w:rsidR="004A4A8B" w:rsidRPr="00E77D5E">
        <w:rPr>
          <w:rFonts w:ascii="Arial" w:hAnsi="Arial" w:cs="Arial"/>
          <w:sz w:val="20"/>
          <w:szCs w:val="20"/>
        </w:rPr>
        <w:t>) in the surface water of the Can Gio estuary, Vietnam, changed with the seasons</w:t>
      </w:r>
      <w:r w:rsidR="00EA4F1E" w:rsidRPr="00E77D5E">
        <w:rPr>
          <w:rFonts w:ascii="Arial" w:hAnsi="Arial" w:cs="Arial"/>
          <w:sz w:val="20"/>
          <w:szCs w:val="20"/>
        </w:rPr>
        <w:t xml:space="preserve">. </w:t>
      </w:r>
      <w:r w:rsidR="004A4A8B" w:rsidRPr="00E77D5E">
        <w:rPr>
          <w:rFonts w:ascii="Arial" w:hAnsi="Arial" w:cs="Arial"/>
          <w:sz w:val="20"/>
          <w:szCs w:val="20"/>
        </w:rPr>
        <w:t>Boxplots show the median and spread of data for both dry and rainy seasons. The higher levels of NO</w:t>
      </w:r>
      <w:r w:rsidR="004A4A8B" w:rsidRPr="00E77D5E">
        <w:rPr>
          <w:rFonts w:ascii="Cambria Math" w:hAnsi="Cambria Math" w:cs="Cambria Math"/>
          <w:sz w:val="20"/>
          <w:szCs w:val="20"/>
        </w:rPr>
        <w:t>₂⁻</w:t>
      </w:r>
      <w:r w:rsidR="004A4A8B" w:rsidRPr="00E77D5E">
        <w:rPr>
          <w:rFonts w:ascii="Arial" w:hAnsi="Arial" w:cs="Arial"/>
          <w:sz w:val="20"/>
          <w:szCs w:val="20"/>
        </w:rPr>
        <w:t xml:space="preserve"> seen in the dry season suggest that nitrification might be limited by low levels of dissolved oxygen.</w:t>
      </w:r>
    </w:p>
    <w:p w14:paraId="4F8BB1E4" w14:textId="4B007929" w:rsidR="00690FDE" w:rsidRPr="00E77D5E" w:rsidRDefault="0042121C" w:rsidP="009848C1">
      <w:pPr>
        <w:spacing w:line="240" w:lineRule="auto"/>
        <w:ind w:firstLine="426"/>
        <w:rPr>
          <w:rFonts w:ascii="Arial" w:hAnsi="Arial" w:cs="Arial"/>
          <w:sz w:val="20"/>
          <w:szCs w:val="20"/>
          <w:lang w:val="en-US"/>
        </w:rPr>
      </w:pPr>
      <w:r w:rsidRPr="00E77D5E">
        <w:rPr>
          <w:rFonts w:ascii="Arial" w:hAnsi="Arial" w:cs="Arial"/>
          <w:sz w:val="20"/>
          <w:szCs w:val="20"/>
        </w:rPr>
        <w:t>Recent studies of water quality in coastal wetlands have shown that nutrient levels in estuarine systems are often affected by a combination of different stressors.</w:t>
      </w:r>
      <w:r w:rsidR="004A4A8B" w:rsidRPr="00E77D5E">
        <w:rPr>
          <w:rFonts w:ascii="Arial" w:hAnsi="Arial" w:cs="Arial"/>
          <w:sz w:val="20"/>
          <w:szCs w:val="20"/>
        </w:rPr>
        <w:t xml:space="preserve"> These include changes in land use, agricultural runoff, urban development, port operations, variations in rainfall, and rising sea levels.</w:t>
      </w:r>
      <w:r w:rsidR="00690FDE" w:rsidRPr="00E77D5E">
        <w:rPr>
          <w:rFonts w:ascii="Arial" w:hAnsi="Arial" w:cs="Arial"/>
          <w:sz w:val="20"/>
          <w:szCs w:val="20"/>
        </w:rPr>
        <w:t xml:space="preserve">. At the same time, </w:t>
      </w:r>
      <w:r w:rsidR="00EC5924" w:rsidRPr="00E77D5E">
        <w:rPr>
          <w:rFonts w:ascii="Arial" w:hAnsi="Arial" w:cs="Arial"/>
          <w:sz w:val="20"/>
          <w:szCs w:val="20"/>
          <w:lang w:val="en-US"/>
        </w:rPr>
        <w:t>a</w:t>
      </w:r>
      <w:r w:rsidR="00AB46D6" w:rsidRPr="00E77D5E">
        <w:rPr>
          <w:rFonts w:ascii="Arial" w:hAnsi="Arial" w:cs="Arial"/>
          <w:sz w:val="20"/>
          <w:szCs w:val="20"/>
        </w:rPr>
        <w:t>quaculture wastewater is known to contain organic matter, nitrogen, phosphorus, and biological components simultaneously</w:t>
      </w:r>
      <w:r w:rsidR="00690FDE" w:rsidRPr="00E77D5E">
        <w:rPr>
          <w:rFonts w:ascii="Arial" w:hAnsi="Arial" w:cs="Arial"/>
          <w:sz w:val="20"/>
          <w:szCs w:val="20"/>
        </w:rPr>
        <w:t>, which can exacerbate eutrophication and lack of oxygen in receiving waters. Thus, the apparent decrease in NO</w:t>
      </w:r>
      <w:r w:rsidR="00690FDE" w:rsidRPr="00E77D5E">
        <w:rPr>
          <w:rFonts w:ascii="Cambria Math" w:hAnsi="Cambria Math" w:cs="Cambria Math"/>
          <w:sz w:val="20"/>
          <w:szCs w:val="20"/>
        </w:rPr>
        <w:t>₂⁻</w:t>
      </w:r>
      <w:r w:rsidR="00690FDE" w:rsidRPr="00E77D5E">
        <w:rPr>
          <w:rFonts w:ascii="Arial" w:hAnsi="Arial" w:cs="Arial"/>
          <w:sz w:val="20"/>
          <w:szCs w:val="20"/>
        </w:rPr>
        <w:t xml:space="preserve"> during the rainy season in Can Gio can be seen as a consequence of better oxidation conditions and an increase in water exchange, while the less pronounced differences in NH</w:t>
      </w:r>
      <w:r w:rsidR="00690FDE" w:rsidRPr="00E77D5E">
        <w:rPr>
          <w:rFonts w:ascii="Cambria Math" w:hAnsi="Cambria Math" w:cs="Cambria Math"/>
          <w:sz w:val="20"/>
          <w:szCs w:val="20"/>
        </w:rPr>
        <w:t>₄⁺</w:t>
      </w:r>
      <w:r w:rsidR="00690FDE" w:rsidRPr="00E77D5E">
        <w:rPr>
          <w:rFonts w:ascii="Arial" w:hAnsi="Arial" w:cs="Arial"/>
          <w:sz w:val="20"/>
          <w:szCs w:val="20"/>
        </w:rPr>
        <w:t xml:space="preserve"> and PO</w:t>
      </w:r>
      <w:r w:rsidR="00690FDE" w:rsidRPr="00E77D5E">
        <w:rPr>
          <w:rFonts w:ascii="Cambria Math" w:hAnsi="Cambria Math" w:cs="Cambria Math"/>
          <w:sz w:val="20"/>
          <w:szCs w:val="20"/>
        </w:rPr>
        <w:t>₄</w:t>
      </w:r>
      <w:r w:rsidR="00690FDE" w:rsidRPr="00E77D5E">
        <w:rPr>
          <w:rFonts w:ascii="Arial" w:hAnsi="Arial" w:cs="Arial"/>
          <w:sz w:val="20"/>
          <w:szCs w:val="20"/>
        </w:rPr>
        <w:t>³</w:t>
      </w:r>
      <w:r w:rsidR="00690FDE" w:rsidRPr="00E77D5E">
        <w:rPr>
          <w:rFonts w:ascii="Cambria Math" w:hAnsi="Cambria Math" w:cs="Cambria Math"/>
          <w:sz w:val="20"/>
          <w:szCs w:val="20"/>
        </w:rPr>
        <w:t>⁻</w:t>
      </w:r>
      <w:r w:rsidR="00690FDE" w:rsidRPr="00E77D5E">
        <w:rPr>
          <w:rFonts w:ascii="Arial" w:hAnsi="Arial" w:cs="Arial"/>
          <w:sz w:val="20"/>
          <w:szCs w:val="20"/>
        </w:rPr>
        <w:t xml:space="preserve"> suggest that </w:t>
      </w:r>
      <w:r w:rsidR="00624203" w:rsidRPr="00E77D5E">
        <w:rPr>
          <w:rFonts w:ascii="Arial" w:hAnsi="Arial" w:cs="Arial"/>
          <w:sz w:val="20"/>
          <w:szCs w:val="20"/>
        </w:rPr>
        <w:t xml:space="preserve">biogeochemical processes may be offsetting one another </w:t>
      </w:r>
      <w:r w:rsidR="00690FDE" w:rsidRPr="00E77D5E">
        <w:rPr>
          <w:rFonts w:ascii="Arial" w:hAnsi="Arial" w:cs="Arial"/>
          <w:sz w:val="20"/>
          <w:szCs w:val="20"/>
        </w:rPr>
        <w:t xml:space="preserve">at the scale of the available data </w:t>
      </w:r>
      <w:r w:rsidR="006F72EB" w:rsidRPr="00E77D5E">
        <w:rPr>
          <w:rFonts w:ascii="Arial" w:hAnsi="Arial" w:cs="Arial"/>
          <w:sz w:val="20"/>
          <w:szCs w:val="20"/>
        </w:rPr>
        <w:t>(Goutami &amp; Patil,  2025).</w:t>
      </w:r>
    </w:p>
    <w:p w14:paraId="16CD332E" w14:textId="3D01F1C4" w:rsidR="00A0492B" w:rsidRPr="00830259" w:rsidRDefault="00A0492B" w:rsidP="007F5B9E">
      <w:pPr>
        <w:spacing w:line="240" w:lineRule="auto"/>
        <w:ind w:firstLine="0"/>
        <w:rPr>
          <w:rFonts w:ascii="Arial" w:hAnsi="Arial" w:cs="Arial"/>
          <w:b/>
          <w:bCs/>
          <w:sz w:val="22"/>
          <w:lang w:val="en-US"/>
        </w:rPr>
      </w:pPr>
      <w:r w:rsidRPr="00830259">
        <w:rPr>
          <w:rFonts w:ascii="Arial" w:hAnsi="Arial" w:cs="Arial"/>
          <w:b/>
          <w:bCs/>
          <w:sz w:val="22"/>
        </w:rPr>
        <w:t>3.4. Characteristics of microbial pollution</w:t>
      </w:r>
    </w:p>
    <w:p w14:paraId="764D8AD4" w14:textId="19A56B4A" w:rsidR="00207F2F" w:rsidRPr="00E77D5E" w:rsidRDefault="00207F2F" w:rsidP="009848C1">
      <w:pPr>
        <w:spacing w:line="240" w:lineRule="auto"/>
        <w:ind w:firstLine="426"/>
        <w:rPr>
          <w:rFonts w:ascii="Arial" w:hAnsi="Arial" w:cs="Arial"/>
          <w:sz w:val="20"/>
          <w:szCs w:val="20"/>
          <w:lang w:val="en-US"/>
        </w:rPr>
      </w:pPr>
      <w:r w:rsidRPr="00E77D5E">
        <w:rPr>
          <w:rFonts w:ascii="Arial" w:hAnsi="Arial" w:cs="Arial"/>
          <w:sz w:val="20"/>
          <w:szCs w:val="20"/>
          <w:lang w:val="en-US"/>
        </w:rPr>
        <w:t xml:space="preserve">As </w:t>
      </w:r>
      <w:r w:rsidRPr="009848C1">
        <w:rPr>
          <w:rFonts w:ascii="Arial" w:hAnsi="Arial" w:cs="Arial"/>
          <w:sz w:val="20"/>
          <w:szCs w:val="20"/>
        </w:rPr>
        <w:t>illustrated</w:t>
      </w:r>
      <w:r w:rsidRPr="00E77D5E">
        <w:rPr>
          <w:rFonts w:ascii="Arial" w:hAnsi="Arial" w:cs="Arial"/>
          <w:sz w:val="20"/>
          <w:szCs w:val="20"/>
          <w:lang w:val="en-US"/>
        </w:rPr>
        <w:t xml:space="preserve"> in Figure 5, total Coliforms levels remained elevated throughout both seasons, whereas </w:t>
      </w:r>
      <w:r w:rsidRPr="00E77D5E">
        <w:rPr>
          <w:rFonts w:ascii="Arial" w:hAnsi="Arial" w:cs="Arial"/>
          <w:i/>
          <w:iCs/>
          <w:sz w:val="20"/>
          <w:szCs w:val="20"/>
          <w:lang w:val="en-US"/>
        </w:rPr>
        <w:t>E. coli</w:t>
      </w:r>
      <w:r w:rsidRPr="00E77D5E">
        <w:rPr>
          <w:rFonts w:ascii="Arial" w:hAnsi="Arial" w:cs="Arial"/>
          <w:sz w:val="20"/>
          <w:szCs w:val="20"/>
          <w:lang w:val="en-US"/>
        </w:rPr>
        <w:t xml:space="preserve"> exhibited more pronounced fluctuations and greater dispersion during the rainy season. </w:t>
      </w:r>
      <w:r w:rsidR="00175096" w:rsidRPr="00E77D5E">
        <w:rPr>
          <w:rFonts w:ascii="Arial" w:hAnsi="Arial" w:cs="Arial"/>
          <w:sz w:val="20"/>
          <w:szCs w:val="20"/>
        </w:rPr>
        <w:t>The observed microbial contamination in Can Gio appears to be affected by both local sources and seasonal runoff, possibly originating from land and aquaculture operations. This observation is consistent with studies in the Xuan Thuy mangrove forest, where researchers documented substantial fluctuations in the diversity and decline rates of fecal indicator bacteria, depending on the prevailing environmental conditions within estuarine mangrove ecosystems.</w:t>
      </w:r>
      <w:r w:rsidR="00175096" w:rsidRPr="00E77D5E">
        <w:rPr>
          <w:rFonts w:ascii="Arial" w:hAnsi="Arial" w:cs="Arial"/>
          <w:sz w:val="20"/>
          <w:szCs w:val="20"/>
          <w:lang w:val="en-US"/>
        </w:rPr>
        <w:t xml:space="preserve"> </w:t>
      </w:r>
      <w:r w:rsidR="00175096" w:rsidRPr="00E77D5E">
        <w:rPr>
          <w:rFonts w:ascii="Arial" w:hAnsi="Arial" w:cs="Arial"/>
          <w:sz w:val="20"/>
          <w:szCs w:val="20"/>
        </w:rPr>
        <w:t xml:space="preserve">In addition, this finding aligns with a protracted study conducted in Dong Thap, where </w:t>
      </w:r>
      <w:r w:rsidR="00175096" w:rsidRPr="00E77D5E">
        <w:rPr>
          <w:rFonts w:ascii="Arial" w:hAnsi="Arial" w:cs="Arial"/>
          <w:i/>
          <w:iCs/>
          <w:sz w:val="20"/>
          <w:szCs w:val="20"/>
        </w:rPr>
        <w:t>E. coli</w:t>
      </w:r>
      <w:r w:rsidR="00175096" w:rsidRPr="00E77D5E">
        <w:rPr>
          <w:rFonts w:ascii="Arial" w:hAnsi="Arial" w:cs="Arial"/>
          <w:sz w:val="20"/>
          <w:szCs w:val="20"/>
        </w:rPr>
        <w:t xml:space="preserve"> levels exceeded </w:t>
      </w:r>
      <w:r w:rsidR="00175096" w:rsidRPr="00E77D5E">
        <w:rPr>
          <w:rFonts w:ascii="Arial" w:hAnsi="Arial" w:cs="Arial"/>
          <w:sz w:val="20"/>
          <w:szCs w:val="20"/>
        </w:rPr>
        <w:lastRenderedPageBreak/>
        <w:t>the permissible threshold in 95.5% of the instances analyzed, thus designating it as a principal contaminant</w:t>
      </w:r>
      <w:r w:rsidR="00175096" w:rsidRPr="00E77D5E">
        <w:rPr>
          <w:rFonts w:ascii="Arial" w:hAnsi="Arial" w:cs="Arial"/>
          <w:sz w:val="20"/>
          <w:szCs w:val="20"/>
          <w:lang w:val="en-US"/>
        </w:rPr>
        <w:t xml:space="preserve"> </w:t>
      </w:r>
      <w:r w:rsidRPr="00E77D5E">
        <w:rPr>
          <w:rFonts w:ascii="Arial" w:hAnsi="Arial" w:cs="Arial"/>
          <w:sz w:val="20"/>
          <w:szCs w:val="20"/>
          <w:lang w:val="en-US"/>
        </w:rPr>
        <w:t>(Nguyen et al., 2022).</w:t>
      </w:r>
    </w:p>
    <w:p w14:paraId="1A6DCE30" w14:textId="21564AB9" w:rsidR="003E0471" w:rsidRPr="00E77D5E" w:rsidRDefault="005A40AD" w:rsidP="008E7CFA">
      <w:pPr>
        <w:spacing w:line="240" w:lineRule="auto"/>
        <w:ind w:firstLine="0"/>
        <w:rPr>
          <w:rFonts w:ascii="Arial" w:hAnsi="Arial" w:cs="Arial"/>
          <w:sz w:val="20"/>
          <w:szCs w:val="20"/>
          <w:lang w:val="en-US"/>
        </w:rPr>
      </w:pPr>
      <w:r w:rsidRPr="00E77D5E">
        <w:rPr>
          <w:rFonts w:ascii="Arial" w:hAnsi="Arial" w:cs="Arial"/>
          <w:noProof/>
          <w:sz w:val="20"/>
          <w:szCs w:val="20"/>
        </w:rPr>
        <mc:AlternateContent>
          <mc:Choice Requires="cx1">
            <w:drawing>
              <wp:inline distT="0" distB="0" distL="0" distR="0" wp14:anchorId="067D4DCA" wp14:editId="7E7C1AEE">
                <wp:extent cx="5743575" cy="2338017"/>
                <wp:effectExtent l="0" t="0" r="9525" b="5715"/>
                <wp:docPr id="1007615008" name="Chart 1">
                  <a:extLst xmlns:a="http://schemas.openxmlformats.org/drawingml/2006/main">
                    <a:ext uri="{FF2B5EF4-FFF2-40B4-BE49-F238E27FC236}">
                      <a16:creationId xmlns:a16="http://schemas.microsoft.com/office/drawing/2014/main" id="{BFE5A515-5C93-E270-C94B-BE5BC3874EB7}"/>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inline>
            </w:drawing>
          </mc:Choice>
          <mc:Fallback xmlns:c="http://schemas.openxmlformats.org/drawingml/2006/chart" xmlns:a16="http://schemas.microsoft.com/office/drawing/2014/main"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067D4DCA" wp14:editId="7E7C1AEE">
                <wp:extent cx="5743575" cy="2338017"/>
                <wp:effectExtent l="0" t="0" r="9525" b="5715"/>
                <wp:docPr id="1007615008" name="Chart 1">
                  <a:extLst xmlns:a="http://schemas.openxmlformats.org/drawingml/2006/main">
                    <a:ext uri="{FF2B5EF4-FFF2-40B4-BE49-F238E27FC236}">
                      <a16:creationId xmlns:a16="http://schemas.microsoft.com/office/drawing/2014/main" id="{BFE5A515-5C93-E270-C94B-BE5BC3874EB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07615008" name="Chart 1">
                          <a:extLst>
                            <a:ext uri="{FF2B5EF4-FFF2-40B4-BE49-F238E27FC236}">
                              <a16:creationId xmlns:a16="http://schemas.microsoft.com/office/drawing/2014/main" id="{BFE5A515-5C93-E270-C94B-BE5BC3874EB7}"/>
                            </a:ext>
                          </a:extLst>
                        </pic:cNvPr>
                        <pic:cNvPicPr>
                          <a:picLocks noGrp="1" noRot="1" noChangeAspect="1" noMove="1" noResize="1" noEditPoints="1" noAdjustHandles="1" noChangeArrowheads="1" noChangeShapeType="1"/>
                        </pic:cNvPicPr>
                      </pic:nvPicPr>
                      <pic:blipFill>
                        <a:blip r:embed="rId16"/>
                        <a:stretch>
                          <a:fillRect/>
                        </a:stretch>
                      </pic:blipFill>
                      <pic:spPr>
                        <a:xfrm>
                          <a:off x="0" y="0"/>
                          <a:ext cx="5743575" cy="2337435"/>
                        </a:xfrm>
                        <a:prstGeom prst="rect">
                          <a:avLst/>
                        </a:prstGeom>
                      </pic:spPr>
                    </pic:pic>
                  </a:graphicData>
                </a:graphic>
              </wp:inline>
            </w:drawing>
          </mc:Fallback>
        </mc:AlternateContent>
      </w:r>
    </w:p>
    <w:p w14:paraId="5A0F6732" w14:textId="45B0273E" w:rsidR="005A40AD" w:rsidRPr="00E77D5E" w:rsidRDefault="005A40AD" w:rsidP="007F5B9E">
      <w:pPr>
        <w:spacing w:line="240" w:lineRule="auto"/>
        <w:ind w:firstLine="0"/>
        <w:rPr>
          <w:rFonts w:ascii="Arial" w:hAnsi="Arial" w:cs="Arial"/>
          <w:sz w:val="20"/>
          <w:szCs w:val="20"/>
          <w:lang w:val="en-US"/>
        </w:rPr>
      </w:pPr>
      <w:r w:rsidRPr="00E77D5E">
        <w:rPr>
          <w:rFonts w:ascii="Arial" w:hAnsi="Arial" w:cs="Arial"/>
          <w:b/>
          <w:bCs/>
          <w:sz w:val="20"/>
          <w:szCs w:val="20"/>
        </w:rPr>
        <w:t xml:space="preserve">Figure 5. </w:t>
      </w:r>
      <w:r w:rsidR="00EA4F1E" w:rsidRPr="00E77D5E">
        <w:rPr>
          <w:rFonts w:ascii="Arial" w:hAnsi="Arial" w:cs="Arial"/>
          <w:sz w:val="20"/>
          <w:szCs w:val="20"/>
        </w:rPr>
        <w:t>Seasonal variation of microbial indicators (total Coliform and Escherichia coli) in surface water of the Can Gio estuary, Vietnam. Boxplots illustrate spatial variability between dry and rainy seasons, with increased microbial abundance in the rainy season likely associated with runoff from surrounding land and aquaculture areas.</w:t>
      </w:r>
    </w:p>
    <w:p w14:paraId="0B5ECEEC" w14:textId="64AB1DAB" w:rsidR="007649CA" w:rsidRPr="00E77D5E" w:rsidRDefault="005D2160" w:rsidP="009848C1">
      <w:pPr>
        <w:spacing w:line="240" w:lineRule="auto"/>
        <w:ind w:firstLine="426"/>
        <w:rPr>
          <w:rFonts w:ascii="Arial" w:hAnsi="Arial" w:cs="Arial"/>
          <w:sz w:val="20"/>
          <w:szCs w:val="20"/>
          <w:lang w:val="en-US"/>
        </w:rPr>
      </w:pPr>
      <w:r w:rsidRPr="00E77D5E">
        <w:rPr>
          <w:rFonts w:ascii="Arial" w:hAnsi="Arial" w:cs="Arial"/>
          <w:sz w:val="20"/>
          <w:szCs w:val="20"/>
        </w:rPr>
        <w:t xml:space="preserve">Comparative analyses with global and regional scholarship further substantiate this perspective. A recent examination of aquaculture wastewater highlights its composition, which is characterized by an abundance of organic matter and nutrients; however, it also contains biological pollutants, thereby elevating the potential for both water quality degradation and adverse environmental health consequences within the affected region. </w:t>
      </w:r>
      <w:r w:rsidR="00796976" w:rsidRPr="00E77D5E">
        <w:rPr>
          <w:rFonts w:ascii="Arial" w:hAnsi="Arial" w:cs="Arial"/>
          <w:sz w:val="20"/>
          <w:szCs w:val="20"/>
        </w:rPr>
        <w:t>Consequently, the consistently elevated total Coliform</w:t>
      </w:r>
      <w:r w:rsidR="00333E94" w:rsidRPr="00E77D5E">
        <w:rPr>
          <w:rFonts w:ascii="Arial" w:hAnsi="Arial" w:cs="Arial"/>
          <w:sz w:val="20"/>
          <w:szCs w:val="20"/>
          <w:lang w:val="en-US"/>
        </w:rPr>
        <w:t>s</w:t>
      </w:r>
      <w:r w:rsidR="00796976" w:rsidRPr="00E77D5E">
        <w:rPr>
          <w:rFonts w:ascii="Arial" w:hAnsi="Arial" w:cs="Arial"/>
          <w:sz w:val="20"/>
          <w:szCs w:val="20"/>
        </w:rPr>
        <w:t xml:space="preserve"> levels detected in Can Gio throughout both seasons, combined with the more significant variations in </w:t>
      </w:r>
      <w:r w:rsidR="00796976" w:rsidRPr="00E77D5E">
        <w:rPr>
          <w:rFonts w:ascii="Arial" w:hAnsi="Arial" w:cs="Arial"/>
          <w:i/>
          <w:iCs/>
          <w:sz w:val="20"/>
          <w:szCs w:val="20"/>
        </w:rPr>
        <w:t>E. coli</w:t>
      </w:r>
      <w:r w:rsidR="00796976" w:rsidRPr="00E77D5E">
        <w:rPr>
          <w:rFonts w:ascii="Arial" w:hAnsi="Arial" w:cs="Arial"/>
          <w:sz w:val="20"/>
          <w:szCs w:val="20"/>
        </w:rPr>
        <w:t> concentrations observed during the rainy season, suggest a complex contamination scenario. This scenario likely involves a persistent background source originating from domestic and agricultural practices, in addition to a diffuse source associated with runoff during the rainy season</w:t>
      </w:r>
      <w:r w:rsidRPr="00E77D5E">
        <w:rPr>
          <w:rFonts w:ascii="Arial" w:hAnsi="Arial" w:cs="Arial"/>
          <w:sz w:val="20"/>
          <w:szCs w:val="20"/>
        </w:rPr>
        <w:t xml:space="preserve"> </w:t>
      </w:r>
      <w:r w:rsidR="007649CA" w:rsidRPr="00E77D5E">
        <w:rPr>
          <w:rFonts w:ascii="Arial" w:hAnsi="Arial" w:cs="Arial"/>
          <w:sz w:val="20"/>
          <w:szCs w:val="20"/>
        </w:rPr>
        <w:t>(</w:t>
      </w:r>
      <w:r w:rsidR="007B1597" w:rsidRPr="00E77D5E">
        <w:rPr>
          <w:rFonts w:ascii="Arial" w:hAnsi="Arial" w:cs="Arial"/>
          <w:sz w:val="20"/>
          <w:szCs w:val="20"/>
        </w:rPr>
        <w:t>Liu et al.,  2024).</w:t>
      </w:r>
    </w:p>
    <w:p w14:paraId="2FDB2841" w14:textId="603D7D76" w:rsidR="00A0492B" w:rsidRPr="00830259" w:rsidRDefault="00A0492B" w:rsidP="007F5B9E">
      <w:pPr>
        <w:spacing w:line="240" w:lineRule="auto"/>
        <w:ind w:firstLine="0"/>
        <w:rPr>
          <w:rFonts w:ascii="Arial" w:hAnsi="Arial" w:cs="Arial"/>
          <w:b/>
          <w:bCs/>
          <w:sz w:val="22"/>
          <w:lang w:val="en-US"/>
        </w:rPr>
      </w:pPr>
      <w:r w:rsidRPr="00830259">
        <w:rPr>
          <w:rFonts w:ascii="Arial" w:hAnsi="Arial" w:cs="Arial"/>
          <w:b/>
          <w:bCs/>
          <w:sz w:val="22"/>
        </w:rPr>
        <w:t>3.5. Relationship between organic pollution and dissolved oxygen</w:t>
      </w:r>
    </w:p>
    <w:p w14:paraId="05A40F80" w14:textId="6990FED8" w:rsidR="00A0492B" w:rsidRPr="00E77D5E" w:rsidRDefault="00624203" w:rsidP="009848C1">
      <w:pPr>
        <w:spacing w:line="240" w:lineRule="auto"/>
        <w:ind w:firstLine="426"/>
        <w:rPr>
          <w:rFonts w:ascii="Arial" w:hAnsi="Arial" w:cs="Arial"/>
          <w:sz w:val="20"/>
          <w:szCs w:val="20"/>
          <w:lang w:val="en-US"/>
        </w:rPr>
      </w:pPr>
      <w:r w:rsidRPr="00E77D5E">
        <w:rPr>
          <w:rFonts w:ascii="Arial" w:hAnsi="Arial" w:cs="Arial"/>
          <w:sz w:val="20"/>
          <w:szCs w:val="20"/>
        </w:rPr>
        <w:t>At the seasonal scale, the dry season tended to be associated with higher BOD</w:t>
      </w:r>
      <w:r w:rsidRPr="00E77D5E">
        <w:rPr>
          <w:rFonts w:ascii="Cambria Math" w:hAnsi="Cambria Math" w:cs="Cambria Math"/>
          <w:sz w:val="20"/>
          <w:szCs w:val="20"/>
        </w:rPr>
        <w:t>₅</w:t>
      </w:r>
      <w:r w:rsidRPr="00E77D5E">
        <w:rPr>
          <w:rFonts w:ascii="Arial" w:hAnsi="Arial" w:cs="Arial"/>
          <w:sz w:val="20"/>
          <w:szCs w:val="20"/>
        </w:rPr>
        <w:t>/COD and lower DO</w:t>
      </w:r>
      <w:r w:rsidR="007649CA" w:rsidRPr="00E77D5E">
        <w:rPr>
          <w:rFonts w:ascii="Arial" w:hAnsi="Arial" w:cs="Arial"/>
          <w:sz w:val="20"/>
          <w:szCs w:val="20"/>
        </w:rPr>
        <w:t>; but at the point-by-point spatial scale, BOD</w:t>
      </w:r>
      <w:r w:rsidR="007649CA" w:rsidRPr="00E77D5E">
        <w:rPr>
          <w:rFonts w:ascii="Cambria Math" w:hAnsi="Cambria Math" w:cs="Cambria Math"/>
          <w:sz w:val="20"/>
          <w:szCs w:val="20"/>
        </w:rPr>
        <w:t>₅</w:t>
      </w:r>
      <w:r w:rsidR="007649CA" w:rsidRPr="00E77D5E">
        <w:rPr>
          <w:rFonts w:ascii="Arial" w:hAnsi="Arial" w:cs="Arial"/>
          <w:sz w:val="20"/>
          <w:szCs w:val="20"/>
        </w:rPr>
        <w:t xml:space="preserve"> alone is insufficient to explain DO fluctuations. </w:t>
      </w:r>
      <w:r w:rsidRPr="00E77D5E">
        <w:rPr>
          <w:rFonts w:ascii="Arial" w:hAnsi="Arial" w:cs="Arial"/>
          <w:sz w:val="20"/>
          <w:szCs w:val="20"/>
        </w:rPr>
        <w:t>This interpretation is consistent with the 2025 Can Gio study, which reported more severe organic pollution during the dry season and suggested seasonal oxygen stress, but it does not imply a strong negative linear relationship between BOD</w:t>
      </w:r>
      <w:r w:rsidRPr="00E77D5E">
        <w:rPr>
          <w:rFonts w:ascii="Cambria Math" w:hAnsi="Cambria Math" w:cs="Cambria Math"/>
          <w:sz w:val="20"/>
          <w:szCs w:val="20"/>
        </w:rPr>
        <w:t>₅</w:t>
      </w:r>
      <w:r w:rsidRPr="00E77D5E">
        <w:rPr>
          <w:rFonts w:ascii="Arial" w:hAnsi="Arial" w:cs="Arial"/>
          <w:sz w:val="20"/>
          <w:szCs w:val="20"/>
        </w:rPr>
        <w:t xml:space="preserve"> and DO at every site </w:t>
      </w:r>
      <w:r w:rsidR="00C97255" w:rsidRPr="00E77D5E">
        <w:rPr>
          <w:rFonts w:ascii="Arial" w:hAnsi="Arial" w:cs="Arial"/>
          <w:sz w:val="20"/>
          <w:szCs w:val="20"/>
        </w:rPr>
        <w:t>(Trung et al., 2025).</w:t>
      </w:r>
    </w:p>
    <w:p w14:paraId="2982C6A2" w14:textId="7B89C36B" w:rsidR="005A40AD" w:rsidRPr="00E77D5E" w:rsidRDefault="005A40AD" w:rsidP="008E7CFA">
      <w:pPr>
        <w:spacing w:line="240" w:lineRule="auto"/>
        <w:ind w:firstLine="0"/>
        <w:rPr>
          <w:rFonts w:ascii="Arial" w:hAnsi="Arial" w:cs="Arial"/>
          <w:sz w:val="20"/>
          <w:szCs w:val="20"/>
          <w:lang w:val="en-US"/>
        </w:rPr>
      </w:pPr>
      <w:r w:rsidRPr="00E77D5E">
        <w:rPr>
          <w:rFonts w:ascii="Arial" w:hAnsi="Arial" w:cs="Arial"/>
          <w:noProof/>
          <w:sz w:val="20"/>
          <w:szCs w:val="20"/>
        </w:rPr>
        <w:drawing>
          <wp:inline distT="0" distB="0" distL="0" distR="0" wp14:anchorId="6F1AD2F5" wp14:editId="0669B86E">
            <wp:extent cx="5743575" cy="2316115"/>
            <wp:effectExtent l="0" t="0" r="9525" b="8255"/>
            <wp:docPr id="1272674833" name="Chart 1">
              <a:extLst xmlns:a="http://schemas.openxmlformats.org/drawingml/2006/main">
                <a:ext uri="{FF2B5EF4-FFF2-40B4-BE49-F238E27FC236}">
                  <a16:creationId xmlns:a16="http://schemas.microsoft.com/office/drawing/2014/main" id="{8D26356E-FA69-B248-A5B7-3109CEFCFD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723AA04" w14:textId="4BD35DAC" w:rsidR="005A40AD" w:rsidRPr="00E77D5E" w:rsidRDefault="005A40AD" w:rsidP="007F5B9E">
      <w:pPr>
        <w:spacing w:line="240" w:lineRule="auto"/>
        <w:ind w:firstLine="0"/>
        <w:rPr>
          <w:rFonts w:ascii="Arial" w:hAnsi="Arial" w:cs="Arial"/>
          <w:sz w:val="20"/>
          <w:szCs w:val="20"/>
          <w:lang w:val="en-US"/>
        </w:rPr>
      </w:pPr>
      <w:r w:rsidRPr="00E77D5E">
        <w:rPr>
          <w:rFonts w:ascii="Arial" w:hAnsi="Arial" w:cs="Arial"/>
          <w:b/>
          <w:bCs/>
          <w:sz w:val="20"/>
          <w:szCs w:val="20"/>
        </w:rPr>
        <w:t>Figure 6.</w:t>
      </w:r>
      <w:r w:rsidRPr="00E77D5E">
        <w:rPr>
          <w:rFonts w:ascii="Arial" w:hAnsi="Arial" w:cs="Arial"/>
          <w:sz w:val="20"/>
          <w:szCs w:val="20"/>
        </w:rPr>
        <w:t xml:space="preserve"> Relationship between biochemical oxygen demand (BOD</w:t>
      </w:r>
      <w:r w:rsidRPr="00E77D5E">
        <w:rPr>
          <w:rFonts w:ascii="Cambria Math" w:hAnsi="Cambria Math" w:cs="Cambria Math"/>
          <w:sz w:val="20"/>
          <w:szCs w:val="20"/>
        </w:rPr>
        <w:t>₅</w:t>
      </w:r>
      <w:r w:rsidRPr="00E77D5E">
        <w:rPr>
          <w:rFonts w:ascii="Arial" w:hAnsi="Arial" w:cs="Arial"/>
          <w:sz w:val="20"/>
          <w:szCs w:val="20"/>
        </w:rPr>
        <w:t>) and dissolved oxygen (DO) in surface water of the Can Gio estuary, Vietnam. Points represent dry and rainy seasons. Linear regression indicates a weak positive relationship between BOD</w:t>
      </w:r>
      <w:r w:rsidRPr="00E77D5E">
        <w:rPr>
          <w:rFonts w:ascii="Cambria Math" w:hAnsi="Cambria Math" w:cs="Cambria Math"/>
          <w:sz w:val="20"/>
          <w:szCs w:val="20"/>
        </w:rPr>
        <w:t>₅</w:t>
      </w:r>
      <w:r w:rsidRPr="00E77D5E">
        <w:rPr>
          <w:rFonts w:ascii="Arial" w:hAnsi="Arial" w:cs="Arial"/>
          <w:sz w:val="20"/>
          <w:szCs w:val="20"/>
        </w:rPr>
        <w:t xml:space="preserve"> and DO.</w:t>
      </w:r>
    </w:p>
    <w:p w14:paraId="7282D649" w14:textId="6744E5D2" w:rsidR="007649CA" w:rsidRPr="00E77D5E" w:rsidRDefault="007649CA" w:rsidP="009848C1">
      <w:pPr>
        <w:spacing w:line="240" w:lineRule="auto"/>
        <w:ind w:firstLine="426"/>
        <w:rPr>
          <w:rFonts w:ascii="Arial" w:hAnsi="Arial" w:cs="Arial"/>
          <w:sz w:val="20"/>
          <w:szCs w:val="20"/>
          <w:lang w:val="en-US"/>
        </w:rPr>
      </w:pPr>
      <w:r w:rsidRPr="00E77D5E">
        <w:rPr>
          <w:rFonts w:ascii="Arial" w:hAnsi="Arial" w:cs="Arial"/>
          <w:sz w:val="20"/>
          <w:szCs w:val="20"/>
        </w:rPr>
        <w:t xml:space="preserve">From the perspective of estuarine ecology, this is a reasonable result. Recent reviews show that coastal wetlands and estuarine water quality are simultaneously influenced by rainfall, tides, salinity, </w:t>
      </w:r>
      <w:r w:rsidRPr="00E77D5E">
        <w:rPr>
          <w:rFonts w:ascii="Arial" w:hAnsi="Arial" w:cs="Arial"/>
          <w:sz w:val="20"/>
          <w:szCs w:val="20"/>
        </w:rPr>
        <w:lastRenderedPageBreak/>
        <w:t xml:space="preserve">water stratification, photosynthesis, respiration, atmospheric exchange, and loads from the basin. The study in Sundarban also shows that water quality can fluctuate drastically with both seasons and years under the influence of climate and hydrology. Therefore, for Can Gio, DO should be seen as a variable that reflects the combined impact of organic loads and the hydrodynamic context, rather than </w:t>
      </w:r>
      <w:r w:rsidR="00992CDE" w:rsidRPr="00E77D5E">
        <w:rPr>
          <w:rFonts w:ascii="Arial" w:hAnsi="Arial" w:cs="Arial"/>
          <w:sz w:val="20"/>
          <w:szCs w:val="20"/>
        </w:rPr>
        <w:t>being determined by BOD</w:t>
      </w:r>
      <w:r w:rsidR="00992CDE" w:rsidRPr="00E77D5E">
        <w:rPr>
          <w:rFonts w:ascii="Cambria Math" w:hAnsi="Cambria Math" w:cs="Cambria Math"/>
          <w:sz w:val="20"/>
          <w:szCs w:val="20"/>
        </w:rPr>
        <w:t>₅</w:t>
      </w:r>
      <w:r w:rsidR="00992CDE" w:rsidRPr="00E77D5E">
        <w:rPr>
          <w:rFonts w:ascii="Arial" w:hAnsi="Arial" w:cs="Arial"/>
          <w:sz w:val="20"/>
          <w:szCs w:val="20"/>
        </w:rPr>
        <w:t xml:space="preserve"> alone</w:t>
      </w:r>
      <w:r w:rsidRPr="00E77D5E">
        <w:rPr>
          <w:rFonts w:ascii="Arial" w:hAnsi="Arial" w:cs="Arial"/>
          <w:sz w:val="20"/>
          <w:szCs w:val="20"/>
        </w:rPr>
        <w:t xml:space="preserve">. </w:t>
      </w:r>
    </w:p>
    <w:p w14:paraId="61C39B2B" w14:textId="7F1FE31D" w:rsidR="00A0492B" w:rsidRPr="00830259" w:rsidRDefault="00A0492B" w:rsidP="007F5B9E">
      <w:pPr>
        <w:spacing w:line="240" w:lineRule="auto"/>
        <w:ind w:firstLine="0"/>
        <w:rPr>
          <w:rFonts w:ascii="Arial" w:hAnsi="Arial" w:cs="Arial"/>
          <w:b/>
          <w:bCs/>
          <w:sz w:val="22"/>
          <w:lang w:val="en-US"/>
        </w:rPr>
      </w:pPr>
      <w:r w:rsidRPr="00830259">
        <w:rPr>
          <w:rFonts w:ascii="Arial" w:hAnsi="Arial" w:cs="Arial"/>
          <w:b/>
          <w:bCs/>
          <w:sz w:val="22"/>
        </w:rPr>
        <w:t xml:space="preserve">3.6. </w:t>
      </w:r>
      <w:r w:rsidR="00624203" w:rsidRPr="00830259">
        <w:rPr>
          <w:rFonts w:ascii="Arial" w:hAnsi="Arial" w:cs="Arial"/>
          <w:b/>
          <w:bCs/>
          <w:sz w:val="22"/>
        </w:rPr>
        <w:t>Relationship between organic and microbial pollution</w:t>
      </w:r>
    </w:p>
    <w:p w14:paraId="12BB8D6D" w14:textId="1DD603D4" w:rsidR="00552CE4" w:rsidRPr="00E77D5E" w:rsidRDefault="00552CE4" w:rsidP="009848C1">
      <w:pPr>
        <w:spacing w:line="240" w:lineRule="auto"/>
        <w:ind w:firstLine="426"/>
        <w:rPr>
          <w:rFonts w:ascii="Arial" w:hAnsi="Arial" w:cs="Arial"/>
          <w:sz w:val="20"/>
          <w:szCs w:val="20"/>
          <w:lang w:val="en-US"/>
        </w:rPr>
      </w:pPr>
      <w:r w:rsidRPr="00E77D5E">
        <w:rPr>
          <w:rFonts w:ascii="Arial" w:hAnsi="Arial" w:cs="Arial"/>
          <w:sz w:val="20"/>
          <w:szCs w:val="20"/>
        </w:rPr>
        <w:t xml:space="preserve">When comparing Figure 3 and Figure 5, it can be seen that organic pollution and microbial pollution </w:t>
      </w:r>
      <w:r w:rsidR="00C54E4B" w:rsidRPr="00E77D5E">
        <w:rPr>
          <w:rFonts w:ascii="Arial" w:hAnsi="Arial" w:cs="Arial"/>
          <w:sz w:val="20"/>
          <w:szCs w:val="20"/>
        </w:rPr>
        <w:t xml:space="preserve">tend to co-occur </w:t>
      </w:r>
      <w:r w:rsidRPr="00E77D5E">
        <w:rPr>
          <w:rFonts w:ascii="Arial" w:hAnsi="Arial" w:cs="Arial"/>
          <w:sz w:val="20"/>
          <w:szCs w:val="20"/>
        </w:rPr>
        <w:t xml:space="preserve">in areas strongly affected by human activities, but </w:t>
      </w:r>
      <w:r w:rsidR="00C54E4B" w:rsidRPr="00E77D5E">
        <w:rPr>
          <w:rFonts w:ascii="Arial" w:hAnsi="Arial" w:cs="Arial"/>
          <w:sz w:val="20"/>
          <w:szCs w:val="20"/>
        </w:rPr>
        <w:t>their magnitudes were not uniform across all sites</w:t>
      </w:r>
      <w:r w:rsidRPr="00E77D5E">
        <w:rPr>
          <w:rFonts w:ascii="Arial" w:hAnsi="Arial" w:cs="Arial"/>
          <w:sz w:val="20"/>
          <w:szCs w:val="20"/>
        </w:rPr>
        <w:t>. Some locations with high BOD</w:t>
      </w:r>
      <w:r w:rsidRPr="00E77D5E">
        <w:rPr>
          <w:rFonts w:ascii="Cambria Math" w:hAnsi="Cambria Math" w:cs="Cambria Math"/>
          <w:sz w:val="20"/>
          <w:szCs w:val="20"/>
        </w:rPr>
        <w:t>₅</w:t>
      </w:r>
      <w:r w:rsidRPr="00E77D5E">
        <w:rPr>
          <w:rFonts w:ascii="Arial" w:hAnsi="Arial" w:cs="Arial"/>
          <w:sz w:val="20"/>
          <w:szCs w:val="20"/>
        </w:rPr>
        <w:t>/COD also show high microbial densities, especially during the rainy season, suggesting a synergy between organic waste, domestic wastewater, and leaching runoff from farms or residential areas.</w:t>
      </w:r>
    </w:p>
    <w:p w14:paraId="402D4B4A" w14:textId="30607E49" w:rsidR="00552CE4" w:rsidRPr="00E77D5E" w:rsidRDefault="00552CE4" w:rsidP="009848C1">
      <w:pPr>
        <w:spacing w:line="240" w:lineRule="auto"/>
        <w:ind w:firstLine="426"/>
        <w:rPr>
          <w:rFonts w:ascii="Arial" w:hAnsi="Arial" w:cs="Arial"/>
          <w:sz w:val="20"/>
          <w:szCs w:val="20"/>
          <w:lang w:val="en-US"/>
        </w:rPr>
      </w:pPr>
      <w:r w:rsidRPr="00E77D5E">
        <w:rPr>
          <w:rFonts w:ascii="Arial" w:hAnsi="Arial" w:cs="Arial"/>
          <w:sz w:val="20"/>
          <w:szCs w:val="20"/>
        </w:rPr>
        <w:t xml:space="preserve">However, this association </w:t>
      </w:r>
      <w:r w:rsidR="00C54E4B" w:rsidRPr="00E77D5E">
        <w:rPr>
          <w:rFonts w:ascii="Arial" w:hAnsi="Arial" w:cs="Arial"/>
          <w:sz w:val="20"/>
          <w:szCs w:val="20"/>
        </w:rPr>
        <w:t>should be interpreted as suggestive rather than strong</w:t>
      </w:r>
      <w:r w:rsidRPr="00E77D5E">
        <w:rPr>
          <w:rFonts w:ascii="Arial" w:hAnsi="Arial" w:cs="Arial"/>
          <w:sz w:val="20"/>
          <w:szCs w:val="20"/>
        </w:rPr>
        <w:t xml:space="preserve">, as the current graph does not provide a direct statistical analysis between organic and microbiological indicators. In other words, microbial pollution in Can Gio </w:t>
      </w:r>
      <w:r w:rsidR="00C54E4B" w:rsidRPr="00E77D5E">
        <w:rPr>
          <w:rFonts w:ascii="Arial" w:hAnsi="Arial" w:cs="Arial"/>
          <w:sz w:val="20"/>
          <w:szCs w:val="20"/>
        </w:rPr>
        <w:t xml:space="preserve">likely reflects not only </w:t>
      </w:r>
      <w:r w:rsidRPr="00E77D5E">
        <w:rPr>
          <w:rFonts w:ascii="Arial" w:hAnsi="Arial" w:cs="Arial"/>
          <w:sz w:val="20"/>
          <w:szCs w:val="20"/>
        </w:rPr>
        <w:t xml:space="preserve">the amount of biodegradable organic matter, </w:t>
      </w:r>
      <w:r w:rsidR="00C54E4B" w:rsidRPr="00E77D5E">
        <w:rPr>
          <w:rFonts w:ascii="Arial" w:hAnsi="Arial" w:cs="Arial"/>
          <w:sz w:val="20"/>
          <w:szCs w:val="20"/>
        </w:rPr>
        <w:t>but also inputs from fecal waste and domestic wastewater entering the system directly</w:t>
      </w:r>
      <w:r w:rsidRPr="00E77D5E">
        <w:rPr>
          <w:rFonts w:ascii="Arial" w:hAnsi="Arial" w:cs="Arial"/>
          <w:sz w:val="20"/>
          <w:szCs w:val="20"/>
        </w:rPr>
        <w:t>. This is an important point to expand the discussion towards mixed emission sources, rather than just associating microbial pollution with BOD</w:t>
      </w:r>
      <w:r w:rsidRPr="00E77D5E">
        <w:rPr>
          <w:rFonts w:ascii="Cambria Math" w:hAnsi="Cambria Math" w:cs="Cambria Math"/>
          <w:sz w:val="20"/>
          <w:szCs w:val="20"/>
        </w:rPr>
        <w:t>₅</w:t>
      </w:r>
      <w:r w:rsidRPr="00E77D5E">
        <w:rPr>
          <w:rFonts w:ascii="Arial" w:hAnsi="Arial" w:cs="Arial"/>
          <w:sz w:val="20"/>
          <w:szCs w:val="20"/>
        </w:rPr>
        <w:t>/COD.</w:t>
      </w:r>
    </w:p>
    <w:p w14:paraId="6AC733B1" w14:textId="1893FC65" w:rsidR="008A5724" w:rsidRPr="00830259" w:rsidRDefault="008A5724" w:rsidP="007F5B9E">
      <w:pPr>
        <w:spacing w:line="240" w:lineRule="auto"/>
        <w:ind w:firstLine="0"/>
        <w:rPr>
          <w:rFonts w:ascii="Arial" w:hAnsi="Arial" w:cs="Arial"/>
          <w:b/>
          <w:bCs/>
          <w:sz w:val="22"/>
          <w:lang w:val="en-US"/>
        </w:rPr>
      </w:pPr>
      <w:r w:rsidRPr="00830259">
        <w:rPr>
          <w:rFonts w:ascii="Arial" w:hAnsi="Arial" w:cs="Arial"/>
          <w:b/>
          <w:bCs/>
          <w:sz w:val="22"/>
        </w:rPr>
        <w:t>4. CONCLUSION</w:t>
      </w:r>
    </w:p>
    <w:p w14:paraId="05F38879" w14:textId="191015ED" w:rsidR="008A5724" w:rsidRDefault="004739DD" w:rsidP="009848C1">
      <w:pPr>
        <w:spacing w:line="240" w:lineRule="auto"/>
        <w:ind w:firstLine="426"/>
        <w:rPr>
          <w:rFonts w:ascii="Arial" w:hAnsi="Arial" w:cs="Arial"/>
          <w:sz w:val="20"/>
          <w:szCs w:val="20"/>
          <w:lang w:val="en-US"/>
        </w:rPr>
      </w:pPr>
      <w:r w:rsidRPr="00E77D5E">
        <w:rPr>
          <w:rFonts w:ascii="Arial" w:hAnsi="Arial" w:cs="Arial"/>
          <w:sz w:val="20"/>
          <w:szCs w:val="20"/>
        </w:rPr>
        <w:t xml:space="preserve">The results of the study show that the surface water quality at the Can Gio estuary </w:t>
      </w:r>
      <w:r w:rsidR="00C54E4B" w:rsidRPr="00E77D5E">
        <w:rPr>
          <w:rFonts w:ascii="Arial" w:hAnsi="Arial" w:cs="Arial"/>
          <w:sz w:val="20"/>
          <w:szCs w:val="20"/>
        </w:rPr>
        <w:t>varied significantly across seasons and among sites</w:t>
      </w:r>
      <w:r w:rsidRPr="00E77D5E">
        <w:rPr>
          <w:rFonts w:ascii="Arial" w:hAnsi="Arial" w:cs="Arial"/>
          <w:sz w:val="20"/>
          <w:szCs w:val="20"/>
        </w:rPr>
        <w:t>, in which the dry season tends to accumulate stronger organic pollution with higher BOD</w:t>
      </w:r>
      <w:r w:rsidRPr="00E77D5E">
        <w:rPr>
          <w:rFonts w:ascii="Cambria Math" w:hAnsi="Cambria Math" w:cs="Cambria Math"/>
          <w:sz w:val="20"/>
          <w:szCs w:val="20"/>
        </w:rPr>
        <w:t>₅</w:t>
      </w:r>
      <w:r w:rsidRPr="00E77D5E">
        <w:rPr>
          <w:rFonts w:ascii="Arial" w:hAnsi="Arial" w:cs="Arial"/>
          <w:sz w:val="20"/>
          <w:szCs w:val="20"/>
        </w:rPr>
        <w:t xml:space="preserve"> and COD, and lower DO than in the rainy season; at the same time, organic and microbial pollution is not evenly distributed but is more concentrated in some points </w:t>
      </w:r>
      <w:r w:rsidR="00C54E4B" w:rsidRPr="00E77D5E">
        <w:rPr>
          <w:rFonts w:ascii="Arial" w:hAnsi="Arial" w:cs="Arial"/>
          <w:sz w:val="20"/>
          <w:szCs w:val="20"/>
        </w:rPr>
        <w:t>subject to anthropogenic impacts such as aquaculture, household wastewater discharge, and riverside activities</w:t>
      </w:r>
      <w:r w:rsidRPr="00E77D5E">
        <w:rPr>
          <w:rFonts w:ascii="Arial" w:hAnsi="Arial" w:cs="Arial"/>
          <w:sz w:val="20"/>
          <w:szCs w:val="20"/>
        </w:rPr>
        <w:t xml:space="preserve">. </w:t>
      </w:r>
      <w:r w:rsidR="00C54E4B" w:rsidRPr="00E77D5E">
        <w:rPr>
          <w:rFonts w:ascii="Arial" w:hAnsi="Arial" w:cs="Arial"/>
          <w:sz w:val="20"/>
          <w:szCs w:val="20"/>
        </w:rPr>
        <w:t>Among the nutrient parameters</w:t>
      </w:r>
      <w:r w:rsidRPr="00E77D5E">
        <w:rPr>
          <w:rFonts w:ascii="Arial" w:hAnsi="Arial" w:cs="Arial"/>
          <w:sz w:val="20"/>
          <w:szCs w:val="20"/>
        </w:rPr>
        <w:t>, NO</w:t>
      </w:r>
      <w:r w:rsidRPr="00E77D5E">
        <w:rPr>
          <w:rFonts w:ascii="Cambria Math" w:hAnsi="Cambria Math" w:cs="Cambria Math"/>
          <w:sz w:val="20"/>
          <w:szCs w:val="20"/>
        </w:rPr>
        <w:t>₂⁻</w:t>
      </w:r>
      <w:r w:rsidRPr="00E77D5E">
        <w:rPr>
          <w:rFonts w:ascii="Arial" w:hAnsi="Arial" w:cs="Arial"/>
          <w:sz w:val="20"/>
          <w:szCs w:val="20"/>
        </w:rPr>
        <w:t xml:space="preserve"> is the parameter that best reflects seasonal differences, while </w:t>
      </w:r>
      <w:r w:rsidR="00C54E4B" w:rsidRPr="00E77D5E">
        <w:rPr>
          <w:rFonts w:ascii="Arial" w:hAnsi="Arial" w:cs="Arial"/>
          <w:sz w:val="20"/>
          <w:szCs w:val="20"/>
        </w:rPr>
        <w:t xml:space="preserve">total </w:t>
      </w:r>
      <w:r w:rsidR="00C54E4B" w:rsidRPr="00E77D5E">
        <w:rPr>
          <w:rFonts w:ascii="Arial" w:hAnsi="Arial" w:cs="Arial"/>
          <w:sz w:val="20"/>
          <w:szCs w:val="20"/>
          <w:lang w:val="en-US"/>
        </w:rPr>
        <w:t>C</w:t>
      </w:r>
      <w:r w:rsidR="00C54E4B" w:rsidRPr="00E77D5E">
        <w:rPr>
          <w:rFonts w:ascii="Arial" w:hAnsi="Arial" w:cs="Arial"/>
          <w:sz w:val="20"/>
          <w:szCs w:val="20"/>
        </w:rPr>
        <w:t>oliform</w:t>
      </w:r>
      <w:r w:rsidR="00C54E4B" w:rsidRPr="00E77D5E">
        <w:rPr>
          <w:rFonts w:ascii="Arial" w:hAnsi="Arial" w:cs="Arial"/>
          <w:sz w:val="20"/>
          <w:szCs w:val="20"/>
          <w:lang w:val="en-US"/>
        </w:rPr>
        <w:t>s</w:t>
      </w:r>
      <w:r w:rsidR="00C54E4B" w:rsidRPr="00E77D5E">
        <w:rPr>
          <w:rFonts w:ascii="Arial" w:hAnsi="Arial" w:cs="Arial"/>
          <w:sz w:val="20"/>
          <w:szCs w:val="20"/>
        </w:rPr>
        <w:t xml:space="preserve"> and </w:t>
      </w:r>
      <w:r w:rsidR="00C54E4B" w:rsidRPr="00E77D5E">
        <w:rPr>
          <w:rFonts w:ascii="Arial" w:hAnsi="Arial" w:cs="Arial"/>
          <w:i/>
          <w:iCs/>
          <w:sz w:val="20"/>
          <w:szCs w:val="20"/>
        </w:rPr>
        <w:t>E. coli</w:t>
      </w:r>
      <w:r w:rsidR="00C54E4B" w:rsidRPr="00E77D5E">
        <w:rPr>
          <w:rFonts w:ascii="Arial" w:hAnsi="Arial" w:cs="Arial"/>
          <w:sz w:val="20"/>
          <w:szCs w:val="20"/>
        </w:rPr>
        <w:t xml:space="preserve"> indicate a persistent risk of microbial contamination in both seasons</w:t>
      </w:r>
      <w:r w:rsidRPr="00E77D5E">
        <w:rPr>
          <w:rFonts w:ascii="Arial" w:hAnsi="Arial" w:cs="Arial"/>
          <w:sz w:val="20"/>
          <w:szCs w:val="20"/>
        </w:rPr>
        <w:t xml:space="preserve">. In general, the Can Gio estuary system is </w:t>
      </w:r>
      <w:r w:rsidR="00C54E4B" w:rsidRPr="00E77D5E">
        <w:rPr>
          <w:rFonts w:ascii="Arial" w:hAnsi="Arial" w:cs="Arial"/>
          <w:sz w:val="20"/>
          <w:szCs w:val="20"/>
        </w:rPr>
        <w:t>under pressure from mixed organic and microbial pollution</w:t>
      </w:r>
      <w:r w:rsidRPr="00E77D5E">
        <w:rPr>
          <w:rFonts w:ascii="Arial" w:hAnsi="Arial" w:cs="Arial"/>
          <w:sz w:val="20"/>
          <w:szCs w:val="20"/>
        </w:rPr>
        <w:t>, so it is necessary to prioritize monitoring these indicators at pollution hotspots and during the dry season to serve more effective management and protection of surface water quality.</w:t>
      </w:r>
    </w:p>
    <w:p w14:paraId="25DC0248" w14:textId="77777777" w:rsidR="00243B90" w:rsidRPr="008E7CFA" w:rsidRDefault="00243B90" w:rsidP="008E7CFA">
      <w:pPr>
        <w:spacing w:before="120" w:line="240" w:lineRule="auto"/>
        <w:ind w:firstLine="0"/>
        <w:rPr>
          <w:rFonts w:ascii="Arial" w:hAnsi="Arial" w:cs="Arial"/>
          <w:b/>
          <w:bCs/>
          <w:sz w:val="20"/>
          <w:szCs w:val="20"/>
          <w:lang w:val="en-US"/>
        </w:rPr>
      </w:pPr>
      <w:r w:rsidRPr="008E7CFA">
        <w:rPr>
          <w:rFonts w:ascii="Arial" w:hAnsi="Arial" w:cs="Arial"/>
          <w:b/>
          <w:bCs/>
          <w:sz w:val="20"/>
          <w:szCs w:val="20"/>
        </w:rPr>
        <w:t>DISCLAIMER (ARTIFICIAL INTELLIGENCE)</w:t>
      </w:r>
    </w:p>
    <w:p w14:paraId="04505768" w14:textId="77777777" w:rsidR="00243B90" w:rsidRPr="008E7CFA" w:rsidRDefault="00243B90" w:rsidP="008E7CFA">
      <w:pPr>
        <w:spacing w:line="240" w:lineRule="auto"/>
        <w:ind w:firstLine="0"/>
        <w:rPr>
          <w:rFonts w:ascii="Arial" w:hAnsi="Arial" w:cs="Arial"/>
          <w:sz w:val="20"/>
          <w:szCs w:val="20"/>
          <w:lang w:val="en-US"/>
        </w:rPr>
      </w:pPr>
      <w:r w:rsidRPr="008E7CFA">
        <w:rPr>
          <w:rFonts w:ascii="Arial" w:hAnsi="Arial" w:cs="Arial"/>
          <w:sz w:val="20"/>
          <w:szCs w:val="20"/>
          <w:lang w:val="en-US"/>
        </w:rPr>
        <w:t>Author</w:t>
      </w:r>
      <w:r w:rsidRPr="008E7CFA">
        <w:rPr>
          <w:rFonts w:ascii="Arial" w:hAnsi="Arial" w:cs="Arial"/>
          <w:sz w:val="20"/>
          <w:szCs w:val="20"/>
        </w:rPr>
        <w:t>(</w:t>
      </w:r>
      <w:proofErr w:type="gramStart"/>
      <w:r w:rsidRPr="008E7CFA">
        <w:rPr>
          <w:rFonts w:ascii="Arial" w:hAnsi="Arial" w:cs="Arial"/>
          <w:sz w:val="20"/>
          <w:szCs w:val="20"/>
        </w:rPr>
        <w:t>s)  hereby</w:t>
      </w:r>
      <w:proofErr w:type="gramEnd"/>
      <w:r w:rsidRPr="008E7CFA">
        <w:rPr>
          <w:rFonts w:ascii="Arial" w:hAnsi="Arial" w:cs="Arial"/>
          <w:sz w:val="20"/>
          <w:szCs w:val="20"/>
        </w:rPr>
        <w:t xml:space="preserve">  declare  that  NO generative  AI technologies  such  as  Large  Language  Models (ChatGPT,   COPILOT,   etc)   and   text-to-image generators  have  been  used  during  writing  or editing of this manuscript.</w:t>
      </w:r>
    </w:p>
    <w:p w14:paraId="5422D0D5" w14:textId="77777777" w:rsidR="002153B2" w:rsidRDefault="002153B2" w:rsidP="008E7CFA">
      <w:pPr>
        <w:spacing w:before="120" w:line="240" w:lineRule="auto"/>
        <w:ind w:firstLine="0"/>
        <w:rPr>
          <w:rFonts w:ascii="Arial" w:hAnsi="Arial" w:cs="Arial"/>
          <w:b/>
          <w:bCs/>
          <w:sz w:val="20"/>
          <w:szCs w:val="20"/>
        </w:rPr>
      </w:pPr>
    </w:p>
    <w:p w14:paraId="2013A7A7" w14:textId="6834FEE0" w:rsidR="00EC26F6" w:rsidRPr="00E77D5E" w:rsidRDefault="00C04929" w:rsidP="008E7CFA">
      <w:pPr>
        <w:spacing w:before="120" w:line="240" w:lineRule="auto"/>
        <w:ind w:firstLine="0"/>
        <w:rPr>
          <w:rFonts w:ascii="Arial" w:hAnsi="Arial" w:cs="Arial"/>
          <w:b/>
          <w:bCs/>
          <w:sz w:val="20"/>
          <w:szCs w:val="20"/>
          <w:lang w:val="en-US"/>
        </w:rPr>
      </w:pPr>
      <w:bookmarkStart w:id="0" w:name="_GoBack"/>
      <w:bookmarkEnd w:id="0"/>
      <w:r w:rsidRPr="00E77D5E">
        <w:rPr>
          <w:rFonts w:ascii="Arial" w:hAnsi="Arial" w:cs="Arial"/>
          <w:b/>
          <w:bCs/>
          <w:sz w:val="20"/>
          <w:szCs w:val="20"/>
        </w:rPr>
        <w:t xml:space="preserve">REFERENCES  </w:t>
      </w:r>
    </w:p>
    <w:p w14:paraId="4644205A" w14:textId="77777777"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American Public Health Association (APHA), American Water Works Association (AWWA), &amp; Water Environment Federation (WEF). (2005). </w:t>
      </w:r>
      <w:r w:rsidRPr="00E77D5E">
        <w:rPr>
          <w:rFonts w:ascii="Arial" w:hAnsi="Arial" w:cs="Arial"/>
          <w:i/>
          <w:iCs/>
          <w:sz w:val="20"/>
          <w:szCs w:val="20"/>
        </w:rPr>
        <w:t>Standard methods for the examination of water and wastewater</w:t>
      </w:r>
      <w:r w:rsidRPr="00E77D5E">
        <w:rPr>
          <w:rFonts w:ascii="Arial" w:hAnsi="Arial" w:cs="Arial"/>
          <w:sz w:val="20"/>
          <w:szCs w:val="20"/>
        </w:rPr>
        <w:t xml:space="preserve"> (21st ed.).</w:t>
      </w:r>
    </w:p>
    <w:p w14:paraId="3E99FC01" w14:textId="3F2EFE16"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Crump, B. C., &amp; Bowen, J. L. (2024). The microbial ecology of estuarine ecosystems. </w:t>
      </w:r>
      <w:r w:rsidRPr="00E77D5E">
        <w:rPr>
          <w:rFonts w:ascii="Arial" w:hAnsi="Arial" w:cs="Arial"/>
          <w:i/>
          <w:iCs/>
          <w:sz w:val="20"/>
          <w:szCs w:val="20"/>
        </w:rPr>
        <w:t>Annual Review of Marine Science</w:t>
      </w:r>
      <w:r w:rsidRPr="00E77D5E">
        <w:rPr>
          <w:rFonts w:ascii="Arial" w:hAnsi="Arial" w:cs="Arial"/>
          <w:sz w:val="20"/>
          <w:szCs w:val="20"/>
        </w:rPr>
        <w:t xml:space="preserve">, 16, 335-360. </w:t>
      </w:r>
      <w:hyperlink r:id="rId18" w:history="1">
        <w:r w:rsidRPr="00E77D5E">
          <w:rPr>
            <w:rStyle w:val="Hyperlink"/>
            <w:rFonts w:ascii="Arial" w:hAnsi="Arial" w:cs="Arial"/>
            <w:color w:val="auto"/>
            <w:sz w:val="20"/>
            <w:szCs w:val="20"/>
          </w:rPr>
          <w:t>https://doi.org/10.1146/annurev-marine-022123-101845</w:t>
        </w:r>
      </w:hyperlink>
      <w:r w:rsidRPr="00E77D5E">
        <w:rPr>
          <w:rFonts w:ascii="Arial" w:hAnsi="Arial" w:cs="Arial"/>
          <w:sz w:val="20"/>
          <w:szCs w:val="20"/>
        </w:rPr>
        <w:t xml:space="preserve"> </w:t>
      </w:r>
    </w:p>
    <w:p w14:paraId="37057576" w14:textId="26D2A2BB"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Giao, N. T., Anh, P. K., &amp; Nhien, H. T. H. (2021). Spatiotemporal analysis of surface water quality in Dong Thap Province, Vietnam using water quality index and statistical approaches. </w:t>
      </w:r>
      <w:r w:rsidRPr="00E77D5E">
        <w:rPr>
          <w:rFonts w:ascii="Arial" w:hAnsi="Arial" w:cs="Arial"/>
          <w:i/>
          <w:iCs/>
          <w:sz w:val="20"/>
          <w:szCs w:val="20"/>
        </w:rPr>
        <w:t>Water, 13</w:t>
      </w:r>
      <w:r w:rsidRPr="00E77D5E">
        <w:rPr>
          <w:rFonts w:ascii="Arial" w:hAnsi="Arial" w:cs="Arial"/>
          <w:sz w:val="20"/>
          <w:szCs w:val="20"/>
        </w:rPr>
        <w:t xml:space="preserve">(3), 336. </w:t>
      </w:r>
      <w:hyperlink r:id="rId19" w:history="1">
        <w:r w:rsidRPr="00E77D5E">
          <w:rPr>
            <w:rStyle w:val="Hyperlink"/>
            <w:rFonts w:ascii="Arial" w:hAnsi="Arial" w:cs="Arial"/>
            <w:color w:val="auto"/>
            <w:sz w:val="20"/>
            <w:szCs w:val="20"/>
          </w:rPr>
          <w:t>https://doi.org/10.3390/w13030336</w:t>
        </w:r>
      </w:hyperlink>
      <w:r w:rsidRPr="00E77D5E">
        <w:rPr>
          <w:rFonts w:ascii="Arial" w:hAnsi="Arial" w:cs="Arial"/>
          <w:sz w:val="20"/>
          <w:szCs w:val="20"/>
        </w:rPr>
        <w:t xml:space="preserve"> </w:t>
      </w:r>
    </w:p>
    <w:p w14:paraId="6777F313" w14:textId="573DD6F5"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Goutami, B., &amp; Patil, V. V. (2025). Understanding dynamics of water quality of coastal wetlands in a changing global landscape: A systematic review. </w:t>
      </w:r>
      <w:r w:rsidRPr="00E77D5E">
        <w:rPr>
          <w:rFonts w:ascii="Arial" w:hAnsi="Arial" w:cs="Arial"/>
          <w:i/>
          <w:iCs/>
          <w:sz w:val="20"/>
          <w:szCs w:val="20"/>
        </w:rPr>
        <w:t>Wetlands Ecology and Management, 33</w:t>
      </w:r>
      <w:r w:rsidRPr="00E77D5E">
        <w:rPr>
          <w:rFonts w:ascii="Arial" w:hAnsi="Arial" w:cs="Arial"/>
          <w:sz w:val="20"/>
          <w:szCs w:val="20"/>
        </w:rPr>
        <w:t xml:space="preserve">, 78. </w:t>
      </w:r>
      <w:hyperlink r:id="rId20" w:history="1">
        <w:r w:rsidRPr="00E77D5E">
          <w:rPr>
            <w:rStyle w:val="Hyperlink"/>
            <w:rFonts w:ascii="Arial" w:hAnsi="Arial" w:cs="Arial"/>
            <w:color w:val="auto"/>
            <w:sz w:val="20"/>
            <w:szCs w:val="20"/>
          </w:rPr>
          <w:t>https://doi.org/10.1007/s11273-025-10093-w</w:t>
        </w:r>
      </w:hyperlink>
      <w:r w:rsidRPr="00E77D5E">
        <w:rPr>
          <w:rFonts w:ascii="Arial" w:hAnsi="Arial" w:cs="Arial"/>
          <w:sz w:val="20"/>
          <w:szCs w:val="20"/>
        </w:rPr>
        <w:t xml:space="preserve"> </w:t>
      </w:r>
    </w:p>
    <w:p w14:paraId="6238E201" w14:textId="611EDE5F"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Ha, D. D., Nguyen, D. H., Nguyen, B. C., Nguyen, T. Q., &amp; Le, G. T. N. (2025). Application of multivariate statistical techniques in the assessment of long-term surface water quality in Dong Thap Province, Vietnam. </w:t>
      </w:r>
      <w:r w:rsidRPr="00E77D5E">
        <w:rPr>
          <w:rFonts w:ascii="Arial" w:hAnsi="Arial" w:cs="Arial"/>
          <w:i/>
          <w:iCs/>
          <w:sz w:val="20"/>
          <w:szCs w:val="20"/>
        </w:rPr>
        <w:t>Environmental Monitoring and Assessment, 197(14)</w:t>
      </w:r>
      <w:r w:rsidRPr="00E77D5E">
        <w:rPr>
          <w:rFonts w:ascii="Arial" w:hAnsi="Arial" w:cs="Arial"/>
          <w:sz w:val="20"/>
          <w:szCs w:val="20"/>
        </w:rPr>
        <w:t xml:space="preserve">. </w:t>
      </w:r>
      <w:hyperlink r:id="rId21" w:history="1">
        <w:r w:rsidRPr="00E77D5E">
          <w:rPr>
            <w:rStyle w:val="Hyperlink"/>
            <w:rFonts w:ascii="Arial" w:hAnsi="Arial" w:cs="Arial"/>
            <w:color w:val="auto"/>
            <w:sz w:val="20"/>
            <w:szCs w:val="20"/>
          </w:rPr>
          <w:t>https://doi.org/10.1007/s10661-024-13436-x</w:t>
        </w:r>
      </w:hyperlink>
      <w:r w:rsidRPr="00E77D5E">
        <w:rPr>
          <w:rFonts w:ascii="Arial" w:hAnsi="Arial" w:cs="Arial"/>
          <w:sz w:val="20"/>
          <w:szCs w:val="20"/>
        </w:rPr>
        <w:t xml:space="preserve"> </w:t>
      </w:r>
    </w:p>
    <w:p w14:paraId="1CA0DCE7" w14:textId="299654FE"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Ha, N. N., Huong, T. T. T., Vinh, P. T., &amp; Van, T. T. (2021). Surface water pollution risk from Vietnam Water Quality Index (VN-WQI) in Ca Mau City, Mekong Delta. </w:t>
      </w:r>
      <w:r w:rsidRPr="00E77D5E">
        <w:rPr>
          <w:rFonts w:ascii="Arial" w:hAnsi="Arial" w:cs="Arial"/>
          <w:i/>
          <w:iCs/>
          <w:sz w:val="20"/>
          <w:szCs w:val="20"/>
        </w:rPr>
        <w:t>Nature Environment and Pollution Technology, 20</w:t>
      </w:r>
      <w:r w:rsidRPr="00E77D5E">
        <w:rPr>
          <w:rFonts w:ascii="Arial" w:hAnsi="Arial" w:cs="Arial"/>
          <w:sz w:val="20"/>
          <w:szCs w:val="20"/>
        </w:rPr>
        <w:t xml:space="preserve">(4), 1449-1464. </w:t>
      </w:r>
      <w:hyperlink r:id="rId22" w:history="1">
        <w:r w:rsidRPr="00E77D5E">
          <w:rPr>
            <w:rStyle w:val="Hyperlink"/>
            <w:rFonts w:ascii="Arial" w:hAnsi="Arial" w:cs="Arial"/>
            <w:color w:val="auto"/>
            <w:sz w:val="20"/>
            <w:szCs w:val="20"/>
          </w:rPr>
          <w:t>https://doi.org/10.46488/NEPT.2021.v20i04.007</w:t>
        </w:r>
      </w:hyperlink>
      <w:r w:rsidRPr="00E77D5E">
        <w:rPr>
          <w:rFonts w:ascii="Arial" w:hAnsi="Arial" w:cs="Arial"/>
          <w:sz w:val="20"/>
          <w:szCs w:val="20"/>
        </w:rPr>
        <w:t xml:space="preserve"> </w:t>
      </w:r>
    </w:p>
    <w:p w14:paraId="6649AC7A" w14:textId="6B771512"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lastRenderedPageBreak/>
        <w:t xml:space="preserve">Liu, X., Wang, Y., Liu, H., Zhang, Y., Zhou, Q., Wen, X., Guo, W., &amp; Zhang, Z. (2024). A systematic review on aquaculture wastewater: Pollutants, impacts, and treatment technology. </w:t>
      </w:r>
      <w:r w:rsidRPr="00E77D5E">
        <w:rPr>
          <w:rFonts w:ascii="Arial" w:hAnsi="Arial" w:cs="Arial"/>
          <w:i/>
          <w:iCs/>
          <w:sz w:val="20"/>
          <w:szCs w:val="20"/>
        </w:rPr>
        <w:t>Environmental Research, 262 (Part 1)</w:t>
      </w:r>
      <w:r w:rsidRPr="00E77D5E">
        <w:rPr>
          <w:rFonts w:ascii="Arial" w:hAnsi="Arial" w:cs="Arial"/>
          <w:sz w:val="20"/>
          <w:szCs w:val="20"/>
        </w:rPr>
        <w:t xml:space="preserve">, 119793. </w:t>
      </w:r>
      <w:hyperlink r:id="rId23" w:history="1">
        <w:r w:rsidRPr="00E77D5E">
          <w:rPr>
            <w:rStyle w:val="Hyperlink"/>
            <w:rFonts w:ascii="Arial" w:hAnsi="Arial" w:cs="Arial"/>
            <w:color w:val="auto"/>
            <w:sz w:val="20"/>
            <w:szCs w:val="20"/>
          </w:rPr>
          <w:t>https://doi.org/10.1016/j.envres.2024.119793</w:t>
        </w:r>
      </w:hyperlink>
      <w:r w:rsidRPr="00E77D5E">
        <w:rPr>
          <w:rFonts w:ascii="Arial" w:hAnsi="Arial" w:cs="Arial"/>
          <w:sz w:val="20"/>
          <w:szCs w:val="20"/>
        </w:rPr>
        <w:t xml:space="preserve"> </w:t>
      </w:r>
    </w:p>
    <w:p w14:paraId="336AACD9" w14:textId="5BD607BC"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Ministry of Natural Resources and Environment (MONRE). (2023a). </w:t>
      </w:r>
      <w:r w:rsidRPr="00E77D5E">
        <w:rPr>
          <w:rFonts w:ascii="Arial" w:hAnsi="Arial" w:cs="Arial"/>
          <w:i/>
          <w:iCs/>
          <w:sz w:val="20"/>
          <w:szCs w:val="20"/>
        </w:rPr>
        <w:t>QCVN 08:2023/BTNMT-National technical regulation on surface water quality</w:t>
      </w:r>
      <w:r w:rsidRPr="00E77D5E">
        <w:rPr>
          <w:rFonts w:ascii="Arial" w:hAnsi="Arial" w:cs="Arial"/>
          <w:sz w:val="20"/>
          <w:szCs w:val="20"/>
        </w:rPr>
        <w:t>. Hanoi, Vietnam.</w:t>
      </w:r>
    </w:p>
    <w:p w14:paraId="1E75C339" w14:textId="6797F770"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Ministry of Natural Resources and Environment (MONRE). (2023b). </w:t>
      </w:r>
      <w:r w:rsidRPr="00E77D5E">
        <w:rPr>
          <w:rFonts w:ascii="Arial" w:hAnsi="Arial" w:cs="Arial"/>
          <w:i/>
          <w:iCs/>
          <w:sz w:val="20"/>
          <w:szCs w:val="20"/>
        </w:rPr>
        <w:t>QCVN 10:2023/BTNMT-National technical regulation on marine water quality</w:t>
      </w:r>
      <w:r w:rsidRPr="00E77D5E">
        <w:rPr>
          <w:rFonts w:ascii="Arial" w:hAnsi="Arial" w:cs="Arial"/>
          <w:sz w:val="20"/>
          <w:szCs w:val="20"/>
        </w:rPr>
        <w:t>. Hanoi, Vietnam.</w:t>
      </w:r>
    </w:p>
    <w:p w14:paraId="710AC224" w14:textId="7C566BE0"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Mondal, I., Hossain, S. K. A., Roy, S. K., Karmakar, J., Jose, F., De, T. K., Nguyen, T. T., Elkhrachy, I., Nguyen, N. M. (2024). Assessing intra and interannual variability of water quality in the Sundarban mangrove dominated estuarine ecosystem using remote sensing and hybrid machine learning models. </w:t>
      </w:r>
      <w:r w:rsidRPr="00E77D5E">
        <w:rPr>
          <w:rFonts w:ascii="Arial" w:hAnsi="Arial" w:cs="Arial"/>
          <w:i/>
          <w:iCs/>
          <w:sz w:val="20"/>
          <w:szCs w:val="20"/>
        </w:rPr>
        <w:t>Journal of Cleaner Production, 442</w:t>
      </w:r>
      <w:r w:rsidRPr="00E77D5E">
        <w:rPr>
          <w:rFonts w:ascii="Arial" w:hAnsi="Arial" w:cs="Arial"/>
          <w:sz w:val="20"/>
          <w:szCs w:val="20"/>
        </w:rPr>
        <w:t xml:space="preserve">, 140889. </w:t>
      </w:r>
      <w:hyperlink r:id="rId24" w:history="1">
        <w:r w:rsidRPr="00E77D5E">
          <w:rPr>
            <w:rStyle w:val="Hyperlink"/>
            <w:rFonts w:ascii="Arial" w:hAnsi="Arial" w:cs="Arial"/>
            <w:color w:val="auto"/>
            <w:sz w:val="20"/>
            <w:szCs w:val="20"/>
          </w:rPr>
          <w:t>https://doi.org/10.1016/j.jclepro.2024.140889</w:t>
        </w:r>
      </w:hyperlink>
      <w:r w:rsidRPr="00E77D5E">
        <w:rPr>
          <w:rFonts w:ascii="Arial" w:hAnsi="Arial" w:cs="Arial"/>
          <w:sz w:val="20"/>
          <w:szCs w:val="20"/>
        </w:rPr>
        <w:t xml:space="preserve"> </w:t>
      </w:r>
    </w:p>
    <w:p w14:paraId="1A5FB6B4" w14:textId="3FD17DAD"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Nguyen, B. T. N., Kansal, M. L., &amp; Neenu. (2026). Mangrove water quality assessment and bio-filtration mechanism in the Hung Yen Mangroves, Vietnam. </w:t>
      </w:r>
      <w:r w:rsidRPr="00E77D5E">
        <w:rPr>
          <w:rFonts w:ascii="Arial" w:hAnsi="Arial" w:cs="Arial"/>
          <w:i/>
          <w:iCs/>
          <w:sz w:val="20"/>
          <w:szCs w:val="20"/>
        </w:rPr>
        <w:t>Water, Air, &amp; Soil Pollution, 237(125)</w:t>
      </w:r>
      <w:r w:rsidRPr="00E77D5E">
        <w:rPr>
          <w:rFonts w:ascii="Arial" w:hAnsi="Arial" w:cs="Arial"/>
          <w:sz w:val="20"/>
          <w:szCs w:val="20"/>
        </w:rPr>
        <w:t xml:space="preserve">. </w:t>
      </w:r>
      <w:hyperlink r:id="rId25" w:history="1">
        <w:r w:rsidRPr="00E77D5E">
          <w:rPr>
            <w:rStyle w:val="Hyperlink"/>
            <w:rFonts w:ascii="Arial" w:hAnsi="Arial" w:cs="Arial"/>
            <w:color w:val="auto"/>
            <w:sz w:val="20"/>
            <w:szCs w:val="20"/>
          </w:rPr>
          <w:t>https://doi.org/10.1007/s11270-025-08650-3</w:t>
        </w:r>
      </w:hyperlink>
      <w:r w:rsidRPr="00E77D5E">
        <w:rPr>
          <w:rFonts w:ascii="Arial" w:hAnsi="Arial" w:cs="Arial"/>
          <w:sz w:val="20"/>
          <w:szCs w:val="20"/>
        </w:rPr>
        <w:t xml:space="preserve"> </w:t>
      </w:r>
    </w:p>
    <w:p w14:paraId="64F0C864" w14:textId="6801108F"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Nguyen, T. M. H., Le, T. P. Q., Hoang, V. V., Nhu, D. L., &amp; Ha, H. T. T. (2022). Fecal indicator bacteria diversity and decay in an estuarine mangrove ecosystem of the Xuan Thuy National Park, Vietnam. </w:t>
      </w:r>
      <w:r w:rsidRPr="00E77D5E">
        <w:rPr>
          <w:rFonts w:ascii="Arial" w:hAnsi="Arial" w:cs="Arial"/>
          <w:i/>
          <w:iCs/>
          <w:sz w:val="20"/>
          <w:szCs w:val="20"/>
        </w:rPr>
        <w:t>Journal of Water &amp; Health, 20(6)</w:t>
      </w:r>
      <w:r w:rsidRPr="00E77D5E">
        <w:rPr>
          <w:rFonts w:ascii="Arial" w:hAnsi="Arial" w:cs="Arial"/>
          <w:sz w:val="20"/>
          <w:szCs w:val="20"/>
        </w:rPr>
        <w:t xml:space="preserve">, 915-926. </w:t>
      </w:r>
      <w:hyperlink r:id="rId26" w:history="1">
        <w:r w:rsidRPr="00E77D5E">
          <w:rPr>
            <w:rStyle w:val="Hyperlink"/>
            <w:rFonts w:ascii="Arial" w:hAnsi="Arial" w:cs="Arial"/>
            <w:color w:val="auto"/>
            <w:sz w:val="20"/>
            <w:szCs w:val="20"/>
          </w:rPr>
          <w:t>https://doi.org/10.2166/wh.2022.310</w:t>
        </w:r>
      </w:hyperlink>
      <w:r w:rsidRPr="00E77D5E">
        <w:rPr>
          <w:rFonts w:ascii="Arial" w:hAnsi="Arial" w:cs="Arial"/>
          <w:sz w:val="20"/>
          <w:szCs w:val="20"/>
        </w:rPr>
        <w:t xml:space="preserve"> </w:t>
      </w:r>
    </w:p>
    <w:p w14:paraId="04449C98" w14:textId="2F3920CE"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Pham, T.-L. (2017). Environmental gradients regulate the spatio-temporal variability of phytoplankton assemblages in the Can Gio Mangrove Biosphere Reserve, Vietnam. </w:t>
      </w:r>
      <w:r w:rsidRPr="00E77D5E">
        <w:rPr>
          <w:rFonts w:ascii="Arial" w:hAnsi="Arial" w:cs="Arial"/>
          <w:i/>
          <w:iCs/>
          <w:sz w:val="20"/>
          <w:szCs w:val="20"/>
        </w:rPr>
        <w:t>Ocean Science Journal</w:t>
      </w:r>
      <w:r w:rsidRPr="00E77D5E">
        <w:rPr>
          <w:rFonts w:ascii="Arial" w:hAnsi="Arial" w:cs="Arial"/>
          <w:sz w:val="20"/>
          <w:szCs w:val="20"/>
        </w:rPr>
        <w:t xml:space="preserve">, </w:t>
      </w:r>
      <w:r w:rsidRPr="00E77D5E">
        <w:rPr>
          <w:rFonts w:ascii="Arial" w:hAnsi="Arial" w:cs="Arial"/>
          <w:i/>
          <w:iCs/>
          <w:sz w:val="20"/>
          <w:szCs w:val="20"/>
        </w:rPr>
        <w:t>52(4)</w:t>
      </w:r>
      <w:r w:rsidRPr="00E77D5E">
        <w:rPr>
          <w:rFonts w:ascii="Arial" w:hAnsi="Arial" w:cs="Arial"/>
          <w:sz w:val="20"/>
          <w:szCs w:val="20"/>
        </w:rPr>
        <w:t xml:space="preserve">, 537-547. </w:t>
      </w:r>
      <w:hyperlink r:id="rId27" w:history="1">
        <w:r w:rsidRPr="00E77D5E">
          <w:rPr>
            <w:rStyle w:val="Hyperlink"/>
            <w:rFonts w:ascii="Arial" w:hAnsi="Arial" w:cs="Arial"/>
            <w:color w:val="auto"/>
            <w:sz w:val="20"/>
            <w:szCs w:val="20"/>
          </w:rPr>
          <w:t>https://doi.org/10.1007/s12601-017-0045-0</w:t>
        </w:r>
      </w:hyperlink>
      <w:r w:rsidRPr="00E77D5E">
        <w:rPr>
          <w:rFonts w:ascii="Arial" w:hAnsi="Arial" w:cs="Arial"/>
          <w:sz w:val="20"/>
          <w:szCs w:val="20"/>
        </w:rPr>
        <w:t xml:space="preserve"> </w:t>
      </w:r>
    </w:p>
    <w:p w14:paraId="573814C9" w14:textId="17A43B44"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Pham, T.-L. (2019). Factors governing phytoplankton community in the Can Gio mangrove biosphere reserve, Vietnam</w:t>
      </w:r>
      <w:r w:rsidRPr="00E77D5E">
        <w:rPr>
          <w:rFonts w:ascii="Arial" w:hAnsi="Arial" w:cs="Arial"/>
          <w:i/>
          <w:iCs/>
          <w:sz w:val="20"/>
          <w:szCs w:val="20"/>
        </w:rPr>
        <w:t>. Vietnam Journal of Marine Science and Technology, 19(1)</w:t>
      </w:r>
      <w:r w:rsidRPr="00E77D5E">
        <w:rPr>
          <w:rFonts w:ascii="Arial" w:hAnsi="Arial" w:cs="Arial"/>
          <w:sz w:val="20"/>
          <w:szCs w:val="20"/>
        </w:rPr>
        <w:t xml:space="preserve">, 67-78. </w:t>
      </w:r>
      <w:hyperlink r:id="rId28" w:history="1">
        <w:r w:rsidRPr="00E77D5E">
          <w:rPr>
            <w:rStyle w:val="Hyperlink"/>
            <w:rFonts w:ascii="Arial" w:hAnsi="Arial" w:cs="Arial"/>
            <w:color w:val="auto"/>
            <w:sz w:val="20"/>
            <w:szCs w:val="20"/>
          </w:rPr>
          <w:t>https://doi.org/10.15625/1859-3097/19/1/9179</w:t>
        </w:r>
      </w:hyperlink>
      <w:r w:rsidRPr="00E77D5E">
        <w:rPr>
          <w:rFonts w:ascii="Arial" w:hAnsi="Arial" w:cs="Arial"/>
          <w:sz w:val="20"/>
          <w:szCs w:val="20"/>
        </w:rPr>
        <w:t xml:space="preserve"> </w:t>
      </w:r>
    </w:p>
    <w:p w14:paraId="1D824B3F" w14:textId="471F6D4E"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Taillardat, P., Willemsen, P., Marchand, C., Friess, D. A., Widory, D., Baudron, P., Truong, V. V., Nguyen, T.-N., &amp; Ziegler, A. D. (2018). Assessing the contribution of porewater discharge in carbon export and CO2 evasion in a mangrove tidal creek (Can Gio, Vietnam). </w:t>
      </w:r>
      <w:r w:rsidRPr="00E77D5E">
        <w:rPr>
          <w:rFonts w:ascii="Arial" w:hAnsi="Arial" w:cs="Arial"/>
          <w:i/>
          <w:iCs/>
          <w:sz w:val="20"/>
          <w:szCs w:val="20"/>
        </w:rPr>
        <w:t>Journal of Hydrology</w:t>
      </w:r>
      <w:r w:rsidRPr="00E77D5E">
        <w:rPr>
          <w:rFonts w:ascii="Arial" w:hAnsi="Arial" w:cs="Arial"/>
          <w:sz w:val="20"/>
          <w:szCs w:val="20"/>
        </w:rPr>
        <w:t xml:space="preserve">, </w:t>
      </w:r>
      <w:r w:rsidRPr="00E77D5E">
        <w:rPr>
          <w:rFonts w:ascii="Arial" w:hAnsi="Arial" w:cs="Arial"/>
          <w:i/>
          <w:iCs/>
          <w:sz w:val="20"/>
          <w:szCs w:val="20"/>
        </w:rPr>
        <w:t>563</w:t>
      </w:r>
      <w:r w:rsidRPr="00E77D5E">
        <w:rPr>
          <w:rFonts w:ascii="Arial" w:hAnsi="Arial" w:cs="Arial"/>
          <w:sz w:val="20"/>
          <w:szCs w:val="20"/>
        </w:rPr>
        <w:t xml:space="preserve">, 303-318. </w:t>
      </w:r>
      <w:hyperlink r:id="rId29" w:history="1">
        <w:r w:rsidR="000F6E93" w:rsidRPr="00E77D5E">
          <w:rPr>
            <w:rStyle w:val="Hyperlink"/>
            <w:rFonts w:ascii="Arial" w:hAnsi="Arial" w:cs="Arial"/>
            <w:color w:val="auto"/>
            <w:sz w:val="20"/>
            <w:szCs w:val="20"/>
          </w:rPr>
          <w:t>https://doi.org/10.1016/j.jhydrol.2018.05.042</w:t>
        </w:r>
      </w:hyperlink>
      <w:r w:rsidR="000F6E93" w:rsidRPr="00E77D5E">
        <w:rPr>
          <w:rFonts w:ascii="Arial" w:hAnsi="Arial" w:cs="Arial"/>
          <w:sz w:val="20"/>
          <w:szCs w:val="20"/>
        </w:rPr>
        <w:t xml:space="preserve"> </w:t>
      </w:r>
    </w:p>
    <w:p w14:paraId="2A8D7CC4" w14:textId="1D5406A7"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Taillardat, P., Ziegler, A. D., Friess, D. A., Widory, D., David, F., Ohte, N., Nakamura, T., Evaristo, J., Nguyen, T.-N., Truong, V. V., &amp; Marchand, C. (2019). Assessing nutrient dynamics in mangrove porewater and adjacent tidal creek using nitrate dual-stable isotopes: A new approach to challenge the Outwelling Hypothesis? </w:t>
      </w:r>
      <w:r w:rsidRPr="00E77D5E">
        <w:rPr>
          <w:rFonts w:ascii="Arial" w:hAnsi="Arial" w:cs="Arial"/>
          <w:i/>
          <w:iCs/>
          <w:sz w:val="20"/>
          <w:szCs w:val="20"/>
        </w:rPr>
        <w:t>Marine Chemistry</w:t>
      </w:r>
      <w:r w:rsidRPr="00E77D5E">
        <w:rPr>
          <w:rFonts w:ascii="Arial" w:hAnsi="Arial" w:cs="Arial"/>
          <w:sz w:val="20"/>
          <w:szCs w:val="20"/>
        </w:rPr>
        <w:t>,</w:t>
      </w:r>
      <w:r w:rsidRPr="00E77D5E">
        <w:rPr>
          <w:rFonts w:ascii="Arial" w:hAnsi="Arial" w:cs="Arial"/>
          <w:i/>
          <w:iCs/>
          <w:sz w:val="20"/>
          <w:szCs w:val="20"/>
        </w:rPr>
        <w:t xml:space="preserve"> 214</w:t>
      </w:r>
      <w:r w:rsidRPr="00E77D5E">
        <w:rPr>
          <w:rFonts w:ascii="Arial" w:hAnsi="Arial" w:cs="Arial"/>
          <w:sz w:val="20"/>
          <w:szCs w:val="20"/>
        </w:rPr>
        <w:t xml:space="preserve">, 103662. </w:t>
      </w:r>
      <w:hyperlink r:id="rId30" w:history="1">
        <w:r w:rsidR="000F6E93" w:rsidRPr="00E77D5E">
          <w:rPr>
            <w:rStyle w:val="Hyperlink"/>
            <w:rFonts w:ascii="Arial" w:hAnsi="Arial" w:cs="Arial"/>
            <w:color w:val="auto"/>
            <w:sz w:val="20"/>
            <w:szCs w:val="20"/>
          </w:rPr>
          <w:t>https://doi.org/10.1016/j.marchem.2019.103662</w:t>
        </w:r>
      </w:hyperlink>
      <w:r w:rsidR="000F6E93" w:rsidRPr="00E77D5E">
        <w:rPr>
          <w:rFonts w:ascii="Arial" w:hAnsi="Arial" w:cs="Arial"/>
          <w:sz w:val="20"/>
          <w:szCs w:val="20"/>
        </w:rPr>
        <w:t xml:space="preserve"> </w:t>
      </w:r>
    </w:p>
    <w:p w14:paraId="2AD4835A" w14:textId="711DFAA5" w:rsidR="00CF41CD" w:rsidRPr="00E77D5E" w:rsidRDefault="00CF41CD" w:rsidP="008E7CFA">
      <w:pPr>
        <w:spacing w:line="240" w:lineRule="auto"/>
        <w:ind w:left="567" w:hanging="567"/>
        <w:rPr>
          <w:rFonts w:ascii="Arial" w:hAnsi="Arial" w:cs="Arial"/>
          <w:sz w:val="20"/>
          <w:szCs w:val="20"/>
          <w:lang w:val="en-US"/>
        </w:rPr>
      </w:pPr>
      <w:r w:rsidRPr="00E77D5E">
        <w:rPr>
          <w:rFonts w:ascii="Arial" w:hAnsi="Arial" w:cs="Arial"/>
          <w:sz w:val="20"/>
          <w:szCs w:val="20"/>
        </w:rPr>
        <w:t>Thai, N. T. (2023). Research and assessment of the current situation, propose solutions for management of aquatic resources and build a model of co-management of coastal fisheries in Can Gio District - Ho Chi Minh City, Department of Science and Technology of Ho Chi Minh City.</w:t>
      </w:r>
    </w:p>
    <w:p w14:paraId="40460928" w14:textId="16C55181" w:rsidR="007B2603"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Trung, K. T., My, K. L. T., Ngoc, T. T., Quynh, L. L., My, N. T. T., Tuyet, N. V. T., Minh, Q. L. K., &amp; Hoang, D. N. (2025). Seasonal variations in surface water physicochemical quality and pollution assessment in the Can Gio estuary, Vietnam. </w:t>
      </w:r>
      <w:r w:rsidRPr="00E77D5E">
        <w:rPr>
          <w:rFonts w:ascii="Arial" w:hAnsi="Arial" w:cs="Arial"/>
          <w:i/>
          <w:iCs/>
          <w:sz w:val="20"/>
          <w:szCs w:val="20"/>
        </w:rPr>
        <w:t>Journal of Environment, Climate, and Ecology, 2</w:t>
      </w:r>
      <w:r w:rsidRPr="00E77D5E">
        <w:rPr>
          <w:rFonts w:ascii="Arial" w:hAnsi="Arial" w:cs="Arial"/>
          <w:sz w:val="20"/>
          <w:szCs w:val="20"/>
        </w:rPr>
        <w:t xml:space="preserve">(2), 147-154. </w:t>
      </w:r>
      <w:hyperlink r:id="rId31" w:history="1">
        <w:r w:rsidR="00B42C28" w:rsidRPr="00E77D5E">
          <w:rPr>
            <w:rStyle w:val="Hyperlink"/>
            <w:rFonts w:ascii="Arial" w:hAnsi="Arial" w:cs="Arial"/>
            <w:color w:val="auto"/>
            <w:sz w:val="20"/>
            <w:szCs w:val="20"/>
          </w:rPr>
          <w:t>https://doi.org/10.69739/jece.v2i2.1116</w:t>
        </w:r>
      </w:hyperlink>
      <w:r w:rsidR="00B42C28" w:rsidRPr="00E77D5E">
        <w:rPr>
          <w:rFonts w:ascii="Arial" w:hAnsi="Arial" w:cs="Arial"/>
          <w:sz w:val="20"/>
          <w:szCs w:val="20"/>
        </w:rPr>
        <w:t xml:space="preserve"> </w:t>
      </w:r>
    </w:p>
    <w:p w14:paraId="602DAB87" w14:textId="1CC7C1A7" w:rsidR="00B629FE" w:rsidRPr="00E77D5E" w:rsidRDefault="007B2603" w:rsidP="008E7CFA">
      <w:pPr>
        <w:spacing w:line="240" w:lineRule="auto"/>
        <w:ind w:left="567" w:hanging="567"/>
        <w:rPr>
          <w:rFonts w:ascii="Arial" w:hAnsi="Arial" w:cs="Arial"/>
          <w:sz w:val="20"/>
          <w:szCs w:val="20"/>
          <w:lang w:val="en-US"/>
        </w:rPr>
      </w:pPr>
      <w:r w:rsidRPr="00E77D5E">
        <w:rPr>
          <w:rFonts w:ascii="Arial" w:hAnsi="Arial" w:cs="Arial"/>
          <w:sz w:val="20"/>
          <w:szCs w:val="20"/>
        </w:rPr>
        <w:t xml:space="preserve">Trung, K. T., Quynh, L. L., My, N. T. T., Tuyet, N. V. T., Hong, D. D. T., Dang, G. D., Quang, V. T., Van, D. P., &amp; Hoang, D. N. (2026). Spatial-seasonal assessment of surface water quality in Can Gio, Vietnam using the water quality index. Journal of Environment, Climate, and Ecology, 3(1), 8-13. </w:t>
      </w:r>
      <w:hyperlink r:id="rId32" w:history="1">
        <w:r w:rsidR="00B42C28" w:rsidRPr="00E77D5E">
          <w:rPr>
            <w:rStyle w:val="Hyperlink"/>
            <w:rFonts w:ascii="Arial" w:hAnsi="Arial" w:cs="Arial"/>
            <w:color w:val="auto"/>
            <w:sz w:val="20"/>
            <w:szCs w:val="20"/>
          </w:rPr>
          <w:t>https://doi.org/10.69739/jece.v3i1.1336</w:t>
        </w:r>
      </w:hyperlink>
      <w:r w:rsidR="00B42C28" w:rsidRPr="00E77D5E">
        <w:rPr>
          <w:rFonts w:ascii="Arial" w:hAnsi="Arial" w:cs="Arial"/>
          <w:sz w:val="20"/>
          <w:szCs w:val="20"/>
        </w:rPr>
        <w:t xml:space="preserve"> </w:t>
      </w:r>
    </w:p>
    <w:p w14:paraId="3116E1D3" w14:textId="515C73F9" w:rsidR="00B629FE" w:rsidRPr="00E77D5E" w:rsidRDefault="00B629FE" w:rsidP="00D22C8B">
      <w:pPr>
        <w:rPr>
          <w:rFonts w:ascii="Arial" w:hAnsi="Arial" w:cs="Arial"/>
          <w:sz w:val="20"/>
          <w:szCs w:val="20"/>
          <w:lang w:val="en-US"/>
        </w:rPr>
      </w:pPr>
    </w:p>
    <w:sectPr w:rsidR="00B629FE" w:rsidRPr="00E77D5E" w:rsidSect="005F46CB">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E788E" w14:textId="77777777" w:rsidR="00915CFA" w:rsidRDefault="00915CFA" w:rsidP="005F46CB">
      <w:pPr>
        <w:spacing w:after="0" w:line="240" w:lineRule="auto"/>
      </w:pPr>
      <w:r>
        <w:separator/>
      </w:r>
    </w:p>
  </w:endnote>
  <w:endnote w:type="continuationSeparator" w:id="0">
    <w:p w14:paraId="27254371" w14:textId="77777777" w:rsidR="00915CFA" w:rsidRDefault="00915CFA" w:rsidP="005F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FBD8B" w14:textId="77777777" w:rsidR="00915CFA" w:rsidRDefault="00915CFA" w:rsidP="005F46CB">
      <w:pPr>
        <w:spacing w:after="0" w:line="240" w:lineRule="auto"/>
      </w:pPr>
      <w:r>
        <w:separator/>
      </w:r>
    </w:p>
  </w:footnote>
  <w:footnote w:type="continuationSeparator" w:id="0">
    <w:p w14:paraId="2C7DFF0C" w14:textId="77777777" w:rsidR="00915CFA" w:rsidRDefault="00915CFA" w:rsidP="005F4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95042"/>
    <w:multiLevelType w:val="multilevel"/>
    <w:tmpl w:val="5A3E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9C6CCE"/>
    <w:multiLevelType w:val="multilevel"/>
    <w:tmpl w:val="C032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540039"/>
    <w:multiLevelType w:val="multilevel"/>
    <w:tmpl w:val="552CF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11"/>
    <w:rsid w:val="0000034D"/>
    <w:rsid w:val="00026A72"/>
    <w:rsid w:val="00026DD0"/>
    <w:rsid w:val="00030145"/>
    <w:rsid w:val="00065830"/>
    <w:rsid w:val="00071F37"/>
    <w:rsid w:val="000B2C44"/>
    <w:rsid w:val="000C0F1F"/>
    <w:rsid w:val="000D6179"/>
    <w:rsid w:val="000E327D"/>
    <w:rsid w:val="000F3939"/>
    <w:rsid w:val="000F6E93"/>
    <w:rsid w:val="000F7BDC"/>
    <w:rsid w:val="00100FBF"/>
    <w:rsid w:val="0012521D"/>
    <w:rsid w:val="001414BE"/>
    <w:rsid w:val="00145D13"/>
    <w:rsid w:val="00160DA6"/>
    <w:rsid w:val="00164064"/>
    <w:rsid w:val="00175096"/>
    <w:rsid w:val="00185A11"/>
    <w:rsid w:val="001A34AF"/>
    <w:rsid w:val="001A6860"/>
    <w:rsid w:val="001B3750"/>
    <w:rsid w:val="001E2F50"/>
    <w:rsid w:val="00207F2F"/>
    <w:rsid w:val="002153B2"/>
    <w:rsid w:val="00243B90"/>
    <w:rsid w:val="00266133"/>
    <w:rsid w:val="00266812"/>
    <w:rsid w:val="00290ED7"/>
    <w:rsid w:val="00290F80"/>
    <w:rsid w:val="0029465A"/>
    <w:rsid w:val="002A075B"/>
    <w:rsid w:val="002C06D9"/>
    <w:rsid w:val="002D16EF"/>
    <w:rsid w:val="002E5E9E"/>
    <w:rsid w:val="002F7282"/>
    <w:rsid w:val="00305BCD"/>
    <w:rsid w:val="00321DC9"/>
    <w:rsid w:val="00333E94"/>
    <w:rsid w:val="00364CF4"/>
    <w:rsid w:val="00391FBC"/>
    <w:rsid w:val="003A6155"/>
    <w:rsid w:val="003B3BCF"/>
    <w:rsid w:val="003B5970"/>
    <w:rsid w:val="003D51D3"/>
    <w:rsid w:val="003D67F6"/>
    <w:rsid w:val="003D7D44"/>
    <w:rsid w:val="003E0471"/>
    <w:rsid w:val="00420542"/>
    <w:rsid w:val="0042121C"/>
    <w:rsid w:val="004260FF"/>
    <w:rsid w:val="00471BB3"/>
    <w:rsid w:val="004739DD"/>
    <w:rsid w:val="004814A4"/>
    <w:rsid w:val="00495AA4"/>
    <w:rsid w:val="004A4A8B"/>
    <w:rsid w:val="004B76BE"/>
    <w:rsid w:val="004C73A0"/>
    <w:rsid w:val="004E7A2E"/>
    <w:rsid w:val="004F2A3F"/>
    <w:rsid w:val="00501633"/>
    <w:rsid w:val="00512992"/>
    <w:rsid w:val="005159CB"/>
    <w:rsid w:val="00515D72"/>
    <w:rsid w:val="00525526"/>
    <w:rsid w:val="00541052"/>
    <w:rsid w:val="00552CE4"/>
    <w:rsid w:val="00560F77"/>
    <w:rsid w:val="00587D2F"/>
    <w:rsid w:val="00593BB6"/>
    <w:rsid w:val="005A40AD"/>
    <w:rsid w:val="005C2ADB"/>
    <w:rsid w:val="005D2160"/>
    <w:rsid w:val="005D4A4A"/>
    <w:rsid w:val="005D53B2"/>
    <w:rsid w:val="005F46CB"/>
    <w:rsid w:val="005F5F86"/>
    <w:rsid w:val="00624203"/>
    <w:rsid w:val="00631523"/>
    <w:rsid w:val="00671D35"/>
    <w:rsid w:val="00676D24"/>
    <w:rsid w:val="00687229"/>
    <w:rsid w:val="00690FDE"/>
    <w:rsid w:val="006A68FB"/>
    <w:rsid w:val="006C62D3"/>
    <w:rsid w:val="006D6DCB"/>
    <w:rsid w:val="006F5E50"/>
    <w:rsid w:val="006F72EB"/>
    <w:rsid w:val="00701E07"/>
    <w:rsid w:val="0072455B"/>
    <w:rsid w:val="007275F2"/>
    <w:rsid w:val="00734C1B"/>
    <w:rsid w:val="00736BA0"/>
    <w:rsid w:val="0074108A"/>
    <w:rsid w:val="007505F0"/>
    <w:rsid w:val="00762C59"/>
    <w:rsid w:val="007649CA"/>
    <w:rsid w:val="00771A16"/>
    <w:rsid w:val="00785550"/>
    <w:rsid w:val="00796976"/>
    <w:rsid w:val="007A5203"/>
    <w:rsid w:val="007A7767"/>
    <w:rsid w:val="007B1597"/>
    <w:rsid w:val="007B2603"/>
    <w:rsid w:val="007B79D5"/>
    <w:rsid w:val="007C75C0"/>
    <w:rsid w:val="007D13E2"/>
    <w:rsid w:val="007E0596"/>
    <w:rsid w:val="007E2F05"/>
    <w:rsid w:val="007F5382"/>
    <w:rsid w:val="007F5B9E"/>
    <w:rsid w:val="00823792"/>
    <w:rsid w:val="00830259"/>
    <w:rsid w:val="00832FA7"/>
    <w:rsid w:val="00833659"/>
    <w:rsid w:val="00841F3E"/>
    <w:rsid w:val="00852819"/>
    <w:rsid w:val="00863711"/>
    <w:rsid w:val="008700A3"/>
    <w:rsid w:val="008806C1"/>
    <w:rsid w:val="008A00FD"/>
    <w:rsid w:val="008A035A"/>
    <w:rsid w:val="008A32CA"/>
    <w:rsid w:val="008A5724"/>
    <w:rsid w:val="008B2A5E"/>
    <w:rsid w:val="008B4956"/>
    <w:rsid w:val="008B4DFC"/>
    <w:rsid w:val="008C02D6"/>
    <w:rsid w:val="008C0CBD"/>
    <w:rsid w:val="008C691E"/>
    <w:rsid w:val="008E7CFA"/>
    <w:rsid w:val="008F210F"/>
    <w:rsid w:val="00900203"/>
    <w:rsid w:val="00915251"/>
    <w:rsid w:val="00915CFA"/>
    <w:rsid w:val="009178C8"/>
    <w:rsid w:val="00923743"/>
    <w:rsid w:val="009348EC"/>
    <w:rsid w:val="009565E2"/>
    <w:rsid w:val="0096113B"/>
    <w:rsid w:val="0096409A"/>
    <w:rsid w:val="009848C1"/>
    <w:rsid w:val="00992CDE"/>
    <w:rsid w:val="009B4D84"/>
    <w:rsid w:val="009B5318"/>
    <w:rsid w:val="009B58D2"/>
    <w:rsid w:val="009C05B0"/>
    <w:rsid w:val="009C3A49"/>
    <w:rsid w:val="009D07A2"/>
    <w:rsid w:val="009D3DBB"/>
    <w:rsid w:val="00A0137A"/>
    <w:rsid w:val="00A0492B"/>
    <w:rsid w:val="00A1084C"/>
    <w:rsid w:val="00A12F2B"/>
    <w:rsid w:val="00A42A56"/>
    <w:rsid w:val="00A70F16"/>
    <w:rsid w:val="00A713C1"/>
    <w:rsid w:val="00A829D3"/>
    <w:rsid w:val="00AA09CA"/>
    <w:rsid w:val="00AB46D6"/>
    <w:rsid w:val="00AB54C9"/>
    <w:rsid w:val="00AC32E5"/>
    <w:rsid w:val="00AD4A1A"/>
    <w:rsid w:val="00AE156E"/>
    <w:rsid w:val="00AE7BA1"/>
    <w:rsid w:val="00B015CC"/>
    <w:rsid w:val="00B05F9B"/>
    <w:rsid w:val="00B4193A"/>
    <w:rsid w:val="00B42C28"/>
    <w:rsid w:val="00B4445B"/>
    <w:rsid w:val="00B520B0"/>
    <w:rsid w:val="00B629FE"/>
    <w:rsid w:val="00B66E3D"/>
    <w:rsid w:val="00B7588E"/>
    <w:rsid w:val="00B93F74"/>
    <w:rsid w:val="00BB58A5"/>
    <w:rsid w:val="00BC3643"/>
    <w:rsid w:val="00BC4438"/>
    <w:rsid w:val="00BD0378"/>
    <w:rsid w:val="00BE04EE"/>
    <w:rsid w:val="00BE6C5A"/>
    <w:rsid w:val="00BF5261"/>
    <w:rsid w:val="00C04929"/>
    <w:rsid w:val="00C4499F"/>
    <w:rsid w:val="00C46953"/>
    <w:rsid w:val="00C53389"/>
    <w:rsid w:val="00C54E4B"/>
    <w:rsid w:val="00C7379B"/>
    <w:rsid w:val="00C75E39"/>
    <w:rsid w:val="00C845AD"/>
    <w:rsid w:val="00C95FB8"/>
    <w:rsid w:val="00C97255"/>
    <w:rsid w:val="00CA7ED7"/>
    <w:rsid w:val="00CB5970"/>
    <w:rsid w:val="00CE2D07"/>
    <w:rsid w:val="00CF08AD"/>
    <w:rsid w:val="00CF41CD"/>
    <w:rsid w:val="00D04A8B"/>
    <w:rsid w:val="00D22C8B"/>
    <w:rsid w:val="00D64EA0"/>
    <w:rsid w:val="00D662B3"/>
    <w:rsid w:val="00D66C4E"/>
    <w:rsid w:val="00D6775D"/>
    <w:rsid w:val="00D805C8"/>
    <w:rsid w:val="00D868DF"/>
    <w:rsid w:val="00DB00DC"/>
    <w:rsid w:val="00DE35CF"/>
    <w:rsid w:val="00DF16F8"/>
    <w:rsid w:val="00E157AC"/>
    <w:rsid w:val="00E15B8C"/>
    <w:rsid w:val="00E429A8"/>
    <w:rsid w:val="00E52703"/>
    <w:rsid w:val="00E619ED"/>
    <w:rsid w:val="00E721CA"/>
    <w:rsid w:val="00E72850"/>
    <w:rsid w:val="00E75BB8"/>
    <w:rsid w:val="00E77D5E"/>
    <w:rsid w:val="00E86603"/>
    <w:rsid w:val="00EA3220"/>
    <w:rsid w:val="00EA4F1E"/>
    <w:rsid w:val="00EC26F6"/>
    <w:rsid w:val="00EC5924"/>
    <w:rsid w:val="00EF04E1"/>
    <w:rsid w:val="00EF5C82"/>
    <w:rsid w:val="00F16D17"/>
    <w:rsid w:val="00F2190F"/>
    <w:rsid w:val="00F2342A"/>
    <w:rsid w:val="00F24D56"/>
    <w:rsid w:val="00F343CB"/>
    <w:rsid w:val="00F43786"/>
    <w:rsid w:val="00F7123A"/>
    <w:rsid w:val="00F76623"/>
    <w:rsid w:val="00F86BE1"/>
    <w:rsid w:val="00F917B3"/>
    <w:rsid w:val="00FB26BB"/>
    <w:rsid w:val="00FC1784"/>
    <w:rsid w:val="00FC619D"/>
    <w:rsid w:val="00FE176D"/>
    <w:rsid w:val="00FE3C93"/>
    <w:rsid w:val="00FF052C"/>
    <w:rsid w:val="00FF7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D948"/>
  <w15:chartTrackingRefBased/>
  <w15:docId w15:val="{56FC9A17-4EC2-4D6F-AB29-D3ACB4D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20"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F9B"/>
    <w:rPr>
      <w:lang w:val="vi-VN"/>
    </w:rPr>
  </w:style>
  <w:style w:type="paragraph" w:styleId="Heading1">
    <w:name w:val="heading 1"/>
    <w:basedOn w:val="Normal"/>
    <w:next w:val="Normal"/>
    <w:link w:val="Heading1Char"/>
    <w:uiPriority w:val="9"/>
    <w:qFormat/>
    <w:rsid w:val="00185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A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A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5A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5A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5A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5A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5A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A11"/>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185A11"/>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185A11"/>
    <w:rPr>
      <w:rFonts w:asciiTheme="minorHAnsi" w:eastAsiaTheme="majorEastAsia" w:hAnsiTheme="minorHAnsi" w:cstheme="majorBidi"/>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185A11"/>
    <w:rPr>
      <w:rFonts w:asciiTheme="minorHAnsi" w:eastAsiaTheme="majorEastAsia" w:hAnsiTheme="minorHAnsi"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185A11"/>
    <w:rPr>
      <w:rFonts w:asciiTheme="minorHAnsi" w:eastAsiaTheme="majorEastAsia" w:hAnsiTheme="minorHAnsi" w:cstheme="majorBidi"/>
      <w:color w:val="0F4761" w:themeColor="accent1" w:themeShade="BF"/>
      <w:lang w:val="vi-VN"/>
    </w:rPr>
  </w:style>
  <w:style w:type="character" w:customStyle="1" w:styleId="Heading6Char">
    <w:name w:val="Heading 6 Char"/>
    <w:basedOn w:val="DefaultParagraphFont"/>
    <w:link w:val="Heading6"/>
    <w:uiPriority w:val="9"/>
    <w:semiHidden/>
    <w:rsid w:val="00185A11"/>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185A11"/>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185A11"/>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185A11"/>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185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A11"/>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185A11"/>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A11"/>
    <w:rPr>
      <w:rFonts w:asciiTheme="minorHAnsi" w:eastAsiaTheme="majorEastAsia" w:hAnsiTheme="minorHAnsi"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185A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5A11"/>
    <w:rPr>
      <w:i/>
      <w:iCs/>
      <w:color w:val="404040" w:themeColor="text1" w:themeTint="BF"/>
      <w:lang w:val="vi-VN"/>
    </w:rPr>
  </w:style>
  <w:style w:type="paragraph" w:styleId="ListParagraph">
    <w:name w:val="List Paragraph"/>
    <w:basedOn w:val="Normal"/>
    <w:uiPriority w:val="34"/>
    <w:qFormat/>
    <w:rsid w:val="00185A11"/>
    <w:pPr>
      <w:ind w:left="720"/>
      <w:contextualSpacing/>
    </w:pPr>
  </w:style>
  <w:style w:type="character" w:styleId="IntenseEmphasis">
    <w:name w:val="Intense Emphasis"/>
    <w:basedOn w:val="DefaultParagraphFont"/>
    <w:uiPriority w:val="21"/>
    <w:qFormat/>
    <w:rsid w:val="00185A11"/>
    <w:rPr>
      <w:i/>
      <w:iCs/>
      <w:color w:val="0F4761" w:themeColor="accent1" w:themeShade="BF"/>
    </w:rPr>
  </w:style>
  <w:style w:type="paragraph" w:styleId="IntenseQuote">
    <w:name w:val="Intense Quote"/>
    <w:basedOn w:val="Normal"/>
    <w:next w:val="Normal"/>
    <w:link w:val="IntenseQuoteChar"/>
    <w:uiPriority w:val="30"/>
    <w:qFormat/>
    <w:rsid w:val="00185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A11"/>
    <w:rPr>
      <w:i/>
      <w:iCs/>
      <w:color w:val="0F4761" w:themeColor="accent1" w:themeShade="BF"/>
      <w:lang w:val="vi-VN"/>
    </w:rPr>
  </w:style>
  <w:style w:type="character" w:styleId="IntenseReference">
    <w:name w:val="Intense Reference"/>
    <w:basedOn w:val="DefaultParagraphFont"/>
    <w:uiPriority w:val="32"/>
    <w:qFormat/>
    <w:rsid w:val="00185A11"/>
    <w:rPr>
      <w:b/>
      <w:bCs/>
      <w:smallCaps/>
      <w:color w:val="0F4761" w:themeColor="accent1" w:themeShade="BF"/>
      <w:spacing w:val="5"/>
    </w:rPr>
  </w:style>
  <w:style w:type="character" w:styleId="Hyperlink">
    <w:name w:val="Hyperlink"/>
    <w:basedOn w:val="DefaultParagraphFont"/>
    <w:uiPriority w:val="99"/>
    <w:unhideWhenUsed/>
    <w:rsid w:val="00701E07"/>
    <w:rPr>
      <w:color w:val="467886" w:themeColor="hyperlink"/>
      <w:u w:val="single"/>
    </w:rPr>
  </w:style>
  <w:style w:type="character" w:styleId="UnresolvedMention">
    <w:name w:val="Unresolved Mention"/>
    <w:basedOn w:val="DefaultParagraphFont"/>
    <w:uiPriority w:val="99"/>
    <w:semiHidden/>
    <w:unhideWhenUsed/>
    <w:rsid w:val="00701E07"/>
    <w:rPr>
      <w:color w:val="605E5C"/>
      <w:shd w:val="clear" w:color="auto" w:fill="E1DFDD"/>
    </w:rPr>
  </w:style>
  <w:style w:type="character" w:styleId="FollowedHyperlink">
    <w:name w:val="FollowedHyperlink"/>
    <w:basedOn w:val="DefaultParagraphFont"/>
    <w:uiPriority w:val="99"/>
    <w:semiHidden/>
    <w:unhideWhenUsed/>
    <w:rsid w:val="00701E07"/>
    <w:rPr>
      <w:color w:val="96607D" w:themeColor="followedHyperlink"/>
      <w:u w:val="single"/>
    </w:rPr>
  </w:style>
  <w:style w:type="character" w:styleId="PlaceholderText">
    <w:name w:val="Placeholder Text"/>
    <w:basedOn w:val="DefaultParagraphFont"/>
    <w:uiPriority w:val="99"/>
    <w:semiHidden/>
    <w:rsid w:val="001E2F50"/>
    <w:rPr>
      <w:color w:val="666666"/>
    </w:rPr>
  </w:style>
  <w:style w:type="paragraph" w:styleId="Header">
    <w:name w:val="header"/>
    <w:basedOn w:val="Normal"/>
    <w:link w:val="HeaderChar"/>
    <w:uiPriority w:val="99"/>
    <w:unhideWhenUsed/>
    <w:rsid w:val="005F4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6CB"/>
    <w:rPr>
      <w:lang w:val="vi-VN"/>
    </w:rPr>
  </w:style>
  <w:style w:type="paragraph" w:styleId="Footer">
    <w:name w:val="footer"/>
    <w:basedOn w:val="Normal"/>
    <w:link w:val="FooterChar"/>
    <w:uiPriority w:val="99"/>
    <w:unhideWhenUsed/>
    <w:rsid w:val="005F4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6CB"/>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4089">
      <w:bodyDiv w:val="1"/>
      <w:marLeft w:val="0"/>
      <w:marRight w:val="0"/>
      <w:marTop w:val="0"/>
      <w:marBottom w:val="0"/>
      <w:divBdr>
        <w:top w:val="none" w:sz="0" w:space="0" w:color="auto"/>
        <w:left w:val="none" w:sz="0" w:space="0" w:color="auto"/>
        <w:bottom w:val="none" w:sz="0" w:space="0" w:color="auto"/>
        <w:right w:val="none" w:sz="0" w:space="0" w:color="auto"/>
      </w:divBdr>
    </w:div>
    <w:div w:id="141969598">
      <w:bodyDiv w:val="1"/>
      <w:marLeft w:val="0"/>
      <w:marRight w:val="0"/>
      <w:marTop w:val="0"/>
      <w:marBottom w:val="0"/>
      <w:divBdr>
        <w:top w:val="none" w:sz="0" w:space="0" w:color="auto"/>
        <w:left w:val="none" w:sz="0" w:space="0" w:color="auto"/>
        <w:bottom w:val="none" w:sz="0" w:space="0" w:color="auto"/>
        <w:right w:val="none" w:sz="0" w:space="0" w:color="auto"/>
      </w:divBdr>
    </w:div>
    <w:div w:id="193857872">
      <w:bodyDiv w:val="1"/>
      <w:marLeft w:val="0"/>
      <w:marRight w:val="0"/>
      <w:marTop w:val="0"/>
      <w:marBottom w:val="0"/>
      <w:divBdr>
        <w:top w:val="none" w:sz="0" w:space="0" w:color="auto"/>
        <w:left w:val="none" w:sz="0" w:space="0" w:color="auto"/>
        <w:bottom w:val="none" w:sz="0" w:space="0" w:color="auto"/>
        <w:right w:val="none" w:sz="0" w:space="0" w:color="auto"/>
      </w:divBdr>
    </w:div>
    <w:div w:id="256713482">
      <w:bodyDiv w:val="1"/>
      <w:marLeft w:val="0"/>
      <w:marRight w:val="0"/>
      <w:marTop w:val="0"/>
      <w:marBottom w:val="0"/>
      <w:divBdr>
        <w:top w:val="none" w:sz="0" w:space="0" w:color="auto"/>
        <w:left w:val="none" w:sz="0" w:space="0" w:color="auto"/>
        <w:bottom w:val="none" w:sz="0" w:space="0" w:color="auto"/>
        <w:right w:val="none" w:sz="0" w:space="0" w:color="auto"/>
      </w:divBdr>
    </w:div>
    <w:div w:id="284429652">
      <w:bodyDiv w:val="1"/>
      <w:marLeft w:val="0"/>
      <w:marRight w:val="0"/>
      <w:marTop w:val="0"/>
      <w:marBottom w:val="0"/>
      <w:divBdr>
        <w:top w:val="none" w:sz="0" w:space="0" w:color="auto"/>
        <w:left w:val="none" w:sz="0" w:space="0" w:color="auto"/>
        <w:bottom w:val="none" w:sz="0" w:space="0" w:color="auto"/>
        <w:right w:val="none" w:sz="0" w:space="0" w:color="auto"/>
      </w:divBdr>
    </w:div>
    <w:div w:id="337001564">
      <w:bodyDiv w:val="1"/>
      <w:marLeft w:val="0"/>
      <w:marRight w:val="0"/>
      <w:marTop w:val="0"/>
      <w:marBottom w:val="0"/>
      <w:divBdr>
        <w:top w:val="none" w:sz="0" w:space="0" w:color="auto"/>
        <w:left w:val="none" w:sz="0" w:space="0" w:color="auto"/>
        <w:bottom w:val="none" w:sz="0" w:space="0" w:color="auto"/>
        <w:right w:val="none" w:sz="0" w:space="0" w:color="auto"/>
      </w:divBdr>
    </w:div>
    <w:div w:id="370107837">
      <w:bodyDiv w:val="1"/>
      <w:marLeft w:val="0"/>
      <w:marRight w:val="0"/>
      <w:marTop w:val="0"/>
      <w:marBottom w:val="0"/>
      <w:divBdr>
        <w:top w:val="none" w:sz="0" w:space="0" w:color="auto"/>
        <w:left w:val="none" w:sz="0" w:space="0" w:color="auto"/>
        <w:bottom w:val="none" w:sz="0" w:space="0" w:color="auto"/>
        <w:right w:val="none" w:sz="0" w:space="0" w:color="auto"/>
      </w:divBdr>
    </w:div>
    <w:div w:id="373428623">
      <w:bodyDiv w:val="1"/>
      <w:marLeft w:val="0"/>
      <w:marRight w:val="0"/>
      <w:marTop w:val="0"/>
      <w:marBottom w:val="0"/>
      <w:divBdr>
        <w:top w:val="none" w:sz="0" w:space="0" w:color="auto"/>
        <w:left w:val="none" w:sz="0" w:space="0" w:color="auto"/>
        <w:bottom w:val="none" w:sz="0" w:space="0" w:color="auto"/>
        <w:right w:val="none" w:sz="0" w:space="0" w:color="auto"/>
      </w:divBdr>
    </w:div>
    <w:div w:id="523129359">
      <w:bodyDiv w:val="1"/>
      <w:marLeft w:val="0"/>
      <w:marRight w:val="0"/>
      <w:marTop w:val="0"/>
      <w:marBottom w:val="0"/>
      <w:divBdr>
        <w:top w:val="none" w:sz="0" w:space="0" w:color="auto"/>
        <w:left w:val="none" w:sz="0" w:space="0" w:color="auto"/>
        <w:bottom w:val="none" w:sz="0" w:space="0" w:color="auto"/>
        <w:right w:val="none" w:sz="0" w:space="0" w:color="auto"/>
      </w:divBdr>
    </w:div>
    <w:div w:id="554706605">
      <w:bodyDiv w:val="1"/>
      <w:marLeft w:val="0"/>
      <w:marRight w:val="0"/>
      <w:marTop w:val="0"/>
      <w:marBottom w:val="0"/>
      <w:divBdr>
        <w:top w:val="none" w:sz="0" w:space="0" w:color="auto"/>
        <w:left w:val="none" w:sz="0" w:space="0" w:color="auto"/>
        <w:bottom w:val="none" w:sz="0" w:space="0" w:color="auto"/>
        <w:right w:val="none" w:sz="0" w:space="0" w:color="auto"/>
      </w:divBdr>
    </w:div>
    <w:div w:id="585501419">
      <w:bodyDiv w:val="1"/>
      <w:marLeft w:val="0"/>
      <w:marRight w:val="0"/>
      <w:marTop w:val="0"/>
      <w:marBottom w:val="0"/>
      <w:divBdr>
        <w:top w:val="none" w:sz="0" w:space="0" w:color="auto"/>
        <w:left w:val="none" w:sz="0" w:space="0" w:color="auto"/>
        <w:bottom w:val="none" w:sz="0" w:space="0" w:color="auto"/>
        <w:right w:val="none" w:sz="0" w:space="0" w:color="auto"/>
      </w:divBdr>
    </w:div>
    <w:div w:id="588194309">
      <w:bodyDiv w:val="1"/>
      <w:marLeft w:val="0"/>
      <w:marRight w:val="0"/>
      <w:marTop w:val="0"/>
      <w:marBottom w:val="0"/>
      <w:divBdr>
        <w:top w:val="none" w:sz="0" w:space="0" w:color="auto"/>
        <w:left w:val="none" w:sz="0" w:space="0" w:color="auto"/>
        <w:bottom w:val="none" w:sz="0" w:space="0" w:color="auto"/>
        <w:right w:val="none" w:sz="0" w:space="0" w:color="auto"/>
      </w:divBdr>
    </w:div>
    <w:div w:id="746615483">
      <w:bodyDiv w:val="1"/>
      <w:marLeft w:val="0"/>
      <w:marRight w:val="0"/>
      <w:marTop w:val="0"/>
      <w:marBottom w:val="0"/>
      <w:divBdr>
        <w:top w:val="none" w:sz="0" w:space="0" w:color="auto"/>
        <w:left w:val="none" w:sz="0" w:space="0" w:color="auto"/>
        <w:bottom w:val="none" w:sz="0" w:space="0" w:color="auto"/>
        <w:right w:val="none" w:sz="0" w:space="0" w:color="auto"/>
      </w:divBdr>
    </w:div>
    <w:div w:id="792940519">
      <w:bodyDiv w:val="1"/>
      <w:marLeft w:val="0"/>
      <w:marRight w:val="0"/>
      <w:marTop w:val="0"/>
      <w:marBottom w:val="0"/>
      <w:divBdr>
        <w:top w:val="none" w:sz="0" w:space="0" w:color="auto"/>
        <w:left w:val="none" w:sz="0" w:space="0" w:color="auto"/>
        <w:bottom w:val="none" w:sz="0" w:space="0" w:color="auto"/>
        <w:right w:val="none" w:sz="0" w:space="0" w:color="auto"/>
      </w:divBdr>
    </w:div>
    <w:div w:id="827209240">
      <w:bodyDiv w:val="1"/>
      <w:marLeft w:val="0"/>
      <w:marRight w:val="0"/>
      <w:marTop w:val="0"/>
      <w:marBottom w:val="0"/>
      <w:divBdr>
        <w:top w:val="none" w:sz="0" w:space="0" w:color="auto"/>
        <w:left w:val="none" w:sz="0" w:space="0" w:color="auto"/>
        <w:bottom w:val="none" w:sz="0" w:space="0" w:color="auto"/>
        <w:right w:val="none" w:sz="0" w:space="0" w:color="auto"/>
      </w:divBdr>
    </w:div>
    <w:div w:id="841512733">
      <w:bodyDiv w:val="1"/>
      <w:marLeft w:val="0"/>
      <w:marRight w:val="0"/>
      <w:marTop w:val="0"/>
      <w:marBottom w:val="0"/>
      <w:divBdr>
        <w:top w:val="none" w:sz="0" w:space="0" w:color="auto"/>
        <w:left w:val="none" w:sz="0" w:space="0" w:color="auto"/>
        <w:bottom w:val="none" w:sz="0" w:space="0" w:color="auto"/>
        <w:right w:val="none" w:sz="0" w:space="0" w:color="auto"/>
      </w:divBdr>
    </w:div>
    <w:div w:id="898171901">
      <w:bodyDiv w:val="1"/>
      <w:marLeft w:val="0"/>
      <w:marRight w:val="0"/>
      <w:marTop w:val="0"/>
      <w:marBottom w:val="0"/>
      <w:divBdr>
        <w:top w:val="none" w:sz="0" w:space="0" w:color="auto"/>
        <w:left w:val="none" w:sz="0" w:space="0" w:color="auto"/>
        <w:bottom w:val="none" w:sz="0" w:space="0" w:color="auto"/>
        <w:right w:val="none" w:sz="0" w:space="0" w:color="auto"/>
      </w:divBdr>
    </w:div>
    <w:div w:id="934555367">
      <w:bodyDiv w:val="1"/>
      <w:marLeft w:val="0"/>
      <w:marRight w:val="0"/>
      <w:marTop w:val="0"/>
      <w:marBottom w:val="0"/>
      <w:divBdr>
        <w:top w:val="none" w:sz="0" w:space="0" w:color="auto"/>
        <w:left w:val="none" w:sz="0" w:space="0" w:color="auto"/>
        <w:bottom w:val="none" w:sz="0" w:space="0" w:color="auto"/>
        <w:right w:val="none" w:sz="0" w:space="0" w:color="auto"/>
      </w:divBdr>
    </w:div>
    <w:div w:id="936132513">
      <w:bodyDiv w:val="1"/>
      <w:marLeft w:val="0"/>
      <w:marRight w:val="0"/>
      <w:marTop w:val="0"/>
      <w:marBottom w:val="0"/>
      <w:divBdr>
        <w:top w:val="none" w:sz="0" w:space="0" w:color="auto"/>
        <w:left w:val="none" w:sz="0" w:space="0" w:color="auto"/>
        <w:bottom w:val="none" w:sz="0" w:space="0" w:color="auto"/>
        <w:right w:val="none" w:sz="0" w:space="0" w:color="auto"/>
      </w:divBdr>
    </w:div>
    <w:div w:id="952983201">
      <w:bodyDiv w:val="1"/>
      <w:marLeft w:val="0"/>
      <w:marRight w:val="0"/>
      <w:marTop w:val="0"/>
      <w:marBottom w:val="0"/>
      <w:divBdr>
        <w:top w:val="none" w:sz="0" w:space="0" w:color="auto"/>
        <w:left w:val="none" w:sz="0" w:space="0" w:color="auto"/>
        <w:bottom w:val="none" w:sz="0" w:space="0" w:color="auto"/>
        <w:right w:val="none" w:sz="0" w:space="0" w:color="auto"/>
      </w:divBdr>
    </w:div>
    <w:div w:id="981471589">
      <w:bodyDiv w:val="1"/>
      <w:marLeft w:val="0"/>
      <w:marRight w:val="0"/>
      <w:marTop w:val="0"/>
      <w:marBottom w:val="0"/>
      <w:divBdr>
        <w:top w:val="none" w:sz="0" w:space="0" w:color="auto"/>
        <w:left w:val="none" w:sz="0" w:space="0" w:color="auto"/>
        <w:bottom w:val="none" w:sz="0" w:space="0" w:color="auto"/>
        <w:right w:val="none" w:sz="0" w:space="0" w:color="auto"/>
      </w:divBdr>
    </w:div>
    <w:div w:id="1011761432">
      <w:bodyDiv w:val="1"/>
      <w:marLeft w:val="0"/>
      <w:marRight w:val="0"/>
      <w:marTop w:val="0"/>
      <w:marBottom w:val="0"/>
      <w:divBdr>
        <w:top w:val="none" w:sz="0" w:space="0" w:color="auto"/>
        <w:left w:val="none" w:sz="0" w:space="0" w:color="auto"/>
        <w:bottom w:val="none" w:sz="0" w:space="0" w:color="auto"/>
        <w:right w:val="none" w:sz="0" w:space="0" w:color="auto"/>
      </w:divBdr>
    </w:div>
    <w:div w:id="1012488700">
      <w:bodyDiv w:val="1"/>
      <w:marLeft w:val="0"/>
      <w:marRight w:val="0"/>
      <w:marTop w:val="0"/>
      <w:marBottom w:val="0"/>
      <w:divBdr>
        <w:top w:val="none" w:sz="0" w:space="0" w:color="auto"/>
        <w:left w:val="none" w:sz="0" w:space="0" w:color="auto"/>
        <w:bottom w:val="none" w:sz="0" w:space="0" w:color="auto"/>
        <w:right w:val="none" w:sz="0" w:space="0" w:color="auto"/>
      </w:divBdr>
    </w:div>
    <w:div w:id="1046177181">
      <w:bodyDiv w:val="1"/>
      <w:marLeft w:val="0"/>
      <w:marRight w:val="0"/>
      <w:marTop w:val="0"/>
      <w:marBottom w:val="0"/>
      <w:divBdr>
        <w:top w:val="none" w:sz="0" w:space="0" w:color="auto"/>
        <w:left w:val="none" w:sz="0" w:space="0" w:color="auto"/>
        <w:bottom w:val="none" w:sz="0" w:space="0" w:color="auto"/>
        <w:right w:val="none" w:sz="0" w:space="0" w:color="auto"/>
      </w:divBdr>
    </w:div>
    <w:div w:id="1424379030">
      <w:bodyDiv w:val="1"/>
      <w:marLeft w:val="0"/>
      <w:marRight w:val="0"/>
      <w:marTop w:val="0"/>
      <w:marBottom w:val="0"/>
      <w:divBdr>
        <w:top w:val="none" w:sz="0" w:space="0" w:color="auto"/>
        <w:left w:val="none" w:sz="0" w:space="0" w:color="auto"/>
        <w:bottom w:val="none" w:sz="0" w:space="0" w:color="auto"/>
        <w:right w:val="none" w:sz="0" w:space="0" w:color="auto"/>
      </w:divBdr>
    </w:div>
    <w:div w:id="1573851401">
      <w:bodyDiv w:val="1"/>
      <w:marLeft w:val="0"/>
      <w:marRight w:val="0"/>
      <w:marTop w:val="0"/>
      <w:marBottom w:val="0"/>
      <w:divBdr>
        <w:top w:val="none" w:sz="0" w:space="0" w:color="auto"/>
        <w:left w:val="none" w:sz="0" w:space="0" w:color="auto"/>
        <w:bottom w:val="none" w:sz="0" w:space="0" w:color="auto"/>
        <w:right w:val="none" w:sz="0" w:space="0" w:color="auto"/>
      </w:divBdr>
    </w:div>
    <w:div w:id="1592541459">
      <w:bodyDiv w:val="1"/>
      <w:marLeft w:val="0"/>
      <w:marRight w:val="0"/>
      <w:marTop w:val="0"/>
      <w:marBottom w:val="0"/>
      <w:divBdr>
        <w:top w:val="none" w:sz="0" w:space="0" w:color="auto"/>
        <w:left w:val="none" w:sz="0" w:space="0" w:color="auto"/>
        <w:bottom w:val="none" w:sz="0" w:space="0" w:color="auto"/>
        <w:right w:val="none" w:sz="0" w:space="0" w:color="auto"/>
      </w:divBdr>
    </w:div>
    <w:div w:id="1636131972">
      <w:bodyDiv w:val="1"/>
      <w:marLeft w:val="0"/>
      <w:marRight w:val="0"/>
      <w:marTop w:val="0"/>
      <w:marBottom w:val="0"/>
      <w:divBdr>
        <w:top w:val="none" w:sz="0" w:space="0" w:color="auto"/>
        <w:left w:val="none" w:sz="0" w:space="0" w:color="auto"/>
        <w:bottom w:val="none" w:sz="0" w:space="0" w:color="auto"/>
        <w:right w:val="none" w:sz="0" w:space="0" w:color="auto"/>
      </w:divBdr>
      <w:divsChild>
        <w:div w:id="1766921513">
          <w:blockQuote w:val="1"/>
          <w:marLeft w:val="720"/>
          <w:marRight w:val="720"/>
          <w:marTop w:val="100"/>
          <w:marBottom w:val="100"/>
          <w:divBdr>
            <w:top w:val="none" w:sz="0" w:space="0" w:color="auto"/>
            <w:left w:val="none" w:sz="0" w:space="0" w:color="auto"/>
            <w:bottom w:val="none" w:sz="0" w:space="0" w:color="auto"/>
            <w:right w:val="none" w:sz="0" w:space="0" w:color="auto"/>
          </w:divBdr>
        </w:div>
        <w:div w:id="59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072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240234">
      <w:bodyDiv w:val="1"/>
      <w:marLeft w:val="0"/>
      <w:marRight w:val="0"/>
      <w:marTop w:val="0"/>
      <w:marBottom w:val="0"/>
      <w:divBdr>
        <w:top w:val="none" w:sz="0" w:space="0" w:color="auto"/>
        <w:left w:val="none" w:sz="0" w:space="0" w:color="auto"/>
        <w:bottom w:val="none" w:sz="0" w:space="0" w:color="auto"/>
        <w:right w:val="none" w:sz="0" w:space="0" w:color="auto"/>
      </w:divBdr>
    </w:div>
    <w:div w:id="1681933036">
      <w:bodyDiv w:val="1"/>
      <w:marLeft w:val="0"/>
      <w:marRight w:val="0"/>
      <w:marTop w:val="0"/>
      <w:marBottom w:val="0"/>
      <w:divBdr>
        <w:top w:val="none" w:sz="0" w:space="0" w:color="auto"/>
        <w:left w:val="none" w:sz="0" w:space="0" w:color="auto"/>
        <w:bottom w:val="none" w:sz="0" w:space="0" w:color="auto"/>
        <w:right w:val="none" w:sz="0" w:space="0" w:color="auto"/>
      </w:divBdr>
    </w:div>
    <w:div w:id="1682272612">
      <w:bodyDiv w:val="1"/>
      <w:marLeft w:val="0"/>
      <w:marRight w:val="0"/>
      <w:marTop w:val="0"/>
      <w:marBottom w:val="0"/>
      <w:divBdr>
        <w:top w:val="none" w:sz="0" w:space="0" w:color="auto"/>
        <w:left w:val="none" w:sz="0" w:space="0" w:color="auto"/>
        <w:bottom w:val="none" w:sz="0" w:space="0" w:color="auto"/>
        <w:right w:val="none" w:sz="0" w:space="0" w:color="auto"/>
      </w:divBdr>
      <w:divsChild>
        <w:div w:id="793016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8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721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507512">
      <w:bodyDiv w:val="1"/>
      <w:marLeft w:val="0"/>
      <w:marRight w:val="0"/>
      <w:marTop w:val="0"/>
      <w:marBottom w:val="0"/>
      <w:divBdr>
        <w:top w:val="none" w:sz="0" w:space="0" w:color="auto"/>
        <w:left w:val="none" w:sz="0" w:space="0" w:color="auto"/>
        <w:bottom w:val="none" w:sz="0" w:space="0" w:color="auto"/>
        <w:right w:val="none" w:sz="0" w:space="0" w:color="auto"/>
      </w:divBdr>
    </w:div>
    <w:div w:id="1739673540">
      <w:bodyDiv w:val="1"/>
      <w:marLeft w:val="0"/>
      <w:marRight w:val="0"/>
      <w:marTop w:val="0"/>
      <w:marBottom w:val="0"/>
      <w:divBdr>
        <w:top w:val="none" w:sz="0" w:space="0" w:color="auto"/>
        <w:left w:val="none" w:sz="0" w:space="0" w:color="auto"/>
        <w:bottom w:val="none" w:sz="0" w:space="0" w:color="auto"/>
        <w:right w:val="none" w:sz="0" w:space="0" w:color="auto"/>
      </w:divBdr>
    </w:div>
    <w:div w:id="1751921851">
      <w:bodyDiv w:val="1"/>
      <w:marLeft w:val="0"/>
      <w:marRight w:val="0"/>
      <w:marTop w:val="0"/>
      <w:marBottom w:val="0"/>
      <w:divBdr>
        <w:top w:val="none" w:sz="0" w:space="0" w:color="auto"/>
        <w:left w:val="none" w:sz="0" w:space="0" w:color="auto"/>
        <w:bottom w:val="none" w:sz="0" w:space="0" w:color="auto"/>
        <w:right w:val="none" w:sz="0" w:space="0" w:color="auto"/>
      </w:divBdr>
    </w:div>
    <w:div w:id="1793550468">
      <w:bodyDiv w:val="1"/>
      <w:marLeft w:val="0"/>
      <w:marRight w:val="0"/>
      <w:marTop w:val="0"/>
      <w:marBottom w:val="0"/>
      <w:divBdr>
        <w:top w:val="none" w:sz="0" w:space="0" w:color="auto"/>
        <w:left w:val="none" w:sz="0" w:space="0" w:color="auto"/>
        <w:bottom w:val="none" w:sz="0" w:space="0" w:color="auto"/>
        <w:right w:val="none" w:sz="0" w:space="0" w:color="auto"/>
      </w:divBdr>
    </w:div>
    <w:div w:id="1799641409">
      <w:bodyDiv w:val="1"/>
      <w:marLeft w:val="0"/>
      <w:marRight w:val="0"/>
      <w:marTop w:val="0"/>
      <w:marBottom w:val="0"/>
      <w:divBdr>
        <w:top w:val="none" w:sz="0" w:space="0" w:color="auto"/>
        <w:left w:val="none" w:sz="0" w:space="0" w:color="auto"/>
        <w:bottom w:val="none" w:sz="0" w:space="0" w:color="auto"/>
        <w:right w:val="none" w:sz="0" w:space="0" w:color="auto"/>
      </w:divBdr>
    </w:div>
    <w:div w:id="1831866801">
      <w:bodyDiv w:val="1"/>
      <w:marLeft w:val="0"/>
      <w:marRight w:val="0"/>
      <w:marTop w:val="0"/>
      <w:marBottom w:val="0"/>
      <w:divBdr>
        <w:top w:val="none" w:sz="0" w:space="0" w:color="auto"/>
        <w:left w:val="none" w:sz="0" w:space="0" w:color="auto"/>
        <w:bottom w:val="none" w:sz="0" w:space="0" w:color="auto"/>
        <w:right w:val="none" w:sz="0" w:space="0" w:color="auto"/>
      </w:divBdr>
    </w:div>
    <w:div w:id="1834686813">
      <w:bodyDiv w:val="1"/>
      <w:marLeft w:val="0"/>
      <w:marRight w:val="0"/>
      <w:marTop w:val="0"/>
      <w:marBottom w:val="0"/>
      <w:divBdr>
        <w:top w:val="none" w:sz="0" w:space="0" w:color="auto"/>
        <w:left w:val="none" w:sz="0" w:space="0" w:color="auto"/>
        <w:bottom w:val="none" w:sz="0" w:space="0" w:color="auto"/>
        <w:right w:val="none" w:sz="0" w:space="0" w:color="auto"/>
      </w:divBdr>
    </w:div>
    <w:div w:id="1860922594">
      <w:bodyDiv w:val="1"/>
      <w:marLeft w:val="0"/>
      <w:marRight w:val="0"/>
      <w:marTop w:val="0"/>
      <w:marBottom w:val="0"/>
      <w:divBdr>
        <w:top w:val="none" w:sz="0" w:space="0" w:color="auto"/>
        <w:left w:val="none" w:sz="0" w:space="0" w:color="auto"/>
        <w:bottom w:val="none" w:sz="0" w:space="0" w:color="auto"/>
        <w:right w:val="none" w:sz="0" w:space="0" w:color="auto"/>
      </w:divBdr>
    </w:div>
    <w:div w:id="1880849346">
      <w:bodyDiv w:val="1"/>
      <w:marLeft w:val="0"/>
      <w:marRight w:val="0"/>
      <w:marTop w:val="0"/>
      <w:marBottom w:val="0"/>
      <w:divBdr>
        <w:top w:val="none" w:sz="0" w:space="0" w:color="auto"/>
        <w:left w:val="none" w:sz="0" w:space="0" w:color="auto"/>
        <w:bottom w:val="none" w:sz="0" w:space="0" w:color="auto"/>
        <w:right w:val="none" w:sz="0" w:space="0" w:color="auto"/>
      </w:divBdr>
    </w:div>
    <w:div w:id="1891990521">
      <w:bodyDiv w:val="1"/>
      <w:marLeft w:val="0"/>
      <w:marRight w:val="0"/>
      <w:marTop w:val="0"/>
      <w:marBottom w:val="0"/>
      <w:divBdr>
        <w:top w:val="none" w:sz="0" w:space="0" w:color="auto"/>
        <w:left w:val="none" w:sz="0" w:space="0" w:color="auto"/>
        <w:bottom w:val="none" w:sz="0" w:space="0" w:color="auto"/>
        <w:right w:val="none" w:sz="0" w:space="0" w:color="auto"/>
      </w:divBdr>
    </w:div>
    <w:div w:id="1893347881">
      <w:bodyDiv w:val="1"/>
      <w:marLeft w:val="0"/>
      <w:marRight w:val="0"/>
      <w:marTop w:val="0"/>
      <w:marBottom w:val="0"/>
      <w:divBdr>
        <w:top w:val="none" w:sz="0" w:space="0" w:color="auto"/>
        <w:left w:val="none" w:sz="0" w:space="0" w:color="auto"/>
        <w:bottom w:val="none" w:sz="0" w:space="0" w:color="auto"/>
        <w:right w:val="none" w:sz="0" w:space="0" w:color="auto"/>
      </w:divBdr>
    </w:div>
    <w:div w:id="1996716235">
      <w:bodyDiv w:val="1"/>
      <w:marLeft w:val="0"/>
      <w:marRight w:val="0"/>
      <w:marTop w:val="0"/>
      <w:marBottom w:val="0"/>
      <w:divBdr>
        <w:top w:val="none" w:sz="0" w:space="0" w:color="auto"/>
        <w:left w:val="none" w:sz="0" w:space="0" w:color="auto"/>
        <w:bottom w:val="none" w:sz="0" w:space="0" w:color="auto"/>
        <w:right w:val="none" w:sz="0" w:space="0" w:color="auto"/>
      </w:divBdr>
    </w:div>
    <w:div w:id="2036954820">
      <w:bodyDiv w:val="1"/>
      <w:marLeft w:val="0"/>
      <w:marRight w:val="0"/>
      <w:marTop w:val="0"/>
      <w:marBottom w:val="0"/>
      <w:divBdr>
        <w:top w:val="none" w:sz="0" w:space="0" w:color="auto"/>
        <w:left w:val="none" w:sz="0" w:space="0" w:color="auto"/>
        <w:bottom w:val="none" w:sz="0" w:space="0" w:color="auto"/>
        <w:right w:val="none" w:sz="0" w:space="0" w:color="auto"/>
      </w:divBdr>
    </w:div>
    <w:div w:id="2109108895">
      <w:bodyDiv w:val="1"/>
      <w:marLeft w:val="0"/>
      <w:marRight w:val="0"/>
      <w:marTop w:val="0"/>
      <w:marBottom w:val="0"/>
      <w:divBdr>
        <w:top w:val="none" w:sz="0" w:space="0" w:color="auto"/>
        <w:left w:val="none" w:sz="0" w:space="0" w:color="auto"/>
        <w:bottom w:val="none" w:sz="0" w:space="0" w:color="auto"/>
        <w:right w:val="none" w:sz="0" w:space="0" w:color="auto"/>
      </w:divBdr>
    </w:div>
    <w:div w:id="213424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1.xml"/><Relationship Id="rId18" Type="http://schemas.openxmlformats.org/officeDocument/2006/relationships/hyperlink" Target="https://doi.org/10.1146/annurev-marine-022123-101845" TargetMode="External"/><Relationship Id="rId26" Type="http://schemas.openxmlformats.org/officeDocument/2006/relationships/hyperlink" Target="https://doi.org/10.2166/wh.2022.310" TargetMode="External"/><Relationship Id="rId3" Type="http://schemas.openxmlformats.org/officeDocument/2006/relationships/styles" Target="styles.xml"/><Relationship Id="rId21" Type="http://schemas.openxmlformats.org/officeDocument/2006/relationships/hyperlink" Target="https://doi.org/10.1007/s10661-024-13436-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hyperlink" Target="https://doi.org/10.1007/s11270-025-08650-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07/s11273-025-10093-w" TargetMode="External"/><Relationship Id="rId29" Type="http://schemas.openxmlformats.org/officeDocument/2006/relationships/hyperlink" Target="https://doi.org/10.1016/j.jhydrol.2018.05.042"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doi.org/10.1016/j.jclepro.2024.140889" TargetMode="External"/><Relationship Id="rId32" Type="http://schemas.openxmlformats.org/officeDocument/2006/relationships/hyperlink" Target="https://doi.org/10.69739/jece.v3i1.1336" TargetMode="External"/><Relationship Id="rId5" Type="http://schemas.openxmlformats.org/officeDocument/2006/relationships/webSettings" Target="webSettings.xml"/><Relationship Id="rId15" Type="http://schemas.microsoft.com/office/2014/relationships/chartEx" Target="charts/chartEx2.xml"/><Relationship Id="rId23" Type="http://schemas.openxmlformats.org/officeDocument/2006/relationships/hyperlink" Target="https://doi.org/10.1016/j.envres.2024.119793" TargetMode="External"/><Relationship Id="rId28" Type="http://schemas.openxmlformats.org/officeDocument/2006/relationships/hyperlink" Target="https://doi.org/10.15625/1859-3097/19/1/9179" TargetMode="External"/><Relationship Id="rId19" Type="http://schemas.openxmlformats.org/officeDocument/2006/relationships/hyperlink" Target="https://doi.org/10.3390/w13030336" TargetMode="External"/><Relationship Id="rId31" Type="http://schemas.openxmlformats.org/officeDocument/2006/relationships/hyperlink" Target="https://doi.org/10.69739/jece.v2i2.1116" TargetMode="External"/><Relationship Id="rId4" Type="http://schemas.openxmlformats.org/officeDocument/2006/relationships/settings" Target="settings.xml"/><Relationship Id="rId9" Type="http://schemas.microsoft.com/office/2014/relationships/chartEx" Target="charts/chartEx1.xml"/><Relationship Id="rId14" Type="http://schemas.openxmlformats.org/officeDocument/2006/relationships/chart" Target="charts/chart2.xml"/><Relationship Id="rId22" Type="http://schemas.openxmlformats.org/officeDocument/2006/relationships/hyperlink" Target="https://doi.org/10.46488/NEPT.2021.v20i04.007" TargetMode="External"/><Relationship Id="rId27" Type="http://schemas.openxmlformats.org/officeDocument/2006/relationships/hyperlink" Target="https://doi.org/10.1007/s12601-017-0045-0" TargetMode="External"/><Relationship Id="rId30" Type="http://schemas.openxmlformats.org/officeDocument/2006/relationships/hyperlink" Target="https://doi.org/10.1016/j.marchem.2019.103662"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C&#193;C%20M&#7908;C\B&#224;i%20b&#225;o\C&#225;c%20b&#7843;n%20th&#7843;o%20b&#224;i%20b&#225;o%20t&#7915;%202025\2026%20to&#224;n%20v&#259;n%20b&#224;i%20b&#225;o\b&#224;i%20C&#7847;n%20Gi&#7901;\wqi%20ki&#234;n.xlsx" TargetMode="External"/><Relationship Id="rId4" Type="http://schemas.openxmlformats.org/officeDocument/2006/relationships/themeOverride" Target="../theme/themeOverride1.xml"/></Relationships>
</file>

<file path=word/charts/_rels/chartEx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C&#193;C%20M&#7908;C\B&#224;i%20b&#225;o\C&#225;c%20b&#7843;n%20th&#7843;o%20b&#224;i%20b&#225;o%20t&#7915;%202025\2026%20to&#224;n%20v&#259;n%20b&#224;i%20b&#225;o\b&#224;i%20C&#7847;n%20Gi&#7901;\wqi%20ki&#234;n.xlsx" TargetMode="External"/><Relationship Id="rId4"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097394590391099E-2"/>
          <c:y val="5.0439422325997532E-2"/>
          <c:w val="0.8765382155558159"/>
          <c:h val="0.75056828833895761"/>
        </c:manualLayout>
      </c:layout>
      <c:barChart>
        <c:barDir val="col"/>
        <c:grouping val="clustered"/>
        <c:varyColors val="0"/>
        <c:ser>
          <c:idx val="0"/>
          <c:order val="0"/>
          <c:tx>
            <c:strRef>
              <c:f>'3. Mối liên hệ'!$H$3</c:f>
              <c:strCache>
                <c:ptCount val="1"/>
                <c:pt idx="0">
                  <c:v>BOD (Dry)</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hệ'!$H$4:$H$17</c:f>
              <c:numCache>
                <c:formatCode>General</c:formatCode>
                <c:ptCount val="14"/>
                <c:pt idx="0">
                  <c:v>28</c:v>
                </c:pt>
                <c:pt idx="1">
                  <c:v>29</c:v>
                </c:pt>
                <c:pt idx="2">
                  <c:v>27</c:v>
                </c:pt>
                <c:pt idx="3">
                  <c:v>27</c:v>
                </c:pt>
                <c:pt idx="4">
                  <c:v>24</c:v>
                </c:pt>
                <c:pt idx="5">
                  <c:v>22</c:v>
                </c:pt>
                <c:pt idx="6">
                  <c:v>31</c:v>
                </c:pt>
                <c:pt idx="7">
                  <c:v>26</c:v>
                </c:pt>
                <c:pt idx="8">
                  <c:v>34</c:v>
                </c:pt>
                <c:pt idx="9">
                  <c:v>37</c:v>
                </c:pt>
                <c:pt idx="10">
                  <c:v>39</c:v>
                </c:pt>
                <c:pt idx="11">
                  <c:v>35</c:v>
                </c:pt>
                <c:pt idx="12">
                  <c:v>27</c:v>
                </c:pt>
                <c:pt idx="13">
                  <c:v>28</c:v>
                </c:pt>
              </c:numCache>
            </c:numRef>
          </c:val>
          <c:extLst>
            <c:ext xmlns:c16="http://schemas.microsoft.com/office/drawing/2014/chart" uri="{C3380CC4-5D6E-409C-BE32-E72D297353CC}">
              <c16:uniqueId val="{00000000-E590-4135-9527-D1F06A96F9B2}"/>
            </c:ext>
          </c:extLst>
        </c:ser>
        <c:ser>
          <c:idx val="1"/>
          <c:order val="1"/>
          <c:tx>
            <c:strRef>
              <c:f>'3. Mối liên hệ'!$I$3</c:f>
              <c:strCache>
                <c:ptCount val="1"/>
                <c:pt idx="0">
                  <c:v>BOD (Rainy)</c:v>
                </c:pt>
              </c:strCache>
            </c:strRef>
          </c:tx>
          <c:spPr>
            <a:solidFill>
              <a:schemeClr val="accent5">
                <a:lumMod val="40000"/>
                <a:lumOff val="6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hệ'!$I$4:$I$17</c:f>
              <c:numCache>
                <c:formatCode>General</c:formatCode>
                <c:ptCount val="14"/>
                <c:pt idx="0">
                  <c:v>20</c:v>
                </c:pt>
                <c:pt idx="1">
                  <c:v>21</c:v>
                </c:pt>
                <c:pt idx="2">
                  <c:v>20</c:v>
                </c:pt>
                <c:pt idx="3">
                  <c:v>21</c:v>
                </c:pt>
                <c:pt idx="4">
                  <c:v>18</c:v>
                </c:pt>
                <c:pt idx="5">
                  <c:v>21</c:v>
                </c:pt>
                <c:pt idx="6">
                  <c:v>25</c:v>
                </c:pt>
                <c:pt idx="7">
                  <c:v>23</c:v>
                </c:pt>
                <c:pt idx="8">
                  <c:v>25</c:v>
                </c:pt>
                <c:pt idx="9">
                  <c:v>32</c:v>
                </c:pt>
                <c:pt idx="10">
                  <c:v>29</c:v>
                </c:pt>
                <c:pt idx="11">
                  <c:v>29</c:v>
                </c:pt>
                <c:pt idx="12">
                  <c:v>24</c:v>
                </c:pt>
                <c:pt idx="13">
                  <c:v>24</c:v>
                </c:pt>
              </c:numCache>
            </c:numRef>
          </c:val>
          <c:extLst>
            <c:ext xmlns:c16="http://schemas.microsoft.com/office/drawing/2014/chart" uri="{C3380CC4-5D6E-409C-BE32-E72D297353CC}">
              <c16:uniqueId val="{00000001-E590-4135-9527-D1F06A96F9B2}"/>
            </c:ext>
          </c:extLst>
        </c:ser>
        <c:ser>
          <c:idx val="2"/>
          <c:order val="2"/>
          <c:tx>
            <c:strRef>
              <c:f>'3. Mối liên hệ'!$J$3</c:f>
              <c:strCache>
                <c:ptCount val="1"/>
                <c:pt idx="0">
                  <c:v>COD (Dry)</c:v>
                </c:pt>
              </c:strCache>
            </c:strRef>
          </c:tx>
          <c:spPr>
            <a:solidFill>
              <a:schemeClr val="bg1">
                <a:lumMod val="5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hệ'!$J$4:$J$17</c:f>
              <c:numCache>
                <c:formatCode>#,##0</c:formatCode>
                <c:ptCount val="14"/>
                <c:pt idx="0">
                  <c:v>48</c:v>
                </c:pt>
                <c:pt idx="1">
                  <c:v>50</c:v>
                </c:pt>
                <c:pt idx="2">
                  <c:v>48</c:v>
                </c:pt>
                <c:pt idx="3">
                  <c:v>47</c:v>
                </c:pt>
                <c:pt idx="4">
                  <c:v>44</c:v>
                </c:pt>
                <c:pt idx="5">
                  <c:v>38</c:v>
                </c:pt>
                <c:pt idx="6">
                  <c:v>56</c:v>
                </c:pt>
                <c:pt idx="7">
                  <c:v>43</c:v>
                </c:pt>
                <c:pt idx="8">
                  <c:v>58</c:v>
                </c:pt>
                <c:pt idx="9">
                  <c:v>63</c:v>
                </c:pt>
                <c:pt idx="10">
                  <c:v>66</c:v>
                </c:pt>
                <c:pt idx="11">
                  <c:v>59</c:v>
                </c:pt>
                <c:pt idx="12">
                  <c:v>48</c:v>
                </c:pt>
                <c:pt idx="13">
                  <c:v>49</c:v>
                </c:pt>
              </c:numCache>
            </c:numRef>
          </c:val>
          <c:extLst>
            <c:ext xmlns:c16="http://schemas.microsoft.com/office/drawing/2014/chart" uri="{C3380CC4-5D6E-409C-BE32-E72D297353CC}">
              <c16:uniqueId val="{00000002-E590-4135-9527-D1F06A96F9B2}"/>
            </c:ext>
          </c:extLst>
        </c:ser>
        <c:ser>
          <c:idx val="3"/>
          <c:order val="3"/>
          <c:tx>
            <c:strRef>
              <c:f>'3. Mối liên hệ'!$K$3</c:f>
              <c:strCache>
                <c:ptCount val="1"/>
                <c:pt idx="0">
                  <c:v>COD (Rainy)</c:v>
                </c:pt>
              </c:strCache>
            </c:strRef>
          </c:tx>
          <c:spPr>
            <a:solidFill>
              <a:schemeClr val="bg1">
                <a:lumMod val="7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hệ'!$K$4:$K$17</c:f>
              <c:numCache>
                <c:formatCode>#,##0</c:formatCode>
                <c:ptCount val="14"/>
                <c:pt idx="0">
                  <c:v>36</c:v>
                </c:pt>
                <c:pt idx="1">
                  <c:v>38</c:v>
                </c:pt>
                <c:pt idx="2">
                  <c:v>36</c:v>
                </c:pt>
                <c:pt idx="3">
                  <c:v>37</c:v>
                </c:pt>
                <c:pt idx="4">
                  <c:v>32</c:v>
                </c:pt>
                <c:pt idx="5">
                  <c:v>38</c:v>
                </c:pt>
                <c:pt idx="6">
                  <c:v>44</c:v>
                </c:pt>
                <c:pt idx="7">
                  <c:v>42</c:v>
                </c:pt>
                <c:pt idx="8">
                  <c:v>46</c:v>
                </c:pt>
                <c:pt idx="9">
                  <c:v>57</c:v>
                </c:pt>
                <c:pt idx="10">
                  <c:v>54</c:v>
                </c:pt>
                <c:pt idx="11">
                  <c:v>53</c:v>
                </c:pt>
                <c:pt idx="12">
                  <c:v>43</c:v>
                </c:pt>
                <c:pt idx="13">
                  <c:v>42</c:v>
                </c:pt>
              </c:numCache>
            </c:numRef>
          </c:val>
          <c:extLst>
            <c:ext xmlns:c16="http://schemas.microsoft.com/office/drawing/2014/chart" uri="{C3380CC4-5D6E-409C-BE32-E72D297353CC}">
              <c16:uniqueId val="{00000003-E590-4135-9527-D1F06A96F9B2}"/>
            </c:ext>
          </c:extLst>
        </c:ser>
        <c:dLbls>
          <c:showLegendKey val="0"/>
          <c:showVal val="0"/>
          <c:showCatName val="0"/>
          <c:showSerName val="0"/>
          <c:showPercent val="0"/>
          <c:showBubbleSize val="0"/>
        </c:dLbls>
        <c:gapWidth val="219"/>
        <c:overlap val="-27"/>
        <c:axId val="317511088"/>
        <c:axId val="317511808"/>
      </c:barChart>
      <c:catAx>
        <c:axId val="317511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Sites</a:t>
                </a:r>
              </a:p>
            </c:rich>
          </c:tx>
          <c:layout>
            <c:manualLayout>
              <c:xMode val="edge"/>
              <c:yMode val="edge"/>
              <c:x val="0.90958456581816161"/>
              <c:y val="0.8913850612423447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7511808"/>
        <c:crosses val="autoZero"/>
        <c:auto val="1"/>
        <c:lblAlgn val="ctr"/>
        <c:lblOffset val="100"/>
        <c:noMultiLvlLbl val="0"/>
      </c:catAx>
      <c:valAx>
        <c:axId val="3175118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Concentration (mg/L)</a:t>
                </a:r>
              </a:p>
            </c:rich>
          </c:tx>
          <c:layout>
            <c:manualLayout>
              <c:xMode val="edge"/>
              <c:yMode val="edge"/>
              <c:x val="7.9905065955734114E-3"/>
              <c:y val="0.170615200566672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7511088"/>
        <c:crosses val="autoZero"/>
        <c:crossBetween val="between"/>
      </c:valAx>
      <c:spPr>
        <a:noFill/>
        <a:ln w="6350">
          <a:solidFill>
            <a:schemeClr val="bg1">
              <a:lumMod val="50000"/>
            </a:schemeClr>
          </a:solidFill>
        </a:ln>
        <a:effectLst/>
      </c:spPr>
    </c:plotArea>
    <c:legend>
      <c:legendPos val="b"/>
      <c:layout>
        <c:manualLayout>
          <c:xMode val="edge"/>
          <c:yMode val="edge"/>
          <c:x val="0.18674870502298324"/>
          <c:y val="0.90337965566804146"/>
          <c:w val="0.62650256145374927"/>
          <c:h val="7.43739085594775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50832620123032"/>
          <c:y val="3.6171644764209254E-2"/>
          <c:w val="0.86052163069044019"/>
          <c:h val="0.7242341472560766"/>
        </c:manualLayout>
      </c:layout>
      <c:barChart>
        <c:barDir val="col"/>
        <c:grouping val="clustered"/>
        <c:varyColors val="0"/>
        <c:ser>
          <c:idx val="0"/>
          <c:order val="0"/>
          <c:tx>
            <c:strRef>
              <c:f>'3. Mối liên hệ'!$L$3</c:f>
              <c:strCache>
                <c:ptCount val="1"/>
                <c:pt idx="0">
                  <c:v>N-NH4 (Dry)</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hệ'!$L$4:$L$17</c:f>
              <c:numCache>
                <c:formatCode>#,##0.00</c:formatCode>
                <c:ptCount val="14"/>
                <c:pt idx="0">
                  <c:v>0.247</c:v>
                </c:pt>
                <c:pt idx="1">
                  <c:v>0.24</c:v>
                </c:pt>
                <c:pt idx="2">
                  <c:v>0.26</c:v>
                </c:pt>
                <c:pt idx="3">
                  <c:v>0.15</c:v>
                </c:pt>
                <c:pt idx="4">
                  <c:v>0.34</c:v>
                </c:pt>
                <c:pt idx="5">
                  <c:v>0.28000000000000003</c:v>
                </c:pt>
                <c:pt idx="6">
                  <c:v>0.28999999999999998</c:v>
                </c:pt>
                <c:pt idx="7">
                  <c:v>0.28999999999999998</c:v>
                </c:pt>
                <c:pt idx="8">
                  <c:v>0.37</c:v>
                </c:pt>
                <c:pt idx="9">
                  <c:v>0.28999999999999998</c:v>
                </c:pt>
                <c:pt idx="10">
                  <c:v>0.19</c:v>
                </c:pt>
                <c:pt idx="11">
                  <c:v>0.25</c:v>
                </c:pt>
                <c:pt idx="12">
                  <c:v>0.34</c:v>
                </c:pt>
                <c:pt idx="13">
                  <c:v>0.15</c:v>
                </c:pt>
              </c:numCache>
            </c:numRef>
          </c:val>
          <c:extLst>
            <c:ext xmlns:c16="http://schemas.microsoft.com/office/drawing/2014/chart" uri="{C3380CC4-5D6E-409C-BE32-E72D297353CC}">
              <c16:uniqueId val="{00000000-66EC-4EF3-928F-AE6F36169D26}"/>
            </c:ext>
          </c:extLst>
        </c:ser>
        <c:ser>
          <c:idx val="1"/>
          <c:order val="1"/>
          <c:tx>
            <c:strRef>
              <c:f>'3. Mối liên hệ'!$M$3</c:f>
              <c:strCache>
                <c:ptCount val="1"/>
                <c:pt idx="0">
                  <c:v>N-NH4 (Rainy)</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hệ'!$M$4:$M$17</c:f>
              <c:numCache>
                <c:formatCode>#,##0.00</c:formatCode>
                <c:ptCount val="14"/>
                <c:pt idx="0">
                  <c:v>0.251</c:v>
                </c:pt>
                <c:pt idx="1">
                  <c:v>0.26200000000000001</c:v>
                </c:pt>
                <c:pt idx="2">
                  <c:v>0.26100000000000001</c:v>
                </c:pt>
                <c:pt idx="3">
                  <c:v>0.24099999999999999</c:v>
                </c:pt>
                <c:pt idx="4">
                  <c:v>0.33100000000000002</c:v>
                </c:pt>
                <c:pt idx="5">
                  <c:v>0.32200000000000001</c:v>
                </c:pt>
                <c:pt idx="6">
                  <c:v>0.28799999999999998</c:v>
                </c:pt>
                <c:pt idx="7">
                  <c:v>0.33100000000000002</c:v>
                </c:pt>
                <c:pt idx="8">
                  <c:v>0.32200000000000001</c:v>
                </c:pt>
                <c:pt idx="9">
                  <c:v>0.28899999999999998</c:v>
                </c:pt>
                <c:pt idx="10">
                  <c:v>0.27800000000000002</c:v>
                </c:pt>
                <c:pt idx="11">
                  <c:v>0.28299999999999997</c:v>
                </c:pt>
                <c:pt idx="12">
                  <c:v>0.23300000000000001</c:v>
                </c:pt>
                <c:pt idx="13">
                  <c:v>0.29699999999999999</c:v>
                </c:pt>
              </c:numCache>
            </c:numRef>
          </c:val>
          <c:extLst>
            <c:ext xmlns:c16="http://schemas.microsoft.com/office/drawing/2014/chart" uri="{C3380CC4-5D6E-409C-BE32-E72D297353CC}">
              <c16:uniqueId val="{00000001-66EC-4EF3-928F-AE6F36169D26}"/>
            </c:ext>
          </c:extLst>
        </c:ser>
        <c:ser>
          <c:idx val="2"/>
          <c:order val="2"/>
          <c:tx>
            <c:strRef>
              <c:f>'3. Mối liên hệ'!$N$3</c:f>
              <c:strCache>
                <c:ptCount val="1"/>
                <c:pt idx="0">
                  <c:v>N-NO2 (Dry)</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hệ'!$N$4:$N$17</c:f>
              <c:numCache>
                <c:formatCode>#,##0.00</c:formatCode>
                <c:ptCount val="14"/>
                <c:pt idx="0">
                  <c:v>0.1</c:v>
                </c:pt>
                <c:pt idx="1">
                  <c:v>7.0000000000000007E-2</c:v>
                </c:pt>
                <c:pt idx="2">
                  <c:v>0.11</c:v>
                </c:pt>
                <c:pt idx="3">
                  <c:v>0.09</c:v>
                </c:pt>
                <c:pt idx="4">
                  <c:v>0.09</c:v>
                </c:pt>
                <c:pt idx="5">
                  <c:v>0.16</c:v>
                </c:pt>
                <c:pt idx="6">
                  <c:v>0.14000000000000001</c:v>
                </c:pt>
                <c:pt idx="7">
                  <c:v>0.13</c:v>
                </c:pt>
                <c:pt idx="8">
                  <c:v>0.1</c:v>
                </c:pt>
                <c:pt idx="9">
                  <c:v>0.08</c:v>
                </c:pt>
                <c:pt idx="10">
                  <c:v>0.21</c:v>
                </c:pt>
                <c:pt idx="11">
                  <c:v>0.13</c:v>
                </c:pt>
                <c:pt idx="12">
                  <c:v>0.24</c:v>
                </c:pt>
                <c:pt idx="13">
                  <c:v>0.13</c:v>
                </c:pt>
              </c:numCache>
            </c:numRef>
          </c:val>
          <c:extLst>
            <c:ext xmlns:c16="http://schemas.microsoft.com/office/drawing/2014/chart" uri="{C3380CC4-5D6E-409C-BE32-E72D297353CC}">
              <c16:uniqueId val="{00000002-66EC-4EF3-928F-AE6F36169D26}"/>
            </c:ext>
          </c:extLst>
        </c:ser>
        <c:ser>
          <c:idx val="3"/>
          <c:order val="3"/>
          <c:tx>
            <c:strRef>
              <c:f>'3. Mối liên hệ'!$O$3</c:f>
              <c:strCache>
                <c:ptCount val="1"/>
                <c:pt idx="0">
                  <c:v>N-NO2 (Rainy)</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hệ'!$O$4:$O$17</c:f>
              <c:numCache>
                <c:formatCode>#,##0.00</c:formatCode>
                <c:ptCount val="14"/>
                <c:pt idx="0">
                  <c:v>0.17399999999999999</c:v>
                </c:pt>
                <c:pt idx="1">
                  <c:v>4.1000000000000002E-2</c:v>
                </c:pt>
                <c:pt idx="2">
                  <c:v>3.5000000000000003E-2</c:v>
                </c:pt>
                <c:pt idx="3">
                  <c:v>3.9E-2</c:v>
                </c:pt>
                <c:pt idx="4">
                  <c:v>3.6999999999999998E-2</c:v>
                </c:pt>
                <c:pt idx="5">
                  <c:v>4.1000000000000002E-2</c:v>
                </c:pt>
                <c:pt idx="6">
                  <c:v>3.7999999999999999E-2</c:v>
                </c:pt>
                <c:pt idx="7">
                  <c:v>3.1E-2</c:v>
                </c:pt>
                <c:pt idx="8">
                  <c:v>4.1000000000000002E-2</c:v>
                </c:pt>
                <c:pt idx="9">
                  <c:v>3.4000000000000002E-2</c:v>
                </c:pt>
                <c:pt idx="10">
                  <c:v>8.6999999999999994E-2</c:v>
                </c:pt>
                <c:pt idx="11">
                  <c:v>4.1000000000000002E-2</c:v>
                </c:pt>
                <c:pt idx="12">
                  <c:v>0.14899999999999999</c:v>
                </c:pt>
                <c:pt idx="13">
                  <c:v>8.1000000000000003E-2</c:v>
                </c:pt>
              </c:numCache>
            </c:numRef>
          </c:val>
          <c:extLst>
            <c:ext xmlns:c16="http://schemas.microsoft.com/office/drawing/2014/chart" uri="{C3380CC4-5D6E-409C-BE32-E72D297353CC}">
              <c16:uniqueId val="{00000003-66EC-4EF3-928F-AE6F36169D26}"/>
            </c:ext>
          </c:extLst>
        </c:ser>
        <c:ser>
          <c:idx val="4"/>
          <c:order val="4"/>
          <c:tx>
            <c:strRef>
              <c:f>'3. Mối liên hệ'!$P$3</c:f>
              <c:strCache>
                <c:ptCount val="1"/>
                <c:pt idx="0">
                  <c:v>P-PO4 (Dry)</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hệ'!$P$4:$P$17</c:f>
              <c:numCache>
                <c:formatCode>#,##0.00</c:formatCode>
                <c:ptCount val="14"/>
                <c:pt idx="0">
                  <c:v>0.02</c:v>
                </c:pt>
                <c:pt idx="1">
                  <c:v>0.09</c:v>
                </c:pt>
                <c:pt idx="2">
                  <c:v>0.06</c:v>
                </c:pt>
                <c:pt idx="3">
                  <c:v>0.03</c:v>
                </c:pt>
                <c:pt idx="4">
                  <c:v>0.1</c:v>
                </c:pt>
                <c:pt idx="5">
                  <c:v>0.12</c:v>
                </c:pt>
                <c:pt idx="6">
                  <c:v>7.0000000000000007E-2</c:v>
                </c:pt>
                <c:pt idx="7">
                  <c:v>0.14000000000000001</c:v>
                </c:pt>
                <c:pt idx="8">
                  <c:v>2.1000000000000001E-2</c:v>
                </c:pt>
                <c:pt idx="9">
                  <c:v>0.1</c:v>
                </c:pt>
                <c:pt idx="10">
                  <c:v>0.05</c:v>
                </c:pt>
                <c:pt idx="11">
                  <c:v>0.15</c:v>
                </c:pt>
                <c:pt idx="12">
                  <c:v>0.21</c:v>
                </c:pt>
                <c:pt idx="13">
                  <c:v>0.06</c:v>
                </c:pt>
              </c:numCache>
            </c:numRef>
          </c:val>
          <c:extLst>
            <c:ext xmlns:c16="http://schemas.microsoft.com/office/drawing/2014/chart" uri="{C3380CC4-5D6E-409C-BE32-E72D297353CC}">
              <c16:uniqueId val="{00000004-66EC-4EF3-928F-AE6F36169D26}"/>
            </c:ext>
          </c:extLst>
        </c:ser>
        <c:ser>
          <c:idx val="5"/>
          <c:order val="5"/>
          <c:tx>
            <c:strRef>
              <c:f>'3. Mối liên hệ'!$Q$3</c:f>
              <c:strCache>
                <c:ptCount val="1"/>
                <c:pt idx="0">
                  <c:v>P-PO4 (Rainy)</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hệ'!$Q$4:$Q$17</c:f>
              <c:numCache>
                <c:formatCode>#,##0.00</c:formatCode>
                <c:ptCount val="14"/>
                <c:pt idx="0">
                  <c:v>6.9000000000000006E-2</c:v>
                </c:pt>
                <c:pt idx="1">
                  <c:v>6.5000000000000002E-2</c:v>
                </c:pt>
                <c:pt idx="2">
                  <c:v>0.221</c:v>
                </c:pt>
                <c:pt idx="3">
                  <c:v>7.4999999999999997E-2</c:v>
                </c:pt>
                <c:pt idx="4">
                  <c:v>0.129</c:v>
                </c:pt>
                <c:pt idx="5">
                  <c:v>7.3999999999999996E-2</c:v>
                </c:pt>
                <c:pt idx="6">
                  <c:v>6.4000000000000001E-2</c:v>
                </c:pt>
                <c:pt idx="7">
                  <c:v>9.7000000000000003E-2</c:v>
                </c:pt>
                <c:pt idx="8">
                  <c:v>0.129</c:v>
                </c:pt>
                <c:pt idx="9">
                  <c:v>6.7000000000000004E-2</c:v>
                </c:pt>
                <c:pt idx="10">
                  <c:v>8.4000000000000005E-2</c:v>
                </c:pt>
                <c:pt idx="11">
                  <c:v>0.185</c:v>
                </c:pt>
                <c:pt idx="12">
                  <c:v>9.6000000000000002E-2</c:v>
                </c:pt>
                <c:pt idx="13">
                  <c:v>0.17399999999999999</c:v>
                </c:pt>
              </c:numCache>
            </c:numRef>
          </c:val>
          <c:extLst>
            <c:ext xmlns:c16="http://schemas.microsoft.com/office/drawing/2014/chart" uri="{C3380CC4-5D6E-409C-BE32-E72D297353CC}">
              <c16:uniqueId val="{00000005-66EC-4EF3-928F-AE6F36169D26}"/>
            </c:ext>
          </c:extLst>
        </c:ser>
        <c:dLbls>
          <c:showLegendKey val="0"/>
          <c:showVal val="0"/>
          <c:showCatName val="0"/>
          <c:showSerName val="0"/>
          <c:showPercent val="0"/>
          <c:showBubbleSize val="0"/>
        </c:dLbls>
        <c:gapWidth val="219"/>
        <c:overlap val="-27"/>
        <c:axId val="553127192"/>
        <c:axId val="550794664"/>
      </c:barChart>
      <c:catAx>
        <c:axId val="553127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Sites</a:t>
                </a:r>
              </a:p>
            </c:rich>
          </c:tx>
          <c:layout>
            <c:manualLayout>
              <c:xMode val="edge"/>
              <c:yMode val="edge"/>
              <c:x val="0.93427643390288695"/>
              <c:y val="0.8264952510171460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0794664"/>
        <c:crosses val="autoZero"/>
        <c:auto val="1"/>
        <c:lblAlgn val="ctr"/>
        <c:lblOffset val="100"/>
        <c:noMultiLvlLbl val="0"/>
      </c:catAx>
      <c:valAx>
        <c:axId val="55079466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Concentration (mg/L)</a:t>
                </a:r>
              </a:p>
            </c:rich>
          </c:tx>
          <c:layout>
            <c:manualLayout>
              <c:xMode val="edge"/>
              <c:yMode val="edge"/>
              <c:x val="6.5372844840898628E-3"/>
              <c:y val="0.1321965391578441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3127192"/>
        <c:crosses val="autoZero"/>
        <c:crossBetween val="between"/>
      </c:valAx>
      <c:spPr>
        <a:noFill/>
        <a:ln w="6350">
          <a:solidFill>
            <a:schemeClr val="bg1">
              <a:lumMod val="50000"/>
            </a:schemeClr>
          </a:solidFill>
        </a:ln>
        <a:effectLst/>
      </c:spPr>
    </c:plotArea>
    <c:legend>
      <c:legendPos val="b"/>
      <c:layout>
        <c:manualLayout>
          <c:xMode val="edge"/>
          <c:yMode val="edge"/>
          <c:x val="5.2328135859200008E-2"/>
          <c:y val="0.88859048648232253"/>
          <c:w val="0.89999992337499435"/>
          <c:h val="7.828490844868013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5161854768154"/>
          <c:y val="5.0925925925925923E-2"/>
          <c:w val="0.82885260480983236"/>
          <c:h val="0.75318678915135606"/>
        </c:manualLayout>
      </c:layout>
      <c:scatterChart>
        <c:scatterStyle val="lineMarker"/>
        <c:varyColors val="0"/>
        <c:ser>
          <c:idx val="0"/>
          <c:order val="0"/>
          <c:tx>
            <c:v>Dry season</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7.0391951006124234E-2"/>
                  <c:y val="0.17264071157771946"/>
                </c:manualLayout>
              </c:layout>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aseline="0"/>
                      <a:t>y = 0.027x + 3.96</a:t>
                    </a:r>
                    <a:br>
                      <a:rPr lang="en-US" baseline="0"/>
                    </a:br>
                    <a:r>
                      <a:rPr lang="en-US" baseline="0"/>
                      <a:t>R² = 0.1012</a:t>
                    </a:r>
                    <a:endParaRPr lang="en-US"/>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'3. Mối liên hệ'!$H$4:$H$17</c:f>
              <c:numCache>
                <c:formatCode>General</c:formatCode>
                <c:ptCount val="14"/>
                <c:pt idx="0">
                  <c:v>28</c:v>
                </c:pt>
                <c:pt idx="1">
                  <c:v>29</c:v>
                </c:pt>
                <c:pt idx="2">
                  <c:v>27</c:v>
                </c:pt>
                <c:pt idx="3">
                  <c:v>27</c:v>
                </c:pt>
                <c:pt idx="4">
                  <c:v>24</c:v>
                </c:pt>
                <c:pt idx="5">
                  <c:v>22</c:v>
                </c:pt>
                <c:pt idx="6">
                  <c:v>31</c:v>
                </c:pt>
                <c:pt idx="7">
                  <c:v>26</c:v>
                </c:pt>
                <c:pt idx="8">
                  <c:v>34</c:v>
                </c:pt>
                <c:pt idx="9">
                  <c:v>37</c:v>
                </c:pt>
                <c:pt idx="10">
                  <c:v>39</c:v>
                </c:pt>
                <c:pt idx="11">
                  <c:v>35</c:v>
                </c:pt>
                <c:pt idx="12">
                  <c:v>27</c:v>
                </c:pt>
                <c:pt idx="13">
                  <c:v>28</c:v>
                </c:pt>
              </c:numCache>
            </c:numRef>
          </c:xVal>
          <c:yVal>
            <c:numRef>
              <c:f>'3. Mối liên hệ'!$F$4:$F$17</c:f>
              <c:numCache>
                <c:formatCode>#,##0.0</c:formatCode>
                <c:ptCount val="14"/>
                <c:pt idx="0">
                  <c:v>4.2</c:v>
                </c:pt>
                <c:pt idx="1">
                  <c:v>4.4000000000000004</c:v>
                </c:pt>
                <c:pt idx="2">
                  <c:v>4.5999999999999996</c:v>
                </c:pt>
                <c:pt idx="3">
                  <c:v>4.5999999999999996</c:v>
                </c:pt>
                <c:pt idx="4">
                  <c:v>4.0999999999999996</c:v>
                </c:pt>
                <c:pt idx="5">
                  <c:v>4.8</c:v>
                </c:pt>
                <c:pt idx="6">
                  <c:v>4.9000000000000004</c:v>
                </c:pt>
                <c:pt idx="7">
                  <c:v>4.4000000000000004</c:v>
                </c:pt>
                <c:pt idx="8">
                  <c:v>4.8</c:v>
                </c:pt>
                <c:pt idx="9">
                  <c:v>4.8</c:v>
                </c:pt>
                <c:pt idx="10">
                  <c:v>5.0999999999999996</c:v>
                </c:pt>
                <c:pt idx="11">
                  <c:v>5</c:v>
                </c:pt>
                <c:pt idx="12">
                  <c:v>5.4</c:v>
                </c:pt>
                <c:pt idx="13">
                  <c:v>5.6</c:v>
                </c:pt>
              </c:numCache>
            </c:numRef>
          </c:yVal>
          <c:smooth val="0"/>
          <c:extLst>
            <c:ext xmlns:c16="http://schemas.microsoft.com/office/drawing/2014/chart" uri="{C3380CC4-5D6E-409C-BE32-E72D297353CC}">
              <c16:uniqueId val="{00000001-13D5-4106-A30E-FAF04255763A}"/>
            </c:ext>
          </c:extLst>
        </c:ser>
        <c:ser>
          <c:idx val="1"/>
          <c:order val="1"/>
          <c:tx>
            <c:v>Rainy season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0.1628902012248469"/>
                  <c:y val="9.3513414989792945E-2"/>
                </c:manualLayout>
              </c:layout>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aseline="0"/>
                      <a:t>y = 0.083x + 2.99</a:t>
                    </a:r>
                    <a:br>
                      <a:rPr lang="en-US" baseline="0"/>
                    </a:br>
                    <a:r>
                      <a:rPr lang="en-US" baseline="0"/>
                      <a:t>R² = 0.4123</a:t>
                    </a:r>
                    <a:endParaRPr lang="en-US"/>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'3. Mối liên hệ'!$I$4:$I$17</c:f>
              <c:numCache>
                <c:formatCode>General</c:formatCode>
                <c:ptCount val="14"/>
                <c:pt idx="0">
                  <c:v>20</c:v>
                </c:pt>
                <c:pt idx="1">
                  <c:v>21</c:v>
                </c:pt>
                <c:pt idx="2">
                  <c:v>20</c:v>
                </c:pt>
                <c:pt idx="3">
                  <c:v>21</c:v>
                </c:pt>
                <c:pt idx="4">
                  <c:v>18</c:v>
                </c:pt>
                <c:pt idx="5">
                  <c:v>21</c:v>
                </c:pt>
                <c:pt idx="6">
                  <c:v>25</c:v>
                </c:pt>
                <c:pt idx="7">
                  <c:v>23</c:v>
                </c:pt>
                <c:pt idx="8">
                  <c:v>25</c:v>
                </c:pt>
                <c:pt idx="9">
                  <c:v>32</c:v>
                </c:pt>
                <c:pt idx="10">
                  <c:v>29</c:v>
                </c:pt>
                <c:pt idx="11">
                  <c:v>29</c:v>
                </c:pt>
                <c:pt idx="12">
                  <c:v>24</c:v>
                </c:pt>
                <c:pt idx="13">
                  <c:v>24</c:v>
                </c:pt>
              </c:numCache>
            </c:numRef>
          </c:xVal>
          <c:yVal>
            <c:numRef>
              <c:f>'3. Mối liên hệ'!$G$4:$G$17</c:f>
              <c:numCache>
                <c:formatCode>#,##0.0</c:formatCode>
                <c:ptCount val="14"/>
                <c:pt idx="0">
                  <c:v>4.3</c:v>
                </c:pt>
                <c:pt idx="1">
                  <c:v>4.4000000000000004</c:v>
                </c:pt>
                <c:pt idx="2">
                  <c:v>4.5999999999999996</c:v>
                </c:pt>
                <c:pt idx="3">
                  <c:v>4.5999999999999996</c:v>
                </c:pt>
                <c:pt idx="4">
                  <c:v>4.3</c:v>
                </c:pt>
                <c:pt idx="5">
                  <c:v>4.9000000000000004</c:v>
                </c:pt>
                <c:pt idx="6">
                  <c:v>5</c:v>
                </c:pt>
                <c:pt idx="7">
                  <c:v>4.8</c:v>
                </c:pt>
                <c:pt idx="8">
                  <c:v>4.8</c:v>
                </c:pt>
                <c:pt idx="9">
                  <c:v>5.0999999999999996</c:v>
                </c:pt>
                <c:pt idx="10">
                  <c:v>5.6</c:v>
                </c:pt>
                <c:pt idx="11">
                  <c:v>5.4</c:v>
                </c:pt>
                <c:pt idx="12">
                  <c:v>5.8</c:v>
                </c:pt>
                <c:pt idx="13">
                  <c:v>5.8</c:v>
                </c:pt>
              </c:numCache>
            </c:numRef>
          </c:yVal>
          <c:smooth val="0"/>
          <c:extLst>
            <c:ext xmlns:c16="http://schemas.microsoft.com/office/drawing/2014/chart" uri="{C3380CC4-5D6E-409C-BE32-E72D297353CC}">
              <c16:uniqueId val="{00000003-13D5-4106-A30E-FAF04255763A}"/>
            </c:ext>
          </c:extLst>
        </c:ser>
        <c:dLbls>
          <c:showLegendKey val="0"/>
          <c:showVal val="0"/>
          <c:showCatName val="0"/>
          <c:showSerName val="0"/>
          <c:showPercent val="0"/>
          <c:showBubbleSize val="0"/>
        </c:dLbls>
        <c:axId val="554214112"/>
        <c:axId val="554214832"/>
      </c:scatterChart>
      <c:valAx>
        <c:axId val="554214112"/>
        <c:scaling>
          <c:orientation val="minMax"/>
          <c:min val="15"/>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BOD5 (mg L-1)</a:t>
                </a:r>
              </a:p>
            </c:rich>
          </c:tx>
          <c:layout>
            <c:manualLayout>
              <c:xMode val="edge"/>
              <c:yMode val="edge"/>
              <c:x val="0.63922777104134842"/>
              <c:y val="0.893702907907350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4214832"/>
        <c:crosses val="autoZero"/>
        <c:crossBetween val="midCat"/>
      </c:valAx>
      <c:valAx>
        <c:axId val="554214832"/>
        <c:scaling>
          <c:orientation val="minMax"/>
          <c:min val="4"/>
        </c:scaling>
        <c:delete val="0"/>
        <c:axPos val="l"/>
        <c:majorGridlines>
          <c:spPr>
            <a:ln w="6350"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DO (mg L-1)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4214112"/>
        <c:crosses val="autoZero"/>
        <c:crossBetween val="midCat"/>
      </c:valAx>
      <c:spPr>
        <a:noFill/>
        <a:ln w="6350">
          <a:solidFill>
            <a:schemeClr val="bg1">
              <a:lumMod val="75000"/>
            </a:schemeClr>
          </a:solidFill>
        </a:ln>
        <a:effectLst/>
      </c:spPr>
    </c:plotArea>
    <c:legend>
      <c:legendPos val="r"/>
      <c:legendEntry>
        <c:idx val="2"/>
        <c:delete val="1"/>
      </c:legendEntry>
      <c:legendEntry>
        <c:idx val="3"/>
        <c:delete val="1"/>
      </c:legendEntry>
      <c:layout>
        <c:manualLayout>
          <c:xMode val="edge"/>
          <c:yMode val="edge"/>
          <c:x val="0.14081333029592219"/>
          <c:y val="0.88342235434798011"/>
          <c:w val="0.38679680266521888"/>
          <c:h val="9.507813076112246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Table2!$A$2:$A$85</cx:f>
        <cx:lvl ptCount="84">
          <cx:pt idx="0">DO (Dry)</cx:pt>
          <cx:pt idx="1">DO (Rainy)</cx:pt>
          <cx:pt idx="2">BOD5 (Dry)</cx:pt>
          <cx:pt idx="3">BOD5 (Rainy)</cx:pt>
          <cx:pt idx="4">COD (Dry)</cx:pt>
          <cx:pt idx="5">COD (Rainy)</cx:pt>
          <cx:pt idx="6">DO (Dry)</cx:pt>
          <cx:pt idx="7">DO (Rainy)</cx:pt>
          <cx:pt idx="8">BOD5 (Dry)</cx:pt>
          <cx:pt idx="9">BOD5 (Rainy)</cx:pt>
          <cx:pt idx="10">COD (Dry)</cx:pt>
          <cx:pt idx="11">COD (Rainy)</cx:pt>
          <cx:pt idx="12">DO (Dry)</cx:pt>
          <cx:pt idx="13">DO (Rainy)</cx:pt>
          <cx:pt idx="14">BOD5 (Dry)</cx:pt>
          <cx:pt idx="15">BOD5 (Rainy)</cx:pt>
          <cx:pt idx="16">COD (Dry)</cx:pt>
          <cx:pt idx="17">COD (Rainy)</cx:pt>
          <cx:pt idx="18">DO (Dry)</cx:pt>
          <cx:pt idx="19">DO (Rainy)</cx:pt>
          <cx:pt idx="20">BOD5 (Dry)</cx:pt>
          <cx:pt idx="21">BOD5 (Rainy)</cx:pt>
          <cx:pt idx="22">COD (Dry)</cx:pt>
          <cx:pt idx="23">COD (Rainy)</cx:pt>
          <cx:pt idx="24">DO (Dry)</cx:pt>
          <cx:pt idx="25">DO (Rainy)</cx:pt>
          <cx:pt idx="26">BOD5 (Dry)</cx:pt>
          <cx:pt idx="27">BOD5 (Rainy)</cx:pt>
          <cx:pt idx="28">COD (Dry)</cx:pt>
          <cx:pt idx="29">COD (Rainy)</cx:pt>
          <cx:pt idx="30">DO (Dry)</cx:pt>
          <cx:pt idx="31">DO (Rainy)</cx:pt>
          <cx:pt idx="32">BOD5 (Dry)</cx:pt>
          <cx:pt idx="33">BOD5 (Rainy)</cx:pt>
          <cx:pt idx="34">COD (Dry)</cx:pt>
          <cx:pt idx="35">COD (Rainy)</cx:pt>
          <cx:pt idx="36">DO (Dry)</cx:pt>
          <cx:pt idx="37">DO (Rainy)</cx:pt>
          <cx:pt idx="38">BOD5 (Dry)</cx:pt>
          <cx:pt idx="39">BOD5 (Rainy)</cx:pt>
          <cx:pt idx="40">COD (Dry)</cx:pt>
          <cx:pt idx="41">COD (Rainy)</cx:pt>
          <cx:pt idx="42">DO (Dry)</cx:pt>
          <cx:pt idx="43">DO (Rainy)</cx:pt>
          <cx:pt idx="44">BOD5 (Dry)</cx:pt>
          <cx:pt idx="45">BOD5 (Rainy)</cx:pt>
          <cx:pt idx="46">COD (Dry)</cx:pt>
          <cx:pt idx="47">COD (Rainy)</cx:pt>
          <cx:pt idx="48">DO (Dry)</cx:pt>
          <cx:pt idx="49">DO (Rainy)</cx:pt>
          <cx:pt idx="50">BOD5 (Dry)</cx:pt>
          <cx:pt idx="51">BOD5 (Rainy)</cx:pt>
          <cx:pt idx="52">COD (Dry)</cx:pt>
          <cx:pt idx="53">COD (Rainy)</cx:pt>
          <cx:pt idx="54">DO (Dry)</cx:pt>
          <cx:pt idx="55">DO (Rainy)</cx:pt>
          <cx:pt idx="56">BOD5 (Dry)</cx:pt>
          <cx:pt idx="57">BOD5 (Rainy)</cx:pt>
          <cx:pt idx="58">COD (Dry)</cx:pt>
          <cx:pt idx="59">COD (Rainy)</cx:pt>
          <cx:pt idx="60">DO (Dry)</cx:pt>
          <cx:pt idx="61">DO (Rainy)</cx:pt>
          <cx:pt idx="62">BOD5 (Dry)</cx:pt>
          <cx:pt idx="63">BOD5 (Rainy)</cx:pt>
          <cx:pt idx="64">COD (Dry)</cx:pt>
          <cx:pt idx="65">COD (Rainy)</cx:pt>
          <cx:pt idx="66">DO (Dry)</cx:pt>
          <cx:pt idx="67">DO (Rainy)</cx:pt>
          <cx:pt idx="68">BOD5 (Dry)</cx:pt>
          <cx:pt idx="69">BOD5 (Rainy)</cx:pt>
          <cx:pt idx="70">COD (Dry)</cx:pt>
          <cx:pt idx="71">COD (Rainy)</cx:pt>
          <cx:pt idx="72">DO (Dry)</cx:pt>
          <cx:pt idx="73">DO (Rainy)</cx:pt>
          <cx:pt idx="74">BOD5 (Dry)</cx:pt>
          <cx:pt idx="75">BOD5 (Rainy)</cx:pt>
          <cx:pt idx="76">COD (Dry)</cx:pt>
          <cx:pt idx="77">COD (Rainy)</cx:pt>
          <cx:pt idx="78">DO (Dry)</cx:pt>
          <cx:pt idx="79">DO (Rainy)</cx:pt>
          <cx:pt idx="80">BOD5 (Dry)</cx:pt>
          <cx:pt idx="81">BOD5 (Rainy)</cx:pt>
          <cx:pt idx="82">COD (Dry)</cx:pt>
          <cx:pt idx="83">COD (Rainy)</cx:pt>
        </cx:lvl>
      </cx:strDim>
      <cx:numDim type="val">
        <cx:f>Table2!$B$2:$B$85</cx:f>
        <cx:lvl ptCount="84" formatCode="General">
          <cx:pt idx="0">4.2000000000000002</cx:pt>
          <cx:pt idx="1">4.2999999999999998</cx:pt>
          <cx:pt idx="2">28</cx:pt>
          <cx:pt idx="3">20</cx:pt>
          <cx:pt idx="4">48</cx:pt>
          <cx:pt idx="5">36</cx:pt>
          <cx:pt idx="6">4.4000000000000004</cx:pt>
          <cx:pt idx="7">4.4000000000000004</cx:pt>
          <cx:pt idx="8">29</cx:pt>
          <cx:pt idx="9">21</cx:pt>
          <cx:pt idx="10">50</cx:pt>
          <cx:pt idx="11">38</cx:pt>
          <cx:pt idx="12">4.5999999999999996</cx:pt>
          <cx:pt idx="13">4.5999999999999996</cx:pt>
          <cx:pt idx="14">27</cx:pt>
          <cx:pt idx="15">20</cx:pt>
          <cx:pt idx="16">48</cx:pt>
          <cx:pt idx="17">36</cx:pt>
          <cx:pt idx="18">4.5999999999999996</cx:pt>
          <cx:pt idx="19">4.5999999999999996</cx:pt>
          <cx:pt idx="20">27</cx:pt>
          <cx:pt idx="21">21</cx:pt>
          <cx:pt idx="22">47</cx:pt>
          <cx:pt idx="23">37</cx:pt>
          <cx:pt idx="24">4.0999999999999996</cx:pt>
          <cx:pt idx="25">4.2999999999999998</cx:pt>
          <cx:pt idx="26">24</cx:pt>
          <cx:pt idx="27">18</cx:pt>
          <cx:pt idx="28">44</cx:pt>
          <cx:pt idx="29">32</cx:pt>
          <cx:pt idx="30">4.7999999999999998</cx:pt>
          <cx:pt idx="31">4.9000000000000004</cx:pt>
          <cx:pt idx="32">22</cx:pt>
          <cx:pt idx="33">21</cx:pt>
          <cx:pt idx="34">38</cx:pt>
          <cx:pt idx="35">38</cx:pt>
          <cx:pt idx="36">4.9000000000000004</cx:pt>
          <cx:pt idx="37">5</cx:pt>
          <cx:pt idx="38">31</cx:pt>
          <cx:pt idx="39">25</cx:pt>
          <cx:pt idx="40">56</cx:pt>
          <cx:pt idx="41">44</cx:pt>
          <cx:pt idx="42">4.4000000000000004</cx:pt>
          <cx:pt idx="43">4.7999999999999998</cx:pt>
          <cx:pt idx="44">26</cx:pt>
          <cx:pt idx="45">23</cx:pt>
          <cx:pt idx="46">43</cx:pt>
          <cx:pt idx="47">42</cx:pt>
          <cx:pt idx="48">4.7999999999999998</cx:pt>
          <cx:pt idx="49">4.7999999999999998</cx:pt>
          <cx:pt idx="50">34</cx:pt>
          <cx:pt idx="51">25</cx:pt>
          <cx:pt idx="52">58</cx:pt>
          <cx:pt idx="53">46</cx:pt>
          <cx:pt idx="54">4.7999999999999998</cx:pt>
          <cx:pt idx="55">5.0999999999999996</cx:pt>
          <cx:pt idx="56">37</cx:pt>
          <cx:pt idx="57">32</cx:pt>
          <cx:pt idx="58">63</cx:pt>
          <cx:pt idx="59">57</cx:pt>
          <cx:pt idx="60">5.0999999999999996</cx:pt>
          <cx:pt idx="61">5.5999999999999996</cx:pt>
          <cx:pt idx="62">39</cx:pt>
          <cx:pt idx="63">29</cx:pt>
          <cx:pt idx="64">66</cx:pt>
          <cx:pt idx="65">54</cx:pt>
          <cx:pt idx="66">5</cx:pt>
          <cx:pt idx="67">5.4000000000000004</cx:pt>
          <cx:pt idx="68">35</cx:pt>
          <cx:pt idx="69">29</cx:pt>
          <cx:pt idx="70">59</cx:pt>
          <cx:pt idx="71">53</cx:pt>
          <cx:pt idx="72">5.4000000000000004</cx:pt>
          <cx:pt idx="73">5.7999999999999998</cx:pt>
          <cx:pt idx="74">27</cx:pt>
          <cx:pt idx="75">24</cx:pt>
          <cx:pt idx="76">48</cx:pt>
          <cx:pt idx="77">43</cx:pt>
          <cx:pt idx="78">5.5999999999999996</cx:pt>
          <cx:pt idx="79">5.7999999999999998</cx:pt>
          <cx:pt idx="80">28</cx:pt>
          <cx:pt idx="81">24</cx:pt>
          <cx:pt idx="82">49</cx:pt>
          <cx:pt idx="83">42</cx:pt>
        </cx:lvl>
      </cx:numDim>
    </cx:data>
  </cx:chartData>
  <cx:chart>
    <cx:plotArea>
      <cx:plotAreaRegion>
        <cx:plotSurface>
          <cx:spPr>
            <a:noFill/>
            <a:ln>
              <a:solidFill>
                <a:schemeClr val="bg1">
                  <a:lumMod val="65000"/>
                </a:schemeClr>
              </a:solidFill>
            </a:ln>
          </cx:spPr>
        </cx:plotSurface>
        <cx:series layoutId="boxWhisker" uniqueId="{84A81385-26AB-47DA-9CB8-3649BF2A0FAA}">
          <cx:tx>
            <cx:txData>
              <cx:f>Table2!$B$1</cx:f>
              <cx:v>Value</cx:v>
            </cx:txData>
          </cx:tx>
          <cx:spPr>
            <a:solidFill>
              <a:schemeClr val="bg1">
                <a:lumMod val="65000"/>
              </a:schemeClr>
            </a:solidFill>
            <a:ln w="6350" cmpd="dbl">
              <a:solidFill>
                <a:schemeClr val="bg1">
                  <a:lumMod val="65000"/>
                </a:schemeClr>
              </a:solidFill>
            </a:ln>
          </cx:spPr>
          <cx:dataId val="0"/>
          <cx:layoutPr>
            <cx:visibility meanLine="0" meanMarker="1" nonoutliers="0" outliers="1"/>
            <cx:statistics quartileMethod="exclusive"/>
          </cx:layoutPr>
        </cx:series>
      </cx:plotAreaRegion>
      <cx:axis id="0">
        <cx:catScaling gapWidth="1"/>
        <cx:title>
          <cx:tx>
            <cx:txData>
              <cx:v>Water quality parameters </cx:v>
            </cx:txData>
          </cx:tx>
          <cx:txPr>
            <a:bodyPr vertOverflow="overflow" horzOverflow="overflow" wrap="square" lIns="0" tIns="0" rIns="0" bIns="0"/>
            <a:lstStyle/>
            <a:p>
              <a:pPr algn="ctr" rtl="0">
                <a:defRPr sz="10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Water quality parameters </a:t>
              </a:r>
            </a:p>
          </cx:txPr>
        </cx:title>
        <cx:tickLabels/>
        <cx:txPr>
          <a:bodyPr vertOverflow="overflow" horzOverflow="overflow" wrap="square" lIns="0" tIns="0" rIns="0" bIns="0"/>
          <a:lstStyle/>
          <a:p>
            <a:pPr algn="ctr" rtl="0">
              <a:defRPr sz="10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sz="1000">
              <a:solidFill>
                <a:srgbClr val="595959"/>
              </a:solidFill>
              <a:latin typeface="Times New Roman" panose="02020603050405020304" pitchFamily="18" charset="0"/>
              <a:cs typeface="Times New Roman" panose="02020603050405020304" pitchFamily="18" charset="0"/>
            </a:endParaRPr>
          </a:p>
        </cx:txPr>
      </cx:axis>
      <cx:axis id="1">
        <cx:valScaling/>
        <cx:title>
          <cx:tx>
            <cx:rich>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r>
                  <a:rPr lang="en-US"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Concentration (mg L</a:t>
                </a:r>
                <a:r>
                  <a:rPr lang="en-US" sz="1000" b="0" i="0" u="none" strike="noStrike" baseline="30000">
                    <a:solidFill>
                      <a:sysClr val="windowText" lastClr="000000">
                        <a:lumMod val="65000"/>
                        <a:lumOff val="35000"/>
                      </a:sysClr>
                    </a:solidFill>
                    <a:latin typeface="Times New Roman" panose="02020603050405020304" pitchFamily="18" charset="0"/>
                    <a:cs typeface="Times New Roman" panose="02020603050405020304" pitchFamily="18" charset="0"/>
                  </a:rPr>
                  <a:t>-1</a:t>
                </a:r>
                <a:r>
                  <a:rPr lang="en-US"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a:t>
                </a:r>
              </a:p>
            </cx:rich>
          </cx:tx>
        </cx:title>
        <cx:majorGridlines>
          <cx:spPr>
            <a:ln>
              <a:noFill/>
            </a:ln>
          </cx:spPr>
        </cx:majorGridlines>
        <cx:tickLabels/>
        <cx:txPr>
          <a:bodyPr vertOverflow="overflow" horzOverflow="overflow" wrap="square" lIns="0" tIns="0" rIns="0" bIns="0"/>
          <a:lstStyle/>
          <a:p>
            <a:pPr algn="ctr" rtl="0">
              <a:defRPr sz="10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sz="1000">
              <a:latin typeface="Times New Roman" panose="02020603050405020304" pitchFamily="18" charset="0"/>
              <a:cs typeface="Times New Roman" panose="02020603050405020304" pitchFamily="18" charset="0"/>
            </a:endParaRPr>
          </a:p>
        </cx:txPr>
      </cx:axis>
    </cx:plotArea>
  </cx:chart>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Table1!$A$2:$A$57</cx:f>
        <cx:lvl ptCount="56">
          <cx:pt idx="0">Coliforms (Dry)</cx:pt>
          <cx:pt idx="1">Coliforms (Rainy)</cx:pt>
          <cx:pt idx="2">E.Coli (Dry)</cx:pt>
          <cx:pt idx="3">E.Coli (Rainy)</cx:pt>
          <cx:pt idx="4">Coliforms (Dry)</cx:pt>
          <cx:pt idx="5">Coliforms (Rainy)</cx:pt>
          <cx:pt idx="6">E.Coli (Dry)</cx:pt>
          <cx:pt idx="7">E.Coli (Rainy)</cx:pt>
          <cx:pt idx="8">Coliforms (Dry)</cx:pt>
          <cx:pt idx="9">Coliforms (Rainy)</cx:pt>
          <cx:pt idx="10">E.Coli (Dry)</cx:pt>
          <cx:pt idx="11">E.Coli (Rainy)</cx:pt>
          <cx:pt idx="12">Coliforms (Dry)</cx:pt>
          <cx:pt idx="13">Coliforms (Rainy)</cx:pt>
          <cx:pt idx="14">E.Coli (Dry)</cx:pt>
          <cx:pt idx="15">E.Coli (Rainy)</cx:pt>
          <cx:pt idx="16">Coliforms (Dry)</cx:pt>
          <cx:pt idx="17">Coliforms (Rainy)</cx:pt>
          <cx:pt idx="18">E.Coli (Dry)</cx:pt>
          <cx:pt idx="19">E.Coli (Rainy)</cx:pt>
          <cx:pt idx="20">Coliforms (Dry)</cx:pt>
          <cx:pt idx="21">Coliforms (Rainy)</cx:pt>
          <cx:pt idx="22">E.Coli (Dry)</cx:pt>
          <cx:pt idx="23">E.Coli (Rainy)</cx:pt>
          <cx:pt idx="24">Coliforms (Dry)</cx:pt>
          <cx:pt idx="25">Coliforms (Rainy)</cx:pt>
          <cx:pt idx="26">E.Coli (Dry)</cx:pt>
          <cx:pt idx="27">E.Coli (Rainy)</cx:pt>
          <cx:pt idx="28">Coliforms (Dry)</cx:pt>
          <cx:pt idx="29">Coliforms (Rainy)</cx:pt>
          <cx:pt idx="30">E.Coli (Dry)</cx:pt>
          <cx:pt idx="31">E.Coli (Rainy)</cx:pt>
          <cx:pt idx="32">Coliforms (Dry)</cx:pt>
          <cx:pt idx="33">Coliforms (Rainy)</cx:pt>
          <cx:pt idx="34">E.Coli (Dry)</cx:pt>
          <cx:pt idx="35">E.Coli (Rainy)</cx:pt>
          <cx:pt idx="36">Coliforms (Dry)</cx:pt>
          <cx:pt idx="37">Coliforms (Rainy)</cx:pt>
          <cx:pt idx="38">E.Coli (Dry)</cx:pt>
          <cx:pt idx="39">E.Coli (Rainy)</cx:pt>
          <cx:pt idx="40">Coliforms (Dry)</cx:pt>
          <cx:pt idx="41">Coliforms (Rainy)</cx:pt>
          <cx:pt idx="42">E.Coli (Dry)</cx:pt>
          <cx:pt idx="43">E.Coli (Rainy)</cx:pt>
          <cx:pt idx="44">Coliforms (Dry)</cx:pt>
          <cx:pt idx="45">Coliforms (Rainy)</cx:pt>
          <cx:pt idx="46">E.Coli (Dry)</cx:pt>
          <cx:pt idx="47">E.Coli (Rainy)</cx:pt>
          <cx:pt idx="48">Coliforms (Dry)</cx:pt>
          <cx:pt idx="49">Coliforms (Rainy)</cx:pt>
          <cx:pt idx="50">E.Coli (Dry)</cx:pt>
          <cx:pt idx="51">E.Coli (Rainy)</cx:pt>
          <cx:pt idx="52">Coliforms (Dry)</cx:pt>
          <cx:pt idx="53">Coliforms (Rainy)</cx:pt>
          <cx:pt idx="54">E.Coli (Dry)</cx:pt>
          <cx:pt idx="55">E.Coli (Rainy)</cx:pt>
        </cx:lvl>
      </cx:strDim>
      <cx:numDim type="val">
        <cx:f>Table1!$B$2:$B$57</cx:f>
        <cx:lvl ptCount="56" formatCode="0.00">
          <cx:pt idx="0">3.3222192947339191</cx:pt>
          <cx:pt idx="1">3.3802112417116059</cx:pt>
          <cx:pt idx="2">1.8061799739838871</cx:pt>
          <cx:pt idx="3">1.6627578316815741</cx:pt>
          <cx:pt idx="4">3.1760912590556813</cx:pt>
          <cx:pt idx="5">3.3802112417116059</cx:pt>
          <cx:pt idx="6">1.4623979978989561</cx:pt>
          <cx:pt idx="7">1.6334684555795864</cx:pt>
          <cx:pt idx="8">3.1760912590556813</cx:pt>
          <cx:pt idx="9">3.1760912590556813</cx:pt>
          <cx:pt idx="10">1.6334684555795864</cx:pt>
          <cx:pt idx="11">1.4623979978989561</cx:pt>
          <cx:pt idx="12">3.3222192947339191</cx:pt>
          <cx:pt idx="13">3.3222192947339191</cx:pt>
          <cx:pt idx="14">1.8750612633917001</cx:pt>
          <cx:pt idx="15">1.8061799739838871</cx:pt>
          <cx:pt idx="16">3.1760912590556813</cx:pt>
          <cx:pt idx="17">3.6627578316815739</cx:pt>
          <cx:pt idx="18">2.0791812460476247</cx:pt>
          <cx:pt idx="19">1.8750612633917001</cx:pt>
          <cx:pt idx="20">3.1760912590556813</cx:pt>
          <cx:pt idx="21">3.1760912590556813</cx:pt>
          <cx:pt idx="22">1.8061799739838871</cx:pt>
          <cx:pt idx="23">1.4623979978989561</cx:pt>
          <cx:pt idx="24">3.1760912590556813</cx:pt>
          <cx:pt idx="25">3.1760912590556813</cx:pt>
          <cx:pt idx="26">2.0791812460476247</cx:pt>
          <cx:pt idx="27">1.4623979978989561</cx:pt>
          <cx:pt idx="28">3.3802112417116059</cx:pt>
          <cx:pt idx="29">3.1760912590556813</cx:pt>
          <cx:pt idx="30">1.8750612633917001</cx:pt>
          <cx:pt idx="31">1.5797835966168101</cx:pt>
          <cx:pt idx="32">3.4623979978989561</cx:pt>
          <cx:pt idx="33">3.3802112417116059</cx:pt>
          <cx:pt idx="34">1.4623979978989561</cx:pt>
          <cx:pt idx="35">1.6334684555795864</cx:pt>
          <cx:pt idx="36">3.6627578316815739</cx:pt>
          <cx:pt idx="37">3.4623979978989561</cx:pt>
          <cx:pt idx="38">1.8750612633917001</cx:pt>
          <cx:pt idx="39">1.8750612633917001</cx:pt>
          <cx:pt idx="40">3.1461280356782382</cx:pt>
          <cx:pt idx="41">3.4623979978989561</cx:pt>
          <cx:pt idx="42">1.8061799739838871</cx:pt>
          <cx:pt idx="43">1.8061799739838871</cx:pt>
          <cx:pt idx="44">3.8061799739838871</cx:pt>
          <cx:pt idx="45">3.6627578316815739</cx:pt>
          <cx:pt idx="46">2.0791812460476247</cx:pt>
          <cx:pt idx="47">1.8750612633917001</cx:pt>
          <cx:pt idx="48">3.3222192947339191</cx:pt>
          <cx:pt idx="49">3.3222192947339191</cx:pt>
          <cx:pt idx="50">1.6334684555795864</cx:pt>
          <cx:pt idx="51">1.6334684555795864</cx:pt>
          <cx:pt idx="52">3.3222192947339191</cx:pt>
          <cx:pt idx="53">3.3222192947339191</cx:pt>
          <cx:pt idx="54">2.0791812460476247</cx:pt>
          <cx:pt idx="55">1.6334684555795864</cx:pt>
        </cx:lvl>
      </cx:numDim>
    </cx:data>
  </cx:chartData>
  <cx:chart>
    <cx:plotArea>
      <cx:plotAreaRegion>
        <cx:plotSurface>
          <cx:spPr>
            <a:ln w="6350">
              <a:solidFill>
                <a:schemeClr val="bg1">
                  <a:lumMod val="65000"/>
                </a:schemeClr>
              </a:solidFill>
            </a:ln>
          </cx:spPr>
        </cx:plotSurface>
        <cx:series layoutId="boxWhisker" uniqueId="{40ABB4C1-1444-44BA-9455-2E174D1A01FA}">
          <cx:tx>
            <cx:txData>
              <cx:f>Table1!$B$1</cx:f>
              <cx:v>Value</cx:v>
            </cx:txData>
          </cx:tx>
          <cx:spPr>
            <a:solidFill>
              <a:schemeClr val="bg1">
                <a:lumMod val="65000"/>
              </a:schemeClr>
            </a:solidFill>
            <a:ln>
              <a:solidFill>
                <a:schemeClr val="bg1">
                  <a:lumMod val="65000"/>
                </a:schemeClr>
              </a:solidFill>
            </a:ln>
          </cx:spPr>
          <cx:dataId val="0"/>
          <cx:layoutPr>
            <cx:visibility meanLine="0" meanMarker="1" nonoutliers="0" outliers="1"/>
            <cx:statistics quartileMethod="exclusive"/>
          </cx:layoutPr>
        </cx:series>
      </cx:plotAreaRegion>
      <cx:axis id="0">
        <cx:catScaling gapWidth="1"/>
        <cx:title>
          <cx:tx>
            <cx:rich>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Microbial indicators</a:t>
                </a:r>
                <a:endParaRPr lang="en-US"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rich>
          </cx:tx>
        </cx:title>
        <cx:tickLabels/>
        <cx:txPr>
          <a:bodyPr vertOverflow="overflow" horzOverflow="overflow" wrap="square" lIns="0" tIns="0" rIns="0" bIns="0"/>
          <a:lstStyle/>
          <a:p>
            <a:pPr algn="ctr" rtl="0">
              <a:defRPr sz="10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sz="1000">
              <a:latin typeface="Times New Roman" panose="02020603050405020304" pitchFamily="18" charset="0"/>
              <a:cs typeface="Times New Roman" panose="02020603050405020304" pitchFamily="18" charset="0"/>
            </a:endParaRPr>
          </a:p>
        </cx:txPr>
      </cx:axis>
      <cx:axis id="1">
        <cx:valScaling/>
        <cx:title>
          <cx:tx>
            <cx:rich>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r>
                  <a:rPr lang="en-US"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Log10 (MPN 100 mL</a:t>
                </a:r>
                <a:r>
                  <a:rPr lang="en-US" sz="1000" b="0" i="0" u="none" strike="noStrike" baseline="30000">
                    <a:solidFill>
                      <a:sysClr val="windowText" lastClr="000000">
                        <a:lumMod val="65000"/>
                        <a:lumOff val="35000"/>
                      </a:sysClr>
                    </a:solidFill>
                    <a:latin typeface="Times New Roman" panose="02020603050405020304" pitchFamily="18" charset="0"/>
                    <a:cs typeface="Times New Roman" panose="02020603050405020304" pitchFamily="18" charset="0"/>
                  </a:rPr>
                  <a:t>-1</a:t>
                </a:r>
                <a:r>
                  <a:rPr lang="en-US"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a:t>
                </a:r>
              </a:p>
            </cx:rich>
          </cx:tx>
        </cx:title>
        <cx:majorGridlines>
          <cx:spPr>
            <a:ln>
              <a:noFill/>
            </a:ln>
          </cx:spPr>
        </cx:majorGridlines>
        <cx:tickLabels/>
        <cx:txPr>
          <a:bodyPr vertOverflow="overflow" horzOverflow="overflow" wrap="square" lIns="0" tIns="0" rIns="0" bIns="0"/>
          <a:lstStyle/>
          <a:p>
            <a:pPr algn="ctr" rtl="0">
              <a:defRPr sz="10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sz="1000">
              <a:latin typeface="Times New Roman" panose="02020603050405020304" pitchFamily="18" charset="0"/>
              <a:cs typeface="Times New Roman" panose="02020603050405020304" pitchFamily="18" charset="0"/>
            </a:endParaRPr>
          </a:p>
        </cx:txPr>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E85F7-F1F1-4163-9DA1-70C94A58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8</Pages>
  <Words>4247</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5086-Trần Trung Kiên-Viện Sinh học nhiệt đới</dc:creator>
  <cp:keywords/>
  <dc:description/>
  <cp:lastModifiedBy>SDI 1084</cp:lastModifiedBy>
  <cp:revision>42</cp:revision>
  <dcterms:created xsi:type="dcterms:W3CDTF">2026-01-30T04:16:00Z</dcterms:created>
  <dcterms:modified xsi:type="dcterms:W3CDTF">2026-03-31T08:34:00Z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3ecde783-a52c-40ce-9390-debe0dbcd0ba</vt:lpwstr>
  </property>
</Properties>
</file>