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5CC1A" w14:textId="44896D1B" w:rsidR="00FE237B" w:rsidRPr="002B7F37" w:rsidRDefault="002B7F37" w:rsidP="00FE237B">
      <w:pPr>
        <w:pStyle w:val="MdParagraph"/>
        <w:rPr>
          <w:b/>
          <w:bCs/>
        </w:rPr>
      </w:pPr>
      <w:r w:rsidRPr="002B7F37">
        <w:rPr>
          <w:b/>
          <w:bCs/>
        </w:rPr>
        <w:t>PREVALENCE OF GASTROINTESTINAL PARASITES IN HORSES AT A POLO FACILITY IN KADUNA STATE</w:t>
      </w:r>
    </w:p>
    <w:p w14:paraId="4F93C500" w14:textId="77777777" w:rsidR="002021C1" w:rsidRDefault="002021C1" w:rsidP="00FE237B">
      <w:pPr>
        <w:pStyle w:val="MdParagraph"/>
      </w:pPr>
    </w:p>
    <w:p w14:paraId="2011FAFF" w14:textId="6CD6DE47" w:rsidR="006A03F5" w:rsidRDefault="006A03F5" w:rsidP="00BF15B0">
      <w:pPr>
        <w:rPr>
          <w:rFonts w:ascii="Times New Roman" w:hAnsi="Times New Roman" w:cs="Times New Roman"/>
        </w:rPr>
      </w:pPr>
    </w:p>
    <w:p w14:paraId="0A1A3B3D" w14:textId="77777777" w:rsidR="006A03F5" w:rsidRPr="00BF15B0" w:rsidRDefault="006A03F5" w:rsidP="00BF15B0">
      <w:pPr>
        <w:rPr>
          <w:rFonts w:ascii="Times New Roman" w:hAnsi="Times New Roman" w:cs="Times New Roman"/>
        </w:rPr>
      </w:pPr>
    </w:p>
    <w:p w14:paraId="5B66A83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Abstract</w:t>
      </w:r>
    </w:p>
    <w:p w14:paraId="0C50485C" w14:textId="7D63B84D"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gastrointestinal parasites in equine populations can have significant health implications, especially in regions with variable climatic and management conditions. This study investigated the prevalence of gastrointestinal parasites in 120 horses, comprising 64 imported and 56 resident animals, housed at a Polo facility in Kaduna State, Nigeria.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analysis identified </w:t>
      </w:r>
      <w:proofErr w:type="spellStart"/>
      <w:r w:rsidRPr="002B7F37">
        <w:rPr>
          <w:rFonts w:ascii="Times New Roman" w:hAnsi="Times New Roman" w:cs="Times New Roman"/>
          <w:i/>
          <w:iCs/>
          <w:sz w:val="24"/>
          <w:szCs w:val="24"/>
        </w:rPr>
        <w:t>strongyle</w:t>
      </w:r>
      <w:proofErr w:type="spellEnd"/>
      <w:r>
        <w:rPr>
          <w:rFonts w:ascii="Times New Roman" w:hAnsi="Times New Roman" w:cs="Times New Roman"/>
          <w:sz w:val="24"/>
          <w:szCs w:val="24"/>
        </w:rPr>
        <w:t xml:space="preserve"> eggs (20.0%), </w:t>
      </w:r>
      <w:r w:rsidRPr="002B7F37">
        <w:rPr>
          <w:rFonts w:ascii="Times New Roman" w:hAnsi="Times New Roman" w:cs="Times New Roman"/>
          <w:i/>
          <w:iCs/>
          <w:sz w:val="24"/>
          <w:szCs w:val="24"/>
        </w:rPr>
        <w:t xml:space="preserve">coccidia </w:t>
      </w:r>
      <w:r>
        <w:rPr>
          <w:rFonts w:ascii="Times New Roman" w:hAnsi="Times New Roman" w:cs="Times New Roman"/>
          <w:sz w:val="24"/>
          <w:szCs w:val="24"/>
        </w:rPr>
        <w:t xml:space="preserve">oocyst (0.8%), and ciliate (4.2%) in 25.0% of the horses. Specifically, 21.9% of the imported and 28.6% of the resident horses were found to be infected. Among imported horses, the infection rate was 17.2% for strongyles and 4.7% for ciliates, while resident horses showed an infection prevalence of 23.2% for </w:t>
      </w:r>
      <w:r w:rsidRPr="002B7F37">
        <w:rPr>
          <w:rFonts w:ascii="Times New Roman" w:hAnsi="Times New Roman" w:cs="Times New Roman"/>
          <w:i/>
          <w:iCs/>
          <w:sz w:val="24"/>
          <w:szCs w:val="24"/>
        </w:rPr>
        <w:t>strongyles</w:t>
      </w:r>
      <w:r>
        <w:rPr>
          <w:rFonts w:ascii="Times New Roman" w:hAnsi="Times New Roman" w:cs="Times New Roman"/>
          <w:sz w:val="24"/>
          <w:szCs w:val="24"/>
        </w:rPr>
        <w:t xml:space="preserve">, 1.8% for </w:t>
      </w:r>
      <w:r w:rsidRPr="002B7F37">
        <w:rPr>
          <w:rFonts w:ascii="Times New Roman" w:hAnsi="Times New Roman" w:cs="Times New Roman"/>
          <w:i/>
          <w:iCs/>
          <w:sz w:val="24"/>
          <w:szCs w:val="24"/>
        </w:rPr>
        <w:t>coccidia,</w:t>
      </w:r>
      <w:r>
        <w:rPr>
          <w:rFonts w:ascii="Times New Roman" w:hAnsi="Times New Roman" w:cs="Times New Roman"/>
          <w:sz w:val="24"/>
          <w:szCs w:val="24"/>
        </w:rPr>
        <w:t xml:space="preserve"> and 3.6% for ciliates. These findings emphasi</w:t>
      </w:r>
      <w:r w:rsidR="001C09C1">
        <w:rPr>
          <w:rFonts w:ascii="Times New Roman" w:hAnsi="Times New Roman" w:cs="Times New Roman"/>
          <w:sz w:val="24"/>
          <w:szCs w:val="24"/>
        </w:rPr>
        <w:t>z</w:t>
      </w:r>
      <w:r>
        <w:rPr>
          <w:rFonts w:ascii="Times New Roman" w:hAnsi="Times New Roman" w:cs="Times New Roman"/>
          <w:sz w:val="24"/>
          <w:szCs w:val="24"/>
        </w:rPr>
        <w:t>e the necessity for effective parasite control strategies to mitigate potential health risks to equine populations in similar facilities.</w:t>
      </w:r>
    </w:p>
    <w:p w14:paraId="7EF4A6FE"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Gastrointestinal parasites, equine parasitology, </w:t>
      </w:r>
      <w:r>
        <w:rPr>
          <w:rFonts w:ascii="Times New Roman" w:hAnsi="Times New Roman" w:cs="Times New Roman"/>
          <w:i/>
          <w:iCs/>
          <w:sz w:val="24"/>
          <w:szCs w:val="24"/>
        </w:rPr>
        <w:t>Strongyles</w:t>
      </w:r>
      <w:r>
        <w:rPr>
          <w:rFonts w:ascii="Times New Roman" w:hAnsi="Times New Roman" w:cs="Times New Roman"/>
          <w:sz w:val="24"/>
          <w:szCs w:val="24"/>
        </w:rPr>
        <w:t xml:space="preserve">, </w:t>
      </w:r>
      <w:r>
        <w:rPr>
          <w:rFonts w:ascii="Times New Roman" w:hAnsi="Times New Roman" w:cs="Times New Roman"/>
          <w:i/>
          <w:iCs/>
          <w:sz w:val="24"/>
          <w:szCs w:val="24"/>
        </w:rPr>
        <w:t>Coccidia</w:t>
      </w:r>
      <w:r>
        <w:rPr>
          <w:rFonts w:ascii="Times New Roman" w:hAnsi="Times New Roman" w:cs="Times New Roman"/>
          <w:sz w:val="24"/>
          <w:szCs w:val="24"/>
        </w:rPr>
        <w:t>, Kaduna, diagnostic parasitology</w:t>
      </w:r>
    </w:p>
    <w:p w14:paraId="6EA7F781" w14:textId="4B3FF788"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bookmarkStart w:id="0" w:name="_GoBack"/>
      <w:bookmarkEnd w:id="0"/>
      <w:r w:rsidRPr="00B446D1">
        <w:rPr>
          <w:rFonts w:ascii="Times New Roman" w:hAnsi="Times New Roman" w:cs="Times New Roman"/>
          <w:b/>
          <w:bCs/>
          <w:sz w:val="24"/>
          <w:szCs w:val="24"/>
        </w:rPr>
        <w:t>Introduction</w:t>
      </w:r>
    </w:p>
    <w:p w14:paraId="3CCF09D9"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Parasitic infections represent a significant health challenge in equine populations globally, and often result in subclinical disease, impaired performance, and, in severe cases, mortality (</w:t>
      </w:r>
      <w:proofErr w:type="spellStart"/>
      <w:r>
        <w:rPr>
          <w:rFonts w:ascii="Times New Roman" w:hAnsi="Times New Roman" w:cs="Times New Roman"/>
          <w:sz w:val="24"/>
          <w:szCs w:val="24"/>
        </w:rPr>
        <w:t>Tyrnenopoulou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In the field of veterinary parasitology, gastrointestinal parasites such as strongyles, coccidia, and ciliates are significant due to their prevalence and potential impact on animal health. Infections with these parasites can lead to a range of clinical signs, such as weight loss,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colic, and other gastrointestinal disturbances, which compromise the overall well-</w:t>
      </w:r>
      <w:r>
        <w:rPr>
          <w:rFonts w:ascii="Times New Roman" w:hAnsi="Times New Roman" w:cs="Times New Roman"/>
          <w:sz w:val="24"/>
          <w:szCs w:val="24"/>
        </w:rPr>
        <w:lastRenderedPageBreak/>
        <w:t>being of affected horses (</w:t>
      </w:r>
      <w:proofErr w:type="spellStart"/>
      <w:r>
        <w:rPr>
          <w:rFonts w:ascii="Times New Roman" w:hAnsi="Times New Roman" w:cs="Times New Roman"/>
          <w:sz w:val="24"/>
          <w:szCs w:val="24"/>
        </w:rPr>
        <w:t>Mathewos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Muñoz-Caro </w:t>
      </w:r>
      <w:r>
        <w:rPr>
          <w:rFonts w:ascii="Times New Roman" w:hAnsi="Times New Roman" w:cs="Times New Roman"/>
          <w:i/>
          <w:iCs/>
          <w:sz w:val="24"/>
          <w:szCs w:val="24"/>
        </w:rPr>
        <w:t>et al</w:t>
      </w:r>
      <w:r>
        <w:rPr>
          <w:rFonts w:ascii="Times New Roman" w:hAnsi="Times New Roman" w:cs="Times New Roman"/>
          <w:sz w:val="24"/>
          <w:szCs w:val="24"/>
        </w:rPr>
        <w:t xml:space="preserve">., 2024; </w:t>
      </w:r>
      <w:proofErr w:type="spellStart"/>
      <w:r>
        <w:rPr>
          <w:rFonts w:ascii="Times New Roman" w:hAnsi="Times New Roman" w:cs="Times New Roman"/>
          <w:sz w:val="24"/>
          <w:szCs w:val="24"/>
        </w:rPr>
        <w:t>Phetkarl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The early diagnosis and management of these infections are thus crucial for maintaining optimal health in equine populations, especially in high-stress environments like polo facilities where horses are in close contact (</w:t>
      </w:r>
      <w:proofErr w:type="spellStart"/>
      <w:r>
        <w:rPr>
          <w:rFonts w:ascii="Times New Roman" w:hAnsi="Times New Roman" w:cs="Times New Roman"/>
          <w:sz w:val="24"/>
          <w:szCs w:val="24"/>
        </w:rPr>
        <w:t>Elmajdoub</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Stallones </w:t>
      </w:r>
      <w:r>
        <w:rPr>
          <w:rFonts w:ascii="Times New Roman" w:hAnsi="Times New Roman" w:cs="Times New Roman"/>
          <w:i/>
          <w:iCs/>
          <w:sz w:val="24"/>
          <w:szCs w:val="24"/>
        </w:rPr>
        <w:t>et al</w:t>
      </w:r>
      <w:r>
        <w:rPr>
          <w:rFonts w:ascii="Times New Roman" w:hAnsi="Times New Roman" w:cs="Times New Roman"/>
          <w:sz w:val="24"/>
          <w:szCs w:val="24"/>
        </w:rPr>
        <w:t>., 2023). Hence, diagnostic veterinary parasitology plays a vital role in the prompt identification of these infections, thus, enabling veterinarians to implement timely interventions to protect animal health and welfare (Jones and Garcia, 2023).</w:t>
      </w:r>
    </w:p>
    <w:p w14:paraId="6DB9AFA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Diagnostic methods used in the identification of gastrointestinal parasites have evolved significantly over the years, with advances in both microscopy-based techniques and molecular diagnostics (Khurana </w:t>
      </w:r>
      <w:r>
        <w:rPr>
          <w:rFonts w:ascii="Times New Roman" w:hAnsi="Times New Roman" w:cs="Times New Roman"/>
          <w:i/>
          <w:iCs/>
          <w:sz w:val="24"/>
          <w:szCs w:val="24"/>
        </w:rPr>
        <w:t>et al</w:t>
      </w:r>
      <w:r>
        <w:rPr>
          <w:rFonts w:ascii="Times New Roman" w:hAnsi="Times New Roman" w:cs="Times New Roman"/>
          <w:sz w:val="24"/>
          <w:szCs w:val="24"/>
        </w:rPr>
        <w:t xml:space="preserve">., 2021; Ghafar </w:t>
      </w:r>
      <w:r>
        <w:rPr>
          <w:rFonts w:ascii="Times New Roman" w:hAnsi="Times New Roman" w:cs="Times New Roman"/>
          <w:i/>
          <w:iCs/>
          <w:sz w:val="24"/>
          <w:szCs w:val="24"/>
        </w:rPr>
        <w:t>et al</w:t>
      </w:r>
      <w:r>
        <w:rPr>
          <w:rFonts w:ascii="Times New Roman" w:hAnsi="Times New Roman" w:cs="Times New Roman"/>
          <w:sz w:val="24"/>
          <w:szCs w:val="24"/>
        </w:rPr>
        <w:t xml:space="preserve">., 2023). Conventional diagnostic methods, including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counts and microscopic examination, remain the most widely used approaches for detecting parasitic infections in equines (Nielsen, 2022). These methods allow veterinarians to identify parasite species and assess infection intensity, which is essential for determining the appropriate treatment and deworming protocols. However, limitations exist, particularly in distinguishing between parasite species with similar morphological features (Miswan </w:t>
      </w:r>
      <w:r>
        <w:rPr>
          <w:rFonts w:ascii="Times New Roman" w:hAnsi="Times New Roman" w:cs="Times New Roman"/>
          <w:i/>
          <w:iCs/>
          <w:sz w:val="24"/>
          <w:szCs w:val="24"/>
        </w:rPr>
        <w:t>et al</w:t>
      </w:r>
      <w:r>
        <w:rPr>
          <w:rFonts w:ascii="Times New Roman" w:hAnsi="Times New Roman" w:cs="Times New Roman"/>
          <w:sz w:val="24"/>
          <w:szCs w:val="24"/>
        </w:rPr>
        <w:t>., 2022).</w:t>
      </w:r>
    </w:p>
    <w:p w14:paraId="0794BA7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epidemiology of gastrointestinal parasites in horses can vary significantly based on factors such as geographical region, climate, management practices, and the origin of the animals (Villa-Mancera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Ememe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In Nigeria, data on the prevalence of gastrointestinal parasites in horses, especially those housed in specialized settings like polo facilities, are limited. Polo facilities, which often house both imported and resident horses, present unique parasitic risks due to the mixing of horses from different backgrounds and environments (Schumacher and Gehlen, 2024). </w:t>
      </w:r>
    </w:p>
    <w:p w14:paraId="12A45A2E" w14:textId="600F4FB7" w:rsidR="00E54954"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present study was conducted at a polo facility in Kaduna State, Nigeria, where both imported and resident horses are maintained. Given the enclosed setting and varying exposure conditions, it is important to understand how gastrointestinal parasites affect these horses to develop appropriate control strategies. The aim of the study was to determine the presence of common gastrointestinal parasites, specifically strongyle eggs, coccidia oocysts, and ciliates, in horses at the facility. Findings from this study will contribute to the broader understanding of parasitic infections in equine populations in similar settings, thus, guiding veterinarians and facility managers in designing effective parasite management protocols.</w:t>
      </w:r>
    </w:p>
    <w:p w14:paraId="77DAFC6A" w14:textId="64E0CEAE"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 xml:space="preserve">Methodology </w:t>
      </w:r>
    </w:p>
    <w:p w14:paraId="4FC7C1DB" w14:textId="405D0E0D" w:rsidR="00B446D1" w:rsidRDefault="002763A6" w:rsidP="002763A6">
      <w:pPr>
        <w:spacing w:after="0" w:line="48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B446D1">
        <w:rPr>
          <w:rFonts w:ascii="Times New Roman" w:hAnsi="Times New Roman" w:cs="Times New Roman"/>
          <w:b/>
          <w:bCs/>
          <w:sz w:val="24"/>
          <w:szCs w:val="24"/>
        </w:rPr>
        <w:t>Case Presentation</w:t>
      </w:r>
    </w:p>
    <w:p w14:paraId="32A06ECF" w14:textId="0C3059B9" w:rsidR="00B446D1" w:rsidRPr="00AA19E8" w:rsidRDefault="00B446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focused on a population of 120 horses residing at a polo facility in Kaduna State, Nigeria. These horses included 64 animals imported from different regions and 56 locally raised (resident) horses. The imported horses were introduced to the facility within the last two years, while the resident horses had been at the facility for several years. Both groups were housed under similar conditions but varied in their diet, exposure to pasture, and interactions with other animals.</w:t>
      </w:r>
    </w:p>
    <w:p w14:paraId="27125F47" w14:textId="77777777" w:rsidR="0089754F" w:rsidRDefault="00F7462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were collected from each of the 120 horses and processed using standard </w:t>
      </w:r>
      <w:r w:rsidRPr="001567C8">
        <w:rPr>
          <w:rFonts w:ascii="Times New Roman" w:hAnsi="Times New Roman" w:cs="Times New Roman"/>
          <w:sz w:val="24"/>
          <w:szCs w:val="24"/>
        </w:rPr>
        <w:t>parasitological techniques to identify the presence of gastrointestinal parasites. Samples were examined under a microscope, and eggs and cysts were identified based on morphological characteristics. The prevalence of each parasite was calculated by dividing the number of positive samples by the total number of horses in each group.</w:t>
      </w:r>
    </w:p>
    <w:p w14:paraId="06DDE882" w14:textId="1C6FFF53" w:rsidR="0089754F" w:rsidRPr="00B446D1" w:rsidRDefault="00B446D1"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Result</w:t>
      </w:r>
    </w:p>
    <w:p w14:paraId="0A2D822C"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revealed an overall prevalence of gastrointestinal parasites in 25.0% of the horses. Specifically, 20.0% of horses </w:t>
      </w:r>
      <w:proofErr w:type="spellStart"/>
      <w:r>
        <w:rPr>
          <w:rFonts w:ascii="Times New Roman" w:hAnsi="Times New Roman" w:cs="Times New Roman"/>
          <w:sz w:val="24"/>
          <w:szCs w:val="24"/>
        </w:rPr>
        <w:t>harboured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strongyle</w:t>
      </w:r>
      <w:proofErr w:type="spellEnd"/>
      <w:r>
        <w:rPr>
          <w:rFonts w:ascii="Times New Roman" w:hAnsi="Times New Roman" w:cs="Times New Roman"/>
          <w:sz w:val="24"/>
          <w:szCs w:val="24"/>
        </w:rPr>
        <w:t xml:space="preserve"> eggs, 0.8% had coccidia oocysts, </w:t>
      </w:r>
      <w:r>
        <w:rPr>
          <w:rFonts w:ascii="Times New Roman" w:hAnsi="Times New Roman" w:cs="Times New Roman"/>
          <w:sz w:val="24"/>
          <w:szCs w:val="24"/>
        </w:rPr>
        <w:lastRenderedPageBreak/>
        <w:t>and 4.2% were infected with ciliates (Figure 1). The imported horses showed an infection prevalence of 17.2% for strongyles and 4.7% for ciliates, while resident horses had 23.2% strongyles, 1.8% coccidia, and 3.6% ciliates (Figure 2).</w:t>
      </w:r>
    </w:p>
    <w:p w14:paraId="0EE77547" w14:textId="77777777" w:rsidR="0089754F" w:rsidRDefault="0089754F">
      <w:pPr>
        <w:spacing w:line="240" w:lineRule="auto"/>
        <w:ind w:left="900" w:hanging="900"/>
        <w:jc w:val="both"/>
        <w:rPr>
          <w:rFonts w:ascii="Times New Roman" w:hAnsi="Times New Roman" w:cs="Times New Roman"/>
          <w:sz w:val="24"/>
          <w:szCs w:val="24"/>
        </w:rPr>
      </w:pPr>
    </w:p>
    <w:p w14:paraId="608AED79" w14:textId="77777777" w:rsidR="0089754F" w:rsidRDefault="00F74627">
      <w:pPr>
        <w:spacing w:line="240" w:lineRule="auto"/>
        <w:ind w:left="900" w:hanging="900"/>
        <w:jc w:val="center"/>
        <w:rPr>
          <w:rFonts w:ascii="Times New Roman" w:hAnsi="Times New Roman" w:cs="Times New Roman"/>
          <w:sz w:val="24"/>
          <w:szCs w:val="24"/>
        </w:rPr>
      </w:pPr>
      <w:r>
        <w:rPr>
          <w:noProof/>
        </w:rPr>
        <w:drawing>
          <wp:inline distT="0" distB="0" distL="0" distR="0" wp14:anchorId="0EC5AE5E" wp14:editId="50BF173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C51C23" w14:textId="1735DD71" w:rsidR="0089754F" w:rsidRDefault="00F74627">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sz w:val="24"/>
          <w:szCs w:val="24"/>
        </w:rPr>
        <w:tab/>
        <w:t xml:space="preserve">Overall occurrence of gastrointestinal parasites/eggs identified in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of imported and resident horses at a polo facility, Kaduna State, Nigeria</w:t>
      </w:r>
      <w:r w:rsidR="00E54954">
        <w:rPr>
          <w:rFonts w:ascii="Times New Roman" w:hAnsi="Times New Roman" w:cs="Times New Roman"/>
          <w:sz w:val="24"/>
          <w:szCs w:val="24"/>
        </w:rPr>
        <w:t>.</w:t>
      </w:r>
    </w:p>
    <w:p w14:paraId="40D55B1C" w14:textId="77777777" w:rsidR="0089754F" w:rsidRDefault="0089754F">
      <w:pPr>
        <w:spacing w:line="240" w:lineRule="auto"/>
        <w:ind w:left="900" w:hanging="900"/>
        <w:jc w:val="both"/>
        <w:rPr>
          <w:rFonts w:ascii="Times New Roman" w:hAnsi="Times New Roman" w:cs="Times New Roman"/>
          <w:sz w:val="24"/>
          <w:szCs w:val="24"/>
        </w:rPr>
      </w:pPr>
    </w:p>
    <w:p w14:paraId="54150654" w14:textId="77777777" w:rsidR="0089754F" w:rsidRDefault="0089754F">
      <w:pPr>
        <w:spacing w:line="240" w:lineRule="auto"/>
        <w:ind w:left="900" w:hanging="900"/>
        <w:jc w:val="both"/>
        <w:rPr>
          <w:rFonts w:ascii="Times New Roman" w:hAnsi="Times New Roman" w:cs="Times New Roman"/>
          <w:sz w:val="24"/>
          <w:szCs w:val="24"/>
        </w:rPr>
      </w:pPr>
    </w:p>
    <w:p w14:paraId="45A0B775" w14:textId="77777777" w:rsidR="0089754F" w:rsidRDefault="0089754F">
      <w:pPr>
        <w:spacing w:line="240" w:lineRule="auto"/>
        <w:ind w:left="900" w:hanging="900"/>
        <w:jc w:val="both"/>
        <w:rPr>
          <w:rFonts w:ascii="Times New Roman" w:hAnsi="Times New Roman" w:cs="Times New Roman"/>
          <w:sz w:val="24"/>
          <w:szCs w:val="24"/>
        </w:rPr>
      </w:pPr>
    </w:p>
    <w:p w14:paraId="41AACF68" w14:textId="77777777" w:rsidR="0089754F" w:rsidRDefault="0089754F">
      <w:pPr>
        <w:spacing w:line="240" w:lineRule="auto"/>
        <w:ind w:left="900" w:hanging="900"/>
        <w:jc w:val="both"/>
        <w:rPr>
          <w:rFonts w:ascii="Times New Roman" w:hAnsi="Times New Roman" w:cs="Times New Roman"/>
          <w:sz w:val="24"/>
          <w:szCs w:val="24"/>
        </w:rPr>
      </w:pPr>
    </w:p>
    <w:p w14:paraId="50E3A2B2" w14:textId="77777777" w:rsidR="0089754F" w:rsidRDefault="0089754F">
      <w:pPr>
        <w:spacing w:line="240" w:lineRule="auto"/>
        <w:ind w:left="900" w:hanging="900"/>
        <w:jc w:val="both"/>
        <w:rPr>
          <w:rFonts w:ascii="Times New Roman" w:hAnsi="Times New Roman" w:cs="Times New Roman"/>
          <w:sz w:val="24"/>
          <w:szCs w:val="24"/>
        </w:rPr>
      </w:pPr>
    </w:p>
    <w:p w14:paraId="47E55F4E" w14:textId="77777777" w:rsidR="0089754F" w:rsidRDefault="00F74627">
      <w:pPr>
        <w:spacing w:line="240" w:lineRule="auto"/>
        <w:ind w:left="900" w:hanging="900"/>
        <w:jc w:val="center"/>
        <w:rPr>
          <w:rFonts w:ascii="Times New Roman" w:hAnsi="Times New Roman" w:cs="Times New Roman"/>
          <w:sz w:val="24"/>
          <w:szCs w:val="24"/>
        </w:rPr>
      </w:pPr>
      <w:r>
        <w:rPr>
          <w:noProof/>
        </w:rPr>
        <w:lastRenderedPageBreak/>
        <w:drawing>
          <wp:inline distT="0" distB="0" distL="0" distR="0" wp14:anchorId="4DEAE60F" wp14:editId="4788AD0F">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86089B" w14:textId="087CF964" w:rsidR="0089754F" w:rsidRDefault="00F74627">
      <w:pPr>
        <w:spacing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ab/>
        <w:t xml:space="preserve">Distribution of gastrointestinal parasites/eggs identified in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of imported and resident horses at a polo facility, Kaduna State, Nigeria</w:t>
      </w:r>
      <w:r w:rsidR="00E54954">
        <w:rPr>
          <w:rFonts w:ascii="Times New Roman" w:hAnsi="Times New Roman" w:cs="Times New Roman"/>
          <w:sz w:val="24"/>
          <w:szCs w:val="24"/>
        </w:rPr>
        <w:t>.</w:t>
      </w:r>
    </w:p>
    <w:p w14:paraId="1AFE891D" w14:textId="77777777" w:rsidR="0089754F" w:rsidRDefault="0089754F" w:rsidP="00E54954">
      <w:pPr>
        <w:spacing w:line="240" w:lineRule="auto"/>
        <w:jc w:val="both"/>
        <w:rPr>
          <w:rFonts w:ascii="Times New Roman" w:hAnsi="Times New Roman" w:cs="Times New Roman"/>
          <w:sz w:val="24"/>
          <w:szCs w:val="24"/>
        </w:rPr>
      </w:pPr>
    </w:p>
    <w:p w14:paraId="31DED9EE" w14:textId="1B2AD93A"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Discussion</w:t>
      </w:r>
    </w:p>
    <w:p w14:paraId="410E1838" w14:textId="5E855666"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Gastrointestinal parasites, particularly strongyles, are among the most common parasitic infections in equine populations worldwide (</w:t>
      </w:r>
      <w:proofErr w:type="spellStart"/>
      <w:r>
        <w:rPr>
          <w:rFonts w:ascii="Times New Roman" w:hAnsi="Times New Roman" w:cs="Times New Roman"/>
          <w:sz w:val="24"/>
          <w:szCs w:val="24"/>
        </w:rPr>
        <w:t>Murnik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The findings of this report are consistent with existing research indicating a high prevalence of strongyles in horses (</w:t>
      </w:r>
      <w:proofErr w:type="spellStart"/>
      <w:r>
        <w:rPr>
          <w:rFonts w:ascii="Times New Roman" w:hAnsi="Times New Roman" w:cs="Times New Roman"/>
          <w:sz w:val="24"/>
          <w:szCs w:val="24"/>
        </w:rPr>
        <w:t>Mathewos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Elmajdoub</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Phetkarl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The differences in parasitic infection rates between imported and resident horses may be attributable to variations in prior exposure and immunity (Mendoza </w:t>
      </w:r>
      <w:r>
        <w:rPr>
          <w:rFonts w:ascii="Times New Roman" w:hAnsi="Times New Roman" w:cs="Times New Roman"/>
          <w:i/>
          <w:iCs/>
          <w:sz w:val="24"/>
          <w:szCs w:val="24"/>
        </w:rPr>
        <w:t>et al</w:t>
      </w:r>
      <w:r>
        <w:rPr>
          <w:rFonts w:ascii="Times New Roman" w:hAnsi="Times New Roman" w:cs="Times New Roman"/>
          <w:sz w:val="24"/>
          <w:szCs w:val="24"/>
        </w:rPr>
        <w:t>., 2024).</w:t>
      </w:r>
      <w:r w:rsidR="00C708FF">
        <w:rPr>
          <w:rFonts w:ascii="Times New Roman" w:hAnsi="Times New Roman" w:cs="Times New Roman"/>
          <w:sz w:val="24"/>
          <w:szCs w:val="24"/>
        </w:rPr>
        <w:t xml:space="preserve"> </w:t>
      </w:r>
      <w:r>
        <w:rPr>
          <w:rFonts w:ascii="Times New Roman" w:hAnsi="Times New Roman" w:cs="Times New Roman"/>
          <w:sz w:val="24"/>
          <w:szCs w:val="24"/>
        </w:rPr>
        <w:t>Imported horses, which showed a slightly lower prevalence of strongyles than resident horses, may have benefitted from prophylactic deworming protocols prior to importation (</w:t>
      </w:r>
      <w:proofErr w:type="spellStart"/>
      <w:r>
        <w:rPr>
          <w:rFonts w:ascii="Times New Roman" w:hAnsi="Times New Roman" w:cs="Times New Roman"/>
          <w:sz w:val="24"/>
          <w:szCs w:val="24"/>
        </w:rPr>
        <w:t>Tydén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Jürgenschellert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Also, local adaptation and exposure history might have played a role in the immunity and resilience of resident horses against certain parasites, thus, resulting in variations in infection rates (Boisseau </w:t>
      </w:r>
      <w:r>
        <w:rPr>
          <w:rFonts w:ascii="Times New Roman" w:hAnsi="Times New Roman" w:cs="Times New Roman"/>
          <w:i/>
          <w:iCs/>
          <w:sz w:val="24"/>
          <w:szCs w:val="24"/>
        </w:rPr>
        <w:t>et al</w:t>
      </w:r>
      <w:r>
        <w:rPr>
          <w:rFonts w:ascii="Times New Roman" w:hAnsi="Times New Roman" w:cs="Times New Roman"/>
          <w:sz w:val="24"/>
          <w:szCs w:val="24"/>
        </w:rPr>
        <w:t>., 2023).</w:t>
      </w:r>
    </w:p>
    <w:p w14:paraId="54C3F0C9"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low prevalence of coccidia and ciliates in both groups suggests that these parasites are less common in the study population. However, their presence, even at low levels, indicates potential </w:t>
      </w:r>
      <w:r>
        <w:rPr>
          <w:rFonts w:ascii="Times New Roman" w:hAnsi="Times New Roman" w:cs="Times New Roman"/>
          <w:sz w:val="24"/>
          <w:szCs w:val="24"/>
        </w:rPr>
        <w:lastRenderedPageBreak/>
        <w:t xml:space="preserve">environmental contamination or exposure pathways within the facility (Adhikari </w:t>
      </w:r>
      <w:r>
        <w:rPr>
          <w:rFonts w:ascii="Times New Roman" w:hAnsi="Times New Roman" w:cs="Times New Roman"/>
          <w:i/>
          <w:iCs/>
          <w:sz w:val="24"/>
          <w:szCs w:val="24"/>
        </w:rPr>
        <w:t>et al</w:t>
      </w:r>
      <w:r>
        <w:rPr>
          <w:rFonts w:ascii="Times New Roman" w:hAnsi="Times New Roman" w:cs="Times New Roman"/>
          <w:sz w:val="24"/>
          <w:szCs w:val="24"/>
        </w:rPr>
        <w:t>., 2024), and this requires attention.</w:t>
      </w:r>
    </w:p>
    <w:p w14:paraId="7BF9440E" w14:textId="4FD394E6"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findings emphasi</w:t>
      </w:r>
      <w:r w:rsidR="00C248E0">
        <w:rPr>
          <w:rFonts w:ascii="Times New Roman" w:hAnsi="Times New Roman" w:cs="Times New Roman"/>
          <w:sz w:val="24"/>
          <w:szCs w:val="24"/>
        </w:rPr>
        <w:t>z</w:t>
      </w:r>
      <w:r>
        <w:rPr>
          <w:rFonts w:ascii="Times New Roman" w:hAnsi="Times New Roman" w:cs="Times New Roman"/>
          <w:sz w:val="24"/>
          <w:szCs w:val="24"/>
        </w:rPr>
        <w:t>e the need for targeted parasite control measures that take into account the origin and acclimati</w:t>
      </w:r>
      <w:r w:rsidR="00C248E0">
        <w:rPr>
          <w:rFonts w:ascii="Times New Roman" w:hAnsi="Times New Roman" w:cs="Times New Roman"/>
          <w:sz w:val="24"/>
          <w:szCs w:val="24"/>
        </w:rPr>
        <w:t>z</w:t>
      </w:r>
      <w:r>
        <w:rPr>
          <w:rFonts w:ascii="Times New Roman" w:hAnsi="Times New Roman" w:cs="Times New Roman"/>
          <w:sz w:val="24"/>
          <w:szCs w:val="24"/>
        </w:rPr>
        <w:t xml:space="preserve">ation status of horses. Hence, regular monitoring and strategic deworming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could help mitigate parasite loads in both imported and resident horse populations (</w:t>
      </w:r>
      <w:bookmarkStart w:id="1" w:name="_Hlk182345956"/>
      <w:r>
        <w:rPr>
          <w:rFonts w:ascii="Times New Roman" w:hAnsi="Times New Roman" w:cs="Times New Roman"/>
          <w:sz w:val="24"/>
          <w:szCs w:val="24"/>
        </w:rPr>
        <w:t>Nielsen</w:t>
      </w:r>
      <w:bookmarkEnd w:id="1"/>
      <w:r>
        <w:rPr>
          <w:rFonts w:ascii="Times New Roman" w:hAnsi="Times New Roman" w:cs="Times New Roman"/>
          <w:sz w:val="24"/>
          <w:szCs w:val="24"/>
        </w:rPr>
        <w:t>, 2022).</w:t>
      </w:r>
    </w:p>
    <w:p w14:paraId="24B4C2A7"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diagnostic veterinary parasitology, the identification of specific parasite profiles within different equine groups is crucial for implementing effective treatment and management practices (Buono </w:t>
      </w:r>
      <w:r>
        <w:rPr>
          <w:rFonts w:ascii="Times New Roman" w:hAnsi="Times New Roman" w:cs="Times New Roman"/>
          <w:i/>
          <w:iCs/>
          <w:sz w:val="24"/>
          <w:szCs w:val="24"/>
        </w:rPr>
        <w:t>et al</w:t>
      </w:r>
      <w:r>
        <w:rPr>
          <w:rFonts w:ascii="Times New Roman" w:hAnsi="Times New Roman" w:cs="Times New Roman"/>
          <w:sz w:val="24"/>
          <w:szCs w:val="24"/>
        </w:rPr>
        <w:t xml:space="preserve">., 2023). Therefore, these outcomes also demonstrate the value of routine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examination in the detection and management of subclinical infections.</w:t>
      </w:r>
    </w:p>
    <w:p w14:paraId="459C33FE" w14:textId="3F3B1ED3"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Conclusion</w:t>
      </w:r>
    </w:p>
    <w:p w14:paraId="14838160"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a notable prevalence of gastrointestinal parasites among horses at a polo facility in Kaduna State, with strongyle eggs being the most prevalent. The differences in parasite loads between imported and resident horses highlight the influence of origin and exposure on parasitic infections in equine populations. Therefore, it is recommended to implement regular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examinations to monitor parasite loads and identify emerging patterns in gastrointestinal parasitism among equine populations. Also, there is need to adopt targeted deworming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based on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 results to prevent drug resistance and manage parasitic infections effectively. Furthermore, it is necessary to enhance environmental hygiene and pasture management practices within the facility to reduce the risk of parasite transmission and improve diagnostic accuracy.</w:t>
      </w:r>
    </w:p>
    <w:p w14:paraId="3A5F9D73" w14:textId="77777777" w:rsidR="001000C5" w:rsidRDefault="001000C5">
      <w:pPr>
        <w:spacing w:after="0" w:line="480" w:lineRule="auto"/>
        <w:jc w:val="both"/>
        <w:rPr>
          <w:rFonts w:ascii="Times New Roman" w:hAnsi="Times New Roman" w:cs="Times New Roman"/>
          <w:sz w:val="24"/>
          <w:szCs w:val="24"/>
        </w:rPr>
      </w:pPr>
    </w:p>
    <w:p w14:paraId="0FF97BBB" w14:textId="77777777" w:rsidR="001000C5" w:rsidRPr="00A7079A" w:rsidRDefault="001000C5" w:rsidP="001000C5">
      <w:pPr>
        <w:spacing w:line="480" w:lineRule="auto"/>
        <w:jc w:val="both"/>
        <w:rPr>
          <w:rFonts w:ascii="Times New Roman" w:hAnsi="Times New Roman" w:cs="Times New Roman"/>
          <w:b/>
          <w:bCs/>
        </w:rPr>
      </w:pPr>
      <w:r w:rsidRPr="00A7079A">
        <w:rPr>
          <w:rFonts w:ascii="Times New Roman" w:hAnsi="Times New Roman" w:cs="Times New Roman"/>
          <w:b/>
          <w:bCs/>
        </w:rPr>
        <w:t>DISCLAIMER (ARTIFICIAL INTELLIGENCE)</w:t>
      </w:r>
    </w:p>
    <w:p w14:paraId="710C7CF0" w14:textId="77777777" w:rsidR="001000C5" w:rsidRDefault="001000C5" w:rsidP="001000C5">
      <w:pPr>
        <w:spacing w:line="480" w:lineRule="auto"/>
        <w:jc w:val="both"/>
        <w:rPr>
          <w:rFonts w:ascii="Times New Roman" w:hAnsi="Times New Roman" w:cs="Times New Roman"/>
        </w:rPr>
      </w:pPr>
      <w:r w:rsidRPr="00A7079A">
        <w:rPr>
          <w:rFonts w:ascii="Times New Roman" w:hAnsi="Times New Roman" w:cs="Times New Roman"/>
        </w:rPr>
        <w:lastRenderedPageBreak/>
        <w:t>Author(s) hereby declares that NO generative AI</w:t>
      </w:r>
      <w:r>
        <w:rPr>
          <w:rFonts w:ascii="Times New Roman" w:hAnsi="Times New Roman" w:cs="Times New Roman"/>
        </w:rPr>
        <w:t xml:space="preserve"> </w:t>
      </w:r>
      <w:r w:rsidRPr="00A7079A">
        <w:rPr>
          <w:rFonts w:ascii="Times New Roman" w:hAnsi="Times New Roman" w:cs="Times New Roman"/>
        </w:rPr>
        <w:t>technologies such as Large Language Models</w:t>
      </w:r>
      <w:r>
        <w:rPr>
          <w:rFonts w:ascii="Times New Roman" w:hAnsi="Times New Roman" w:cs="Times New Roman"/>
        </w:rPr>
        <w:t xml:space="preserve"> </w:t>
      </w:r>
      <w:r w:rsidRPr="00A7079A">
        <w:rPr>
          <w:rFonts w:ascii="Times New Roman" w:hAnsi="Times New Roman" w:cs="Times New Roman"/>
        </w:rPr>
        <w:t>(</w:t>
      </w:r>
      <w:proofErr w:type="spellStart"/>
      <w:r w:rsidRPr="00A7079A">
        <w:rPr>
          <w:rFonts w:ascii="Times New Roman" w:hAnsi="Times New Roman" w:cs="Times New Roman"/>
        </w:rPr>
        <w:t>ChatGPT</w:t>
      </w:r>
      <w:proofErr w:type="spellEnd"/>
      <w:r w:rsidRPr="00A7079A">
        <w:rPr>
          <w:rFonts w:ascii="Times New Roman" w:hAnsi="Times New Roman" w:cs="Times New Roman"/>
        </w:rPr>
        <w:t xml:space="preserve">, COPILOT, </w:t>
      </w:r>
      <w:proofErr w:type="spellStart"/>
      <w:r w:rsidRPr="00A7079A">
        <w:rPr>
          <w:rFonts w:ascii="Times New Roman" w:hAnsi="Times New Roman" w:cs="Times New Roman"/>
        </w:rPr>
        <w:t>etc</w:t>
      </w:r>
      <w:proofErr w:type="spellEnd"/>
      <w:r w:rsidRPr="00A7079A">
        <w:rPr>
          <w:rFonts w:ascii="Times New Roman" w:hAnsi="Times New Roman" w:cs="Times New Roman"/>
        </w:rPr>
        <w:t>) and text-to-image</w:t>
      </w:r>
      <w:r>
        <w:rPr>
          <w:rFonts w:ascii="Times New Roman" w:hAnsi="Times New Roman" w:cs="Times New Roman"/>
        </w:rPr>
        <w:t xml:space="preserve"> </w:t>
      </w:r>
      <w:r w:rsidRPr="00A7079A">
        <w:rPr>
          <w:rFonts w:ascii="Times New Roman" w:hAnsi="Times New Roman" w:cs="Times New Roman"/>
        </w:rPr>
        <w:t>generators have been used during writing or</w:t>
      </w:r>
      <w:r>
        <w:rPr>
          <w:rFonts w:ascii="Times New Roman" w:hAnsi="Times New Roman" w:cs="Times New Roman"/>
        </w:rPr>
        <w:t xml:space="preserve"> </w:t>
      </w:r>
      <w:r w:rsidRPr="00A7079A">
        <w:rPr>
          <w:rFonts w:ascii="Times New Roman" w:hAnsi="Times New Roman" w:cs="Times New Roman"/>
        </w:rPr>
        <w:t>editing of this manuscript</w:t>
      </w:r>
      <w:r>
        <w:rPr>
          <w:rFonts w:ascii="Times New Roman" w:hAnsi="Times New Roman" w:cs="Times New Roman"/>
        </w:rPr>
        <w:t>.</w:t>
      </w:r>
    </w:p>
    <w:p w14:paraId="40575694" w14:textId="77777777" w:rsidR="001000C5" w:rsidRPr="009545FD" w:rsidRDefault="001000C5" w:rsidP="001000C5">
      <w:pPr>
        <w:jc w:val="both"/>
        <w:rPr>
          <w:rFonts w:ascii="Times New Roman" w:hAnsi="Times New Roman" w:cs="Times New Roman"/>
        </w:rPr>
      </w:pPr>
    </w:p>
    <w:p w14:paraId="71A134D1" w14:textId="77777777" w:rsidR="001000C5" w:rsidRPr="009545FD" w:rsidRDefault="001000C5" w:rsidP="001000C5">
      <w:pPr>
        <w:jc w:val="both"/>
        <w:rPr>
          <w:rFonts w:ascii="Times New Roman" w:hAnsi="Times New Roman" w:cs="Times New Roman"/>
          <w:b/>
          <w:bCs/>
        </w:rPr>
      </w:pPr>
      <w:r w:rsidRPr="009545FD">
        <w:rPr>
          <w:rFonts w:ascii="Times New Roman" w:hAnsi="Times New Roman" w:cs="Times New Roman"/>
          <w:b/>
          <w:bCs/>
        </w:rPr>
        <w:t>COMPETING INTERESTS</w:t>
      </w:r>
    </w:p>
    <w:p w14:paraId="507439F3" w14:textId="77777777" w:rsidR="001000C5" w:rsidRPr="009545FD" w:rsidRDefault="001000C5" w:rsidP="001000C5">
      <w:pPr>
        <w:jc w:val="both"/>
        <w:rPr>
          <w:rFonts w:ascii="Times New Roman" w:hAnsi="Times New Roman" w:cs="Times New Roman"/>
        </w:rPr>
      </w:pPr>
      <w:r w:rsidRPr="009545FD">
        <w:rPr>
          <w:rFonts w:ascii="Times New Roman" w:hAnsi="Times New Roman" w:cs="Times New Roman"/>
        </w:rPr>
        <w:t>Authors have declared that they have no known</w:t>
      </w:r>
      <w:r>
        <w:rPr>
          <w:rFonts w:ascii="Times New Roman" w:hAnsi="Times New Roman" w:cs="Times New Roman"/>
        </w:rPr>
        <w:t xml:space="preserve"> </w:t>
      </w:r>
      <w:r w:rsidRPr="009545FD">
        <w:rPr>
          <w:rFonts w:ascii="Times New Roman" w:hAnsi="Times New Roman" w:cs="Times New Roman"/>
        </w:rPr>
        <w:t>competing financial interests or non-financial</w:t>
      </w:r>
    </w:p>
    <w:p w14:paraId="15DFFB38" w14:textId="77777777" w:rsidR="001000C5" w:rsidRPr="009545FD" w:rsidRDefault="001000C5" w:rsidP="001000C5">
      <w:pPr>
        <w:jc w:val="both"/>
        <w:rPr>
          <w:rFonts w:ascii="Times New Roman" w:hAnsi="Times New Roman" w:cs="Times New Roman"/>
        </w:rPr>
      </w:pPr>
      <w:r w:rsidRPr="009545FD">
        <w:rPr>
          <w:rFonts w:ascii="Times New Roman" w:hAnsi="Times New Roman" w:cs="Times New Roman"/>
        </w:rPr>
        <w:t>interests or personal relationships that could</w:t>
      </w:r>
      <w:r>
        <w:rPr>
          <w:rFonts w:ascii="Times New Roman" w:hAnsi="Times New Roman" w:cs="Times New Roman"/>
        </w:rPr>
        <w:t xml:space="preserve"> </w:t>
      </w:r>
      <w:r w:rsidRPr="009545FD">
        <w:rPr>
          <w:rFonts w:ascii="Times New Roman" w:hAnsi="Times New Roman" w:cs="Times New Roman"/>
        </w:rPr>
        <w:t>have appeared to influence the work reported in</w:t>
      </w:r>
    </w:p>
    <w:p w14:paraId="4CB541F3" w14:textId="77777777" w:rsidR="001000C5" w:rsidRPr="006B3135" w:rsidRDefault="001000C5" w:rsidP="001000C5">
      <w:pPr>
        <w:jc w:val="both"/>
        <w:rPr>
          <w:rFonts w:ascii="Times New Roman" w:hAnsi="Times New Roman" w:cs="Times New Roman"/>
        </w:rPr>
      </w:pPr>
      <w:r w:rsidRPr="009545FD">
        <w:rPr>
          <w:rFonts w:ascii="Times New Roman" w:hAnsi="Times New Roman" w:cs="Times New Roman"/>
        </w:rPr>
        <w:t>this pape</w:t>
      </w:r>
      <w:r>
        <w:rPr>
          <w:rFonts w:ascii="Times New Roman" w:hAnsi="Times New Roman" w:cs="Times New Roman"/>
        </w:rPr>
        <w:t>r.</w:t>
      </w:r>
    </w:p>
    <w:p w14:paraId="2B7A5AC8" w14:textId="77777777" w:rsidR="001000C5" w:rsidRDefault="001000C5">
      <w:pPr>
        <w:spacing w:after="0" w:line="480" w:lineRule="auto"/>
        <w:jc w:val="both"/>
        <w:rPr>
          <w:rFonts w:ascii="Times New Roman" w:hAnsi="Times New Roman" w:cs="Times New Roman"/>
          <w:sz w:val="24"/>
          <w:szCs w:val="24"/>
        </w:rPr>
      </w:pPr>
    </w:p>
    <w:p w14:paraId="1406FB25" w14:textId="77777777" w:rsidR="0089754F" w:rsidRDefault="00F7462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ADD87EA" w14:textId="77777777" w:rsidR="0089754F" w:rsidRDefault="00F74627">
      <w:pPr>
        <w:spacing w:line="240" w:lineRule="auto"/>
        <w:ind w:left="720" w:hanging="720"/>
        <w:jc w:val="both"/>
        <w:rPr>
          <w:rFonts w:ascii="Times New Roman" w:hAnsi="Times New Roman" w:cs="Times New Roman"/>
          <w:sz w:val="24"/>
          <w:szCs w:val="24"/>
        </w:rPr>
      </w:pPr>
      <w:bookmarkStart w:id="2" w:name="_Hlk182347486"/>
      <w:r>
        <w:rPr>
          <w:rFonts w:ascii="Times New Roman" w:hAnsi="Times New Roman" w:cs="Times New Roman"/>
          <w:sz w:val="24"/>
          <w:szCs w:val="24"/>
        </w:rPr>
        <w:t>Adhikari</w:t>
      </w:r>
      <w:bookmarkEnd w:id="2"/>
      <w:r>
        <w:rPr>
          <w:rFonts w:ascii="Times New Roman" w:hAnsi="Times New Roman" w:cs="Times New Roman"/>
          <w:sz w:val="24"/>
          <w:szCs w:val="24"/>
        </w:rPr>
        <w:t xml:space="preserve">, R., Dhakal, M. A., &amp; Ghimire, T. (2024). Intestinal parasitism in working horses and associated zoonotic risks in lowlands of Nepal. </w:t>
      </w:r>
      <w:r w:rsidRPr="00B446D1">
        <w:rPr>
          <w:rFonts w:ascii="Times New Roman" w:hAnsi="Times New Roman" w:cs="Times New Roman"/>
          <w:i/>
          <w:iCs/>
          <w:sz w:val="24"/>
          <w:szCs w:val="24"/>
        </w:rPr>
        <w:t>Problems of Infectious and Parasitic Diseases</w:t>
      </w:r>
      <w:r>
        <w:rPr>
          <w:rFonts w:ascii="Times New Roman" w:hAnsi="Times New Roman" w:cs="Times New Roman"/>
          <w:sz w:val="24"/>
          <w:szCs w:val="24"/>
        </w:rPr>
        <w:t>, 52(1), 34-46.</w:t>
      </w:r>
    </w:p>
    <w:p w14:paraId="4FB4152B" w14:textId="77777777" w:rsidR="0089754F" w:rsidRDefault="00F74627">
      <w:pPr>
        <w:spacing w:line="240" w:lineRule="auto"/>
        <w:ind w:left="720" w:hanging="720"/>
        <w:jc w:val="both"/>
        <w:rPr>
          <w:rFonts w:ascii="Times New Roman" w:hAnsi="Times New Roman" w:cs="Times New Roman"/>
          <w:sz w:val="24"/>
          <w:szCs w:val="24"/>
        </w:rPr>
      </w:pPr>
      <w:bookmarkStart w:id="3" w:name="_Hlk182347294"/>
      <w:r>
        <w:rPr>
          <w:rFonts w:ascii="Times New Roman" w:hAnsi="Times New Roman" w:cs="Times New Roman"/>
          <w:sz w:val="24"/>
          <w:szCs w:val="24"/>
        </w:rPr>
        <w:t>Boisseau</w:t>
      </w:r>
      <w:bookmarkEnd w:id="3"/>
      <w:r>
        <w:rPr>
          <w:rFonts w:ascii="Times New Roman" w:hAnsi="Times New Roman" w:cs="Times New Roman"/>
          <w:sz w:val="24"/>
          <w:szCs w:val="24"/>
        </w:rPr>
        <w:t xml:space="preserve">, M., </w:t>
      </w:r>
      <w:proofErr w:type="spellStart"/>
      <w:r>
        <w:rPr>
          <w:rFonts w:ascii="Times New Roman" w:hAnsi="Times New Roman" w:cs="Times New Roman"/>
          <w:sz w:val="24"/>
          <w:szCs w:val="24"/>
        </w:rPr>
        <w:t>Dhorne-Pollet</w:t>
      </w:r>
      <w:proofErr w:type="spellEnd"/>
      <w:r>
        <w:rPr>
          <w:rFonts w:ascii="Times New Roman" w:hAnsi="Times New Roman" w:cs="Times New Roman"/>
          <w:sz w:val="24"/>
          <w:szCs w:val="24"/>
        </w:rPr>
        <w:t xml:space="preserve">, S., Bars-Cortina, D., Courtot, É., Serreau, D., Annonay, G., Lluch, J., </w:t>
      </w:r>
      <w:proofErr w:type="spellStart"/>
      <w:r>
        <w:rPr>
          <w:rFonts w:ascii="Times New Roman" w:hAnsi="Times New Roman" w:cs="Times New Roman"/>
          <w:sz w:val="24"/>
          <w:szCs w:val="24"/>
        </w:rPr>
        <w:t>Gesbert</w:t>
      </w:r>
      <w:proofErr w:type="spellEnd"/>
      <w:r>
        <w:rPr>
          <w:rFonts w:ascii="Times New Roman" w:hAnsi="Times New Roman" w:cs="Times New Roman"/>
          <w:sz w:val="24"/>
          <w:szCs w:val="24"/>
        </w:rPr>
        <w:t xml:space="preserve">, A., Reigner, F., Sallé, G. and Mach, N. (2023). Species interactions, stability, and resilience of the gut microbiota - Helminth assemblage in horses. </w:t>
      </w:r>
      <w:proofErr w:type="spellStart"/>
      <w:r w:rsidRPr="00B446D1">
        <w:rPr>
          <w:rFonts w:ascii="Times New Roman" w:hAnsi="Times New Roman" w:cs="Times New Roman"/>
          <w:i/>
          <w:iCs/>
          <w:sz w:val="24"/>
          <w:szCs w:val="24"/>
        </w:rPr>
        <w:t>iScience</w:t>
      </w:r>
      <w:proofErr w:type="spellEnd"/>
      <w:r>
        <w:rPr>
          <w:rFonts w:ascii="Times New Roman" w:hAnsi="Times New Roman" w:cs="Times New Roman"/>
          <w:sz w:val="24"/>
          <w:szCs w:val="24"/>
        </w:rPr>
        <w:t>, 26(2), 106044.</w:t>
      </w:r>
    </w:p>
    <w:p w14:paraId="4A9CE185" w14:textId="77777777" w:rsidR="0089754F" w:rsidRDefault="00F74627">
      <w:pPr>
        <w:spacing w:line="240" w:lineRule="auto"/>
        <w:ind w:left="720" w:hanging="720"/>
        <w:jc w:val="both"/>
        <w:rPr>
          <w:rFonts w:ascii="Times New Roman" w:hAnsi="Times New Roman" w:cs="Times New Roman"/>
          <w:sz w:val="24"/>
          <w:szCs w:val="24"/>
        </w:rPr>
      </w:pPr>
      <w:bookmarkStart w:id="4" w:name="_Hlk182347563"/>
      <w:r w:rsidRPr="001C09C1">
        <w:rPr>
          <w:rFonts w:ascii="Times New Roman" w:hAnsi="Times New Roman" w:cs="Times New Roman"/>
          <w:sz w:val="24"/>
          <w:szCs w:val="24"/>
          <w:lang w:val="it-IT"/>
        </w:rPr>
        <w:t>Buono</w:t>
      </w:r>
      <w:bookmarkEnd w:id="4"/>
      <w:r w:rsidRPr="001C09C1">
        <w:rPr>
          <w:rFonts w:ascii="Times New Roman" w:hAnsi="Times New Roman" w:cs="Times New Roman"/>
          <w:sz w:val="24"/>
          <w:szCs w:val="24"/>
          <w:lang w:val="it-IT"/>
        </w:rPr>
        <w:t xml:space="preserve">, F., Veneziano, V., Veronesi, F., &amp; Molento, M. B. (2023). </w:t>
      </w:r>
      <w:r>
        <w:rPr>
          <w:rFonts w:ascii="Times New Roman" w:hAnsi="Times New Roman" w:cs="Times New Roman"/>
          <w:sz w:val="24"/>
          <w:szCs w:val="24"/>
        </w:rPr>
        <w:t xml:space="preserve">Horse and donkey parasitology: differences and analogies for a correct diagnostic and management of major helminth infections. </w:t>
      </w:r>
      <w:r w:rsidRPr="00B446D1">
        <w:rPr>
          <w:rFonts w:ascii="Times New Roman" w:hAnsi="Times New Roman" w:cs="Times New Roman"/>
          <w:i/>
          <w:iCs/>
          <w:sz w:val="24"/>
          <w:szCs w:val="24"/>
        </w:rPr>
        <w:t>Parasitology</w:t>
      </w:r>
      <w:r>
        <w:rPr>
          <w:rFonts w:ascii="Times New Roman" w:hAnsi="Times New Roman" w:cs="Times New Roman"/>
          <w:sz w:val="24"/>
          <w:szCs w:val="24"/>
        </w:rPr>
        <w:t>, 150(12), 1119-1138.</w:t>
      </w:r>
    </w:p>
    <w:p w14:paraId="7F848F6B" w14:textId="77777777" w:rsidR="0089754F" w:rsidRDefault="00F74627">
      <w:pPr>
        <w:spacing w:line="240" w:lineRule="auto"/>
        <w:ind w:left="720" w:hanging="720"/>
        <w:jc w:val="both"/>
        <w:rPr>
          <w:rFonts w:ascii="Times New Roman" w:hAnsi="Times New Roman" w:cs="Times New Roman"/>
          <w:sz w:val="24"/>
          <w:szCs w:val="24"/>
        </w:rPr>
      </w:pPr>
      <w:bookmarkStart w:id="5" w:name="_Hlk182345034"/>
      <w:r>
        <w:rPr>
          <w:rFonts w:ascii="Times New Roman" w:hAnsi="Times New Roman" w:cs="Times New Roman"/>
          <w:sz w:val="24"/>
          <w:szCs w:val="24"/>
        </w:rPr>
        <w:t>Elmajdoub</w:t>
      </w:r>
      <w:bookmarkEnd w:id="5"/>
      <w:r>
        <w:rPr>
          <w:rFonts w:ascii="Times New Roman" w:hAnsi="Times New Roman" w:cs="Times New Roman"/>
          <w:sz w:val="24"/>
          <w:szCs w:val="24"/>
        </w:rPr>
        <w:t xml:space="preserve">, L. O., Mosaab, O., Alsaghir, O. A., &amp; </w:t>
      </w:r>
      <w:proofErr w:type="spellStart"/>
      <w:r>
        <w:rPr>
          <w:rFonts w:ascii="Times New Roman" w:hAnsi="Times New Roman" w:cs="Times New Roman"/>
          <w:sz w:val="24"/>
          <w:szCs w:val="24"/>
        </w:rPr>
        <w:t>Shimaa</w:t>
      </w:r>
      <w:proofErr w:type="spellEnd"/>
      <w:r>
        <w:rPr>
          <w:rFonts w:ascii="Times New Roman" w:hAnsi="Times New Roman" w:cs="Times New Roman"/>
          <w:sz w:val="24"/>
          <w:szCs w:val="24"/>
        </w:rPr>
        <w:t xml:space="preserve">, S. S. (2022). Investigation and Prevalence of Gastrointestinal Parasites of Equestrian Clubs Horses in Misurata, Libya. </w:t>
      </w:r>
      <w:r w:rsidRPr="00B446D1">
        <w:rPr>
          <w:rFonts w:ascii="Times New Roman" w:hAnsi="Times New Roman" w:cs="Times New Roman"/>
          <w:i/>
          <w:iCs/>
          <w:sz w:val="24"/>
          <w:szCs w:val="24"/>
        </w:rPr>
        <w:t>European Journal of Biology and Biotechnology</w:t>
      </w:r>
      <w:r>
        <w:rPr>
          <w:rFonts w:ascii="Times New Roman" w:hAnsi="Times New Roman" w:cs="Times New Roman"/>
          <w:sz w:val="24"/>
          <w:szCs w:val="24"/>
        </w:rPr>
        <w:t>, 3(6), 5-9.</w:t>
      </w:r>
    </w:p>
    <w:p w14:paraId="1B7EEF7D" w14:textId="77777777" w:rsidR="0089754F" w:rsidRDefault="00F74627">
      <w:pPr>
        <w:spacing w:line="240" w:lineRule="auto"/>
        <w:ind w:left="720" w:hanging="720"/>
        <w:jc w:val="both"/>
        <w:rPr>
          <w:rFonts w:ascii="Times New Roman" w:hAnsi="Times New Roman" w:cs="Times New Roman"/>
          <w:sz w:val="24"/>
          <w:szCs w:val="24"/>
        </w:rPr>
      </w:pPr>
      <w:bookmarkStart w:id="6" w:name="_Hlk182346323"/>
      <w:proofErr w:type="spellStart"/>
      <w:r>
        <w:rPr>
          <w:rFonts w:ascii="Times New Roman" w:hAnsi="Times New Roman" w:cs="Times New Roman"/>
          <w:sz w:val="24"/>
          <w:szCs w:val="24"/>
        </w:rPr>
        <w:t>Ememe</w:t>
      </w:r>
      <w:bookmarkEnd w:id="6"/>
      <w:proofErr w:type="spellEnd"/>
      <w:r>
        <w:rPr>
          <w:rFonts w:ascii="Times New Roman" w:hAnsi="Times New Roman" w:cs="Times New Roman"/>
          <w:sz w:val="24"/>
          <w:szCs w:val="24"/>
        </w:rPr>
        <w:t xml:space="preserve">, M. U., </w:t>
      </w:r>
      <w:proofErr w:type="spellStart"/>
      <w:r>
        <w:rPr>
          <w:rFonts w:ascii="Times New Roman" w:hAnsi="Times New Roman" w:cs="Times New Roman"/>
          <w:sz w:val="24"/>
          <w:szCs w:val="24"/>
        </w:rPr>
        <w:t>Ukwueze</w:t>
      </w:r>
      <w:proofErr w:type="spellEnd"/>
      <w:r>
        <w:rPr>
          <w:rFonts w:ascii="Times New Roman" w:hAnsi="Times New Roman" w:cs="Times New Roman"/>
          <w:sz w:val="24"/>
          <w:szCs w:val="24"/>
        </w:rPr>
        <w:t xml:space="preserve">, C. S., </w:t>
      </w:r>
      <w:proofErr w:type="spellStart"/>
      <w:r>
        <w:rPr>
          <w:rFonts w:ascii="Times New Roman" w:hAnsi="Times New Roman" w:cs="Times New Roman"/>
          <w:sz w:val="24"/>
          <w:szCs w:val="24"/>
        </w:rPr>
        <w:t>Onyeabor</w:t>
      </w:r>
      <w:proofErr w:type="spellEnd"/>
      <w:r>
        <w:rPr>
          <w:rFonts w:ascii="Times New Roman" w:hAnsi="Times New Roman" w:cs="Times New Roman"/>
          <w:sz w:val="24"/>
          <w:szCs w:val="24"/>
        </w:rPr>
        <w:t xml:space="preserve">, A., &amp; Isacc, K. K. (2024). Seasonal effects on the gastrointestinal parasites in horses at Port Harcourt Polo, Rivers State, Nigeria. </w:t>
      </w:r>
      <w:r w:rsidRPr="00B446D1">
        <w:rPr>
          <w:rFonts w:ascii="Times New Roman" w:hAnsi="Times New Roman" w:cs="Times New Roman"/>
          <w:i/>
          <w:iCs/>
          <w:sz w:val="24"/>
          <w:szCs w:val="24"/>
        </w:rPr>
        <w:t>Journal of Sustainable Veterinary and Allied Sciences</w:t>
      </w:r>
      <w:r>
        <w:rPr>
          <w:rFonts w:ascii="Times New Roman" w:hAnsi="Times New Roman" w:cs="Times New Roman"/>
          <w:sz w:val="24"/>
          <w:szCs w:val="24"/>
        </w:rPr>
        <w:t>, 6(3), 204-210.</w:t>
      </w:r>
    </w:p>
    <w:p w14:paraId="6E4CC266" w14:textId="14E7FD97" w:rsidR="002763A6" w:rsidRPr="002763A6" w:rsidRDefault="002763A6" w:rsidP="002763A6">
      <w:pPr>
        <w:spacing w:line="240" w:lineRule="auto"/>
        <w:ind w:left="720" w:hanging="720"/>
        <w:jc w:val="both"/>
        <w:rPr>
          <w:rFonts w:ascii="Times New Roman" w:hAnsi="Times New Roman" w:cs="Times New Roman"/>
          <w:sz w:val="24"/>
          <w:szCs w:val="24"/>
        </w:rPr>
      </w:pPr>
      <w:r w:rsidRPr="002763A6">
        <w:rPr>
          <w:rFonts w:ascii="Times New Roman" w:hAnsi="Times New Roman" w:cs="Times New Roman"/>
          <w:sz w:val="24"/>
          <w:szCs w:val="24"/>
        </w:rPr>
        <w:t xml:space="preserve">Ghafar, A., Abbas, G., Beasley, A., </w:t>
      </w:r>
      <w:proofErr w:type="spellStart"/>
      <w:r w:rsidRPr="002763A6">
        <w:rPr>
          <w:rFonts w:ascii="Times New Roman" w:hAnsi="Times New Roman" w:cs="Times New Roman"/>
          <w:sz w:val="24"/>
          <w:szCs w:val="24"/>
        </w:rPr>
        <w:t>Bauquier</w:t>
      </w:r>
      <w:proofErr w:type="spellEnd"/>
      <w:r w:rsidRPr="002763A6">
        <w:rPr>
          <w:rFonts w:ascii="Times New Roman" w:hAnsi="Times New Roman" w:cs="Times New Roman"/>
          <w:sz w:val="24"/>
          <w:szCs w:val="24"/>
        </w:rPr>
        <w:t xml:space="preserve">, J., Wilkes, E. J. A., Jacobson, C., McConnell, E., El-Hage, C., Carrigan, P., Cudmore, L., Tennent-Brown, B., Hurley, J., Nielsen, M. K., Gauci, C. G., Beveridge, I., Hughes, K. J., &amp; Jabbar, A. (2023). Molecular diagnostics for gastrointestinal helminths in equids: Past, present and future. </w:t>
      </w:r>
      <w:r w:rsidRPr="002763A6">
        <w:rPr>
          <w:rFonts w:ascii="Times New Roman" w:hAnsi="Times New Roman" w:cs="Times New Roman"/>
          <w:i/>
          <w:iCs/>
          <w:sz w:val="24"/>
          <w:szCs w:val="24"/>
        </w:rPr>
        <w:t>Veterinary Parasitology</w:t>
      </w:r>
      <w:r w:rsidRPr="002763A6">
        <w:rPr>
          <w:rFonts w:ascii="Times New Roman" w:hAnsi="Times New Roman" w:cs="Times New Roman"/>
          <w:sz w:val="24"/>
          <w:szCs w:val="24"/>
        </w:rPr>
        <w:t>, 313, Article 109851. https://doi.org/10.1016/j.vetpar.2022.109851</w:t>
      </w:r>
      <w:r>
        <w:rPr>
          <w:rFonts w:ascii="Times New Roman" w:hAnsi="Times New Roman" w:cs="Times New Roman"/>
          <w:sz w:val="24"/>
          <w:szCs w:val="24"/>
        </w:rPr>
        <w:t>.</w:t>
      </w:r>
    </w:p>
    <w:p w14:paraId="3F9CE108"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Jones, K.R. and Garcia, G.W. (2023). Teaching of Veterinary Parasitology to University students in Trinidad, West Indies; are our local wildlife species neglected? </w:t>
      </w:r>
      <w:proofErr w:type="spellStart"/>
      <w:r w:rsidRPr="002763A6">
        <w:rPr>
          <w:rFonts w:ascii="Times New Roman" w:hAnsi="Times New Roman" w:cs="Times New Roman"/>
          <w:i/>
          <w:iCs/>
          <w:sz w:val="24"/>
          <w:szCs w:val="24"/>
        </w:rPr>
        <w:t>Brazillian</w:t>
      </w:r>
      <w:proofErr w:type="spellEnd"/>
      <w:r w:rsidRPr="002763A6">
        <w:rPr>
          <w:rFonts w:ascii="Times New Roman" w:hAnsi="Times New Roman" w:cs="Times New Roman"/>
          <w:i/>
          <w:iCs/>
          <w:sz w:val="24"/>
          <w:szCs w:val="24"/>
        </w:rPr>
        <w:t xml:space="preserve"> Journal of Biology</w:t>
      </w:r>
      <w:r>
        <w:rPr>
          <w:rFonts w:ascii="Times New Roman" w:hAnsi="Times New Roman" w:cs="Times New Roman"/>
          <w:sz w:val="24"/>
          <w:szCs w:val="24"/>
        </w:rPr>
        <w:t>, 83, e248493.</w:t>
      </w:r>
    </w:p>
    <w:p w14:paraId="0071C7F4" w14:textId="77777777" w:rsidR="0089754F" w:rsidRDefault="00F74627">
      <w:pPr>
        <w:spacing w:line="240" w:lineRule="auto"/>
        <w:ind w:left="720" w:hanging="720"/>
        <w:jc w:val="both"/>
        <w:rPr>
          <w:rFonts w:ascii="Times New Roman" w:hAnsi="Times New Roman" w:cs="Times New Roman"/>
          <w:sz w:val="24"/>
          <w:szCs w:val="24"/>
        </w:rPr>
      </w:pPr>
      <w:bookmarkStart w:id="7" w:name="_Hlk182347077"/>
      <w:proofErr w:type="spellStart"/>
      <w:r>
        <w:rPr>
          <w:rFonts w:ascii="Times New Roman" w:hAnsi="Times New Roman" w:cs="Times New Roman"/>
          <w:sz w:val="24"/>
          <w:szCs w:val="24"/>
        </w:rPr>
        <w:t>Jürgenschellert</w:t>
      </w:r>
      <w:bookmarkEnd w:id="7"/>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Krücken</w:t>
      </w:r>
      <w:proofErr w:type="spellEnd"/>
      <w:r>
        <w:rPr>
          <w:rFonts w:ascii="Times New Roman" w:hAnsi="Times New Roman" w:cs="Times New Roman"/>
          <w:sz w:val="24"/>
          <w:szCs w:val="24"/>
        </w:rPr>
        <w:t>, J., Bousquet, E., Bartz, J., Heyer, N., Nielsen, M.K. and von Samson-</w:t>
      </w:r>
      <w:proofErr w:type="spellStart"/>
      <w:r>
        <w:rPr>
          <w:rFonts w:ascii="Times New Roman" w:hAnsi="Times New Roman" w:cs="Times New Roman"/>
          <w:sz w:val="24"/>
          <w:szCs w:val="24"/>
        </w:rPr>
        <w:t>Himmelstjerna</w:t>
      </w:r>
      <w:proofErr w:type="spellEnd"/>
      <w:r>
        <w:rPr>
          <w:rFonts w:ascii="Times New Roman" w:hAnsi="Times New Roman" w:cs="Times New Roman"/>
          <w:sz w:val="24"/>
          <w:szCs w:val="24"/>
        </w:rPr>
        <w:t xml:space="preserve">, G. (2022). Occurrence of </w:t>
      </w:r>
      <w:proofErr w:type="spellStart"/>
      <w:r>
        <w:rPr>
          <w:rFonts w:ascii="Times New Roman" w:hAnsi="Times New Roman" w:cs="Times New Roman"/>
          <w:sz w:val="24"/>
          <w:szCs w:val="24"/>
        </w:rPr>
        <w:t>Strongylid</w:t>
      </w:r>
      <w:proofErr w:type="spellEnd"/>
      <w:r>
        <w:rPr>
          <w:rFonts w:ascii="Times New Roman" w:hAnsi="Times New Roman" w:cs="Times New Roman"/>
          <w:sz w:val="24"/>
          <w:szCs w:val="24"/>
        </w:rPr>
        <w:t xml:space="preserve"> Nematode Parasites on Horse Farms </w:t>
      </w:r>
      <w:r>
        <w:rPr>
          <w:rFonts w:ascii="Times New Roman" w:hAnsi="Times New Roman" w:cs="Times New Roman"/>
          <w:sz w:val="24"/>
          <w:szCs w:val="24"/>
        </w:rPr>
        <w:lastRenderedPageBreak/>
        <w:t xml:space="preserve">in Berlin and Brandenburg, Germany, With High Seroprevalence of </w:t>
      </w:r>
      <w:proofErr w:type="spellStart"/>
      <w:r>
        <w:rPr>
          <w:rFonts w:ascii="Times New Roman" w:hAnsi="Times New Roman" w:cs="Times New Roman"/>
          <w:i/>
          <w:iCs/>
          <w:sz w:val="24"/>
          <w:szCs w:val="24"/>
        </w:rPr>
        <w:t>Strongylus</w:t>
      </w:r>
      <w:proofErr w:type="spellEnd"/>
      <w:r>
        <w:rPr>
          <w:rFonts w:ascii="Times New Roman" w:hAnsi="Times New Roman" w:cs="Times New Roman"/>
          <w:i/>
          <w:iCs/>
          <w:sz w:val="24"/>
          <w:szCs w:val="24"/>
        </w:rPr>
        <w:t xml:space="preserve"> vulgaris</w:t>
      </w:r>
      <w:r>
        <w:rPr>
          <w:rFonts w:ascii="Times New Roman" w:hAnsi="Times New Roman" w:cs="Times New Roman"/>
          <w:sz w:val="24"/>
          <w:szCs w:val="24"/>
        </w:rPr>
        <w:t xml:space="preserve"> Infection. </w:t>
      </w:r>
      <w:r w:rsidRPr="002763A6">
        <w:rPr>
          <w:rFonts w:ascii="Times New Roman" w:hAnsi="Times New Roman" w:cs="Times New Roman"/>
          <w:i/>
          <w:iCs/>
          <w:sz w:val="24"/>
          <w:szCs w:val="24"/>
        </w:rPr>
        <w:t>Frontiers in Veterinary Science</w:t>
      </w:r>
      <w:r>
        <w:rPr>
          <w:rFonts w:ascii="Times New Roman" w:hAnsi="Times New Roman" w:cs="Times New Roman"/>
          <w:sz w:val="24"/>
          <w:szCs w:val="24"/>
        </w:rPr>
        <w:t>, 9, 892920.</w:t>
      </w:r>
    </w:p>
    <w:p w14:paraId="2810792A" w14:textId="77777777" w:rsidR="0089754F" w:rsidRDefault="00F74627">
      <w:pPr>
        <w:spacing w:line="240" w:lineRule="auto"/>
        <w:ind w:left="720" w:hanging="720"/>
        <w:jc w:val="both"/>
        <w:rPr>
          <w:rFonts w:ascii="Times New Roman" w:hAnsi="Times New Roman" w:cs="Times New Roman"/>
          <w:sz w:val="24"/>
          <w:szCs w:val="24"/>
        </w:rPr>
      </w:pPr>
      <w:bookmarkStart w:id="8" w:name="_Hlk182345841"/>
      <w:r>
        <w:rPr>
          <w:rFonts w:ascii="Times New Roman" w:hAnsi="Times New Roman" w:cs="Times New Roman"/>
          <w:sz w:val="24"/>
          <w:szCs w:val="24"/>
        </w:rPr>
        <w:t>Khurana</w:t>
      </w:r>
      <w:bookmarkEnd w:id="8"/>
      <w:r>
        <w:rPr>
          <w:rFonts w:ascii="Times New Roman" w:hAnsi="Times New Roman" w:cs="Times New Roman"/>
          <w:sz w:val="24"/>
          <w:szCs w:val="24"/>
        </w:rPr>
        <w:t xml:space="preserve">, S., Singh, S., &amp; </w:t>
      </w:r>
      <w:proofErr w:type="spellStart"/>
      <w:r>
        <w:rPr>
          <w:rFonts w:ascii="Times New Roman" w:hAnsi="Times New Roman" w:cs="Times New Roman"/>
          <w:sz w:val="24"/>
          <w:szCs w:val="24"/>
        </w:rPr>
        <w:t>Mewara</w:t>
      </w:r>
      <w:proofErr w:type="spellEnd"/>
      <w:r>
        <w:rPr>
          <w:rFonts w:ascii="Times New Roman" w:hAnsi="Times New Roman" w:cs="Times New Roman"/>
          <w:sz w:val="24"/>
          <w:szCs w:val="24"/>
        </w:rPr>
        <w:t xml:space="preserve">, A. (2021). Diagnostic techniques for soil-transmitted helminths–Recent advances. </w:t>
      </w:r>
      <w:r w:rsidRPr="002763A6">
        <w:rPr>
          <w:rFonts w:ascii="Times New Roman" w:hAnsi="Times New Roman" w:cs="Times New Roman"/>
          <w:i/>
          <w:iCs/>
          <w:sz w:val="24"/>
          <w:szCs w:val="24"/>
        </w:rPr>
        <w:t>Research and Reports in Tropical Medicine</w:t>
      </w:r>
      <w:r>
        <w:rPr>
          <w:rFonts w:ascii="Times New Roman" w:hAnsi="Times New Roman" w:cs="Times New Roman"/>
          <w:sz w:val="24"/>
          <w:szCs w:val="24"/>
        </w:rPr>
        <w:t>, 181-196.</w:t>
      </w:r>
    </w:p>
    <w:p w14:paraId="1B050977" w14:textId="77777777" w:rsidR="0089754F" w:rsidRDefault="00F74627">
      <w:pPr>
        <w:spacing w:line="240" w:lineRule="auto"/>
        <w:ind w:left="720" w:hanging="720"/>
        <w:jc w:val="both"/>
        <w:rPr>
          <w:rFonts w:ascii="Times New Roman" w:hAnsi="Times New Roman" w:cs="Times New Roman"/>
          <w:sz w:val="24"/>
          <w:szCs w:val="24"/>
        </w:rPr>
      </w:pPr>
      <w:bookmarkStart w:id="9" w:name="_Hlk182344817"/>
      <w:proofErr w:type="spellStart"/>
      <w:r>
        <w:rPr>
          <w:rFonts w:ascii="Times New Roman" w:hAnsi="Times New Roman" w:cs="Times New Roman"/>
          <w:sz w:val="24"/>
          <w:szCs w:val="24"/>
        </w:rPr>
        <w:t>Mathewos</w:t>
      </w:r>
      <w:bookmarkEnd w:id="9"/>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Girma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Fesseha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Yirgalem</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Eshetu</w:t>
      </w:r>
      <w:proofErr w:type="spellEnd"/>
      <w:r>
        <w:rPr>
          <w:rFonts w:ascii="Times New Roman" w:hAnsi="Times New Roman" w:cs="Times New Roman"/>
          <w:sz w:val="24"/>
          <w:szCs w:val="24"/>
        </w:rPr>
        <w:t xml:space="preserve"> E. (2021). Prevalence of Gastrointestinal Helminthiasis in Horses and Donkeys of Hawassa District, Southern Ethiopia. </w:t>
      </w:r>
      <w:r w:rsidRPr="002763A6">
        <w:rPr>
          <w:rFonts w:ascii="Times New Roman" w:hAnsi="Times New Roman" w:cs="Times New Roman"/>
          <w:i/>
          <w:iCs/>
          <w:sz w:val="24"/>
          <w:szCs w:val="24"/>
        </w:rPr>
        <w:t>Veterinary Medicine International</w:t>
      </w:r>
      <w:r>
        <w:rPr>
          <w:rFonts w:ascii="Times New Roman" w:hAnsi="Times New Roman" w:cs="Times New Roman"/>
          <w:sz w:val="24"/>
          <w:szCs w:val="24"/>
        </w:rPr>
        <w:t>, 21, 6686688.</w:t>
      </w:r>
    </w:p>
    <w:p w14:paraId="2B48EAF8" w14:textId="77777777" w:rsidR="0089754F" w:rsidRDefault="00F74627">
      <w:pPr>
        <w:spacing w:line="240" w:lineRule="auto"/>
        <w:ind w:left="720" w:hanging="720"/>
        <w:jc w:val="both"/>
        <w:rPr>
          <w:rFonts w:ascii="Times New Roman" w:hAnsi="Times New Roman" w:cs="Times New Roman"/>
          <w:sz w:val="24"/>
          <w:szCs w:val="24"/>
        </w:rPr>
      </w:pPr>
      <w:bookmarkStart w:id="10" w:name="_Hlk182346780"/>
      <w:r>
        <w:rPr>
          <w:rFonts w:ascii="Times New Roman" w:hAnsi="Times New Roman" w:cs="Times New Roman"/>
          <w:sz w:val="24"/>
          <w:szCs w:val="24"/>
        </w:rPr>
        <w:t>Mendoza</w:t>
      </w:r>
      <w:bookmarkEnd w:id="10"/>
      <w:r>
        <w:rPr>
          <w:rFonts w:ascii="Times New Roman" w:hAnsi="Times New Roman" w:cs="Times New Roman"/>
          <w:sz w:val="24"/>
          <w:szCs w:val="24"/>
        </w:rPr>
        <w:t>, F. J., Pérez-</w:t>
      </w:r>
      <w:proofErr w:type="spellStart"/>
      <w:r>
        <w:rPr>
          <w:rFonts w:ascii="Times New Roman" w:hAnsi="Times New Roman" w:cs="Times New Roman"/>
          <w:sz w:val="24"/>
          <w:szCs w:val="24"/>
        </w:rPr>
        <w:t>Écija</w:t>
      </w:r>
      <w:proofErr w:type="spellEnd"/>
      <w:r>
        <w:rPr>
          <w:rFonts w:ascii="Times New Roman" w:hAnsi="Times New Roman" w:cs="Times New Roman"/>
          <w:sz w:val="24"/>
          <w:szCs w:val="24"/>
        </w:rPr>
        <w:t xml:space="preserve">, A., Kappmeyer, L. S., Suarez, C. E., &amp; Bastos, R. G. (2024). New insights in the diagnosis and treatment of equine piroplasmosis: pitfalls, idiosyncrasies, and myths. </w:t>
      </w:r>
      <w:r w:rsidRPr="002763A6">
        <w:rPr>
          <w:rFonts w:ascii="Times New Roman" w:hAnsi="Times New Roman" w:cs="Times New Roman"/>
          <w:i/>
          <w:iCs/>
          <w:sz w:val="24"/>
          <w:szCs w:val="24"/>
        </w:rPr>
        <w:t>Frontiers in Veterinary Science</w:t>
      </w:r>
      <w:r>
        <w:rPr>
          <w:rFonts w:ascii="Times New Roman" w:hAnsi="Times New Roman" w:cs="Times New Roman"/>
          <w:sz w:val="24"/>
          <w:szCs w:val="24"/>
        </w:rPr>
        <w:t>, 11, 1459989.</w:t>
      </w:r>
    </w:p>
    <w:p w14:paraId="276AE7ED" w14:textId="77777777" w:rsidR="0089754F" w:rsidRPr="001C09C1" w:rsidRDefault="00F74627">
      <w:pPr>
        <w:spacing w:line="240" w:lineRule="auto"/>
        <w:ind w:left="720" w:hanging="720"/>
        <w:jc w:val="both"/>
        <w:rPr>
          <w:rFonts w:ascii="Times New Roman" w:hAnsi="Times New Roman" w:cs="Times New Roman"/>
          <w:sz w:val="24"/>
          <w:szCs w:val="24"/>
          <w:lang w:val="it-IT"/>
        </w:rPr>
      </w:pPr>
      <w:bookmarkStart w:id="11" w:name="_Hlk182345776"/>
      <w:r>
        <w:rPr>
          <w:rFonts w:ascii="Times New Roman" w:hAnsi="Times New Roman" w:cs="Times New Roman"/>
          <w:sz w:val="24"/>
          <w:szCs w:val="24"/>
        </w:rPr>
        <w:t>Miswan</w:t>
      </w:r>
      <w:bookmarkEnd w:id="11"/>
      <w:r>
        <w:rPr>
          <w:rFonts w:ascii="Times New Roman" w:hAnsi="Times New Roman" w:cs="Times New Roman"/>
          <w:sz w:val="24"/>
          <w:szCs w:val="24"/>
        </w:rPr>
        <w:t xml:space="preserve">, N., Singham, G. V., &amp; Othman, N. (2022). Advantages and limitations of microscopy and molecular detections for diagnosis of soil-transmitted helminths: An overview. </w:t>
      </w:r>
      <w:r w:rsidRPr="002763A6">
        <w:rPr>
          <w:rFonts w:ascii="Times New Roman" w:hAnsi="Times New Roman" w:cs="Times New Roman"/>
          <w:i/>
          <w:iCs/>
          <w:sz w:val="24"/>
          <w:szCs w:val="24"/>
          <w:lang w:val="it-IT"/>
        </w:rPr>
        <w:t>Helminthologia</w:t>
      </w:r>
      <w:r w:rsidRPr="001C09C1">
        <w:rPr>
          <w:rFonts w:ascii="Times New Roman" w:hAnsi="Times New Roman" w:cs="Times New Roman"/>
          <w:sz w:val="24"/>
          <w:szCs w:val="24"/>
          <w:lang w:val="it-IT"/>
        </w:rPr>
        <w:t>, 59(4), 321-340.</w:t>
      </w:r>
    </w:p>
    <w:p w14:paraId="4B50374A" w14:textId="77777777" w:rsidR="0089754F" w:rsidRDefault="00F74627">
      <w:pPr>
        <w:spacing w:line="240" w:lineRule="auto"/>
        <w:ind w:left="720" w:hanging="720"/>
        <w:jc w:val="both"/>
        <w:rPr>
          <w:rFonts w:ascii="Times New Roman" w:hAnsi="Times New Roman" w:cs="Times New Roman"/>
          <w:sz w:val="24"/>
          <w:szCs w:val="24"/>
        </w:rPr>
      </w:pPr>
      <w:bookmarkStart w:id="12" w:name="_Hlk182344558"/>
      <w:r w:rsidRPr="001C09C1">
        <w:rPr>
          <w:rFonts w:ascii="Times New Roman" w:hAnsi="Times New Roman" w:cs="Times New Roman"/>
          <w:sz w:val="24"/>
          <w:szCs w:val="24"/>
          <w:lang w:val="it-IT"/>
        </w:rPr>
        <w:t>Muñoz-Caro</w:t>
      </w:r>
      <w:bookmarkEnd w:id="12"/>
      <w:r w:rsidRPr="001C09C1">
        <w:rPr>
          <w:rFonts w:ascii="Times New Roman" w:hAnsi="Times New Roman" w:cs="Times New Roman"/>
          <w:sz w:val="24"/>
          <w:szCs w:val="24"/>
          <w:lang w:val="it-IT"/>
        </w:rPr>
        <w:t xml:space="preserve">, T., Gavilán, P., Villanueva, J., Oberg, C., Herrera, C., Fonseca-Salamanca, F., &amp; Hidalgo, A. (2024). </w:t>
      </w:r>
      <w:proofErr w:type="spellStart"/>
      <w:r>
        <w:rPr>
          <w:rFonts w:ascii="Times New Roman" w:hAnsi="Times New Roman" w:cs="Times New Roman"/>
          <w:sz w:val="24"/>
          <w:szCs w:val="24"/>
        </w:rPr>
        <w:t>Endoparasitism</w:t>
      </w:r>
      <w:proofErr w:type="spellEnd"/>
      <w:r>
        <w:rPr>
          <w:rFonts w:ascii="Times New Roman" w:hAnsi="Times New Roman" w:cs="Times New Roman"/>
          <w:sz w:val="24"/>
          <w:szCs w:val="24"/>
        </w:rPr>
        <w:t xml:space="preserve"> and risk factors in horses from ethnic communities in Andean areas of southern Chile. </w:t>
      </w:r>
      <w:r w:rsidRPr="002763A6">
        <w:rPr>
          <w:rFonts w:ascii="Times New Roman" w:hAnsi="Times New Roman" w:cs="Times New Roman"/>
          <w:i/>
          <w:iCs/>
          <w:sz w:val="24"/>
          <w:szCs w:val="24"/>
        </w:rPr>
        <w:t>Tropical Animal Health and Production</w:t>
      </w:r>
      <w:r>
        <w:rPr>
          <w:rFonts w:ascii="Times New Roman" w:hAnsi="Times New Roman" w:cs="Times New Roman"/>
          <w:sz w:val="24"/>
          <w:szCs w:val="24"/>
        </w:rPr>
        <w:t>, 56(8), 1-7.</w:t>
      </w:r>
    </w:p>
    <w:p w14:paraId="5F65FF50" w14:textId="77777777" w:rsidR="0089754F" w:rsidRDefault="00F74627">
      <w:pPr>
        <w:spacing w:line="240" w:lineRule="auto"/>
        <w:ind w:left="720" w:hanging="720"/>
        <w:jc w:val="both"/>
        <w:rPr>
          <w:rFonts w:ascii="Times New Roman" w:hAnsi="Times New Roman" w:cs="Times New Roman"/>
          <w:sz w:val="24"/>
          <w:szCs w:val="24"/>
        </w:rPr>
      </w:pPr>
      <w:bookmarkStart w:id="13" w:name="_Hlk182344670"/>
      <w:proofErr w:type="spellStart"/>
      <w:r>
        <w:rPr>
          <w:rFonts w:ascii="Times New Roman" w:hAnsi="Times New Roman" w:cs="Times New Roman"/>
          <w:sz w:val="24"/>
          <w:szCs w:val="24"/>
        </w:rPr>
        <w:t>Murnik</w:t>
      </w:r>
      <w:bookmarkEnd w:id="13"/>
      <w:proofErr w:type="spellEnd"/>
      <w:r>
        <w:rPr>
          <w:rFonts w:ascii="Times New Roman" w:hAnsi="Times New Roman" w:cs="Times New Roman"/>
          <w:sz w:val="24"/>
          <w:szCs w:val="24"/>
        </w:rPr>
        <w:t xml:space="preserve">, L. C., Schmäschke, R., Bernhard, A., </w:t>
      </w:r>
      <w:proofErr w:type="spellStart"/>
      <w:r>
        <w:rPr>
          <w:rFonts w:ascii="Times New Roman" w:hAnsi="Times New Roman" w:cs="Times New Roman"/>
          <w:sz w:val="24"/>
          <w:szCs w:val="24"/>
        </w:rPr>
        <w:t>Thielebein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Eulenberger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Barownick</w:t>
      </w:r>
      <w:proofErr w:type="spellEnd"/>
      <w:r>
        <w:rPr>
          <w:rFonts w:ascii="Times New Roman" w:hAnsi="Times New Roman" w:cs="Times New Roman"/>
          <w:sz w:val="24"/>
          <w:szCs w:val="24"/>
        </w:rPr>
        <w:t xml:space="preserve">, N., ... &amp; Delling, C. (2024). Parasitological examination results of zoo animals in Germany between 2012 and 2022. </w:t>
      </w:r>
      <w:r w:rsidRPr="002763A6">
        <w:rPr>
          <w:rFonts w:ascii="Times New Roman" w:hAnsi="Times New Roman" w:cs="Times New Roman"/>
          <w:i/>
          <w:iCs/>
          <w:sz w:val="24"/>
          <w:szCs w:val="24"/>
        </w:rPr>
        <w:t>International Journal for Parasitology, Parasites and Wildlife</w:t>
      </w:r>
      <w:r>
        <w:rPr>
          <w:rFonts w:ascii="Times New Roman" w:hAnsi="Times New Roman" w:cs="Times New Roman"/>
          <w:sz w:val="24"/>
          <w:szCs w:val="24"/>
        </w:rPr>
        <w:t>, 24: 100942.</w:t>
      </w:r>
    </w:p>
    <w:p w14:paraId="67009818"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Nielsen, M. K. (2022). Parasite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counts in equine veterinary practice. </w:t>
      </w:r>
      <w:r w:rsidRPr="002763A6">
        <w:rPr>
          <w:rFonts w:ascii="Times New Roman" w:hAnsi="Times New Roman" w:cs="Times New Roman"/>
          <w:i/>
          <w:iCs/>
          <w:sz w:val="24"/>
          <w:szCs w:val="24"/>
        </w:rPr>
        <w:t>Equine Veterinary Education</w:t>
      </w:r>
      <w:r>
        <w:rPr>
          <w:rFonts w:ascii="Times New Roman" w:hAnsi="Times New Roman" w:cs="Times New Roman"/>
          <w:sz w:val="24"/>
          <w:szCs w:val="24"/>
        </w:rPr>
        <w:t>, 34(11), 584-591.</w:t>
      </w:r>
    </w:p>
    <w:p w14:paraId="1CD7D079" w14:textId="22F83F22" w:rsidR="0089754F" w:rsidRDefault="00F74627">
      <w:pPr>
        <w:spacing w:line="240" w:lineRule="auto"/>
        <w:ind w:left="720" w:hanging="720"/>
        <w:jc w:val="both"/>
        <w:rPr>
          <w:rFonts w:ascii="Times New Roman" w:hAnsi="Times New Roman" w:cs="Times New Roman"/>
          <w:sz w:val="24"/>
          <w:szCs w:val="24"/>
        </w:rPr>
      </w:pPr>
      <w:bookmarkStart w:id="14" w:name="_Hlk182344873"/>
      <w:proofErr w:type="spellStart"/>
      <w:r>
        <w:rPr>
          <w:rFonts w:ascii="Times New Roman" w:hAnsi="Times New Roman" w:cs="Times New Roman"/>
          <w:sz w:val="24"/>
          <w:szCs w:val="24"/>
        </w:rPr>
        <w:t>Phetkarl</w:t>
      </w:r>
      <w:bookmarkEnd w:id="14"/>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Fungwithaya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Lewchalermvong</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Sontigun</w:t>
      </w:r>
      <w:proofErr w:type="spellEnd"/>
      <w:r>
        <w:rPr>
          <w:rFonts w:ascii="Times New Roman" w:hAnsi="Times New Roman" w:cs="Times New Roman"/>
          <w:sz w:val="24"/>
          <w:szCs w:val="24"/>
        </w:rPr>
        <w:t xml:space="preserve"> N (2024) Prevalence of gastrointestinal and blood parasites in horses of Nakhon Si Thammarat province, </w:t>
      </w:r>
      <w:r w:rsidRPr="002763A6">
        <w:rPr>
          <w:rFonts w:ascii="Times New Roman" w:hAnsi="Times New Roman" w:cs="Times New Roman"/>
          <w:i/>
          <w:iCs/>
          <w:sz w:val="24"/>
          <w:szCs w:val="24"/>
        </w:rPr>
        <w:t>Thailand Veterinary World</w:t>
      </w:r>
      <w:r>
        <w:rPr>
          <w:rFonts w:ascii="Times New Roman" w:hAnsi="Times New Roman" w:cs="Times New Roman"/>
          <w:sz w:val="24"/>
          <w:szCs w:val="24"/>
        </w:rPr>
        <w:t>, 17(11), 2460-2468.</w:t>
      </w:r>
    </w:p>
    <w:p w14:paraId="1E65802F"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Schumacher, A. and Gehlen, H. (2024). Health of Polo Horses. </w:t>
      </w:r>
      <w:r w:rsidRPr="002763A6">
        <w:rPr>
          <w:rFonts w:ascii="Times New Roman" w:hAnsi="Times New Roman" w:cs="Times New Roman"/>
          <w:i/>
          <w:iCs/>
          <w:sz w:val="24"/>
          <w:szCs w:val="24"/>
        </w:rPr>
        <w:t>Animals</w:t>
      </w:r>
      <w:r>
        <w:rPr>
          <w:rFonts w:ascii="Times New Roman" w:hAnsi="Times New Roman" w:cs="Times New Roman"/>
          <w:sz w:val="24"/>
          <w:szCs w:val="24"/>
        </w:rPr>
        <w:t>, 14(12):1735.</w:t>
      </w:r>
    </w:p>
    <w:p w14:paraId="36F356D4" w14:textId="77777777" w:rsidR="0089754F" w:rsidRDefault="00F74627">
      <w:pPr>
        <w:spacing w:line="240" w:lineRule="auto"/>
        <w:ind w:left="720" w:hanging="720"/>
        <w:jc w:val="both"/>
        <w:rPr>
          <w:rFonts w:ascii="Times New Roman" w:hAnsi="Times New Roman" w:cs="Times New Roman"/>
          <w:sz w:val="24"/>
          <w:szCs w:val="24"/>
        </w:rPr>
      </w:pPr>
      <w:bookmarkStart w:id="15" w:name="_Hlk182345138"/>
      <w:r>
        <w:rPr>
          <w:rFonts w:ascii="Times New Roman" w:hAnsi="Times New Roman" w:cs="Times New Roman"/>
          <w:sz w:val="24"/>
          <w:szCs w:val="24"/>
        </w:rPr>
        <w:t>Stallones</w:t>
      </w:r>
      <w:bookmarkEnd w:id="15"/>
      <w:r>
        <w:rPr>
          <w:rFonts w:ascii="Times New Roman" w:hAnsi="Times New Roman" w:cs="Times New Roman"/>
          <w:sz w:val="24"/>
          <w:szCs w:val="24"/>
        </w:rPr>
        <w:t xml:space="preserve">, L., McManus, P., &amp; McGreevy, P. (2023). Sustainability and the Thoroughbred breeding and racing industries: An enhanced one welfare perspective. </w:t>
      </w:r>
      <w:r w:rsidRPr="002763A6">
        <w:rPr>
          <w:rFonts w:ascii="Times New Roman" w:hAnsi="Times New Roman" w:cs="Times New Roman"/>
          <w:i/>
          <w:iCs/>
          <w:sz w:val="24"/>
          <w:szCs w:val="24"/>
        </w:rPr>
        <w:t>Animals</w:t>
      </w:r>
      <w:r>
        <w:rPr>
          <w:rFonts w:ascii="Times New Roman" w:hAnsi="Times New Roman" w:cs="Times New Roman"/>
          <w:sz w:val="24"/>
          <w:szCs w:val="24"/>
        </w:rPr>
        <w:t>, 13(3), 490.</w:t>
      </w:r>
    </w:p>
    <w:p w14:paraId="3056CEFF" w14:textId="77777777" w:rsidR="0089754F" w:rsidRDefault="00F74627">
      <w:pPr>
        <w:spacing w:line="240" w:lineRule="auto"/>
        <w:ind w:left="720" w:hanging="720"/>
        <w:jc w:val="both"/>
        <w:rPr>
          <w:rFonts w:ascii="Times New Roman" w:hAnsi="Times New Roman" w:cs="Times New Roman"/>
          <w:sz w:val="24"/>
          <w:szCs w:val="24"/>
        </w:rPr>
      </w:pPr>
      <w:bookmarkStart w:id="16" w:name="_Hlk182346964"/>
      <w:proofErr w:type="spellStart"/>
      <w:r>
        <w:rPr>
          <w:rFonts w:ascii="Times New Roman" w:hAnsi="Times New Roman" w:cs="Times New Roman"/>
          <w:sz w:val="24"/>
          <w:szCs w:val="24"/>
        </w:rPr>
        <w:t>Tydén</w:t>
      </w:r>
      <w:bookmarkEnd w:id="16"/>
      <w:proofErr w:type="spellEnd"/>
      <w:r>
        <w:rPr>
          <w:rFonts w:ascii="Times New Roman" w:hAnsi="Times New Roman" w:cs="Times New Roman"/>
          <w:sz w:val="24"/>
          <w:szCs w:val="24"/>
        </w:rPr>
        <w:t xml:space="preserve">, E., Enemark, H.L., Franko, M.A., Höglund, J. and Osterman-Lind, E. (2019). Prevalence of </w:t>
      </w:r>
      <w:proofErr w:type="spellStart"/>
      <w:r>
        <w:rPr>
          <w:rFonts w:ascii="Times New Roman" w:hAnsi="Times New Roman" w:cs="Times New Roman"/>
          <w:i/>
          <w:iCs/>
          <w:sz w:val="24"/>
          <w:szCs w:val="24"/>
        </w:rPr>
        <w:t>Strongylus</w:t>
      </w:r>
      <w:proofErr w:type="spellEnd"/>
      <w:r>
        <w:rPr>
          <w:rFonts w:ascii="Times New Roman" w:hAnsi="Times New Roman" w:cs="Times New Roman"/>
          <w:i/>
          <w:iCs/>
          <w:sz w:val="24"/>
          <w:szCs w:val="24"/>
        </w:rPr>
        <w:t xml:space="preserve"> vulgaris</w:t>
      </w:r>
      <w:r>
        <w:rPr>
          <w:rFonts w:ascii="Times New Roman" w:hAnsi="Times New Roman" w:cs="Times New Roman"/>
          <w:sz w:val="24"/>
          <w:szCs w:val="24"/>
        </w:rPr>
        <w:t xml:space="preserve"> in horses after ten years of prescription usage of anthelmintics in Sweden. </w:t>
      </w:r>
      <w:r w:rsidRPr="002763A6">
        <w:rPr>
          <w:rFonts w:ascii="Times New Roman" w:hAnsi="Times New Roman" w:cs="Times New Roman"/>
          <w:i/>
          <w:iCs/>
          <w:sz w:val="24"/>
          <w:szCs w:val="24"/>
        </w:rPr>
        <w:t>Veterinary Parasitology</w:t>
      </w:r>
      <w:r>
        <w:rPr>
          <w:rFonts w:ascii="Times New Roman" w:hAnsi="Times New Roman" w:cs="Times New Roman"/>
          <w:sz w:val="24"/>
          <w:szCs w:val="24"/>
        </w:rPr>
        <w:t>-X, 2, 100013.</w:t>
      </w:r>
    </w:p>
    <w:p w14:paraId="0D4FC729" w14:textId="77777777" w:rsidR="0089754F" w:rsidRDefault="00F74627">
      <w:pPr>
        <w:spacing w:line="240" w:lineRule="auto"/>
        <w:ind w:left="720" w:hanging="720"/>
        <w:jc w:val="both"/>
        <w:rPr>
          <w:rFonts w:ascii="Times New Roman" w:hAnsi="Times New Roman" w:cs="Times New Roman"/>
          <w:sz w:val="24"/>
          <w:szCs w:val="24"/>
        </w:rPr>
      </w:pPr>
      <w:bookmarkStart w:id="17" w:name="_Hlk182344302"/>
      <w:proofErr w:type="spellStart"/>
      <w:r>
        <w:rPr>
          <w:rFonts w:ascii="Times New Roman" w:hAnsi="Times New Roman" w:cs="Times New Roman"/>
          <w:sz w:val="24"/>
          <w:szCs w:val="24"/>
        </w:rPr>
        <w:t>Tyrnenopoulou</w:t>
      </w:r>
      <w:bookmarkEnd w:id="17"/>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Boufis</w:t>
      </w:r>
      <w:proofErr w:type="spellEnd"/>
      <w:r>
        <w:rPr>
          <w:rFonts w:ascii="Times New Roman" w:hAnsi="Times New Roman" w:cs="Times New Roman"/>
          <w:sz w:val="24"/>
          <w:szCs w:val="24"/>
        </w:rPr>
        <w:t xml:space="preserve">, P. T., </w:t>
      </w:r>
      <w:proofErr w:type="spellStart"/>
      <w:r>
        <w:rPr>
          <w:rFonts w:ascii="Times New Roman" w:hAnsi="Times New Roman" w:cs="Times New Roman"/>
          <w:sz w:val="24"/>
          <w:szCs w:val="24"/>
        </w:rPr>
        <w:t>Fthenakis</w:t>
      </w:r>
      <w:proofErr w:type="spellEnd"/>
      <w:r>
        <w:rPr>
          <w:rFonts w:ascii="Times New Roman" w:hAnsi="Times New Roman" w:cs="Times New Roman"/>
          <w:sz w:val="24"/>
          <w:szCs w:val="24"/>
        </w:rPr>
        <w:t xml:space="preserve">, G. C., &amp; Papadopoulos, E. (2021). Interactions between parasitic infections and reproductive efficiency in horses. </w:t>
      </w:r>
      <w:r w:rsidRPr="002763A6">
        <w:rPr>
          <w:rFonts w:ascii="Times New Roman" w:hAnsi="Times New Roman" w:cs="Times New Roman"/>
          <w:i/>
          <w:iCs/>
          <w:sz w:val="24"/>
          <w:szCs w:val="24"/>
        </w:rPr>
        <w:t>Parasitologia</w:t>
      </w:r>
      <w:r>
        <w:rPr>
          <w:rFonts w:ascii="Times New Roman" w:hAnsi="Times New Roman" w:cs="Times New Roman"/>
          <w:sz w:val="24"/>
          <w:szCs w:val="24"/>
        </w:rPr>
        <w:t>, 1(3), 148-157.</w:t>
      </w:r>
    </w:p>
    <w:p w14:paraId="48981E0D" w14:textId="77777777" w:rsidR="0089754F" w:rsidRDefault="00F74627">
      <w:pPr>
        <w:spacing w:line="240" w:lineRule="auto"/>
        <w:ind w:left="720" w:hanging="720"/>
        <w:jc w:val="both"/>
        <w:rPr>
          <w:rFonts w:ascii="Times New Roman" w:hAnsi="Times New Roman" w:cs="Times New Roman"/>
          <w:sz w:val="24"/>
          <w:szCs w:val="24"/>
        </w:rPr>
      </w:pPr>
      <w:bookmarkStart w:id="18" w:name="_Hlk182346185"/>
      <w:r w:rsidRPr="001C09C1">
        <w:rPr>
          <w:rFonts w:ascii="Times New Roman" w:hAnsi="Times New Roman" w:cs="Times New Roman"/>
          <w:sz w:val="24"/>
          <w:szCs w:val="24"/>
          <w:lang w:val="it-IT"/>
        </w:rPr>
        <w:t>Villa-Mancera</w:t>
      </w:r>
      <w:bookmarkEnd w:id="18"/>
      <w:r w:rsidRPr="001C09C1">
        <w:rPr>
          <w:rFonts w:ascii="Times New Roman" w:hAnsi="Times New Roman" w:cs="Times New Roman"/>
          <w:sz w:val="24"/>
          <w:szCs w:val="24"/>
          <w:lang w:val="it-IT"/>
        </w:rPr>
        <w:t xml:space="preserve">, A., Aldeco-Pérez, M., Molina-Mendoza, P., Hernández-Guzmán, K., Figueroa-Castillo, J. A., &amp; Reynoso-Palomar, A. (2021). </w:t>
      </w:r>
      <w:r>
        <w:rPr>
          <w:rFonts w:ascii="Times New Roman" w:hAnsi="Times New Roman" w:cs="Times New Roman"/>
          <w:sz w:val="24"/>
          <w:szCs w:val="24"/>
        </w:rPr>
        <w:t xml:space="preserve">Prevalence and risk factors of gastrointestinal nematode infestation of horses, donkeys and mules in tropical, dry and temperate regions in Mexico. </w:t>
      </w:r>
      <w:r w:rsidRPr="002763A6">
        <w:rPr>
          <w:rFonts w:ascii="Times New Roman" w:hAnsi="Times New Roman" w:cs="Times New Roman"/>
          <w:i/>
          <w:iCs/>
          <w:sz w:val="24"/>
          <w:szCs w:val="24"/>
          <w:u w:val="single"/>
        </w:rPr>
        <w:t>Parasitology international</w:t>
      </w:r>
      <w:r>
        <w:rPr>
          <w:rFonts w:ascii="Times New Roman" w:hAnsi="Times New Roman" w:cs="Times New Roman"/>
          <w:sz w:val="24"/>
          <w:szCs w:val="24"/>
        </w:rPr>
        <w:t>, 81, 102265.</w:t>
      </w:r>
    </w:p>
    <w:sectPr w:rsidR="00897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8A483" w14:textId="77777777" w:rsidR="00FE2018" w:rsidRDefault="00FE2018">
      <w:pPr>
        <w:spacing w:line="240" w:lineRule="auto"/>
      </w:pPr>
      <w:r>
        <w:separator/>
      </w:r>
    </w:p>
  </w:endnote>
  <w:endnote w:type="continuationSeparator" w:id="0">
    <w:p w14:paraId="2D630758" w14:textId="77777777" w:rsidR="00FE2018" w:rsidRDefault="00FE2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6370" w14:textId="77777777" w:rsidR="003C49A2" w:rsidRDefault="003C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224261"/>
      <w:docPartObj>
        <w:docPartGallery w:val="AutoText"/>
      </w:docPartObj>
    </w:sdtPr>
    <w:sdtEndPr/>
    <w:sdtContent>
      <w:p w14:paraId="7580A2E6" w14:textId="77777777" w:rsidR="0089754F" w:rsidRDefault="00F74627">
        <w:pPr>
          <w:pStyle w:val="Footer"/>
          <w:jc w:val="center"/>
        </w:pPr>
        <w:r>
          <w:fldChar w:fldCharType="begin"/>
        </w:r>
        <w:r>
          <w:instrText xml:space="preserve"> PAGE   \* MERGEFORMAT </w:instrText>
        </w:r>
        <w:r>
          <w:fldChar w:fldCharType="separate"/>
        </w:r>
        <w:r>
          <w:t>2</w:t>
        </w:r>
        <w:r>
          <w:fldChar w:fldCharType="end"/>
        </w:r>
      </w:p>
    </w:sdtContent>
  </w:sdt>
  <w:p w14:paraId="62F64145" w14:textId="77777777" w:rsidR="0089754F" w:rsidRDefault="00897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0B750" w14:textId="77777777" w:rsidR="003C49A2" w:rsidRDefault="003C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8C0A1" w14:textId="77777777" w:rsidR="00FE2018" w:rsidRDefault="00FE2018">
      <w:pPr>
        <w:spacing w:after="0"/>
      </w:pPr>
      <w:r>
        <w:separator/>
      </w:r>
    </w:p>
  </w:footnote>
  <w:footnote w:type="continuationSeparator" w:id="0">
    <w:p w14:paraId="662DB6D3" w14:textId="77777777" w:rsidR="00FE2018" w:rsidRDefault="00FE20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9C37" w14:textId="3508FE3E" w:rsidR="003C49A2" w:rsidRDefault="00FE2018">
    <w:pPr>
      <w:pStyle w:val="Header"/>
    </w:pPr>
    <w:r>
      <w:rPr>
        <w:noProof/>
      </w:rPr>
      <w:pict w14:anchorId="53C4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8560" w14:textId="496C8209" w:rsidR="003C49A2" w:rsidRDefault="00FE2018">
    <w:pPr>
      <w:pStyle w:val="Header"/>
    </w:pPr>
    <w:r>
      <w:rPr>
        <w:noProof/>
      </w:rPr>
      <w:pict w14:anchorId="2F3CC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34EA" w14:textId="0B244393" w:rsidR="003C49A2" w:rsidRDefault="00FE2018">
    <w:pPr>
      <w:pStyle w:val="Header"/>
    </w:pPr>
    <w:r>
      <w:rPr>
        <w:noProof/>
      </w:rPr>
      <w:pict w14:anchorId="0413E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77C0A"/>
    <w:multiLevelType w:val="hybridMultilevel"/>
    <w:tmpl w:val="1970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DC3"/>
    <w:rsid w:val="000435AD"/>
    <w:rsid w:val="000569C5"/>
    <w:rsid w:val="001000C5"/>
    <w:rsid w:val="001045C6"/>
    <w:rsid w:val="001129F1"/>
    <w:rsid w:val="001567C8"/>
    <w:rsid w:val="00165ACB"/>
    <w:rsid w:val="001869C8"/>
    <w:rsid w:val="00193B06"/>
    <w:rsid w:val="001C09C1"/>
    <w:rsid w:val="001C0E31"/>
    <w:rsid w:val="001D48B6"/>
    <w:rsid w:val="00201F84"/>
    <w:rsid w:val="002021C1"/>
    <w:rsid w:val="002763A6"/>
    <w:rsid w:val="002808C1"/>
    <w:rsid w:val="00287FB8"/>
    <w:rsid w:val="002B7F37"/>
    <w:rsid w:val="00383FDC"/>
    <w:rsid w:val="003925C3"/>
    <w:rsid w:val="003C49A2"/>
    <w:rsid w:val="00410572"/>
    <w:rsid w:val="00452CAE"/>
    <w:rsid w:val="004A26F4"/>
    <w:rsid w:val="004F39F6"/>
    <w:rsid w:val="00511B36"/>
    <w:rsid w:val="00550850"/>
    <w:rsid w:val="00577FBD"/>
    <w:rsid w:val="005D2FAF"/>
    <w:rsid w:val="006058CB"/>
    <w:rsid w:val="006A03F5"/>
    <w:rsid w:val="006B0277"/>
    <w:rsid w:val="006C6770"/>
    <w:rsid w:val="006D33EF"/>
    <w:rsid w:val="00731501"/>
    <w:rsid w:val="00732FC8"/>
    <w:rsid w:val="00756E56"/>
    <w:rsid w:val="0077282D"/>
    <w:rsid w:val="00774F60"/>
    <w:rsid w:val="00790F92"/>
    <w:rsid w:val="007A76A0"/>
    <w:rsid w:val="00811EF0"/>
    <w:rsid w:val="008631D5"/>
    <w:rsid w:val="00891932"/>
    <w:rsid w:val="0089754F"/>
    <w:rsid w:val="008A5186"/>
    <w:rsid w:val="008E3322"/>
    <w:rsid w:val="009376F6"/>
    <w:rsid w:val="009F1DBA"/>
    <w:rsid w:val="00A24952"/>
    <w:rsid w:val="00A27C88"/>
    <w:rsid w:val="00A312E3"/>
    <w:rsid w:val="00A4327D"/>
    <w:rsid w:val="00A754D3"/>
    <w:rsid w:val="00A93CDF"/>
    <w:rsid w:val="00AA19E8"/>
    <w:rsid w:val="00AD39C7"/>
    <w:rsid w:val="00AD7236"/>
    <w:rsid w:val="00B07801"/>
    <w:rsid w:val="00B21E1C"/>
    <w:rsid w:val="00B446D1"/>
    <w:rsid w:val="00B453BB"/>
    <w:rsid w:val="00B54584"/>
    <w:rsid w:val="00B60194"/>
    <w:rsid w:val="00B806E0"/>
    <w:rsid w:val="00BB1218"/>
    <w:rsid w:val="00BE5DC3"/>
    <w:rsid w:val="00BF15B0"/>
    <w:rsid w:val="00C06A02"/>
    <w:rsid w:val="00C1329B"/>
    <w:rsid w:val="00C248E0"/>
    <w:rsid w:val="00C3671F"/>
    <w:rsid w:val="00C708FF"/>
    <w:rsid w:val="00CA4024"/>
    <w:rsid w:val="00CF503D"/>
    <w:rsid w:val="00D234A7"/>
    <w:rsid w:val="00D54F1F"/>
    <w:rsid w:val="00D740E7"/>
    <w:rsid w:val="00DC472B"/>
    <w:rsid w:val="00E00ECB"/>
    <w:rsid w:val="00E54954"/>
    <w:rsid w:val="00E7050D"/>
    <w:rsid w:val="00E77257"/>
    <w:rsid w:val="00EB6FE5"/>
    <w:rsid w:val="00ED21AA"/>
    <w:rsid w:val="00EF5ECF"/>
    <w:rsid w:val="00F02A92"/>
    <w:rsid w:val="00F40233"/>
    <w:rsid w:val="00F74627"/>
    <w:rsid w:val="00FE2018"/>
    <w:rsid w:val="00FE237B"/>
    <w:rsid w:val="00FF24A9"/>
    <w:rsid w:val="6365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5689B0"/>
  <w15:docId w15:val="{FB3EE7D8-3C0A-441A-B592-CC20BA40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E54954"/>
    <w:rPr>
      <w:sz w:val="16"/>
      <w:szCs w:val="16"/>
    </w:rPr>
  </w:style>
  <w:style w:type="paragraph" w:styleId="CommentText">
    <w:name w:val="annotation text"/>
    <w:basedOn w:val="Normal"/>
    <w:link w:val="CommentTextChar"/>
    <w:uiPriority w:val="99"/>
    <w:semiHidden/>
    <w:unhideWhenUsed/>
    <w:rsid w:val="00E54954"/>
    <w:pPr>
      <w:spacing w:line="240" w:lineRule="auto"/>
    </w:pPr>
    <w:rPr>
      <w:sz w:val="20"/>
      <w:szCs w:val="20"/>
    </w:rPr>
  </w:style>
  <w:style w:type="character" w:customStyle="1" w:styleId="CommentTextChar">
    <w:name w:val="Comment Text Char"/>
    <w:basedOn w:val="DefaultParagraphFont"/>
    <w:link w:val="CommentText"/>
    <w:uiPriority w:val="99"/>
    <w:semiHidden/>
    <w:rsid w:val="00E54954"/>
  </w:style>
  <w:style w:type="paragraph" w:styleId="CommentSubject">
    <w:name w:val="annotation subject"/>
    <w:basedOn w:val="CommentText"/>
    <w:next w:val="CommentText"/>
    <w:link w:val="CommentSubjectChar"/>
    <w:uiPriority w:val="99"/>
    <w:semiHidden/>
    <w:unhideWhenUsed/>
    <w:rsid w:val="00E54954"/>
    <w:rPr>
      <w:b/>
      <w:bCs/>
    </w:rPr>
  </w:style>
  <w:style w:type="character" w:customStyle="1" w:styleId="CommentSubjectChar">
    <w:name w:val="Comment Subject Char"/>
    <w:basedOn w:val="CommentTextChar"/>
    <w:link w:val="CommentSubject"/>
    <w:uiPriority w:val="99"/>
    <w:semiHidden/>
    <w:rsid w:val="00E54954"/>
    <w:rPr>
      <w:b/>
      <w:bCs/>
    </w:rPr>
  </w:style>
  <w:style w:type="paragraph" w:customStyle="1" w:styleId="MdSpace">
    <w:name w:val="MdSpace"/>
    <w:qFormat/>
    <w:rsid w:val="00FE237B"/>
    <w:rPr>
      <w:rFonts w:ascii="Times New Roman" w:eastAsia="Times New Roman" w:hAnsi="Times New Roman" w:cs="Times New Roman"/>
      <w:sz w:val="12"/>
      <w:szCs w:val="12"/>
    </w:rPr>
  </w:style>
  <w:style w:type="paragraph" w:customStyle="1" w:styleId="MdParagraph">
    <w:name w:val="MdParagraph"/>
    <w:qFormat/>
    <w:rsid w:val="00FE237B"/>
    <w:pPr>
      <w:spacing w:before="120" w:after="1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03F5"/>
    <w:rPr>
      <w:color w:val="0563C1" w:themeColor="hyperlink"/>
      <w:u w:val="single"/>
    </w:rPr>
  </w:style>
  <w:style w:type="character" w:styleId="UnresolvedMention">
    <w:name w:val="Unresolved Mention"/>
    <w:basedOn w:val="DefaultParagraphFont"/>
    <w:uiPriority w:val="99"/>
    <w:semiHidden/>
    <w:unhideWhenUsed/>
    <w:rsid w:val="006A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95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EWTON\Desktop\Dr%20Maryam%20Patroba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NEWTON\Desktop\Dr%20Maryam%20Patroba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99"/>
          <c:y val="5.0925925925925902E-2"/>
          <c:w val="0.84396062992125997"/>
          <c:h val="0.73887357830271205"/>
        </c:manualLayout>
      </c:layout>
      <c:barChart>
        <c:barDir val="col"/>
        <c:grouping val="clustered"/>
        <c:varyColors val="0"/>
        <c:ser>
          <c:idx val="0"/>
          <c:order val="0"/>
          <c:spPr>
            <a:solidFill>
              <a:schemeClr val="accent1"/>
            </a:solidFill>
            <a:ln>
              <a:noFill/>
            </a:ln>
            <a:effectLst/>
          </c:spPr>
          <c:invertIfNegative val="0"/>
          <c:cat>
            <c:strRef>
              <c:f>'V1'!$B$3:$B$5</c:f>
              <c:strCache>
                <c:ptCount val="3"/>
                <c:pt idx="0">
                  <c:v>Strongyle eggs</c:v>
                </c:pt>
                <c:pt idx="1">
                  <c:v>Coccidia oocyst</c:v>
                </c:pt>
                <c:pt idx="2">
                  <c:v>Ciliate</c:v>
                </c:pt>
              </c:strCache>
            </c:strRef>
          </c:cat>
          <c:val>
            <c:numRef>
              <c:f>'V1'!$C$3:$C$5</c:f>
              <c:numCache>
                <c:formatCode>General</c:formatCode>
                <c:ptCount val="3"/>
                <c:pt idx="0">
                  <c:v>20</c:v>
                </c:pt>
                <c:pt idx="1">
                  <c:v>0.8</c:v>
                </c:pt>
                <c:pt idx="2">
                  <c:v>4.2</c:v>
                </c:pt>
              </c:numCache>
            </c:numRef>
          </c:val>
          <c:extLst>
            <c:ext xmlns:c16="http://schemas.microsoft.com/office/drawing/2014/chart" uri="{C3380CC4-5D6E-409C-BE32-E72D297353CC}">
              <c16:uniqueId val="{00000000-CAB6-44A0-BDC1-122960E8FECD}"/>
            </c:ext>
          </c:extLst>
        </c:ser>
        <c:dLbls>
          <c:showLegendKey val="0"/>
          <c:showVal val="0"/>
          <c:showCatName val="0"/>
          <c:showSerName val="0"/>
          <c:showPercent val="0"/>
          <c:showBubbleSize val="0"/>
        </c:dLbls>
        <c:gapWidth val="219"/>
        <c:overlap val="-27"/>
        <c:axId val="608793280"/>
        <c:axId val="610807840"/>
      </c:barChart>
      <c:catAx>
        <c:axId val="608793280"/>
        <c:scaling>
          <c:orientation val="minMax"/>
        </c:scaling>
        <c:delete val="0"/>
        <c:axPos val="b"/>
        <c:title>
          <c:tx>
            <c:rich>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Species of parasite</a:t>
                </a:r>
              </a:p>
            </c:rich>
          </c:tx>
          <c:layout>
            <c:manualLayout>
              <c:xMode val="edge"/>
              <c:yMode val="edge"/>
              <c:x val="0.433672353455818"/>
              <c:y val="0.92497666958296898"/>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610807840"/>
        <c:crosses val="autoZero"/>
        <c:auto val="1"/>
        <c:lblAlgn val="ctr"/>
        <c:lblOffset val="100"/>
        <c:noMultiLvlLbl val="0"/>
      </c:catAx>
      <c:valAx>
        <c:axId val="610807840"/>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Occurrence (%)</a:t>
                </a:r>
              </a:p>
            </c:rich>
          </c:tx>
          <c:layout>
            <c:manualLayout>
              <c:xMode val="edge"/>
              <c:yMode val="edge"/>
              <c:x val="2.7777777777777801E-3"/>
              <c:y val="0.22311716243802901"/>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608793280"/>
        <c:crosses val="autoZero"/>
        <c:crossBetween val="between"/>
      </c:valAx>
      <c:spPr>
        <a:noFill/>
        <a:ln>
          <a:noFill/>
        </a:ln>
        <a:effectLst/>
      </c:spPr>
    </c:plotArea>
    <c:plotVisOnly val="1"/>
    <c:dispBlanksAs val="gap"/>
    <c:showDLblsOverMax val="0"/>
    <c:extLst>
      <c:ext uri="{0b15fc19-7d7d-44ad-8c2d-2c3a37ce22c3}">
        <chartProps xmlns="https://web.wps.cn/et/2018/main" chartId="{089305c9-14fc-4152-aae7-1598428508a8}"/>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194444444444"/>
          <c:y val="0.17038021289005501"/>
          <c:w val="0.84025000000000005"/>
          <c:h val="0.61795312044327799"/>
        </c:manualLayout>
      </c:layout>
      <c:barChart>
        <c:barDir val="col"/>
        <c:grouping val="clustered"/>
        <c:varyColors val="0"/>
        <c:ser>
          <c:idx val="0"/>
          <c:order val="0"/>
          <c:tx>
            <c:strRef>
              <c:f>'V1'!$C$13</c:f>
              <c:strCache>
                <c:ptCount val="1"/>
                <c:pt idx="0">
                  <c:v>Imported horses</c:v>
                </c:pt>
              </c:strCache>
            </c:strRef>
          </c:tx>
          <c:spPr>
            <a:solidFill>
              <a:schemeClr val="accent1"/>
            </a:solidFill>
            <a:ln>
              <a:noFill/>
            </a:ln>
            <a:effectLst/>
          </c:spPr>
          <c:invertIfNegative val="0"/>
          <c:cat>
            <c:strRef>
              <c:f>'V1'!$B$14:$B$16</c:f>
              <c:strCache>
                <c:ptCount val="3"/>
                <c:pt idx="0">
                  <c:v>Strongyles</c:v>
                </c:pt>
                <c:pt idx="1">
                  <c:v>Coccidia oocyst</c:v>
                </c:pt>
                <c:pt idx="2">
                  <c:v>Ciliate</c:v>
                </c:pt>
              </c:strCache>
            </c:strRef>
          </c:cat>
          <c:val>
            <c:numRef>
              <c:f>'V1'!$C$14:$C$16</c:f>
              <c:numCache>
                <c:formatCode>General</c:formatCode>
                <c:ptCount val="3"/>
                <c:pt idx="0">
                  <c:v>17.2</c:v>
                </c:pt>
                <c:pt idx="1">
                  <c:v>0</c:v>
                </c:pt>
                <c:pt idx="2">
                  <c:v>4.7</c:v>
                </c:pt>
              </c:numCache>
            </c:numRef>
          </c:val>
          <c:extLst>
            <c:ext xmlns:c16="http://schemas.microsoft.com/office/drawing/2014/chart" uri="{C3380CC4-5D6E-409C-BE32-E72D297353CC}">
              <c16:uniqueId val="{00000000-8033-412C-B681-A2434946C621}"/>
            </c:ext>
          </c:extLst>
        </c:ser>
        <c:ser>
          <c:idx val="1"/>
          <c:order val="1"/>
          <c:tx>
            <c:strRef>
              <c:f>'V1'!$D$13</c:f>
              <c:strCache>
                <c:ptCount val="1"/>
                <c:pt idx="0">
                  <c:v>Resident horses</c:v>
                </c:pt>
              </c:strCache>
            </c:strRef>
          </c:tx>
          <c:spPr>
            <a:solidFill>
              <a:schemeClr val="accent2"/>
            </a:solidFill>
            <a:ln>
              <a:noFill/>
            </a:ln>
            <a:effectLst/>
          </c:spPr>
          <c:invertIfNegative val="0"/>
          <c:cat>
            <c:strRef>
              <c:f>'V1'!$B$14:$B$16</c:f>
              <c:strCache>
                <c:ptCount val="3"/>
                <c:pt idx="0">
                  <c:v>Strongyles</c:v>
                </c:pt>
                <c:pt idx="1">
                  <c:v>Coccidia oocyst</c:v>
                </c:pt>
                <c:pt idx="2">
                  <c:v>Ciliate</c:v>
                </c:pt>
              </c:strCache>
            </c:strRef>
          </c:cat>
          <c:val>
            <c:numRef>
              <c:f>'V1'!$D$14:$D$16</c:f>
              <c:numCache>
                <c:formatCode>General</c:formatCode>
                <c:ptCount val="3"/>
                <c:pt idx="0">
                  <c:v>23.2</c:v>
                </c:pt>
                <c:pt idx="1">
                  <c:v>1.8</c:v>
                </c:pt>
                <c:pt idx="2">
                  <c:v>3.6</c:v>
                </c:pt>
              </c:numCache>
            </c:numRef>
          </c:val>
          <c:extLst>
            <c:ext xmlns:c16="http://schemas.microsoft.com/office/drawing/2014/chart" uri="{C3380CC4-5D6E-409C-BE32-E72D297353CC}">
              <c16:uniqueId val="{00000001-8033-412C-B681-A2434946C621}"/>
            </c:ext>
          </c:extLst>
        </c:ser>
        <c:dLbls>
          <c:showLegendKey val="0"/>
          <c:showVal val="0"/>
          <c:showCatName val="0"/>
          <c:showSerName val="0"/>
          <c:showPercent val="0"/>
          <c:showBubbleSize val="0"/>
        </c:dLbls>
        <c:gapWidth val="219"/>
        <c:overlap val="-27"/>
        <c:axId val="759265664"/>
        <c:axId val="759259840"/>
      </c:barChart>
      <c:catAx>
        <c:axId val="759265664"/>
        <c:scaling>
          <c:orientation val="minMax"/>
        </c:scaling>
        <c:delete val="0"/>
        <c:axPos val="b"/>
        <c:title>
          <c:tx>
            <c:rich>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Species of parasite</a:t>
                </a:r>
              </a:p>
            </c:rich>
          </c:tx>
          <c:layout>
            <c:manualLayout>
              <c:xMode val="edge"/>
              <c:yMode val="edge"/>
              <c:x val="0.433672353455818"/>
              <c:y val="0.920347039953339"/>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59259840"/>
        <c:crosses val="autoZero"/>
        <c:auto val="1"/>
        <c:lblAlgn val="ctr"/>
        <c:lblOffset val="100"/>
        <c:noMultiLvlLbl val="0"/>
      </c:catAx>
      <c:valAx>
        <c:axId val="759259840"/>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Occurrence (%)</a:t>
                </a:r>
              </a:p>
            </c:rich>
          </c:tx>
          <c:layout>
            <c:manualLayout>
              <c:xMode val="edge"/>
              <c:yMode val="edge"/>
              <c:x val="5.5555555555555601E-3"/>
              <c:y val="0.27606882473024202"/>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59265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6c953b8-71f8-42e8-b0e3-3ce0dd3811b9}"/>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115</TotalTime>
  <Pages>8</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INEWTON</dc:creator>
  <cp:lastModifiedBy>SDI 1084</cp:lastModifiedBy>
  <cp:revision>14</cp:revision>
  <dcterms:created xsi:type="dcterms:W3CDTF">2026-03-16T18:27:00Z</dcterms:created>
  <dcterms:modified xsi:type="dcterms:W3CDTF">2026-03-18T04:42:00Z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b5d2ec26c5f4ad5e5d2ecc9be13aadcad9f07ada22656a3906c0f4d4a00924ce</vt:lpwstr>
  </property>
  <property fmtid="{D5CDD505-2E9C-101B-9397-08002B2CF9AE}" pid="3" name="KSOProductBuildVer">
    <vt:lpwstr>1033-12.2.0.23196</vt:lpwstr>
  </property>
  <property fmtid="{D5CDD505-2E9C-101B-9397-08002B2CF9AE}" pid="4" name="ICV">
    <vt:lpwstr>4B7D82FCDA274AC3B5D27E5F7CECD5DB_13</vt:lpwstr>
  </property>
</Properties>
</file>