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3B399" w14:textId="77777777" w:rsidR="00BC7858" w:rsidRPr="00BC7858" w:rsidRDefault="00BC7858" w:rsidP="00BC7858">
      <w:pPr>
        <w:rPr>
          <w:rFonts w:ascii="Times New Roman" w:hAnsi="Times New Roman" w:cs="Times New Roman"/>
          <w:b/>
          <w:bCs/>
          <w:i/>
          <w:iCs/>
          <w:sz w:val="28"/>
          <w:szCs w:val="28"/>
          <w:u w:val="single"/>
          <w:lang w:val="en-US"/>
        </w:rPr>
      </w:pPr>
      <w:r w:rsidRPr="00BC7858">
        <w:rPr>
          <w:rFonts w:ascii="Times New Roman" w:hAnsi="Times New Roman" w:cs="Times New Roman"/>
          <w:b/>
          <w:bCs/>
          <w:i/>
          <w:iCs/>
          <w:sz w:val="28"/>
          <w:szCs w:val="28"/>
          <w:u w:val="single"/>
          <w:lang w:val="en-US"/>
        </w:rPr>
        <w:t xml:space="preserve">Case report </w:t>
      </w:r>
    </w:p>
    <w:p w14:paraId="6CDA4E28" w14:textId="77777777" w:rsidR="000567E9" w:rsidRDefault="000567E9" w:rsidP="000567E9">
      <w:pPr>
        <w:rPr>
          <w:rFonts w:ascii="Times New Roman" w:hAnsi="Times New Roman" w:cs="Times New Roman"/>
          <w:b/>
          <w:bCs/>
          <w:sz w:val="28"/>
          <w:szCs w:val="28"/>
        </w:rPr>
      </w:pPr>
      <w:r w:rsidRPr="000567E9">
        <w:rPr>
          <w:rFonts w:ascii="Times New Roman" w:hAnsi="Times New Roman" w:cs="Times New Roman"/>
          <w:b/>
          <w:bCs/>
          <w:sz w:val="28"/>
          <w:szCs w:val="28"/>
        </w:rPr>
        <w:t>Post-operative Brachial Plexopathy Secondary to Spindle Cell Carcinoma of the Shoulder: A Rare Case Report</w:t>
      </w:r>
    </w:p>
    <w:p w14:paraId="1D7510AC" w14:textId="77777777" w:rsidR="00AC7D93" w:rsidRPr="000567E9" w:rsidRDefault="00AC7D93" w:rsidP="000567E9">
      <w:pPr>
        <w:rPr>
          <w:rFonts w:ascii="Times New Roman" w:hAnsi="Times New Roman" w:cs="Times New Roman"/>
          <w:b/>
          <w:bCs/>
          <w:sz w:val="28"/>
          <w:szCs w:val="28"/>
        </w:rPr>
      </w:pPr>
      <w:bookmarkStart w:id="0" w:name="_GoBack"/>
      <w:bookmarkEnd w:id="0"/>
    </w:p>
    <w:p w14:paraId="11CF8F18" w14:textId="77777777" w:rsidR="000567E9" w:rsidRPr="0000093A" w:rsidRDefault="000567E9" w:rsidP="000567E9">
      <w:pPr>
        <w:rPr>
          <w:rFonts w:ascii="Times New Roman" w:hAnsi="Times New Roman" w:cs="Times New Roman"/>
          <w:b/>
          <w:bCs/>
          <w:sz w:val="28"/>
          <w:szCs w:val="28"/>
        </w:rPr>
      </w:pPr>
      <w:r w:rsidRPr="0000093A">
        <w:rPr>
          <w:rFonts w:ascii="Times New Roman" w:hAnsi="Times New Roman" w:cs="Times New Roman"/>
          <w:b/>
          <w:bCs/>
          <w:sz w:val="28"/>
          <w:szCs w:val="28"/>
        </w:rPr>
        <w:t>Abstract</w:t>
      </w:r>
    </w:p>
    <w:p w14:paraId="62B154B2" w14:textId="77777777" w:rsidR="000567E9" w:rsidRPr="000567E9" w:rsidRDefault="000567E9" w:rsidP="000567E9">
      <w:pPr>
        <w:rPr>
          <w:rFonts w:ascii="Times New Roman" w:hAnsi="Times New Roman" w:cs="Times New Roman"/>
        </w:rPr>
      </w:pPr>
      <w:r w:rsidRPr="000567E9">
        <w:rPr>
          <w:rFonts w:ascii="Times New Roman" w:hAnsi="Times New Roman" w:cs="Times New Roman"/>
        </w:rPr>
        <w:t>Spindle cell carcinoma is an uncommon aggressive variant of squamous cell carcinoma that rarely involves the shoulder region. We report a 25-year-old male who presented with isolated left upper limb weakness and complete sensory loss 20 days after surgical excision of a left shoulder spindle cell carcinoma. Clinical examination revealed flaccid paralysis with absent sensation (touch, pain, temperature) in the left upper limb, consistent with brachial plexopathy. Laboratory investigations showed mild anaemia; viral markers were negative. The patient was managed conservatively with analgesics, intravenous fluids, and physiotherapy. He was discharged in stable condition with planned outpatient follow-up. This case highlights the importance of suspecting tumour recurrence or infiltration in post-oncologic surgery patients presenting with new neurological deficits, even in the absence of advanced imaging in resource-limited settings. Early neurological referral and multidisciplinary care are crucial for optimal outcomes.</w:t>
      </w:r>
    </w:p>
    <w:p w14:paraId="480B2DB8" w14:textId="77777777" w:rsidR="000567E9" w:rsidRPr="000567E9" w:rsidRDefault="000567E9" w:rsidP="000567E9">
      <w:pPr>
        <w:rPr>
          <w:rFonts w:ascii="Times New Roman" w:hAnsi="Times New Roman" w:cs="Times New Roman"/>
        </w:rPr>
      </w:pPr>
      <w:r w:rsidRPr="000567E9">
        <w:rPr>
          <w:rFonts w:ascii="Times New Roman" w:hAnsi="Times New Roman" w:cs="Times New Roman"/>
        </w:rPr>
        <w:t>Keywords: Spindle cell carcinoma; Brachial plexopathy; Post-operative complication; Shoulder tumour; Neurological deficit</w:t>
      </w:r>
    </w:p>
    <w:p w14:paraId="6FE5CBC0" w14:textId="77777777" w:rsidR="000567E9" w:rsidRPr="0000093A" w:rsidRDefault="000567E9" w:rsidP="000567E9">
      <w:pPr>
        <w:rPr>
          <w:rFonts w:ascii="Times New Roman" w:hAnsi="Times New Roman" w:cs="Times New Roman"/>
          <w:b/>
          <w:bCs/>
          <w:sz w:val="28"/>
          <w:szCs w:val="28"/>
        </w:rPr>
      </w:pPr>
      <w:r w:rsidRPr="0000093A">
        <w:rPr>
          <w:rFonts w:ascii="Times New Roman" w:hAnsi="Times New Roman" w:cs="Times New Roman"/>
          <w:b/>
          <w:bCs/>
          <w:sz w:val="28"/>
          <w:szCs w:val="28"/>
        </w:rPr>
        <w:t>Introduction</w:t>
      </w:r>
    </w:p>
    <w:p w14:paraId="5DC671C5" w14:textId="77777777" w:rsidR="000567E9" w:rsidRPr="000567E9" w:rsidRDefault="000567E9" w:rsidP="000567E9">
      <w:pPr>
        <w:rPr>
          <w:rFonts w:ascii="Times New Roman" w:hAnsi="Times New Roman" w:cs="Times New Roman"/>
        </w:rPr>
      </w:pPr>
      <w:r w:rsidRPr="000567E9">
        <w:rPr>
          <w:rFonts w:ascii="Times New Roman" w:hAnsi="Times New Roman" w:cs="Times New Roman"/>
        </w:rPr>
        <w:t xml:space="preserve">Spindle cell carcinoma (also known as </w:t>
      </w:r>
      <w:proofErr w:type="spellStart"/>
      <w:r w:rsidRPr="000567E9">
        <w:rPr>
          <w:rFonts w:ascii="Times New Roman" w:hAnsi="Times New Roman" w:cs="Times New Roman"/>
        </w:rPr>
        <w:t>sarcomatoid</w:t>
      </w:r>
      <w:proofErr w:type="spellEnd"/>
      <w:r w:rsidRPr="000567E9">
        <w:rPr>
          <w:rFonts w:ascii="Times New Roman" w:hAnsi="Times New Roman" w:cs="Times New Roman"/>
        </w:rPr>
        <w:t xml:space="preserve"> carcinoma) is a rare, biphasic malignant tumour characterised by a mixture of epithelial and mesenchymal components. It most commonly arises in the head and neck, lung, or skin, but primary involvement of the shoulder girdle is exceptionally rare. Brachial plexopathy as a complication of shoulder malignancies can result from direct tumour infiltration, metastatic spread, radiation injury, or iatrogenic nerve damage during surgery. Post-operative brachial plexopathy due to residual or recurrent spindle cell carcinoma has been infrequently reported in the literature. This case is noteworthy because of the isolated neurological presentation in a young patient shortly after curative-intent surgery, underscoring the need for heightened vigilance in oncologic follow-up.</w:t>
      </w:r>
    </w:p>
    <w:p w14:paraId="2107777F" w14:textId="487E7923" w:rsidR="000567E9" w:rsidRPr="0000093A" w:rsidRDefault="0000093A" w:rsidP="000567E9">
      <w:pPr>
        <w:rPr>
          <w:rFonts w:ascii="Times New Roman" w:hAnsi="Times New Roman" w:cs="Times New Roman"/>
          <w:b/>
          <w:bCs/>
          <w:sz w:val="28"/>
          <w:szCs w:val="28"/>
        </w:rPr>
      </w:pPr>
      <w:r w:rsidRPr="0000093A">
        <w:rPr>
          <w:rFonts w:ascii="Times New Roman" w:hAnsi="Times New Roman" w:cs="Times New Roman"/>
          <w:b/>
          <w:bCs/>
          <w:sz w:val="28"/>
          <w:szCs w:val="28"/>
        </w:rPr>
        <w:t xml:space="preserve">Case </w:t>
      </w:r>
      <w:r w:rsidR="000567E9" w:rsidRPr="0000093A">
        <w:rPr>
          <w:rFonts w:ascii="Times New Roman" w:hAnsi="Times New Roman" w:cs="Times New Roman"/>
          <w:b/>
          <w:bCs/>
          <w:sz w:val="28"/>
          <w:szCs w:val="28"/>
        </w:rPr>
        <w:t>Presentation</w:t>
      </w:r>
    </w:p>
    <w:p w14:paraId="36801050" w14:textId="77777777" w:rsidR="000567E9" w:rsidRPr="000567E9" w:rsidRDefault="000567E9" w:rsidP="000567E9">
      <w:pPr>
        <w:rPr>
          <w:rFonts w:ascii="Times New Roman" w:hAnsi="Times New Roman" w:cs="Times New Roman"/>
        </w:rPr>
      </w:pPr>
      <w:r w:rsidRPr="000567E9">
        <w:rPr>
          <w:rFonts w:ascii="Times New Roman" w:hAnsi="Times New Roman" w:cs="Times New Roman"/>
        </w:rPr>
        <w:t xml:space="preserve">A 25-year-old male from Telangana, India, presented to the Neurology outpatient department of </w:t>
      </w:r>
      <w:proofErr w:type="spellStart"/>
      <w:r w:rsidRPr="000567E9">
        <w:rPr>
          <w:rFonts w:ascii="Times New Roman" w:hAnsi="Times New Roman" w:cs="Times New Roman"/>
        </w:rPr>
        <w:t>Chalmeda</w:t>
      </w:r>
      <w:proofErr w:type="spellEnd"/>
      <w:r w:rsidRPr="000567E9">
        <w:rPr>
          <w:rFonts w:ascii="Times New Roman" w:hAnsi="Times New Roman" w:cs="Times New Roman"/>
        </w:rPr>
        <w:t xml:space="preserve"> Anand Rao Institute of Medical Sciences on 13 November 2025 with complaints of progressive weakness and complete loss of sensation in the left upper limb for 20 days. Two years prior, he had noticed a swelling over the left shoulder. It was diagnosed as spindle cell carcinoma at an outside hospital and he underwent surgical excision on 20 October 2025. Immediately after surgery he developed left upper limb weakness and sensory loss, which worsened over the subsequent weeks. There was no history of fever, trauma, radiation therapy, or chemotherapy. He had no comorbidities. He was a chronic smoker and gutkha user for 6 years. Family history was unremarkable.</w:t>
      </w:r>
    </w:p>
    <w:p w14:paraId="69FEAA59" w14:textId="77777777" w:rsidR="000567E9" w:rsidRPr="000567E9" w:rsidRDefault="000567E9" w:rsidP="000567E9">
      <w:pPr>
        <w:rPr>
          <w:rFonts w:ascii="Times New Roman" w:hAnsi="Times New Roman" w:cs="Times New Roman"/>
        </w:rPr>
      </w:pPr>
      <w:r w:rsidRPr="000567E9">
        <w:rPr>
          <w:rFonts w:ascii="Times New Roman" w:hAnsi="Times New Roman" w:cs="Times New Roman"/>
        </w:rPr>
        <w:t>On admission, he was conscious, oriented, and haemodynamically stable (pulse 76 bpm, blood pressure 130/80 mmHg). General physical examination was normal except for mild pallor. Neurological examination revealed:</w:t>
      </w:r>
    </w:p>
    <w:p w14:paraId="51DE08AA" w14:textId="77777777" w:rsidR="00701DE0" w:rsidRDefault="000567E9" w:rsidP="000567E9">
      <w:pPr>
        <w:pStyle w:val="ListParagraph"/>
        <w:numPr>
          <w:ilvl w:val="0"/>
          <w:numId w:val="2"/>
        </w:numPr>
        <w:rPr>
          <w:rFonts w:ascii="Times New Roman" w:hAnsi="Times New Roman" w:cs="Times New Roman"/>
        </w:rPr>
      </w:pPr>
      <w:r w:rsidRPr="00701DE0">
        <w:rPr>
          <w:rFonts w:ascii="Times New Roman" w:hAnsi="Times New Roman" w:cs="Times New Roman"/>
        </w:rPr>
        <w:t>Higher mental functions intact.</w:t>
      </w:r>
    </w:p>
    <w:p w14:paraId="5E32641A" w14:textId="77777777" w:rsidR="00701DE0" w:rsidRDefault="000567E9" w:rsidP="000567E9">
      <w:pPr>
        <w:pStyle w:val="ListParagraph"/>
        <w:numPr>
          <w:ilvl w:val="0"/>
          <w:numId w:val="2"/>
        </w:numPr>
        <w:rPr>
          <w:rFonts w:ascii="Times New Roman" w:hAnsi="Times New Roman" w:cs="Times New Roman"/>
        </w:rPr>
      </w:pPr>
      <w:r w:rsidRPr="00701DE0">
        <w:rPr>
          <w:rFonts w:ascii="Times New Roman" w:hAnsi="Times New Roman" w:cs="Times New Roman"/>
        </w:rPr>
        <w:t>Cranial nerves normal.</w:t>
      </w:r>
    </w:p>
    <w:p w14:paraId="0AB7D597" w14:textId="77777777" w:rsidR="00701DE0" w:rsidRDefault="000567E9" w:rsidP="000567E9">
      <w:pPr>
        <w:pStyle w:val="ListParagraph"/>
        <w:numPr>
          <w:ilvl w:val="0"/>
          <w:numId w:val="2"/>
        </w:numPr>
        <w:rPr>
          <w:rFonts w:ascii="Times New Roman" w:hAnsi="Times New Roman" w:cs="Times New Roman"/>
        </w:rPr>
      </w:pPr>
      <w:r w:rsidRPr="00701DE0">
        <w:rPr>
          <w:rFonts w:ascii="Times New Roman" w:hAnsi="Times New Roman" w:cs="Times New Roman"/>
        </w:rPr>
        <w:t>Motor system: Left upper limb power – shoulder abduction/adduction/flexion/extension 0/5 to 4/5 (depending on movement); elbow flexion/extension 4/5; wrist flexion/extension 4/5. Lower limb power normal (5/5 bilaterally).</w:t>
      </w:r>
    </w:p>
    <w:p w14:paraId="1B618A6A" w14:textId="77777777" w:rsidR="00701DE0" w:rsidRDefault="000567E9" w:rsidP="000567E9">
      <w:pPr>
        <w:pStyle w:val="ListParagraph"/>
        <w:numPr>
          <w:ilvl w:val="0"/>
          <w:numId w:val="2"/>
        </w:numPr>
        <w:rPr>
          <w:rFonts w:ascii="Times New Roman" w:hAnsi="Times New Roman" w:cs="Times New Roman"/>
        </w:rPr>
      </w:pPr>
      <w:r w:rsidRPr="00701DE0">
        <w:rPr>
          <w:rFonts w:ascii="Times New Roman" w:hAnsi="Times New Roman" w:cs="Times New Roman"/>
        </w:rPr>
        <w:t>Tone reduced in left upper limb.</w:t>
      </w:r>
    </w:p>
    <w:p w14:paraId="4061E906" w14:textId="1D89FE1A" w:rsidR="00701DE0" w:rsidRDefault="000567E9" w:rsidP="000567E9">
      <w:pPr>
        <w:pStyle w:val="ListParagraph"/>
        <w:numPr>
          <w:ilvl w:val="0"/>
          <w:numId w:val="2"/>
        </w:numPr>
        <w:rPr>
          <w:rFonts w:ascii="Times New Roman" w:hAnsi="Times New Roman" w:cs="Times New Roman"/>
        </w:rPr>
      </w:pPr>
      <w:r w:rsidRPr="00701DE0">
        <w:rPr>
          <w:rFonts w:ascii="Times New Roman" w:hAnsi="Times New Roman" w:cs="Times New Roman"/>
        </w:rPr>
        <w:t xml:space="preserve">Deep tendon reflexes: Biceps, triceps, supinator – 1+ on left, 2+ on right; knee and ankle – 2+ bilaterally. </w:t>
      </w:r>
      <w:proofErr w:type="spellStart"/>
      <w:r w:rsidRPr="00701DE0">
        <w:rPr>
          <w:rFonts w:ascii="Times New Roman" w:hAnsi="Times New Roman" w:cs="Times New Roman"/>
        </w:rPr>
        <w:t>Plantars</w:t>
      </w:r>
      <w:proofErr w:type="spellEnd"/>
      <w:r w:rsidR="00956760">
        <w:rPr>
          <w:rFonts w:ascii="Times New Roman" w:hAnsi="Times New Roman" w:cs="Times New Roman"/>
        </w:rPr>
        <w:t xml:space="preserve"> </w:t>
      </w:r>
      <w:r w:rsidRPr="00701DE0">
        <w:rPr>
          <w:rFonts w:ascii="Times New Roman" w:hAnsi="Times New Roman" w:cs="Times New Roman"/>
        </w:rPr>
        <w:t>down</w:t>
      </w:r>
      <w:r w:rsidR="00235EA9">
        <w:rPr>
          <w:rFonts w:ascii="Times New Roman" w:hAnsi="Times New Roman" w:cs="Times New Roman"/>
        </w:rPr>
        <w:t>-</w:t>
      </w:r>
      <w:r w:rsidRPr="00701DE0">
        <w:rPr>
          <w:rFonts w:ascii="Times New Roman" w:hAnsi="Times New Roman" w:cs="Times New Roman"/>
        </w:rPr>
        <w:t>going.</w:t>
      </w:r>
    </w:p>
    <w:p w14:paraId="10A639D2" w14:textId="60B5FAC3" w:rsidR="000567E9" w:rsidRPr="00701DE0" w:rsidRDefault="000567E9" w:rsidP="000567E9">
      <w:pPr>
        <w:pStyle w:val="ListParagraph"/>
        <w:numPr>
          <w:ilvl w:val="0"/>
          <w:numId w:val="2"/>
        </w:numPr>
        <w:rPr>
          <w:rFonts w:ascii="Times New Roman" w:hAnsi="Times New Roman" w:cs="Times New Roman"/>
        </w:rPr>
      </w:pPr>
      <w:r w:rsidRPr="00701DE0">
        <w:rPr>
          <w:rFonts w:ascii="Times New Roman" w:hAnsi="Times New Roman" w:cs="Times New Roman"/>
        </w:rPr>
        <w:t>Sensory system: Complete loss of touch, pain, temperature, and vibration sense in the entire left upper limb (C5–T1 dermatomes). No sensory loss elsewhere.</w:t>
      </w:r>
    </w:p>
    <w:p w14:paraId="5C3AB956" w14:textId="77777777" w:rsidR="000567E9" w:rsidRPr="000567E9" w:rsidRDefault="000567E9" w:rsidP="000567E9">
      <w:pPr>
        <w:rPr>
          <w:rFonts w:ascii="Times New Roman" w:hAnsi="Times New Roman" w:cs="Times New Roman"/>
        </w:rPr>
      </w:pPr>
      <w:r w:rsidRPr="000567E9">
        <w:rPr>
          <w:rFonts w:ascii="Times New Roman" w:hAnsi="Times New Roman" w:cs="Times New Roman"/>
        </w:rPr>
        <w:t>Laboratory investigations (performed on admission) are summarised in Table 1.</w:t>
      </w:r>
    </w:p>
    <w:p w14:paraId="02DF58ED" w14:textId="53E502DD" w:rsidR="00B24EDB" w:rsidRDefault="000567E9" w:rsidP="000567E9">
      <w:pPr>
        <w:rPr>
          <w:rFonts w:ascii="Times New Roman" w:hAnsi="Times New Roman" w:cs="Times New Roman"/>
          <w:b/>
          <w:bCs/>
        </w:rPr>
      </w:pPr>
      <w:r w:rsidRPr="00180439">
        <w:rPr>
          <w:rFonts w:ascii="Times New Roman" w:hAnsi="Times New Roman" w:cs="Times New Roman"/>
          <w:b/>
          <w:bCs/>
        </w:rPr>
        <w:lastRenderedPageBreak/>
        <w:t>Table 1: Laboratory parameters on admission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2"/>
        <w:gridCol w:w="3068"/>
        <w:gridCol w:w="2908"/>
        <w:gridCol w:w="1414"/>
      </w:tblGrid>
      <w:tr w:rsidR="00234925" w:rsidRPr="00180439" w14:paraId="1C092477" w14:textId="77777777" w:rsidTr="00234925">
        <w:trPr>
          <w:trHeight w:val="370"/>
          <w:tblHeader/>
          <w:tblCellSpacing w:w="15" w:type="dxa"/>
        </w:trPr>
        <w:tc>
          <w:tcPr>
            <w:tcW w:w="1546" w:type="pct"/>
            <w:vAlign w:val="center"/>
            <w:hideMark/>
          </w:tcPr>
          <w:p w14:paraId="3C3A0572" w14:textId="77777777" w:rsidR="00180439" w:rsidRPr="00180439" w:rsidRDefault="00180439" w:rsidP="00234925">
            <w:pPr>
              <w:spacing w:after="0" w:line="240" w:lineRule="auto"/>
              <w:jc w:val="center"/>
              <w:rPr>
                <w:rFonts w:ascii="Times New Roman" w:eastAsia="Times New Roman" w:hAnsi="Times New Roman" w:cs="Times New Roman"/>
                <w:b/>
                <w:bCs/>
                <w:kern w:val="0"/>
                <w:sz w:val="24"/>
                <w:szCs w:val="24"/>
                <w:lang w:eastAsia="en-IN"/>
                <w14:ligatures w14:val="none"/>
              </w:rPr>
            </w:pPr>
            <w:r w:rsidRPr="00180439">
              <w:rPr>
                <w:rFonts w:ascii="Times New Roman" w:eastAsia="Times New Roman" w:hAnsi="Times New Roman" w:cs="Times New Roman"/>
                <w:b/>
                <w:bCs/>
                <w:kern w:val="0"/>
                <w:sz w:val="24"/>
                <w:szCs w:val="24"/>
                <w:lang w:eastAsia="en-IN"/>
                <w14:ligatures w14:val="none"/>
              </w:rPr>
              <w:t>Parameter</w:t>
            </w:r>
          </w:p>
        </w:tc>
        <w:tc>
          <w:tcPr>
            <w:tcW w:w="1412" w:type="pct"/>
            <w:vAlign w:val="center"/>
            <w:hideMark/>
          </w:tcPr>
          <w:p w14:paraId="18EFC01B" w14:textId="77777777" w:rsidR="00180439" w:rsidRPr="00180439" w:rsidRDefault="00180439" w:rsidP="00234925">
            <w:pPr>
              <w:spacing w:after="0" w:line="240" w:lineRule="auto"/>
              <w:jc w:val="center"/>
              <w:rPr>
                <w:rFonts w:ascii="Times New Roman" w:eastAsia="Times New Roman" w:hAnsi="Times New Roman" w:cs="Times New Roman"/>
                <w:b/>
                <w:bCs/>
                <w:kern w:val="0"/>
                <w:sz w:val="24"/>
                <w:szCs w:val="24"/>
                <w:lang w:eastAsia="en-IN"/>
                <w14:ligatures w14:val="none"/>
              </w:rPr>
            </w:pPr>
            <w:r w:rsidRPr="00180439">
              <w:rPr>
                <w:rFonts w:ascii="Times New Roman" w:eastAsia="Times New Roman" w:hAnsi="Times New Roman" w:cs="Times New Roman"/>
                <w:b/>
                <w:bCs/>
                <w:kern w:val="0"/>
                <w:sz w:val="24"/>
                <w:szCs w:val="24"/>
                <w:lang w:eastAsia="en-IN"/>
                <w14:ligatures w14:val="none"/>
              </w:rPr>
              <w:t>Result</w:t>
            </w:r>
          </w:p>
        </w:tc>
        <w:tc>
          <w:tcPr>
            <w:tcW w:w="1337" w:type="pct"/>
            <w:vAlign w:val="center"/>
            <w:hideMark/>
          </w:tcPr>
          <w:p w14:paraId="40A98F8B" w14:textId="77777777" w:rsidR="00180439" w:rsidRPr="00180439" w:rsidRDefault="00180439" w:rsidP="00234925">
            <w:pPr>
              <w:spacing w:after="0" w:line="240" w:lineRule="auto"/>
              <w:jc w:val="center"/>
              <w:rPr>
                <w:rFonts w:ascii="Times New Roman" w:eastAsia="Times New Roman" w:hAnsi="Times New Roman" w:cs="Times New Roman"/>
                <w:b/>
                <w:bCs/>
                <w:kern w:val="0"/>
                <w:sz w:val="24"/>
                <w:szCs w:val="24"/>
                <w:lang w:eastAsia="en-IN"/>
                <w14:ligatures w14:val="none"/>
              </w:rPr>
            </w:pPr>
            <w:r w:rsidRPr="00180439">
              <w:rPr>
                <w:rFonts w:ascii="Times New Roman" w:eastAsia="Times New Roman" w:hAnsi="Times New Roman" w:cs="Times New Roman"/>
                <w:b/>
                <w:bCs/>
                <w:kern w:val="0"/>
                <w:sz w:val="24"/>
                <w:szCs w:val="24"/>
                <w:lang w:eastAsia="en-IN"/>
                <w14:ligatures w14:val="none"/>
              </w:rPr>
              <w:t>Reference Range</w:t>
            </w:r>
          </w:p>
        </w:tc>
        <w:tc>
          <w:tcPr>
            <w:tcW w:w="636" w:type="pct"/>
            <w:vAlign w:val="center"/>
            <w:hideMark/>
          </w:tcPr>
          <w:p w14:paraId="43F4A921" w14:textId="77777777" w:rsidR="00180439" w:rsidRPr="00180439" w:rsidRDefault="00180439" w:rsidP="00234925">
            <w:pPr>
              <w:spacing w:after="0" w:line="240" w:lineRule="auto"/>
              <w:jc w:val="center"/>
              <w:rPr>
                <w:rFonts w:ascii="Times New Roman" w:eastAsia="Times New Roman" w:hAnsi="Times New Roman" w:cs="Times New Roman"/>
                <w:b/>
                <w:bCs/>
                <w:kern w:val="0"/>
                <w:sz w:val="24"/>
                <w:szCs w:val="24"/>
                <w:lang w:eastAsia="en-IN"/>
                <w14:ligatures w14:val="none"/>
              </w:rPr>
            </w:pPr>
            <w:r w:rsidRPr="00180439">
              <w:rPr>
                <w:rFonts w:ascii="Times New Roman" w:eastAsia="Times New Roman" w:hAnsi="Times New Roman" w:cs="Times New Roman"/>
                <w:b/>
                <w:bCs/>
                <w:kern w:val="0"/>
                <w:sz w:val="24"/>
                <w:szCs w:val="24"/>
                <w:lang w:eastAsia="en-IN"/>
                <w14:ligatures w14:val="none"/>
              </w:rPr>
              <w:t>Remark</w:t>
            </w:r>
          </w:p>
        </w:tc>
      </w:tr>
      <w:tr w:rsidR="00234925" w:rsidRPr="00180439" w14:paraId="6BE8B9B5" w14:textId="77777777" w:rsidTr="00234925">
        <w:trPr>
          <w:trHeight w:val="370"/>
          <w:tblCellSpacing w:w="15" w:type="dxa"/>
        </w:trPr>
        <w:tc>
          <w:tcPr>
            <w:tcW w:w="1546" w:type="pct"/>
            <w:vAlign w:val="center"/>
            <w:hideMark/>
          </w:tcPr>
          <w:p w14:paraId="25C8BC07"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Haemoglobin</w:t>
            </w:r>
          </w:p>
        </w:tc>
        <w:tc>
          <w:tcPr>
            <w:tcW w:w="1412" w:type="pct"/>
            <w:vAlign w:val="center"/>
            <w:hideMark/>
          </w:tcPr>
          <w:p w14:paraId="20E2275F"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10.9 g/dL</w:t>
            </w:r>
          </w:p>
        </w:tc>
        <w:tc>
          <w:tcPr>
            <w:tcW w:w="1337" w:type="pct"/>
            <w:vAlign w:val="center"/>
            <w:hideMark/>
          </w:tcPr>
          <w:p w14:paraId="1F0D1E49"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13.0–17.0 g/dL</w:t>
            </w:r>
          </w:p>
        </w:tc>
        <w:tc>
          <w:tcPr>
            <w:tcW w:w="636" w:type="pct"/>
            <w:vAlign w:val="center"/>
            <w:hideMark/>
          </w:tcPr>
          <w:p w14:paraId="554FA7E4"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Low</w:t>
            </w:r>
          </w:p>
        </w:tc>
      </w:tr>
      <w:tr w:rsidR="00234925" w:rsidRPr="00180439" w14:paraId="5B8EEF84" w14:textId="77777777" w:rsidTr="00234925">
        <w:trPr>
          <w:trHeight w:val="370"/>
          <w:tblCellSpacing w:w="15" w:type="dxa"/>
        </w:trPr>
        <w:tc>
          <w:tcPr>
            <w:tcW w:w="1546" w:type="pct"/>
            <w:vAlign w:val="center"/>
            <w:hideMark/>
          </w:tcPr>
          <w:p w14:paraId="5A293376"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RBC count</w:t>
            </w:r>
          </w:p>
        </w:tc>
        <w:tc>
          <w:tcPr>
            <w:tcW w:w="1412" w:type="pct"/>
            <w:vAlign w:val="center"/>
            <w:hideMark/>
          </w:tcPr>
          <w:p w14:paraId="79A8267B"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4.0 × 10⁶/µL</w:t>
            </w:r>
          </w:p>
        </w:tc>
        <w:tc>
          <w:tcPr>
            <w:tcW w:w="1337" w:type="pct"/>
            <w:vAlign w:val="center"/>
            <w:hideMark/>
          </w:tcPr>
          <w:p w14:paraId="42D93D1C"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4.5–5.5 × 10¹²/L</w:t>
            </w:r>
          </w:p>
        </w:tc>
        <w:tc>
          <w:tcPr>
            <w:tcW w:w="636" w:type="pct"/>
            <w:vAlign w:val="center"/>
            <w:hideMark/>
          </w:tcPr>
          <w:p w14:paraId="230A41E7"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Low</w:t>
            </w:r>
          </w:p>
        </w:tc>
      </w:tr>
      <w:tr w:rsidR="00234925" w:rsidRPr="00180439" w14:paraId="0364C01C" w14:textId="77777777" w:rsidTr="00234925">
        <w:trPr>
          <w:trHeight w:val="370"/>
          <w:tblCellSpacing w:w="15" w:type="dxa"/>
        </w:trPr>
        <w:tc>
          <w:tcPr>
            <w:tcW w:w="1546" w:type="pct"/>
            <w:vAlign w:val="center"/>
            <w:hideMark/>
          </w:tcPr>
          <w:p w14:paraId="1587886D"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WBC count</w:t>
            </w:r>
          </w:p>
        </w:tc>
        <w:tc>
          <w:tcPr>
            <w:tcW w:w="1412" w:type="pct"/>
            <w:vAlign w:val="center"/>
            <w:hideMark/>
          </w:tcPr>
          <w:p w14:paraId="0B897F8A"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6.1 × 10³/µL</w:t>
            </w:r>
          </w:p>
        </w:tc>
        <w:tc>
          <w:tcPr>
            <w:tcW w:w="1337" w:type="pct"/>
            <w:vAlign w:val="center"/>
            <w:hideMark/>
          </w:tcPr>
          <w:p w14:paraId="34EE7E9E"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4.0–10.0 × 10⁹/L</w:t>
            </w:r>
          </w:p>
        </w:tc>
        <w:tc>
          <w:tcPr>
            <w:tcW w:w="636" w:type="pct"/>
            <w:vAlign w:val="center"/>
            <w:hideMark/>
          </w:tcPr>
          <w:p w14:paraId="3C7C30B1"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Normal</w:t>
            </w:r>
          </w:p>
        </w:tc>
      </w:tr>
      <w:tr w:rsidR="00234925" w:rsidRPr="00180439" w14:paraId="2187285B" w14:textId="77777777" w:rsidTr="00234925">
        <w:trPr>
          <w:trHeight w:val="348"/>
          <w:tblCellSpacing w:w="15" w:type="dxa"/>
        </w:trPr>
        <w:tc>
          <w:tcPr>
            <w:tcW w:w="1546" w:type="pct"/>
            <w:vAlign w:val="center"/>
            <w:hideMark/>
          </w:tcPr>
          <w:p w14:paraId="4B2AA26D"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Platelets</w:t>
            </w:r>
          </w:p>
        </w:tc>
        <w:tc>
          <w:tcPr>
            <w:tcW w:w="1412" w:type="pct"/>
            <w:vAlign w:val="center"/>
            <w:hideMark/>
          </w:tcPr>
          <w:p w14:paraId="3DA6088A"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3.68 lakhs/µL</w:t>
            </w:r>
          </w:p>
        </w:tc>
        <w:tc>
          <w:tcPr>
            <w:tcW w:w="1337" w:type="pct"/>
            <w:vAlign w:val="center"/>
            <w:hideMark/>
          </w:tcPr>
          <w:p w14:paraId="25A260EA"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1.50–4.10 lakhs/µL</w:t>
            </w:r>
          </w:p>
        </w:tc>
        <w:tc>
          <w:tcPr>
            <w:tcW w:w="636" w:type="pct"/>
            <w:vAlign w:val="center"/>
            <w:hideMark/>
          </w:tcPr>
          <w:p w14:paraId="616CAF1F"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Normal</w:t>
            </w:r>
          </w:p>
        </w:tc>
      </w:tr>
      <w:tr w:rsidR="00234925" w:rsidRPr="00180439" w14:paraId="7F026E49" w14:textId="77777777" w:rsidTr="00234925">
        <w:trPr>
          <w:trHeight w:val="370"/>
          <w:tblCellSpacing w:w="15" w:type="dxa"/>
        </w:trPr>
        <w:tc>
          <w:tcPr>
            <w:tcW w:w="1546" w:type="pct"/>
            <w:vAlign w:val="center"/>
            <w:hideMark/>
          </w:tcPr>
          <w:p w14:paraId="5923FAB5"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Blood urea</w:t>
            </w:r>
          </w:p>
        </w:tc>
        <w:tc>
          <w:tcPr>
            <w:tcW w:w="1412" w:type="pct"/>
            <w:vAlign w:val="center"/>
            <w:hideMark/>
          </w:tcPr>
          <w:p w14:paraId="5455CED0"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16 mg/dL</w:t>
            </w:r>
          </w:p>
        </w:tc>
        <w:tc>
          <w:tcPr>
            <w:tcW w:w="1337" w:type="pct"/>
            <w:vAlign w:val="center"/>
            <w:hideMark/>
          </w:tcPr>
          <w:p w14:paraId="7AEBF254"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19.2–42.6 mg/dL</w:t>
            </w:r>
          </w:p>
        </w:tc>
        <w:tc>
          <w:tcPr>
            <w:tcW w:w="636" w:type="pct"/>
            <w:vAlign w:val="center"/>
            <w:hideMark/>
          </w:tcPr>
          <w:p w14:paraId="48BC6884"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Low</w:t>
            </w:r>
          </w:p>
        </w:tc>
      </w:tr>
      <w:tr w:rsidR="00234925" w:rsidRPr="00180439" w14:paraId="29D348BB" w14:textId="77777777" w:rsidTr="00234925">
        <w:trPr>
          <w:trHeight w:val="370"/>
          <w:tblCellSpacing w:w="15" w:type="dxa"/>
        </w:trPr>
        <w:tc>
          <w:tcPr>
            <w:tcW w:w="1546" w:type="pct"/>
            <w:vAlign w:val="center"/>
            <w:hideMark/>
          </w:tcPr>
          <w:p w14:paraId="1B4DDAA9"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Serum creatinine</w:t>
            </w:r>
          </w:p>
        </w:tc>
        <w:tc>
          <w:tcPr>
            <w:tcW w:w="1412" w:type="pct"/>
            <w:vAlign w:val="center"/>
            <w:hideMark/>
          </w:tcPr>
          <w:p w14:paraId="14CA4DDA"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0.5 mg/dL</w:t>
            </w:r>
          </w:p>
        </w:tc>
        <w:tc>
          <w:tcPr>
            <w:tcW w:w="1337" w:type="pct"/>
            <w:vAlign w:val="center"/>
            <w:hideMark/>
          </w:tcPr>
          <w:p w14:paraId="30197079"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0.6–1.1 mg/dL</w:t>
            </w:r>
          </w:p>
        </w:tc>
        <w:tc>
          <w:tcPr>
            <w:tcW w:w="636" w:type="pct"/>
            <w:vAlign w:val="center"/>
            <w:hideMark/>
          </w:tcPr>
          <w:p w14:paraId="5AFCA859"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Normal</w:t>
            </w:r>
          </w:p>
        </w:tc>
      </w:tr>
      <w:tr w:rsidR="00234925" w:rsidRPr="00180439" w14:paraId="0D570811" w14:textId="77777777" w:rsidTr="00234925">
        <w:trPr>
          <w:trHeight w:val="370"/>
          <w:tblCellSpacing w:w="15" w:type="dxa"/>
        </w:trPr>
        <w:tc>
          <w:tcPr>
            <w:tcW w:w="1546" w:type="pct"/>
            <w:vAlign w:val="center"/>
            <w:hideMark/>
          </w:tcPr>
          <w:p w14:paraId="299A0514"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Random blood sugar</w:t>
            </w:r>
          </w:p>
        </w:tc>
        <w:tc>
          <w:tcPr>
            <w:tcW w:w="1412" w:type="pct"/>
            <w:vAlign w:val="center"/>
            <w:hideMark/>
          </w:tcPr>
          <w:p w14:paraId="14C18D43"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86 mg/dL</w:t>
            </w:r>
          </w:p>
        </w:tc>
        <w:tc>
          <w:tcPr>
            <w:tcW w:w="1337" w:type="pct"/>
            <w:vAlign w:val="center"/>
            <w:hideMark/>
          </w:tcPr>
          <w:p w14:paraId="6054F145"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70–140 mg/dL</w:t>
            </w:r>
          </w:p>
        </w:tc>
        <w:tc>
          <w:tcPr>
            <w:tcW w:w="636" w:type="pct"/>
            <w:vAlign w:val="center"/>
            <w:hideMark/>
          </w:tcPr>
          <w:p w14:paraId="35B8CB2B"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Normal</w:t>
            </w:r>
          </w:p>
        </w:tc>
      </w:tr>
      <w:tr w:rsidR="00234925" w:rsidRPr="00180439" w14:paraId="280AEF3E" w14:textId="77777777" w:rsidTr="00234925">
        <w:trPr>
          <w:trHeight w:val="348"/>
          <w:tblCellSpacing w:w="15" w:type="dxa"/>
        </w:trPr>
        <w:tc>
          <w:tcPr>
            <w:tcW w:w="1546" w:type="pct"/>
            <w:vAlign w:val="center"/>
            <w:hideMark/>
          </w:tcPr>
          <w:p w14:paraId="5EDD26AD"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Electrolytes (Na/K/Cl)</w:t>
            </w:r>
          </w:p>
        </w:tc>
        <w:tc>
          <w:tcPr>
            <w:tcW w:w="1412" w:type="pct"/>
            <w:vAlign w:val="center"/>
            <w:hideMark/>
          </w:tcPr>
          <w:p w14:paraId="6521A505"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145/4.1/104 mmol/L</w:t>
            </w:r>
          </w:p>
        </w:tc>
        <w:tc>
          <w:tcPr>
            <w:tcW w:w="1337" w:type="pct"/>
            <w:vAlign w:val="center"/>
            <w:hideMark/>
          </w:tcPr>
          <w:p w14:paraId="56C4996A"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Normal ranges</w:t>
            </w:r>
          </w:p>
        </w:tc>
        <w:tc>
          <w:tcPr>
            <w:tcW w:w="636" w:type="pct"/>
            <w:vAlign w:val="center"/>
            <w:hideMark/>
          </w:tcPr>
          <w:p w14:paraId="4F3E673A"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Normal</w:t>
            </w:r>
          </w:p>
        </w:tc>
      </w:tr>
      <w:tr w:rsidR="00234925" w:rsidRPr="00180439" w14:paraId="1DE9770A" w14:textId="77777777" w:rsidTr="00234925">
        <w:trPr>
          <w:trHeight w:val="389"/>
          <w:tblCellSpacing w:w="15" w:type="dxa"/>
        </w:trPr>
        <w:tc>
          <w:tcPr>
            <w:tcW w:w="1546" w:type="pct"/>
            <w:vAlign w:val="center"/>
            <w:hideMark/>
          </w:tcPr>
          <w:p w14:paraId="4688E8D4"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HBsAg, HCV, HIV</w:t>
            </w:r>
          </w:p>
        </w:tc>
        <w:tc>
          <w:tcPr>
            <w:tcW w:w="1412" w:type="pct"/>
            <w:vAlign w:val="center"/>
            <w:hideMark/>
          </w:tcPr>
          <w:p w14:paraId="0D58D58D"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Non-reactive</w:t>
            </w:r>
          </w:p>
        </w:tc>
        <w:tc>
          <w:tcPr>
            <w:tcW w:w="1337" w:type="pct"/>
            <w:vAlign w:val="center"/>
            <w:hideMark/>
          </w:tcPr>
          <w:p w14:paraId="24052F1B"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w:t>
            </w:r>
          </w:p>
        </w:tc>
        <w:tc>
          <w:tcPr>
            <w:tcW w:w="636" w:type="pct"/>
            <w:vAlign w:val="center"/>
            <w:hideMark/>
          </w:tcPr>
          <w:p w14:paraId="75ECF114" w14:textId="77777777" w:rsidR="00180439" w:rsidRPr="00180439" w:rsidRDefault="00180439" w:rsidP="00234925">
            <w:pPr>
              <w:spacing w:after="0" w:line="240" w:lineRule="auto"/>
              <w:jc w:val="center"/>
              <w:rPr>
                <w:rFonts w:ascii="Times New Roman" w:eastAsia="Times New Roman" w:hAnsi="Times New Roman" w:cs="Times New Roman"/>
                <w:kern w:val="0"/>
                <w:sz w:val="24"/>
                <w:szCs w:val="24"/>
                <w:lang w:eastAsia="en-IN"/>
                <w14:ligatures w14:val="none"/>
              </w:rPr>
            </w:pPr>
            <w:r w:rsidRPr="00180439">
              <w:rPr>
                <w:rFonts w:ascii="Times New Roman" w:eastAsia="Times New Roman" w:hAnsi="Times New Roman" w:cs="Times New Roman"/>
                <w:kern w:val="0"/>
                <w:sz w:val="24"/>
                <w:szCs w:val="24"/>
                <w:lang w:eastAsia="en-IN"/>
                <w14:ligatures w14:val="none"/>
              </w:rPr>
              <w:t>Negative</w:t>
            </w:r>
          </w:p>
        </w:tc>
      </w:tr>
    </w:tbl>
    <w:p w14:paraId="7E31C2B8" w14:textId="77777777" w:rsidR="00180439" w:rsidRDefault="00180439" w:rsidP="000567E9">
      <w:pPr>
        <w:rPr>
          <w:rFonts w:ascii="Times New Roman" w:hAnsi="Times New Roman" w:cs="Times New Roman"/>
          <w:b/>
          <w:bCs/>
        </w:rPr>
      </w:pPr>
    </w:p>
    <w:p w14:paraId="556A5A8A" w14:textId="77777777" w:rsidR="0056764A" w:rsidRPr="0056764A" w:rsidRDefault="0056764A" w:rsidP="0056764A">
      <w:pPr>
        <w:rPr>
          <w:rFonts w:ascii="Times New Roman" w:hAnsi="Times New Roman" w:cs="Times New Roman"/>
        </w:rPr>
      </w:pPr>
      <w:r w:rsidRPr="0056764A">
        <w:rPr>
          <w:rFonts w:ascii="Times New Roman" w:hAnsi="Times New Roman" w:cs="Times New Roman"/>
        </w:rPr>
        <w:t>All other routine investigations were unremarkable. No MRI of the brachial plexus or repeat biopsy was available during this admission.</w:t>
      </w:r>
    </w:p>
    <w:p w14:paraId="48591FBF" w14:textId="77777777" w:rsidR="00553D4F" w:rsidRDefault="0056764A" w:rsidP="0056764A">
      <w:pPr>
        <w:rPr>
          <w:rFonts w:ascii="Times New Roman" w:hAnsi="Times New Roman" w:cs="Times New Roman"/>
        </w:rPr>
      </w:pPr>
      <w:r w:rsidRPr="0056764A">
        <w:rPr>
          <w:rFonts w:ascii="Times New Roman" w:hAnsi="Times New Roman" w:cs="Times New Roman"/>
        </w:rPr>
        <w:t>The patient was admitted under Neurology for supportive care. He received intravenous fluids, tablet paracetamol 650 mg as needed for pain, tablet etoricoxib 90 mg once daily, and physiotherapy for left upper limb. He showed mild subjective improvement in pain and was discharged on 15 November 2025 in stable condition with advice for outpatient oncology and neurology follow-up, continuation of physiotherapy, and pain management.</w:t>
      </w:r>
    </w:p>
    <w:p w14:paraId="5FCC53DA" w14:textId="4B6DA4D3" w:rsidR="006F3A02" w:rsidRPr="006F3A02" w:rsidRDefault="006F3A02" w:rsidP="0056764A">
      <w:pPr>
        <w:rPr>
          <w:rFonts w:ascii="Times New Roman" w:hAnsi="Times New Roman" w:cs="Times New Roman"/>
          <w:b/>
          <w:bCs/>
          <w:sz w:val="28"/>
          <w:szCs w:val="28"/>
        </w:rPr>
      </w:pPr>
      <w:r w:rsidRPr="006F3A02">
        <w:rPr>
          <w:rFonts w:ascii="Times New Roman" w:hAnsi="Times New Roman" w:cs="Times New Roman"/>
          <w:b/>
          <w:bCs/>
          <w:sz w:val="28"/>
          <w:szCs w:val="28"/>
        </w:rPr>
        <w:t>Discussion</w:t>
      </w:r>
    </w:p>
    <w:p w14:paraId="6E369AD6" w14:textId="77777777" w:rsidR="007D4354" w:rsidRPr="007D4354" w:rsidRDefault="007D4354" w:rsidP="007D4354">
      <w:pPr>
        <w:rPr>
          <w:rFonts w:ascii="Times New Roman" w:hAnsi="Times New Roman" w:cs="Times New Roman"/>
        </w:rPr>
      </w:pPr>
      <w:r w:rsidRPr="007D4354">
        <w:rPr>
          <w:rFonts w:ascii="Times New Roman" w:hAnsi="Times New Roman" w:cs="Times New Roman"/>
        </w:rPr>
        <w:t xml:space="preserve">Brachial plexopathy in the context of spindle cell carcinoma of the shoulder is rare and poses a diagnostic challenge. Differential diagnoses include iatrogenic nerve injury during surgery, tumour recurrence with infiltration of the brachial plexus, radiation plexopathy (if radiotherapy was given), or paraneoplastic neuropathy. In this case, the temporal relationship (symptoms starting immediately post-surgery and worsening) strongly suggests either direct intraoperative nerve damage or microscopic residual </w:t>
      </w:r>
      <w:proofErr w:type="gramStart"/>
      <w:r w:rsidRPr="007D4354">
        <w:rPr>
          <w:rFonts w:ascii="Times New Roman" w:hAnsi="Times New Roman" w:cs="Times New Roman"/>
        </w:rPr>
        <w:t>disease causing</w:t>
      </w:r>
      <w:proofErr w:type="gramEnd"/>
      <w:r w:rsidRPr="007D4354">
        <w:rPr>
          <w:rFonts w:ascii="Times New Roman" w:hAnsi="Times New Roman" w:cs="Times New Roman"/>
        </w:rPr>
        <w:t xml:space="preserve"> progressive infiltration.</w:t>
      </w:r>
    </w:p>
    <w:p w14:paraId="3FDF025F" w14:textId="77777777" w:rsidR="007D4354" w:rsidRPr="007D4354" w:rsidRDefault="007D4354" w:rsidP="007D4354">
      <w:pPr>
        <w:rPr>
          <w:rFonts w:ascii="Times New Roman" w:hAnsi="Times New Roman" w:cs="Times New Roman"/>
        </w:rPr>
      </w:pPr>
      <w:r w:rsidRPr="007D4354">
        <w:rPr>
          <w:rFonts w:ascii="Times New Roman" w:hAnsi="Times New Roman" w:cs="Times New Roman"/>
        </w:rPr>
        <w:t xml:space="preserve">Spindle cell carcinoma is known for its aggressive behaviour and propensity for local recurrence. Literature reports brachial plexopathy most commonly in breast cancer, lung cancer, or lymphoma, but shoulder-origin </w:t>
      </w:r>
      <w:proofErr w:type="spellStart"/>
      <w:r w:rsidRPr="007D4354">
        <w:rPr>
          <w:rFonts w:ascii="Times New Roman" w:hAnsi="Times New Roman" w:cs="Times New Roman"/>
        </w:rPr>
        <w:t>sarcomatoid</w:t>
      </w:r>
      <w:proofErr w:type="spellEnd"/>
      <w:r w:rsidRPr="007D4354">
        <w:rPr>
          <w:rFonts w:ascii="Times New Roman" w:hAnsi="Times New Roman" w:cs="Times New Roman"/>
        </w:rPr>
        <w:t xml:space="preserve"> tumours are scarcely documented. The absence of pain/temperature sensation with preserved (though reduced) motor function in some </w:t>
      </w:r>
      <w:proofErr w:type="gramStart"/>
      <w:r w:rsidRPr="007D4354">
        <w:rPr>
          <w:rFonts w:ascii="Times New Roman" w:hAnsi="Times New Roman" w:cs="Times New Roman"/>
        </w:rPr>
        <w:t>segments</w:t>
      </w:r>
      <w:proofErr w:type="gramEnd"/>
      <w:r w:rsidRPr="007D4354">
        <w:rPr>
          <w:rFonts w:ascii="Times New Roman" w:hAnsi="Times New Roman" w:cs="Times New Roman"/>
        </w:rPr>
        <w:t xml:space="preserve"> points to selective involvement of sensory fibres, which is atypical for pure traumatic plexopathy and raises suspicion of neoplastic infiltration.</w:t>
      </w:r>
    </w:p>
    <w:p w14:paraId="696ACF73" w14:textId="77777777" w:rsidR="007D4354" w:rsidRPr="007D4354" w:rsidRDefault="007D4354" w:rsidP="007D4354">
      <w:pPr>
        <w:rPr>
          <w:rFonts w:ascii="Times New Roman" w:hAnsi="Times New Roman" w:cs="Times New Roman"/>
        </w:rPr>
      </w:pPr>
      <w:r w:rsidRPr="007D4354">
        <w:rPr>
          <w:rFonts w:ascii="Times New Roman" w:hAnsi="Times New Roman" w:cs="Times New Roman"/>
        </w:rPr>
        <w:t>Malignant peripheral nerve sheath tumours (MPNST) have been reported to cause brachial plexopathy, often mimicking radiation-induced or metastatic plexopathy in patients with prior cancer history. Infraclavicular spindle cell haemangioendothelioma can also mimic peripheral nerve sheath tumours on imaging and clinical presentation. Spindle cell carcinoma itself has been documented in unusual sites such as the lung (with myogenic differentiation), maxilla, intraoral regions (with spontaneous regression), and tongue (with osteoid and cartilage formation), highlighting its morphological heterogeneity and diagnostic challenges. However, primary shoulder spindle cell carcinoma presenting as isolated post-operative brachial plexopathy in a young male remains unreported.</w:t>
      </w:r>
    </w:p>
    <w:p w14:paraId="41A55FEB" w14:textId="77777777" w:rsidR="007D4354" w:rsidRPr="007D4354" w:rsidRDefault="007D4354" w:rsidP="007D4354">
      <w:pPr>
        <w:rPr>
          <w:rFonts w:ascii="Times New Roman" w:hAnsi="Times New Roman" w:cs="Times New Roman"/>
        </w:rPr>
      </w:pPr>
      <w:r w:rsidRPr="007D4354">
        <w:rPr>
          <w:rFonts w:ascii="Times New Roman" w:hAnsi="Times New Roman" w:cs="Times New Roman"/>
        </w:rPr>
        <w:t>The mild anaemia observed may be anaemia of chronic disease or paraneoplastic. Negative viral serology ruled out infectious causes. In resource-limited settings, advanced imaging (MRI brachial plexus with contrast) and repeat histopathology are ideal but may not always be immediately feasible. Conservative management with analgesia and physiotherapy remains the cornerstone when curative options are limited.</w:t>
      </w:r>
    </w:p>
    <w:p w14:paraId="254AA98C" w14:textId="77777777" w:rsidR="00E0001E" w:rsidRDefault="007D4354" w:rsidP="007D4354">
      <w:pPr>
        <w:rPr>
          <w:rFonts w:ascii="Times New Roman" w:hAnsi="Times New Roman" w:cs="Times New Roman"/>
        </w:rPr>
      </w:pPr>
      <w:r w:rsidRPr="007D4354">
        <w:rPr>
          <w:rFonts w:ascii="Times New Roman" w:hAnsi="Times New Roman" w:cs="Times New Roman"/>
        </w:rPr>
        <w:lastRenderedPageBreak/>
        <w:t>This case emphasises the importance of: (1) pre- and post-operative neurological assessment in shoulder oncology cases; (2) high index of suspicion for tumour-related plexopathy even shortly after surgery; and (3) multidisciplinary involvement (oncology, neurology, rehabilitation) for better functional outcomes.</w:t>
      </w:r>
    </w:p>
    <w:p w14:paraId="6CC8CB79" w14:textId="300AB190" w:rsidR="006F3A02" w:rsidRPr="006F3A02" w:rsidRDefault="006F3A02" w:rsidP="007D4354">
      <w:pPr>
        <w:rPr>
          <w:rFonts w:ascii="Times New Roman" w:hAnsi="Times New Roman" w:cs="Times New Roman"/>
          <w:b/>
          <w:bCs/>
          <w:sz w:val="28"/>
          <w:szCs w:val="28"/>
        </w:rPr>
      </w:pPr>
      <w:r w:rsidRPr="006F3A02">
        <w:rPr>
          <w:rFonts w:ascii="Times New Roman" w:hAnsi="Times New Roman" w:cs="Times New Roman"/>
          <w:b/>
          <w:bCs/>
          <w:sz w:val="28"/>
          <w:szCs w:val="28"/>
        </w:rPr>
        <w:t>Conclusion</w:t>
      </w:r>
    </w:p>
    <w:p w14:paraId="4DAADE65" w14:textId="77777777" w:rsidR="00BF14BB" w:rsidRDefault="001D71C4" w:rsidP="006F3A02">
      <w:pPr>
        <w:rPr>
          <w:rFonts w:ascii="Times New Roman" w:hAnsi="Times New Roman" w:cs="Times New Roman"/>
        </w:rPr>
      </w:pPr>
      <w:r w:rsidRPr="001D71C4">
        <w:rPr>
          <w:rFonts w:ascii="Times New Roman" w:hAnsi="Times New Roman" w:cs="Times New Roman"/>
        </w:rPr>
        <w:t>We report a rare case of post-operative brachial plexopathy likely secondary to residual or recurrent spindle cell carcinoma of the shoulder in a young male. Prompt recognition and supportive care are essential. Clinicians should maintain a low threshold for suspecting neoplastic involvement in cancer survivors presenting with new focal neurological deficits.</w:t>
      </w:r>
    </w:p>
    <w:p w14:paraId="472F5C32" w14:textId="0EDC3386" w:rsidR="000F1126" w:rsidRDefault="006F3A02" w:rsidP="006F3A02">
      <w:pPr>
        <w:rPr>
          <w:rFonts w:ascii="Times New Roman" w:hAnsi="Times New Roman" w:cs="Times New Roman"/>
          <w:b/>
          <w:bCs/>
          <w:sz w:val="28"/>
          <w:szCs w:val="28"/>
        </w:rPr>
      </w:pPr>
      <w:r w:rsidRPr="00BC7EAD">
        <w:rPr>
          <w:rFonts w:ascii="Times New Roman" w:hAnsi="Times New Roman" w:cs="Times New Roman"/>
          <w:b/>
          <w:bCs/>
          <w:sz w:val="28"/>
          <w:szCs w:val="28"/>
        </w:rPr>
        <w:t>References</w:t>
      </w:r>
    </w:p>
    <w:p w14:paraId="0DBEDB2A" w14:textId="77777777" w:rsidR="00364653" w:rsidRDefault="00692628" w:rsidP="00692628">
      <w:pPr>
        <w:pStyle w:val="ListParagraph"/>
        <w:numPr>
          <w:ilvl w:val="0"/>
          <w:numId w:val="1"/>
        </w:numPr>
        <w:rPr>
          <w:rFonts w:ascii="Times New Roman" w:hAnsi="Times New Roman" w:cs="Times New Roman"/>
        </w:rPr>
      </w:pPr>
      <w:r w:rsidRPr="00FC4F4B">
        <w:rPr>
          <w:rFonts w:ascii="Times New Roman" w:hAnsi="Times New Roman" w:cs="Times New Roman"/>
        </w:rPr>
        <w:t xml:space="preserve">Khan W, Kazi N, Ali H, Noor B, Haleem S, Khan QA, Verma R. Spindle cell carcinoma of the lung with myogenic differentiation in a young female patient: a rare case report. Ann Med </w:t>
      </w:r>
      <w:proofErr w:type="spellStart"/>
      <w:r w:rsidRPr="00FC4F4B">
        <w:rPr>
          <w:rFonts w:ascii="Times New Roman" w:hAnsi="Times New Roman" w:cs="Times New Roman"/>
        </w:rPr>
        <w:t>Surg</w:t>
      </w:r>
      <w:proofErr w:type="spellEnd"/>
      <w:r w:rsidRPr="00FC4F4B">
        <w:rPr>
          <w:rFonts w:ascii="Times New Roman" w:hAnsi="Times New Roman" w:cs="Times New Roman"/>
        </w:rPr>
        <w:t xml:space="preserve"> (</w:t>
      </w:r>
      <w:proofErr w:type="spellStart"/>
      <w:r w:rsidRPr="00FC4F4B">
        <w:rPr>
          <w:rFonts w:ascii="Times New Roman" w:hAnsi="Times New Roman" w:cs="Times New Roman"/>
        </w:rPr>
        <w:t>Lond</w:t>
      </w:r>
      <w:proofErr w:type="spellEnd"/>
      <w:r w:rsidRPr="00FC4F4B">
        <w:rPr>
          <w:rFonts w:ascii="Times New Roman" w:hAnsi="Times New Roman" w:cs="Times New Roman"/>
        </w:rPr>
        <w:t xml:space="preserve">). </w:t>
      </w:r>
      <w:proofErr w:type="gramStart"/>
      <w:r w:rsidRPr="00FC4F4B">
        <w:rPr>
          <w:rFonts w:ascii="Times New Roman" w:hAnsi="Times New Roman" w:cs="Times New Roman"/>
        </w:rPr>
        <w:t>2025;87:4532</w:t>
      </w:r>
      <w:proofErr w:type="gramEnd"/>
      <w:r w:rsidRPr="00FC4F4B">
        <w:rPr>
          <w:rFonts w:ascii="Times New Roman" w:hAnsi="Times New Roman" w:cs="Times New Roman"/>
        </w:rPr>
        <w:t>-4535.</w:t>
      </w:r>
    </w:p>
    <w:p w14:paraId="3D456472" w14:textId="77777777" w:rsidR="00C42EE7" w:rsidRDefault="00692628" w:rsidP="00692628">
      <w:pPr>
        <w:pStyle w:val="ListParagraph"/>
        <w:numPr>
          <w:ilvl w:val="0"/>
          <w:numId w:val="1"/>
        </w:numPr>
        <w:rPr>
          <w:rFonts w:ascii="Times New Roman" w:hAnsi="Times New Roman" w:cs="Times New Roman"/>
        </w:rPr>
      </w:pPr>
      <w:proofErr w:type="spellStart"/>
      <w:r w:rsidRPr="002F5F2C">
        <w:rPr>
          <w:rFonts w:ascii="Times New Roman" w:hAnsi="Times New Roman" w:cs="Times New Roman"/>
        </w:rPr>
        <w:t>Yawalikar</w:t>
      </w:r>
      <w:proofErr w:type="spellEnd"/>
      <w:r w:rsidRPr="002F5F2C">
        <w:rPr>
          <w:rFonts w:ascii="Times New Roman" w:hAnsi="Times New Roman" w:cs="Times New Roman"/>
        </w:rPr>
        <w:t xml:space="preserve"> A, </w:t>
      </w:r>
      <w:proofErr w:type="spellStart"/>
      <w:r w:rsidRPr="002F5F2C">
        <w:rPr>
          <w:rFonts w:ascii="Times New Roman" w:hAnsi="Times New Roman" w:cs="Times New Roman"/>
        </w:rPr>
        <w:t>Jeyakumar</w:t>
      </w:r>
      <w:proofErr w:type="spellEnd"/>
      <w:r w:rsidRPr="002F5F2C">
        <w:rPr>
          <w:rFonts w:ascii="Times New Roman" w:hAnsi="Times New Roman" w:cs="Times New Roman"/>
        </w:rPr>
        <w:t xml:space="preserve"> S, Desai S, Chatterjee S. A Case of Brachial Plexus Schwannoma Presenting as a Cystic Neck Swelling. Int J </w:t>
      </w:r>
      <w:proofErr w:type="spellStart"/>
      <w:r w:rsidRPr="002F5F2C">
        <w:rPr>
          <w:rFonts w:ascii="Times New Roman" w:hAnsi="Times New Roman" w:cs="Times New Roman"/>
        </w:rPr>
        <w:t>Surg</w:t>
      </w:r>
      <w:proofErr w:type="spellEnd"/>
      <w:r w:rsidRPr="002F5F2C">
        <w:rPr>
          <w:rFonts w:ascii="Times New Roman" w:hAnsi="Times New Roman" w:cs="Times New Roman"/>
        </w:rPr>
        <w:t xml:space="preserve"> </w:t>
      </w:r>
      <w:proofErr w:type="spellStart"/>
      <w:r w:rsidRPr="002F5F2C">
        <w:rPr>
          <w:rFonts w:ascii="Times New Roman" w:hAnsi="Times New Roman" w:cs="Times New Roman"/>
        </w:rPr>
        <w:t>Surg</w:t>
      </w:r>
      <w:proofErr w:type="spellEnd"/>
      <w:r w:rsidRPr="002F5F2C">
        <w:rPr>
          <w:rFonts w:ascii="Times New Roman" w:hAnsi="Times New Roman" w:cs="Times New Roman"/>
        </w:rPr>
        <w:t xml:space="preserve"> Tech. 2024;8(1).</w:t>
      </w:r>
    </w:p>
    <w:p w14:paraId="3192673B" w14:textId="77777777" w:rsidR="00FD2CEC" w:rsidRDefault="00692628" w:rsidP="00692628">
      <w:pPr>
        <w:pStyle w:val="ListParagraph"/>
        <w:numPr>
          <w:ilvl w:val="0"/>
          <w:numId w:val="1"/>
        </w:numPr>
        <w:rPr>
          <w:rFonts w:ascii="Times New Roman" w:hAnsi="Times New Roman" w:cs="Times New Roman"/>
        </w:rPr>
      </w:pPr>
      <w:proofErr w:type="spellStart"/>
      <w:r w:rsidRPr="00C42EE7">
        <w:rPr>
          <w:rFonts w:ascii="Times New Roman" w:hAnsi="Times New Roman" w:cs="Times New Roman"/>
        </w:rPr>
        <w:t>Sobiech</w:t>
      </w:r>
      <w:proofErr w:type="spellEnd"/>
      <w:r w:rsidRPr="00C42EE7">
        <w:rPr>
          <w:rFonts w:ascii="Times New Roman" w:hAnsi="Times New Roman" w:cs="Times New Roman"/>
        </w:rPr>
        <w:t xml:space="preserve"> L, </w:t>
      </w:r>
      <w:proofErr w:type="spellStart"/>
      <w:r w:rsidRPr="00C42EE7">
        <w:rPr>
          <w:rFonts w:ascii="Times New Roman" w:hAnsi="Times New Roman" w:cs="Times New Roman"/>
        </w:rPr>
        <w:t>Zawadka</w:t>
      </w:r>
      <w:proofErr w:type="spellEnd"/>
      <w:r w:rsidRPr="00C42EE7">
        <w:rPr>
          <w:rFonts w:ascii="Times New Roman" w:hAnsi="Times New Roman" w:cs="Times New Roman"/>
        </w:rPr>
        <w:t xml:space="preserve"> M, Dolina A. Spindle cell carcinoma in the maxilla: an uncommon aggressive malignancy – case report. J Pre-Clin Clin Res. 2023;17(4):231-234.</w:t>
      </w:r>
    </w:p>
    <w:p w14:paraId="5BE61A7F" w14:textId="77777777" w:rsidR="00123A03" w:rsidRDefault="00692628" w:rsidP="00692628">
      <w:pPr>
        <w:pStyle w:val="ListParagraph"/>
        <w:numPr>
          <w:ilvl w:val="0"/>
          <w:numId w:val="1"/>
        </w:numPr>
        <w:rPr>
          <w:rFonts w:ascii="Times New Roman" w:hAnsi="Times New Roman" w:cs="Times New Roman"/>
        </w:rPr>
      </w:pPr>
      <w:r w:rsidRPr="00FD2CEC">
        <w:rPr>
          <w:rFonts w:ascii="Times New Roman" w:hAnsi="Times New Roman" w:cs="Times New Roman"/>
        </w:rPr>
        <w:t>Jivani A, Shinde R, Jogdand S, Mavani D, Pande A. Infraclavicular Spindle Cell Haemangioendothelioma Mimicking Peripheral Nerve Sheath Tumour: A Case Report. J Clin Diagn Res. 2025;19(10</w:t>
      </w:r>
      <w:proofErr w:type="gramStart"/>
      <w:r w:rsidRPr="00FD2CEC">
        <w:rPr>
          <w:rFonts w:ascii="Times New Roman" w:hAnsi="Times New Roman" w:cs="Times New Roman"/>
        </w:rPr>
        <w:t>):PD</w:t>
      </w:r>
      <w:proofErr w:type="gramEnd"/>
      <w:r w:rsidRPr="00FD2CEC">
        <w:rPr>
          <w:rFonts w:ascii="Times New Roman" w:hAnsi="Times New Roman" w:cs="Times New Roman"/>
        </w:rPr>
        <w:t>01-PD03.</w:t>
      </w:r>
    </w:p>
    <w:p w14:paraId="61F6A556" w14:textId="77777777" w:rsidR="00B66CDE" w:rsidRDefault="00692628" w:rsidP="00692628">
      <w:pPr>
        <w:pStyle w:val="ListParagraph"/>
        <w:numPr>
          <w:ilvl w:val="0"/>
          <w:numId w:val="1"/>
        </w:numPr>
        <w:rPr>
          <w:rFonts w:ascii="Times New Roman" w:hAnsi="Times New Roman" w:cs="Times New Roman"/>
        </w:rPr>
      </w:pPr>
      <w:r w:rsidRPr="00123A03">
        <w:rPr>
          <w:rFonts w:ascii="Times New Roman" w:hAnsi="Times New Roman" w:cs="Times New Roman"/>
        </w:rPr>
        <w:t xml:space="preserve">Chen M, Li X, Feng X. Case report: Brachial plexopathy caused by malignant peripheral nerve sheath </w:t>
      </w:r>
      <w:proofErr w:type="spellStart"/>
      <w:r w:rsidRPr="00123A03">
        <w:rPr>
          <w:rFonts w:ascii="Times New Roman" w:hAnsi="Times New Roman" w:cs="Times New Roman"/>
        </w:rPr>
        <w:t>tumor</w:t>
      </w:r>
      <w:proofErr w:type="spellEnd"/>
      <w:r w:rsidRPr="00123A03">
        <w:rPr>
          <w:rFonts w:ascii="Times New Roman" w:hAnsi="Times New Roman" w:cs="Times New Roman"/>
        </w:rPr>
        <w:t xml:space="preserve"> and review of the literature. Front Neurol. </w:t>
      </w:r>
      <w:proofErr w:type="gramStart"/>
      <w:r w:rsidRPr="00123A03">
        <w:rPr>
          <w:rFonts w:ascii="Times New Roman" w:hAnsi="Times New Roman" w:cs="Times New Roman"/>
        </w:rPr>
        <w:t>2023;14:1056341</w:t>
      </w:r>
      <w:proofErr w:type="gramEnd"/>
      <w:r w:rsidRPr="00123A03">
        <w:rPr>
          <w:rFonts w:ascii="Times New Roman" w:hAnsi="Times New Roman" w:cs="Times New Roman"/>
        </w:rPr>
        <w:t>.</w:t>
      </w:r>
    </w:p>
    <w:p w14:paraId="0CDE16CF" w14:textId="77777777" w:rsidR="00FC1890" w:rsidRDefault="00692628" w:rsidP="00692628">
      <w:pPr>
        <w:pStyle w:val="ListParagraph"/>
        <w:numPr>
          <w:ilvl w:val="0"/>
          <w:numId w:val="1"/>
        </w:numPr>
        <w:rPr>
          <w:rFonts w:ascii="Times New Roman" w:hAnsi="Times New Roman" w:cs="Times New Roman"/>
        </w:rPr>
      </w:pPr>
      <w:r w:rsidRPr="00834C04">
        <w:rPr>
          <w:rFonts w:ascii="Times New Roman" w:hAnsi="Times New Roman" w:cs="Times New Roman"/>
        </w:rPr>
        <w:t xml:space="preserve">Kaur H, Jot K, </w:t>
      </w:r>
      <w:proofErr w:type="spellStart"/>
      <w:r w:rsidRPr="00834C04">
        <w:rPr>
          <w:rFonts w:ascii="Times New Roman" w:hAnsi="Times New Roman" w:cs="Times New Roman"/>
        </w:rPr>
        <w:t>Gosavi</w:t>
      </w:r>
      <w:proofErr w:type="spellEnd"/>
      <w:r w:rsidRPr="00834C04">
        <w:rPr>
          <w:rFonts w:ascii="Times New Roman" w:hAnsi="Times New Roman" w:cs="Times New Roman"/>
        </w:rPr>
        <w:t xml:space="preserve"> S, </w:t>
      </w:r>
      <w:proofErr w:type="spellStart"/>
      <w:r w:rsidRPr="00834C04">
        <w:rPr>
          <w:rFonts w:ascii="Times New Roman" w:hAnsi="Times New Roman" w:cs="Times New Roman"/>
        </w:rPr>
        <w:t>Hazarey</w:t>
      </w:r>
      <w:proofErr w:type="spellEnd"/>
      <w:r w:rsidRPr="00834C04">
        <w:rPr>
          <w:rFonts w:ascii="Times New Roman" w:hAnsi="Times New Roman" w:cs="Times New Roman"/>
        </w:rPr>
        <w:t xml:space="preserve"> VK. Spontaneous regression of intraoral spindle cell carcinoma with subsequent regional nodal metastasis – A unique case report with review of literature. J Oral </w:t>
      </w:r>
      <w:proofErr w:type="spellStart"/>
      <w:r w:rsidRPr="00834C04">
        <w:rPr>
          <w:rFonts w:ascii="Times New Roman" w:hAnsi="Times New Roman" w:cs="Times New Roman"/>
        </w:rPr>
        <w:t>Maxillofac</w:t>
      </w:r>
      <w:proofErr w:type="spellEnd"/>
      <w:r w:rsidRPr="00834C04">
        <w:rPr>
          <w:rFonts w:ascii="Times New Roman" w:hAnsi="Times New Roman" w:cs="Times New Roman"/>
        </w:rPr>
        <w:t xml:space="preserve"> </w:t>
      </w:r>
      <w:proofErr w:type="spellStart"/>
      <w:r w:rsidRPr="00834C04">
        <w:rPr>
          <w:rFonts w:ascii="Times New Roman" w:hAnsi="Times New Roman" w:cs="Times New Roman"/>
        </w:rPr>
        <w:t>Pathol</w:t>
      </w:r>
      <w:proofErr w:type="spellEnd"/>
      <w:r w:rsidRPr="00834C04">
        <w:rPr>
          <w:rFonts w:ascii="Times New Roman" w:hAnsi="Times New Roman" w:cs="Times New Roman"/>
        </w:rPr>
        <w:t>. 2025;29(</w:t>
      </w:r>
      <w:proofErr w:type="spellStart"/>
      <w:r w:rsidRPr="00834C04">
        <w:rPr>
          <w:rFonts w:ascii="Times New Roman" w:hAnsi="Times New Roman" w:cs="Times New Roman"/>
        </w:rPr>
        <w:t>Suppl</w:t>
      </w:r>
      <w:proofErr w:type="spellEnd"/>
      <w:proofErr w:type="gramStart"/>
      <w:r w:rsidRPr="00834C04">
        <w:rPr>
          <w:rFonts w:ascii="Times New Roman" w:hAnsi="Times New Roman" w:cs="Times New Roman"/>
        </w:rPr>
        <w:t>):S</w:t>
      </w:r>
      <w:proofErr w:type="gramEnd"/>
      <w:r w:rsidRPr="00834C04">
        <w:rPr>
          <w:rFonts w:ascii="Times New Roman" w:hAnsi="Times New Roman" w:cs="Times New Roman"/>
        </w:rPr>
        <w:t>1-9.</w:t>
      </w:r>
    </w:p>
    <w:p w14:paraId="2F8B2C33" w14:textId="5C0A2945" w:rsidR="00BC7EAD" w:rsidRPr="00FC1890" w:rsidRDefault="00692628" w:rsidP="00692628">
      <w:pPr>
        <w:pStyle w:val="ListParagraph"/>
        <w:numPr>
          <w:ilvl w:val="0"/>
          <w:numId w:val="1"/>
        </w:numPr>
        <w:rPr>
          <w:rFonts w:ascii="Times New Roman" w:hAnsi="Times New Roman" w:cs="Times New Roman"/>
        </w:rPr>
      </w:pPr>
      <w:r w:rsidRPr="00FC1890">
        <w:rPr>
          <w:rFonts w:ascii="Times New Roman" w:hAnsi="Times New Roman" w:cs="Times New Roman"/>
        </w:rPr>
        <w:t xml:space="preserve">Ono S, Makino T, Yanai H, Kawai H, </w:t>
      </w:r>
      <w:proofErr w:type="spellStart"/>
      <w:r w:rsidRPr="00FC1890">
        <w:rPr>
          <w:rFonts w:ascii="Times New Roman" w:hAnsi="Times New Roman" w:cs="Times New Roman"/>
        </w:rPr>
        <w:t>Takabatake</w:t>
      </w:r>
      <w:proofErr w:type="spellEnd"/>
      <w:r w:rsidRPr="00FC1890">
        <w:rPr>
          <w:rFonts w:ascii="Times New Roman" w:hAnsi="Times New Roman" w:cs="Times New Roman"/>
        </w:rPr>
        <w:t xml:space="preserve"> K, Nakano K, Nishida K, Taniguchi K, </w:t>
      </w:r>
      <w:proofErr w:type="spellStart"/>
      <w:r w:rsidRPr="00FC1890">
        <w:rPr>
          <w:rFonts w:ascii="Times New Roman" w:hAnsi="Times New Roman" w:cs="Times New Roman"/>
        </w:rPr>
        <w:t>Toji</w:t>
      </w:r>
      <w:proofErr w:type="spellEnd"/>
      <w:r w:rsidRPr="00FC1890">
        <w:rPr>
          <w:rFonts w:ascii="Times New Roman" w:hAnsi="Times New Roman" w:cs="Times New Roman"/>
        </w:rPr>
        <w:t xml:space="preserve"> T, </w:t>
      </w:r>
      <w:proofErr w:type="spellStart"/>
      <w:r w:rsidRPr="00FC1890">
        <w:rPr>
          <w:rFonts w:ascii="Times New Roman" w:hAnsi="Times New Roman" w:cs="Times New Roman"/>
        </w:rPr>
        <w:t>Nagatsuka</w:t>
      </w:r>
      <w:proofErr w:type="spellEnd"/>
      <w:r w:rsidRPr="00FC1890">
        <w:rPr>
          <w:rFonts w:ascii="Times New Roman" w:hAnsi="Times New Roman" w:cs="Times New Roman"/>
        </w:rPr>
        <w:t xml:space="preserve"> H, Yoshino T. A Case Report of Spindle Cell Carcinoma with Osteoid and Cartilage Formation in the Tongue. Reports. 2021;4(5):5.</w:t>
      </w:r>
    </w:p>
    <w:sectPr w:rsidR="00BC7EAD" w:rsidRPr="00FC1890" w:rsidSect="00D01271">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E45A4" w14:textId="77777777" w:rsidR="00D30556" w:rsidRDefault="00D30556" w:rsidP="0008739D">
      <w:pPr>
        <w:spacing w:after="0" w:line="240" w:lineRule="auto"/>
      </w:pPr>
      <w:r>
        <w:separator/>
      </w:r>
    </w:p>
  </w:endnote>
  <w:endnote w:type="continuationSeparator" w:id="0">
    <w:p w14:paraId="1CFAB952" w14:textId="77777777" w:rsidR="00D30556" w:rsidRDefault="00D30556" w:rsidP="0008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7115" w14:textId="77777777" w:rsidR="0008739D" w:rsidRDefault="0008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3E04" w14:textId="77777777" w:rsidR="0008739D" w:rsidRDefault="00087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5CF6" w14:textId="77777777" w:rsidR="0008739D" w:rsidRDefault="0008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CDFD9" w14:textId="77777777" w:rsidR="00D30556" w:rsidRDefault="00D30556" w:rsidP="0008739D">
      <w:pPr>
        <w:spacing w:after="0" w:line="240" w:lineRule="auto"/>
      </w:pPr>
      <w:r>
        <w:separator/>
      </w:r>
    </w:p>
  </w:footnote>
  <w:footnote w:type="continuationSeparator" w:id="0">
    <w:p w14:paraId="13F41579" w14:textId="77777777" w:rsidR="00D30556" w:rsidRDefault="00D30556" w:rsidP="0008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3901" w14:textId="7191043E" w:rsidR="0008739D" w:rsidRDefault="0008739D">
    <w:pPr>
      <w:pStyle w:val="Header"/>
    </w:pPr>
    <w:r>
      <w:rPr>
        <w:noProof/>
      </w:rPr>
      <w:pict w14:anchorId="7778D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49891"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E81E2" w14:textId="2BF72A05" w:rsidR="0008739D" w:rsidRDefault="0008739D">
    <w:pPr>
      <w:pStyle w:val="Header"/>
    </w:pPr>
    <w:r>
      <w:rPr>
        <w:noProof/>
      </w:rPr>
      <w:pict w14:anchorId="7618A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49892"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7B96" w14:textId="6241D7D0" w:rsidR="0008739D" w:rsidRDefault="0008739D">
    <w:pPr>
      <w:pStyle w:val="Header"/>
    </w:pPr>
    <w:r>
      <w:rPr>
        <w:noProof/>
      </w:rPr>
      <w:pict w14:anchorId="7A6DD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49890"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A6A44"/>
    <w:multiLevelType w:val="hybridMultilevel"/>
    <w:tmpl w:val="F0A8E1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F8A7848"/>
    <w:multiLevelType w:val="hybridMultilevel"/>
    <w:tmpl w:val="7854C5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FB"/>
    <w:rsid w:val="0000093A"/>
    <w:rsid w:val="000567E9"/>
    <w:rsid w:val="0008739D"/>
    <w:rsid w:val="000F1126"/>
    <w:rsid w:val="001125A7"/>
    <w:rsid w:val="00123A03"/>
    <w:rsid w:val="00180439"/>
    <w:rsid w:val="00197828"/>
    <w:rsid w:val="001C4768"/>
    <w:rsid w:val="001D71C4"/>
    <w:rsid w:val="00225FE0"/>
    <w:rsid w:val="00234925"/>
    <w:rsid w:val="00235EA9"/>
    <w:rsid w:val="00294F08"/>
    <w:rsid w:val="002A57A5"/>
    <w:rsid w:val="002F5F2C"/>
    <w:rsid w:val="003165E3"/>
    <w:rsid w:val="00364653"/>
    <w:rsid w:val="00370F48"/>
    <w:rsid w:val="00456745"/>
    <w:rsid w:val="004A205F"/>
    <w:rsid w:val="0053687E"/>
    <w:rsid w:val="00553D4F"/>
    <w:rsid w:val="0056764A"/>
    <w:rsid w:val="00692628"/>
    <w:rsid w:val="00693138"/>
    <w:rsid w:val="006E36E5"/>
    <w:rsid w:val="006F3A02"/>
    <w:rsid w:val="00701DE0"/>
    <w:rsid w:val="007D4354"/>
    <w:rsid w:val="00834C04"/>
    <w:rsid w:val="008E0578"/>
    <w:rsid w:val="009059F0"/>
    <w:rsid w:val="00932261"/>
    <w:rsid w:val="00956760"/>
    <w:rsid w:val="00AC7D93"/>
    <w:rsid w:val="00AE0750"/>
    <w:rsid w:val="00B24EDB"/>
    <w:rsid w:val="00B31F32"/>
    <w:rsid w:val="00B66CDE"/>
    <w:rsid w:val="00BA0F55"/>
    <w:rsid w:val="00BC7858"/>
    <w:rsid w:val="00BC7EAD"/>
    <w:rsid w:val="00BE32FB"/>
    <w:rsid w:val="00BF14BB"/>
    <w:rsid w:val="00C42EE7"/>
    <w:rsid w:val="00D01271"/>
    <w:rsid w:val="00D30556"/>
    <w:rsid w:val="00E0001E"/>
    <w:rsid w:val="00E83A5B"/>
    <w:rsid w:val="00E95A93"/>
    <w:rsid w:val="00F239B7"/>
    <w:rsid w:val="00F60BD5"/>
    <w:rsid w:val="00FC1890"/>
    <w:rsid w:val="00FC4F4B"/>
    <w:rsid w:val="00FD2CEC"/>
    <w:rsid w:val="00FD70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91217E"/>
  <w15:chartTrackingRefBased/>
  <w15:docId w15:val="{C907EF6F-6723-4F33-B31A-9DCC6FE1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3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32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2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2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2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32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32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2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2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2FB"/>
    <w:rPr>
      <w:rFonts w:eastAsiaTheme="majorEastAsia" w:cstheme="majorBidi"/>
      <w:color w:val="272727" w:themeColor="text1" w:themeTint="D8"/>
    </w:rPr>
  </w:style>
  <w:style w:type="paragraph" w:styleId="Title">
    <w:name w:val="Title"/>
    <w:basedOn w:val="Normal"/>
    <w:next w:val="Normal"/>
    <w:link w:val="TitleChar"/>
    <w:uiPriority w:val="10"/>
    <w:qFormat/>
    <w:rsid w:val="00BE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2FB"/>
    <w:pPr>
      <w:spacing w:before="160"/>
      <w:jc w:val="center"/>
    </w:pPr>
    <w:rPr>
      <w:i/>
      <w:iCs/>
      <w:color w:val="404040" w:themeColor="text1" w:themeTint="BF"/>
    </w:rPr>
  </w:style>
  <w:style w:type="character" w:customStyle="1" w:styleId="QuoteChar">
    <w:name w:val="Quote Char"/>
    <w:basedOn w:val="DefaultParagraphFont"/>
    <w:link w:val="Quote"/>
    <w:uiPriority w:val="29"/>
    <w:rsid w:val="00BE32FB"/>
    <w:rPr>
      <w:i/>
      <w:iCs/>
      <w:color w:val="404040" w:themeColor="text1" w:themeTint="BF"/>
    </w:rPr>
  </w:style>
  <w:style w:type="paragraph" w:styleId="ListParagraph">
    <w:name w:val="List Paragraph"/>
    <w:basedOn w:val="Normal"/>
    <w:uiPriority w:val="34"/>
    <w:qFormat/>
    <w:rsid w:val="00BE32FB"/>
    <w:pPr>
      <w:ind w:left="720"/>
      <w:contextualSpacing/>
    </w:pPr>
  </w:style>
  <w:style w:type="character" w:styleId="IntenseEmphasis">
    <w:name w:val="Intense Emphasis"/>
    <w:basedOn w:val="DefaultParagraphFont"/>
    <w:uiPriority w:val="21"/>
    <w:qFormat/>
    <w:rsid w:val="00BE32FB"/>
    <w:rPr>
      <w:i/>
      <w:iCs/>
      <w:color w:val="2F5496" w:themeColor="accent1" w:themeShade="BF"/>
    </w:rPr>
  </w:style>
  <w:style w:type="paragraph" w:styleId="IntenseQuote">
    <w:name w:val="Intense Quote"/>
    <w:basedOn w:val="Normal"/>
    <w:next w:val="Normal"/>
    <w:link w:val="IntenseQuoteChar"/>
    <w:uiPriority w:val="30"/>
    <w:qFormat/>
    <w:rsid w:val="00BE3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2FB"/>
    <w:rPr>
      <w:i/>
      <w:iCs/>
      <w:color w:val="2F5496" w:themeColor="accent1" w:themeShade="BF"/>
    </w:rPr>
  </w:style>
  <w:style w:type="character" w:styleId="IntenseReference">
    <w:name w:val="Intense Reference"/>
    <w:basedOn w:val="DefaultParagraphFont"/>
    <w:uiPriority w:val="32"/>
    <w:qFormat/>
    <w:rsid w:val="00BE32FB"/>
    <w:rPr>
      <w:b/>
      <w:bCs/>
      <w:smallCaps/>
      <w:color w:val="2F5496" w:themeColor="accent1" w:themeShade="BF"/>
      <w:spacing w:val="5"/>
    </w:rPr>
  </w:style>
  <w:style w:type="table" w:styleId="TableGrid">
    <w:name w:val="Table Grid"/>
    <w:basedOn w:val="TableNormal"/>
    <w:uiPriority w:val="39"/>
    <w:rsid w:val="00AC7D93"/>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39D"/>
  </w:style>
  <w:style w:type="paragraph" w:styleId="Footer">
    <w:name w:val="footer"/>
    <w:basedOn w:val="Normal"/>
    <w:link w:val="FooterChar"/>
    <w:uiPriority w:val="99"/>
    <w:unhideWhenUsed/>
    <w:rsid w:val="00087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SDI 1084</cp:lastModifiedBy>
  <cp:revision>15</cp:revision>
  <dcterms:created xsi:type="dcterms:W3CDTF">2026-04-08T09:48:00Z</dcterms:created>
  <dcterms:modified xsi:type="dcterms:W3CDTF">2026-04-09T12:07:00Z</dcterms:modified>
</cp:coreProperties>
</file>