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747DE" w14:textId="77777777" w:rsidR="002E76EF" w:rsidRDefault="005B0E7B" w:rsidP="008D36C2">
      <w:pPr>
        <w:jc w:val="center"/>
      </w:pPr>
      <w:bookmarkStart w:id="0" w:name="_GoBack"/>
      <w:bookmarkEnd w:id="0"/>
      <w:r>
        <w:rPr>
          <w:b/>
          <w:bCs/>
          <w:sz w:val="32"/>
          <w:szCs w:val="32"/>
        </w:rPr>
        <w:t>Artificial Intelligence–Enhanced Clinical Decision Support Systems in Internal Medicine: Evaluating Diagnostic Accuracy, Limitations, and Future Prospects for Routine Care</w:t>
      </w:r>
    </w:p>
    <w:p w14:paraId="2F8CF567" w14:textId="77777777" w:rsidR="002E76EF" w:rsidRDefault="002E76EF" w:rsidP="008D36C2"/>
    <w:p w14:paraId="4DAF3D85" w14:textId="77777777" w:rsidR="002E76EF" w:rsidRDefault="005B0E7B" w:rsidP="008D36C2">
      <w:pPr>
        <w:rPr>
          <w:b/>
          <w:bCs/>
          <w:sz w:val="28"/>
          <w:szCs w:val="28"/>
        </w:rPr>
      </w:pPr>
      <w:r>
        <w:rPr>
          <w:b/>
          <w:bCs/>
          <w:sz w:val="28"/>
          <w:szCs w:val="28"/>
        </w:rPr>
        <w:t>Abstract</w:t>
      </w:r>
    </w:p>
    <w:p w14:paraId="7949EE3C" w14:textId="77777777" w:rsidR="008D36C2" w:rsidRDefault="008D36C2" w:rsidP="008D36C2"/>
    <w:p w14:paraId="56D7EDA2" w14:textId="39F9E573" w:rsidR="002E76EF" w:rsidRDefault="005646CC" w:rsidP="008D36C2">
      <w:pPr>
        <w:jc w:val="both"/>
      </w:pPr>
      <w:r w:rsidRPr="005646CC">
        <w:t>Clinical decision support systems (CDSS) have evolved substantially over the past two decades, driven by advances in artificial intelligence (AI), machine learning (ML), and natural language processing (NLP). In internal medicine, AI-enhanced CDSS offer the potential to support diagnostic reasoning, improve risk stratification, and inform therapeutic decision-making through the analysis of large and complex clinical datasets. This structured narrative review critically examines the evidence base for AI-enhanced CDSS, with particular attention to their diagnostic performance across major internal medicine subspecialties, including cardiovascular medicine, respiratory medicine, endocrinology, oncology, infectious disease, and nephrology. The review finds that AI systems have shown strong performance in selected, well-defined clinical tasks, including arrhythmia detection, cardiovascular risk prediction, diabetic retinopathy screening, sepsis prediction, and early identification of occult malignancy; however, this performance is often derived from retrospective, highly curated, or proof-of-concept settings rather than routine real-world deployment. Important limitations remain, including algorithmic bias, limited explainability, variable data quality, regulatory uncertainty, workflow integration challenges, and persistent concerns regarding clinician trust and accountability. The review also considers key ethical issues, including transparency, patient autonomy, health equity, and data governance. Emerging developments in federated learning, multimodal AI, large language models, and precision medicine may further expand the role of AI-enhanced CDSS in internal medicine, but their responsible adoption will require rigorous prospective validation, careful implementation, and sustained interdisciplinary collaboration. Overall, AI-enhanced CDSS should be understood not as replacements for clinical judgement, but as potentially valuable tools whose clinical impact will depend on the quality of the evidence, the safety of deployment, and the context in which they are used.</w:t>
      </w:r>
    </w:p>
    <w:p w14:paraId="34C44348" w14:textId="77777777" w:rsidR="002E76EF" w:rsidRDefault="002E76EF" w:rsidP="008D36C2"/>
    <w:p w14:paraId="6855FC6B" w14:textId="77777777" w:rsidR="002E76EF" w:rsidRDefault="005B0E7B" w:rsidP="008D36C2">
      <w:pPr>
        <w:jc w:val="both"/>
      </w:pPr>
      <w:r>
        <w:rPr>
          <w:b/>
          <w:bCs/>
        </w:rPr>
        <w:t xml:space="preserve">Keywords: </w:t>
      </w:r>
      <w:r>
        <w:t>artifici</w:t>
      </w:r>
      <w:r>
        <w:t>al intelligence; clinical decision support systems; internal medicine; diagnostic accuracy; machine learning; deep learning; natural language processing; electronic health records; algorithmic bias; precision medicine</w:t>
      </w:r>
    </w:p>
    <w:p w14:paraId="45C177DA" w14:textId="77777777" w:rsidR="002E76EF" w:rsidRDefault="002E76EF" w:rsidP="008D36C2"/>
    <w:p w14:paraId="2A1FBE03" w14:textId="77777777" w:rsidR="002E76EF" w:rsidRDefault="005B0E7B" w:rsidP="008D36C2">
      <w:pPr>
        <w:pStyle w:val="Heading1"/>
        <w:spacing w:before="0" w:after="0"/>
      </w:pPr>
      <w:r>
        <w:t>1. Introduction</w:t>
      </w:r>
    </w:p>
    <w:p w14:paraId="17605719" w14:textId="77777777" w:rsidR="008D36C2" w:rsidRDefault="008D36C2" w:rsidP="008D36C2">
      <w:pPr>
        <w:pStyle w:val="Heading1"/>
        <w:spacing w:before="0" w:after="0"/>
      </w:pPr>
    </w:p>
    <w:p w14:paraId="1EC94E6F" w14:textId="77777777" w:rsidR="002E76EF" w:rsidRDefault="005B0E7B" w:rsidP="008D36C2">
      <w:pPr>
        <w:jc w:val="both"/>
      </w:pPr>
      <w:r>
        <w:t>The practice of inte</w:t>
      </w:r>
      <w:r>
        <w:t>rnal medicine has always been characterised by diagnostic complexity, the integration of vast amounts of patient-specific data, and the continuous exercise of clinical judgement under conditions of uncertainty. A physician managing a patient with undiffere</w:t>
      </w:r>
      <w:r>
        <w:t>ntiated chest pain, unexplained anaemia, or a cluster of nonspecific symptoms must simultaneously weigh physiological parameters, laboratory investigations, imaging findings, medication histories, and social determinants of health—a cognitive task of formi</w:t>
      </w:r>
      <w:r>
        <w:t>dable proportions. The inherent limitations of human cognition, including susceptibility to anchoring bias, availability heuristics, and simple fatigue, represent well-documented contributors to diagnostic error, which has been estimated to affect approxim</w:t>
      </w:r>
      <w:r>
        <w:t xml:space="preserve">ately 5 to 15 per cent of clinical encounters (Obermeyer &amp; Emanuel, 2016). Against this backdrop, clinical decision support systems (CDSS) emerged in the latter decades of the twentieth century as computerised tools designed to assist clinicians in making </w:t>
      </w:r>
      <w:r>
        <w:t xml:space="preserve">decisions at the point of care, drawing upon codified </w:t>
      </w:r>
      <w:r>
        <w:lastRenderedPageBreak/>
        <w:t>medical knowledge to generate alerts, reminders, differential diagnoses, and treatment recommendations.</w:t>
      </w:r>
    </w:p>
    <w:p w14:paraId="2BD2CDE5" w14:textId="77777777" w:rsidR="002E76EF" w:rsidRDefault="005B0E7B" w:rsidP="008D36C2">
      <w:pPr>
        <w:jc w:val="both"/>
      </w:pPr>
      <w:r>
        <w:t xml:space="preserve">The earliest CDSS were fundamentally rule-based, operating through explicit if-then logic derived </w:t>
      </w:r>
      <w:r>
        <w:t>from clinical guidelines or expert consensus. Whilst such systems succeeded in reducing medication errors and improving adherence to evidence-based protocols, their rigid architecture rendered them poorly suited to the nuanced, probabilistic reasoning dema</w:t>
      </w:r>
      <w:r>
        <w:t xml:space="preserve">nded by complex clinical scenarios (Kawamoto et al., 2005). The dawn of the twenty-first century brought transformative advances in computational infrastructure, data storage, and algorithmic sophistication, enabling the development of a new generation of </w:t>
      </w:r>
      <w:r>
        <w:t>AI-enhanced CDSS capable of learning from large, heterogeneous clinical datasets, identifying non-linear patterns invisible to conventional statistical approaches, and generating probabilistic assessments of diagnostic and prognostic possibilities. These s</w:t>
      </w:r>
      <w:r>
        <w:t>ystems leverage machine learning (ML), deep learning (DL), and natural language processing (NLP), and have demonstrated performance approaching or exceeding that of experienced clinicians in specific, well-defined diagnostic tasks (Topol, 2019).</w:t>
      </w:r>
    </w:p>
    <w:p w14:paraId="51318E4D" w14:textId="77777777" w:rsidR="002E76EF" w:rsidRDefault="005B0E7B" w:rsidP="008D36C2">
      <w:pPr>
        <w:jc w:val="both"/>
      </w:pPr>
      <w:r>
        <w:t>The integr</w:t>
      </w:r>
      <w:r>
        <w:t>ation of AI into clinical decision support has attracted substantial interest from clinicians, health systems, technology developers, regulatory bodies, and the broader public. High-profile demonstrations of algorithmic performance—such as the detection of</w:t>
      </w:r>
      <w:r>
        <w:t xml:space="preserve"> diabetic retinopathy in fundus photographs with sensitivity and specificity comparable to ophthalmologist panels (Gulshan et al., 2016), or the identification of cardiac arrhythmias from ambulatory electrocardiograms at cardiologist-level accuracy (Hannun</w:t>
      </w:r>
      <w:r>
        <w:t xml:space="preserve"> et al., 2019)—have fuelled considerable optimism about the clinical utility of AI-enhanced CDSS. At the same time, prominent failures, including the exposure of racial bias in a widely used commercial risk stratification algorithm (Obermeyer et al., 2019)</w:t>
      </w:r>
      <w:r>
        <w:t>, have underscored the risks attendant to premature or uncritical deployment of AI in high-stakes clinical environments.</w:t>
      </w:r>
    </w:p>
    <w:p w14:paraId="752CFE14" w14:textId="2B350EA4" w:rsidR="002E76EF" w:rsidRDefault="005B0E7B" w:rsidP="008D36C2">
      <w:pPr>
        <w:jc w:val="both"/>
      </w:pPr>
      <w:r>
        <w:t>The field of internal medicine is particularly fertile ground for the application of AI-enhanced CDSS, given its breadth of clinical sc</w:t>
      </w:r>
      <w:r>
        <w:t>ope, the volume and variety of data generated by patients with complex multi-morbidity, and the chronic pressure on physician time and cognitive resources in contemporary healthcare systems. Electronic health records (EHR), which have now become near-unive</w:t>
      </w:r>
      <w:r>
        <w:t>rsal in many high-income countries, provide an unprecedentedly rich substrate of longitudinal clinical data that AI systems can mine for diagnostic and prognostic signals. Yet the promise of AI-enhanced CDSS in internal medicine remains, in significant mea</w:t>
      </w:r>
      <w:r>
        <w:t xml:space="preserve">sure, unrealised in routine clinical practice, with most evidence derived from retrospective validation studies or proof-of-concept demonstrations rather than prospectively evaluated real-world deployments (Kelly et al., 2019). </w:t>
      </w:r>
      <w:r w:rsidR="00CA739B" w:rsidRPr="00CA739B">
        <w:t>This concern is reinforced by a recent scoping review of randomized controlled trials, which found that although AI interventions in clinical practice are increasing, the trial literature remains heterogeneous, frequently single-centre, and often focused on diagnostic or operational endpoints rather than patient-relevant outcomes, limiting confident inference about real-world effectiveness and generalisability (Han et al., 2024).</w:t>
      </w:r>
      <w:r w:rsidR="00CA739B">
        <w:t xml:space="preserve"> </w:t>
      </w:r>
      <w:r>
        <w:t xml:space="preserve">This gap between algorithmic promise and clinical implementation reflects not merely technical immaturity </w:t>
      </w:r>
      <w:r>
        <w:t>but also deeper structural, cultural, and ethical barriers that require sustained attention from the medical community.</w:t>
      </w:r>
    </w:p>
    <w:p w14:paraId="5A1C4ADD" w14:textId="77777777" w:rsidR="002E76EF" w:rsidRDefault="005B0E7B" w:rsidP="008D36C2">
      <w:pPr>
        <w:jc w:val="both"/>
      </w:pPr>
      <w:r>
        <w:t>The broader context for this review is one of accelerating AI development across the life sciences. From drug discovery to genomic analy</w:t>
      </w:r>
      <w:r>
        <w:t>sis, AI is reshaping the landscape of biomedical research, and its eventual integration into routine clinical practice appears increasingly inevitable. The critical question facing internal medicine is not whether AI-enhanced CDSS will play a role in futur</w:t>
      </w:r>
      <w:r>
        <w:t xml:space="preserve">e clinical practice, but how they can be developed, evaluated, and deployed in ways that are safe, equitable, transparent, and genuinely beneficial to patients. Addressing this question demands a thorough, evidence-based assessment of where </w:t>
      </w:r>
      <w:r>
        <w:lastRenderedPageBreak/>
        <w:t>AI-CDSS have su</w:t>
      </w:r>
      <w:r>
        <w:t>cceeded and where they have fallen short, and a clear-eyed examination of the challenges that must be overcome for their potential to be fully realised.</w:t>
      </w:r>
    </w:p>
    <w:p w14:paraId="135A16BC" w14:textId="77777777" w:rsidR="008D36C2" w:rsidRDefault="008D36C2" w:rsidP="008D36C2">
      <w:pPr>
        <w:jc w:val="both"/>
      </w:pPr>
    </w:p>
    <w:p w14:paraId="0A70D508" w14:textId="77777777" w:rsidR="002E76EF" w:rsidRDefault="005B0E7B" w:rsidP="008D36C2">
      <w:pPr>
        <w:pStyle w:val="Heading2"/>
        <w:spacing w:before="0" w:after="0"/>
      </w:pPr>
      <w:r>
        <w:t>1.1 Scope and Objectives of This Review</w:t>
      </w:r>
    </w:p>
    <w:p w14:paraId="26EEB3ED" w14:textId="77777777" w:rsidR="008D36C2" w:rsidRDefault="008D36C2" w:rsidP="008D36C2">
      <w:pPr>
        <w:pStyle w:val="Heading2"/>
        <w:spacing w:before="0" w:after="0"/>
      </w:pPr>
    </w:p>
    <w:p w14:paraId="25A95818" w14:textId="77777777" w:rsidR="002E76EF" w:rsidRDefault="005B0E7B" w:rsidP="008D36C2">
      <w:pPr>
        <w:jc w:val="both"/>
      </w:pPr>
      <w:r>
        <w:t>This review is principally concerned with AI-enhanced CDSS as</w:t>
      </w:r>
      <w:r>
        <w:t xml:space="preserve"> applied within the clinical domain of internal medicine, encompassing its major subspecialties including cardiology, respiratory medicine, endocrinology, oncology, infectious disease, and nephrology. The primary objectives are threefold: first, to evaluat</w:t>
      </w:r>
      <w:r>
        <w:t>e the evidence regarding the diagnostic accuracy of AI-enhanced CDSS across these clinical domains; second, to critically appraise the technical, clinical, ethical, and regulatory limitations that currently constrain their deployment in routine clinical pr</w:t>
      </w:r>
      <w:r>
        <w:t>actice; and third, to examine emerging technological developments and future research directions that hold the potential to advance the field towards more equitable, transparent, and clinically impactful applications. The review does not address AI systems</w:t>
      </w:r>
      <w:r>
        <w:t xml:space="preserve"> deployed exclusively in surgery, anaesthesiology, or primary care settings unless those systems have direct relevance to internal medicine practice. Administrative AI applications, such as automated coding or scheduling systems, are similarly outside the </w:t>
      </w:r>
      <w:r>
        <w:t>scope of this review.</w:t>
      </w:r>
    </w:p>
    <w:p w14:paraId="6CA54F6E" w14:textId="77777777" w:rsidR="002E76EF" w:rsidRDefault="002E76EF" w:rsidP="008D36C2"/>
    <w:p w14:paraId="1CE53071" w14:textId="77777777" w:rsidR="002E76EF" w:rsidRDefault="005B0E7B" w:rsidP="008D36C2">
      <w:pPr>
        <w:pStyle w:val="Heading1"/>
        <w:spacing w:before="0" w:after="0"/>
      </w:pPr>
      <w:r>
        <w:t>2. Methods for Literature Selection</w:t>
      </w:r>
    </w:p>
    <w:p w14:paraId="36D29321" w14:textId="77777777" w:rsidR="008D36C2" w:rsidRDefault="008D36C2" w:rsidP="008D36C2">
      <w:pPr>
        <w:pStyle w:val="Heading1"/>
        <w:spacing w:before="0" w:after="0"/>
      </w:pPr>
    </w:p>
    <w:p w14:paraId="7DD30165" w14:textId="77777777" w:rsidR="003C6A6C" w:rsidRDefault="003C6A6C" w:rsidP="008D36C2">
      <w:pPr>
        <w:jc w:val="both"/>
      </w:pPr>
      <w:r w:rsidRPr="003C6A6C">
        <w:t xml:space="preserve">This review was conducted as a structured narrative review of the literature on artificial intelligence (AI)–enhanced clinical decision support systems (CDSS) in internal medicine and its major subspecialties. The aim was not to undertake a formal quantitative synthesis, but rather to identify, critically appraise, and interpret influential and representative studies addressing diagnostic performance, implementation challenges, ethical considerations, and emerging future directions. </w:t>
      </w:r>
    </w:p>
    <w:p w14:paraId="68A1B55C" w14:textId="1EB76CBB" w:rsidR="003C6A6C" w:rsidRDefault="003C6A6C" w:rsidP="008D36C2">
      <w:pPr>
        <w:jc w:val="both"/>
      </w:pPr>
      <w:r w:rsidRPr="003C6A6C">
        <w:t xml:space="preserve">Literature searches were performed in PubMed/MEDLINE, Web of Science, and Scopus, with Google Scholar used as a supplementary source for citation tracking and the identification of additional relevant articles. Search terms included combinations of “artificial intelligence”, “machine learning”, “deep learning”, “natural language processing”, “large language models”, “clinical decision support system”, “CDSS”, “diagnostic accuracy”, “electronic health records”, “algorithmic bias”, “federated learning”, and “internal medicine”, together with subspecialty-specific terms including cardiology, respiratory medicine, endocrinology, oncology, infectious disease, and nephrology. The search was restricted primarily to articles published between January 2005 and March 2026, with particular emphasis on literature published after 2015 in order to reflect the contemporary era of deep learning and large-scale clinical AI, while earlier seminal works were included where necessary to provide historical or conceptual context. Priority was given to peer-reviewed journal articles, including original research, systematic reviews, meta-analyses, and major methodological or conceptual papers directly relevant to AI-CDSS in internal medicine. Selected reports from authoritative organisations, including the World Health Organization, were also incorporated where they were directly relevant to ethics, governance, or regulation. Conference abstracts, theses, unpublished manuscripts, and other forms of grey literature were excluded. Potentially relevant articles were identified through title and abstract screening followed by full-text assessment. Studies were retained if they addressed AI-enhanced CDSS, diagnostic support, risk prediction, or clinically relevant decision-making in internal medicine or its major subspecialties; reported outcomes such as diagnostic accuracy, discrimination, calibration, implementation performance, or workflow impact; examined ethical, legal, regulatory, or equity-related issues affecting clinical deployment; or provided influential historical or methodological context necessary for interpretation of the field. Given the heterogeneity of study designs and outcome </w:t>
      </w:r>
      <w:r w:rsidRPr="003C6A6C">
        <w:lastRenderedPageBreak/>
        <w:t xml:space="preserve">measures, article selection and interpretation were guided by relevance, methodological credibility, and influence on the field rather than by a single formal risk-of-bias instrument. Where multiple forms of evidence were available on the same topic, greater interpretive weight was given to systematic reviews, meta-analyses, and major external-validation or prospective studies than to small retrospective single-centre reports, while landmark early studies were retained where they had substantially shaped subsequent research or clinical discourse. </w:t>
      </w:r>
    </w:p>
    <w:p w14:paraId="1F800DBC" w14:textId="4E3BD686" w:rsidR="002E76EF" w:rsidRDefault="003C6A6C" w:rsidP="008D36C2">
      <w:pPr>
        <w:jc w:val="both"/>
      </w:pPr>
      <w:r w:rsidRPr="003C6A6C">
        <w:t>The final reference list was assembled through database searching, reference list screening, and citation chaining from influential reviews and primary studies. As the field is broad and rapidly evolving, the intention was selective comprehensiveness rather than exhaustive capture; accordingly, this article should be interpreted as a structured and critical narrative synthesis rather than a formal systematic review or meta-analysis.</w:t>
      </w:r>
    </w:p>
    <w:p w14:paraId="0E9B9EFF" w14:textId="77777777" w:rsidR="002E76EF" w:rsidRDefault="002E76EF" w:rsidP="008D36C2"/>
    <w:p w14:paraId="032F4ADF" w14:textId="77777777" w:rsidR="002E76EF" w:rsidRDefault="005B0E7B" w:rsidP="008D36C2">
      <w:pPr>
        <w:pStyle w:val="Heading1"/>
        <w:spacing w:before="0" w:after="0"/>
      </w:pPr>
      <w:r>
        <w:t>3. Background and Evolution of Clinical Decision Support Systems</w:t>
      </w:r>
    </w:p>
    <w:p w14:paraId="0F19DA80" w14:textId="77777777" w:rsidR="008D36C2" w:rsidRDefault="008D36C2" w:rsidP="008D36C2">
      <w:pPr>
        <w:pStyle w:val="Heading1"/>
        <w:spacing w:before="0" w:after="0"/>
      </w:pPr>
    </w:p>
    <w:p w14:paraId="48580342" w14:textId="77777777" w:rsidR="002E76EF" w:rsidRDefault="005B0E7B" w:rsidP="008D36C2">
      <w:pPr>
        <w:pStyle w:val="Heading2"/>
        <w:spacing w:before="0" w:after="0"/>
      </w:pPr>
      <w:r>
        <w:t>3.1 Historical Perspectives</w:t>
      </w:r>
    </w:p>
    <w:p w14:paraId="4103FED2" w14:textId="77777777" w:rsidR="008D36C2" w:rsidRDefault="008D36C2" w:rsidP="008D36C2">
      <w:pPr>
        <w:pStyle w:val="Heading2"/>
        <w:spacing w:before="0" w:after="0"/>
      </w:pPr>
    </w:p>
    <w:p w14:paraId="7381E84C" w14:textId="77777777" w:rsidR="002E76EF" w:rsidRDefault="005B0E7B" w:rsidP="008D36C2">
      <w:pPr>
        <w:jc w:val="both"/>
      </w:pPr>
      <w:r>
        <w:t>The concept of using computerised tools to assist clinical decision-making predates the era of AI by several decades. Early systems such as MYCIN, developed at Stanford University in the 1970s, employed a rule-based expert system approach to recommend an</w:t>
      </w:r>
      <w:r>
        <w:t>tibiotic treatments for bacterial infections, achieving accuracy that compared favourably with infectious disease specialists in evaluation studies. Despite this early promise, MYCIN and similar systems were never widely adopted in clinical practice, large</w:t>
      </w:r>
      <w:r>
        <w:t>ly due to the burdens of knowledge maintenance, poor integration with existing clinical workflows, and a lack of trust on the part of clinicians unfamiliar with computational tools (Bates &amp; Gawande, 2003). Through the 1980s and 1990s, the development of mo</w:t>
      </w:r>
      <w:r>
        <w:t>re practicable CDSS focused on simpler, more tractable functions: drug interaction checking, allergy alerts, and reminder systems for preventive care. These rule-based systems became embedded within nascent EHR platforms and demonstrated tangible benefit i</w:t>
      </w:r>
      <w:r>
        <w:t>n reducing medication errors and improving compliance with clinical guidelines.</w:t>
      </w:r>
    </w:p>
    <w:p w14:paraId="59B99CFA" w14:textId="77777777" w:rsidR="002E76EF" w:rsidRDefault="005B0E7B" w:rsidP="008D36C2">
      <w:pPr>
        <w:jc w:val="both"/>
      </w:pPr>
      <w:r>
        <w:t>Kawamoto et al. (2005) conducted a landmark systematic review of randomised controlled trials evaluating CDSS, identifying features consistently associated with improved clinic</w:t>
      </w:r>
      <w:r>
        <w:t>al practice: automatic provision of decision support as part of clinical workflow, recommendations rather than mere assessments, provision of support at the time and location of decision-making, and computer-based delivery. This synthesis framed the design</w:t>
      </w:r>
      <w:r>
        <w:t xml:space="preserve"> principles that would subsequently inform the development of more sophisticated, AI-enhanced systems. The subsequent proliferation of EHRs, incentivised by legislation in the United States and health information technology strategies in Europe and elsewhe</w:t>
      </w:r>
      <w:r>
        <w:t>re, created the large-scale clinical datasets that would eventually provide the training substrate for modern AI-CDSS.</w:t>
      </w:r>
    </w:p>
    <w:p w14:paraId="488ACE12" w14:textId="77777777" w:rsidR="008D36C2" w:rsidRDefault="008D36C2" w:rsidP="008D36C2">
      <w:pPr>
        <w:jc w:val="both"/>
      </w:pPr>
    </w:p>
    <w:p w14:paraId="40C7F5EB" w14:textId="77777777" w:rsidR="002E76EF" w:rsidRDefault="005B0E7B" w:rsidP="008D36C2">
      <w:pPr>
        <w:pStyle w:val="Heading2"/>
        <w:spacing w:before="0" w:after="0"/>
      </w:pPr>
      <w:r>
        <w:t>3.2 Transition to AI-Enhanced Systems</w:t>
      </w:r>
    </w:p>
    <w:p w14:paraId="5E814195" w14:textId="77777777" w:rsidR="008D36C2" w:rsidRDefault="008D36C2" w:rsidP="008D36C2">
      <w:pPr>
        <w:pStyle w:val="Heading2"/>
        <w:spacing w:before="0" w:after="0"/>
      </w:pPr>
    </w:p>
    <w:p w14:paraId="5231FCB4" w14:textId="77777777" w:rsidR="002E76EF" w:rsidRDefault="005B0E7B" w:rsidP="008D36C2">
      <w:pPr>
        <w:jc w:val="both"/>
      </w:pPr>
      <w:r>
        <w:t>The transition from rule-based to AI-enhanced CDSS represents a qualitative shift in the underlyi</w:t>
      </w:r>
      <w:r>
        <w:t>ng epistemological framework of clinical decision support. Rule-based systems encode explicit, propositional knowledge—essentially, the distilled wisdom of clinical guidelines—and apply it through formal logical inference. AI-enhanced systems, by contrast,</w:t>
      </w:r>
      <w:r>
        <w:t xml:space="preserve"> learn statistical regularities from data, potentially capturing patterns and associations that may never have been articulated in any guideline or expert consensus. This capacity for inductive, data-driven learning confers significant advantages in clinic</w:t>
      </w:r>
      <w:r>
        <w:t xml:space="preserve">al domains characterised by high dimensionality, non-linearity, and the need to integrate heterogeneous data types (Miotto et al., 2018). The resulting systems can, in principle, detect clinically relevant signals in combinations </w:t>
      </w:r>
      <w:r>
        <w:lastRenderedPageBreak/>
        <w:t>of variables that exceed t</w:t>
      </w:r>
      <w:r>
        <w:t>he cognitive processing capacity of even the most experienced clinician.</w:t>
      </w:r>
    </w:p>
    <w:p w14:paraId="62B87867" w14:textId="77777777" w:rsidR="002E76EF" w:rsidRDefault="005B0E7B" w:rsidP="008D36C2">
      <w:pPr>
        <w:jc w:val="both"/>
      </w:pPr>
      <w:r>
        <w:t xml:space="preserve">The acceleration of AI-CDSS development from approximately 2012 onwards reflects the convergence of three enabling conditions: the availability of large labelled datasets through EHR </w:t>
      </w:r>
      <w:r>
        <w:t xml:space="preserve">digitisation and imaging archives; the development of powerful deep learning architectures, particularly convolutional neural networks and recurrent neural networks; and the exponential growth of computational processing power through graphical processing </w:t>
      </w:r>
      <w:r>
        <w:t xml:space="preserve">units. These conditions catalysed a wave of landmark publications demonstrating AI performance at or above human expert level in specific clinical tasks, fundamentally shifting the discourse around AI in medicine from speculative to practically attainable </w:t>
      </w:r>
      <w:r>
        <w:t>(Topol, 2019). Shortliffe and Sepúlveda (2018) observed that this transition creates new opportunities but also new responsibilities for the medical informatics community and clinicians alike, as the opacity of learned models contrasts sharply with the tra</w:t>
      </w:r>
      <w:r>
        <w:t>nsparency of rule-based systems, raising important questions about accountability and trust in AI-assisted clinical environments.</w:t>
      </w:r>
    </w:p>
    <w:p w14:paraId="59F000A7" w14:textId="77777777" w:rsidR="002E76EF" w:rsidRDefault="002E76EF" w:rsidP="008D36C2"/>
    <w:p w14:paraId="6755DC75" w14:textId="77777777" w:rsidR="002E76EF" w:rsidRDefault="005B0E7B" w:rsidP="008D36C2">
      <w:pPr>
        <w:pStyle w:val="Heading1"/>
        <w:spacing w:before="0" w:after="0"/>
      </w:pPr>
      <w:r>
        <w:t>4. AI Technologies Underpinning Clinical Decision Support Systems</w:t>
      </w:r>
    </w:p>
    <w:p w14:paraId="52173B9F" w14:textId="77777777" w:rsidR="008D36C2" w:rsidRDefault="008D36C2" w:rsidP="008D36C2">
      <w:pPr>
        <w:pStyle w:val="Heading1"/>
        <w:spacing w:before="0" w:after="0"/>
      </w:pPr>
    </w:p>
    <w:p w14:paraId="63F773E1" w14:textId="77777777" w:rsidR="002E76EF" w:rsidRDefault="005B0E7B" w:rsidP="008D36C2">
      <w:pPr>
        <w:pStyle w:val="Heading2"/>
        <w:spacing w:before="0" w:after="0"/>
      </w:pPr>
      <w:r>
        <w:t>4.1 Machine Learning Approaches</w:t>
      </w:r>
    </w:p>
    <w:p w14:paraId="0C8EA7FA" w14:textId="77777777" w:rsidR="008D36C2" w:rsidRDefault="008D36C2" w:rsidP="008D36C2">
      <w:pPr>
        <w:pStyle w:val="Heading2"/>
        <w:spacing w:before="0" w:after="0"/>
      </w:pPr>
    </w:p>
    <w:p w14:paraId="272576DA" w14:textId="77777777" w:rsidR="002E76EF" w:rsidRDefault="005B0E7B" w:rsidP="008D36C2">
      <w:pPr>
        <w:jc w:val="both"/>
      </w:pPr>
      <w:r>
        <w:t>Machine learning encompas</w:t>
      </w:r>
      <w:r>
        <w:t>ses a family of computational methods that enable systems to learn predictive models from data without being explicitly programmed with the rules governing the patterns they detect. Supervised learning, the most widely applied ML paradigm in clinical medic</w:t>
      </w:r>
      <w:r>
        <w:t>ine, involves training algorithms on labelled datasets in which input features—clinical variables, imaging parameters, laboratory values—are associated with known outputs such as diagnoses, prognoses, or treatment responses. Algorithms including logistic r</w:t>
      </w:r>
      <w:r>
        <w:t>egression, support vector machines, random forests, and gradient boosting methods have been applied extensively across internal medicine domains, demonstrating competitive predictive performance in tasks ranging from cardiovascular risk stratification (Wen</w:t>
      </w:r>
      <w:r>
        <w:t>g et al., 2017) to hospital readmission prediction and sepsis identification.</w:t>
      </w:r>
    </w:p>
    <w:p w14:paraId="634D4330" w14:textId="77777777" w:rsidR="002E76EF" w:rsidRDefault="005B0E7B" w:rsidP="008D36C2">
      <w:pPr>
        <w:jc w:val="both"/>
      </w:pPr>
      <w:r>
        <w:t xml:space="preserve">Weng et al. (2017) compared four ML algorithms—random forests, logistic regression, neural networks, and gradient boosting—for cardiovascular event prediction using primary care </w:t>
      </w:r>
      <w:r>
        <w:t>records from the United Kingdom, finding that all four outperformed the established American College of Cardiology/American Heart Association (ACC/AHA) risk prediction algorithm, with neural networks achieving the highest discriminatory performance. This f</w:t>
      </w:r>
      <w:r>
        <w:t>inding carries important implications for the early identification and management of patients at elevated cardiovascular risk in primary and secondary care settings, suggesting that ML analysis of routinely collected clinical data can extract prognostic si</w:t>
      </w:r>
      <w:r>
        <w:t>gnal beyond that captured by conventional risk stratification instruments. Unsupervised learning, which identifies inherent structure in unlabelled data, has been applied to clinical phenotyping tasks, grouping patients by patterns of comorbidity or diseas</w:t>
      </w:r>
      <w:r>
        <w:t>e trajectory that may not correspond to conventional diagnostic categories. Reinforcement learning, though less mature in clinical applications, offers potential for optimising sequential treatment decisions in settings such as sepsis management or chemoth</w:t>
      </w:r>
      <w:r>
        <w:t>erapy dosing, where the optimal action at each decision point depends upon patient response to prior interventions. Each of these paradigms carries distinct assumptions, strengths, and limitations, and the selection of the appropriate ML approach for a giv</w:t>
      </w:r>
      <w:r>
        <w:t>en clinical task is itself a complex decision requiring domain expertise (Beam &amp; Kohane, 2018).</w:t>
      </w:r>
    </w:p>
    <w:p w14:paraId="3723FBE6" w14:textId="77777777" w:rsidR="008D36C2" w:rsidRDefault="008D36C2" w:rsidP="008D36C2">
      <w:pPr>
        <w:jc w:val="both"/>
      </w:pPr>
    </w:p>
    <w:p w14:paraId="261778E8" w14:textId="77777777" w:rsidR="002E76EF" w:rsidRDefault="005B0E7B" w:rsidP="008D36C2">
      <w:pPr>
        <w:pStyle w:val="Heading2"/>
        <w:spacing w:before="0" w:after="0"/>
      </w:pPr>
      <w:r>
        <w:t>4.2 Deep Learning and Neural Networks</w:t>
      </w:r>
    </w:p>
    <w:p w14:paraId="224EAF73" w14:textId="77777777" w:rsidR="008D36C2" w:rsidRDefault="008D36C2" w:rsidP="008D36C2">
      <w:pPr>
        <w:pStyle w:val="Heading2"/>
        <w:spacing w:before="0" w:after="0"/>
      </w:pPr>
    </w:p>
    <w:p w14:paraId="6D862868" w14:textId="77777777" w:rsidR="002E76EF" w:rsidRDefault="005B0E7B" w:rsidP="008D36C2">
      <w:pPr>
        <w:jc w:val="both"/>
      </w:pPr>
      <w:r>
        <w:t xml:space="preserve">Deep learning, a subclass of ML characterised by multi-layered artificial neural networks capable of learning </w:t>
      </w:r>
      <w:r>
        <w:t>hierarchical representations of raw data, has driven the most dramatic advances in AI-CDSS performance. Convolutional neural networks, originally developed for image recognition tasks, have been adapted with remarkable success to the analysis of medical im</w:t>
      </w:r>
      <w:r>
        <w:t>aging data, including fundus photography, chest radiographs, electrocardiograms, and histopathology slides. Recurrent neural networks and transformer-based architectures, designed to model sequential and contextual data, have been applied to the analysis o</w:t>
      </w:r>
      <w:r>
        <w:t>f longitudinal EHR data, clinical notes, and time-series physiological signals. The depth and breadth of application across internal medicine subspecialties reflects the versatility of deep learning as a framework for extracting clinically relevant pattern</w:t>
      </w:r>
      <w:r>
        <w:t>s from heterogeneous biomedical data (Miotto et al., 2018).</w:t>
      </w:r>
    </w:p>
    <w:p w14:paraId="4EC90C9A" w14:textId="77777777" w:rsidR="002E76EF" w:rsidRDefault="005B0E7B" w:rsidP="008D36C2">
      <w:pPr>
        <w:jc w:val="both"/>
      </w:pPr>
      <w:r>
        <w:t>The landmark study by Gulshan et al. (2016) exemplifies the diagnostic potential of deep learning in clinical medicine. Using a dataset of 128,175 retinal images, a deep convolutional neural netwo</w:t>
      </w:r>
      <w:r>
        <w:t>rk was trained and validated for the detection of diabetic retinopathy, achieving sensitivity of 97.5 per cent and specificity of 93.4 per cent on one validation set, performance that matched or exceeded the consensus of a panel of ophthalmologists. Simila</w:t>
      </w:r>
      <w:r>
        <w:t xml:space="preserve">rly, Hannun et al. (2019) demonstrated that a 34-layer residual convolutional neural network, trained on over 91,000 single-lead ECG recordings, could identify 12 cardiac arrhythmias from ambulatory ECGs with an average area under the curve exceeding that </w:t>
      </w:r>
      <w:r>
        <w:t>of cardiologists across most rhythm classes. Beyond these cardiological and ophthalmological applications, Esteva et al. (2017) demonstrated that a deep neural network could classify skin cancer lesions with accuracy matching dermatologist panels, establis</w:t>
      </w:r>
      <w:r>
        <w:t>hing a wider precedent for AI diagnostic systems approaching the performance ceiling of human expert clinicians in narrowly defined tasks and inspiring analogous efforts across virtually every clinical domain including internal medicine.</w:t>
      </w:r>
    </w:p>
    <w:p w14:paraId="03A08D48" w14:textId="77777777" w:rsidR="008D36C2" w:rsidRDefault="008D36C2" w:rsidP="008D36C2">
      <w:pPr>
        <w:jc w:val="both"/>
      </w:pPr>
    </w:p>
    <w:p w14:paraId="11F53C4D" w14:textId="77777777" w:rsidR="002E76EF" w:rsidRDefault="005B0E7B" w:rsidP="008D36C2">
      <w:pPr>
        <w:pStyle w:val="Heading2"/>
        <w:spacing w:before="0" w:after="0"/>
      </w:pPr>
      <w:r>
        <w:t>4.3 Natural Langu</w:t>
      </w:r>
      <w:r>
        <w:t>age Processing</w:t>
      </w:r>
    </w:p>
    <w:p w14:paraId="0437ECF5" w14:textId="77777777" w:rsidR="008D36C2" w:rsidRDefault="008D36C2" w:rsidP="008D36C2">
      <w:pPr>
        <w:pStyle w:val="Heading2"/>
        <w:spacing w:before="0" w:after="0"/>
      </w:pPr>
    </w:p>
    <w:p w14:paraId="08170CF9" w14:textId="77777777" w:rsidR="002E76EF" w:rsidRDefault="005B0E7B" w:rsidP="008D36C2">
      <w:pPr>
        <w:jc w:val="both"/>
      </w:pPr>
      <w:r>
        <w:t>A substantial proportion of clinically relevant information is encoded in unstructured free-text clinical documentation—physician notes, discharge summaries, referral letters, and operative reports—that conventional structured data analysis</w:t>
      </w:r>
      <w:r>
        <w:t xml:space="preserve"> cannot access. Natural language processing (NLP) encompasses a range of computational techniques for extracting structured information from natural language text, including named entity recognition, relation extraction, and semantic similarity assessment.</w:t>
      </w:r>
      <w:r>
        <w:t xml:space="preserve"> In the context of AI-CDSS, NLP enables the utilisation of clinical narratives as inputs for diagnostic and predictive models, substantially expanding the information available to support clinical decision-making (Shickel et al., 2018).</w:t>
      </w:r>
    </w:p>
    <w:p w14:paraId="77596C5E" w14:textId="77777777" w:rsidR="002E76EF" w:rsidRDefault="005B0E7B" w:rsidP="008D36C2">
      <w:pPr>
        <w:jc w:val="both"/>
      </w:pPr>
      <w:r>
        <w:t>Applications of NLP</w:t>
      </w:r>
      <w:r>
        <w:t xml:space="preserve"> in internal medicine include the automated extraction of diagnoses and medications from clinical notes for phenotyping in EHR-based research, the identification of adverse drug event reports in clinical documentation, the generation of structured summarie</w:t>
      </w:r>
      <w:r>
        <w:t>s from unstructured notes to support handover and transition of care, and, most recently, the conversational interaction of clinicians with AI systems through interfaces powered by large language models. The integration of NLP-derived features with structu</w:t>
      </w:r>
      <w:r>
        <w:t>red EHR data has been shown to improve the predictive performance of clinical models across multiple domains, suggesting that the combination of structured and unstructured data sources provides richer clinical signal than either alone (Shickel et al., 201</w:t>
      </w:r>
      <w:r>
        <w:t>8).</w:t>
      </w:r>
    </w:p>
    <w:p w14:paraId="7F2C8BC4" w14:textId="77777777" w:rsidR="008D36C2" w:rsidRDefault="008D36C2" w:rsidP="008D36C2">
      <w:pPr>
        <w:jc w:val="both"/>
      </w:pPr>
    </w:p>
    <w:p w14:paraId="3C9F5007" w14:textId="77777777" w:rsidR="002E76EF" w:rsidRDefault="005B0E7B" w:rsidP="008D36C2">
      <w:pPr>
        <w:pStyle w:val="Heading2"/>
        <w:spacing w:before="0" w:after="0"/>
      </w:pPr>
      <w:r>
        <w:t>4.4 Knowledge-Based and Hybrid Systems</w:t>
      </w:r>
    </w:p>
    <w:p w14:paraId="344D17E0" w14:textId="77777777" w:rsidR="008D36C2" w:rsidRDefault="008D36C2" w:rsidP="008D36C2">
      <w:pPr>
        <w:pStyle w:val="Heading2"/>
        <w:spacing w:before="0" w:after="0"/>
      </w:pPr>
    </w:p>
    <w:p w14:paraId="46CDFC60" w14:textId="77777777" w:rsidR="002E76EF" w:rsidRDefault="005B0E7B" w:rsidP="008D36C2">
      <w:pPr>
        <w:jc w:val="both"/>
      </w:pPr>
      <w:r>
        <w:t xml:space="preserve">Despite the dominance of data-driven ML approaches in recent AI-CDSS development, knowledge-based systems—in which clinical reasoning is encoded through formal ontologies, </w:t>
      </w:r>
      <w:r>
        <w:lastRenderedPageBreak/>
        <w:t>clinical guidelines, or probabilistic g</w:t>
      </w:r>
      <w:r>
        <w:t>raphical models—retain considerable relevance, particularly in settings where labelled training data are scarce, where regulatory authorities require transparent and auditable decision pathways, or where clinical knowledge is sufficiently codified to be re</w:t>
      </w:r>
      <w:r>
        <w:t>liably formalised. Hybrid systems that integrate knowledge-based and data-driven components seek to combine the transparency and trustworthiness of the former with the pattern-recognition power of the latter, representing a promising architectural approach</w:t>
      </w:r>
      <w:r>
        <w:t xml:space="preserve"> for AI-CDSS that must operate in high-stakes, accountability-critical clinical environments. Shortliffe and Sepúlveda (2018) have argued that hybrid approaches may be particularly valuable during the current transitional period, in which clinicians and re</w:t>
      </w:r>
      <w:r>
        <w:t>gulators require transparency and interpretability that pure data-driven systems may not readily provide, whilst also benefiting from the performance advantages that ML-based approaches confer. This tension between performance and interpretability is a def</w:t>
      </w:r>
      <w:r>
        <w:t>ining challenge for the field that hybrid architectures partially, though not completely, address.</w:t>
      </w:r>
    </w:p>
    <w:p w14:paraId="6757D4ED" w14:textId="77777777" w:rsidR="002E76EF" w:rsidRDefault="002E76EF" w:rsidP="008D36C2"/>
    <w:p w14:paraId="2F907113" w14:textId="77777777" w:rsidR="002E76EF" w:rsidRDefault="005B0E7B" w:rsidP="008D36C2">
      <w:pPr>
        <w:pStyle w:val="Heading1"/>
        <w:spacing w:before="0" w:after="0"/>
      </w:pPr>
      <w:r>
        <w:t>5. Diagnostic Accuracy of AI-Enhanced CDSS in Internal Medicine Subspecialties</w:t>
      </w:r>
    </w:p>
    <w:p w14:paraId="00FD0D2D" w14:textId="77777777" w:rsidR="008D36C2" w:rsidRDefault="008D36C2" w:rsidP="008D36C2">
      <w:pPr>
        <w:pStyle w:val="Heading1"/>
        <w:spacing w:before="0" w:after="0"/>
      </w:pPr>
    </w:p>
    <w:p w14:paraId="534EABBC" w14:textId="77777777" w:rsidR="002E76EF" w:rsidRDefault="005B0E7B" w:rsidP="008D36C2">
      <w:pPr>
        <w:pStyle w:val="Heading2"/>
        <w:spacing w:before="0" w:after="0"/>
      </w:pPr>
      <w:r>
        <w:t>5.1 Cardiovascular Medicine</w:t>
      </w:r>
    </w:p>
    <w:p w14:paraId="1F987A59" w14:textId="77777777" w:rsidR="008D36C2" w:rsidRDefault="008D36C2" w:rsidP="008D36C2">
      <w:pPr>
        <w:pStyle w:val="Heading2"/>
        <w:spacing w:before="0" w:after="0"/>
      </w:pPr>
    </w:p>
    <w:p w14:paraId="0C1F303B" w14:textId="77777777" w:rsidR="002E76EF" w:rsidRDefault="005B0E7B" w:rsidP="008D36C2">
      <w:pPr>
        <w:jc w:val="both"/>
      </w:pPr>
      <w:r>
        <w:t>Cardiovascular disease remains the leading caus</w:t>
      </w:r>
      <w:r>
        <w:t>e of morbidity and mortality globally, and internal medicine clinicians encounter cardiovascular presentations with considerable frequency in both inpatient and outpatient settings. AI-enhanced CDSS have found extensive application in cardiovascular risk p</w:t>
      </w:r>
      <w:r>
        <w:t>rediction, ECG interpretation, imaging analysis, and heart failure management. The study by Weng et al. (2017) is particularly noteworthy in the context of cardiovascular risk stratification, demonstrating that ML algorithms applied to routine primary care</w:t>
      </w:r>
      <w:r>
        <w:t xml:space="preserve"> data—encompassing demographics, vital signs, laboratory values, and diagnostic history—could identify a significantly larger proportion of individuals who subsequently experienced cardiovascular events compared to the established ACC/AHA guideline-based r</w:t>
      </w:r>
      <w:r>
        <w:t>isk prediction algorithm, whilst simultaneously reducing the proportion of individuals incorrectly classified as high risk. These findings suggest that the information routinely captured in primary care records contains prognostically relevant cardiovascul</w:t>
      </w:r>
      <w:r>
        <w:t>ar signal that conventional clinical scores fail to exploit.</w:t>
      </w:r>
    </w:p>
    <w:p w14:paraId="2389EE40" w14:textId="77777777" w:rsidR="002E76EF" w:rsidRDefault="005B0E7B" w:rsidP="008D36C2">
      <w:pPr>
        <w:jc w:val="both"/>
      </w:pPr>
      <w:r>
        <w:t>In ECG interpretation, the work of Hannun et al. (2019) established the capacity of a deep convolutional neural network to achieve cardiologist-level performance across a range of arrhythmia clas</w:t>
      </w:r>
      <w:r>
        <w:t>sifications, including atrial fibrillation, atrial flutter, supraventricular tachycardia, and various ventricular rhythms. The clinical implications extend beyond simple arrhythmia classification: AI analysis of ECGs has been shown to detect structural car</w:t>
      </w:r>
      <w:r>
        <w:t>diac abnormalities such as reduced left ventricular ejection fraction and pulmonary hypertension, conditions not typically identifiable from ECG analysis by human readers alone, opening new possibilities for population-level cardiac screening. Shameer et a</w:t>
      </w:r>
      <w:r>
        <w:t>l. (2018) provided a comprehensive survey of ML applications in cardiovascular medicine, noting that whilst the evidence base is growing rapidly, most studies remain retrospective and single-centre, limiting the generalisability of reported performance met</w:t>
      </w:r>
      <w:r>
        <w:t>rics to broader clinical populations. The authors emphasised that prospective, multi-site validation in real-world clinical workflows represents the critical next step for translating algorithmic promise into genuine cardiovascular benefit.</w:t>
      </w:r>
    </w:p>
    <w:p w14:paraId="3774B94D" w14:textId="77777777" w:rsidR="008D36C2" w:rsidRDefault="008D36C2" w:rsidP="008D36C2">
      <w:pPr>
        <w:jc w:val="both"/>
      </w:pPr>
    </w:p>
    <w:p w14:paraId="7D85C42B" w14:textId="77777777" w:rsidR="002E76EF" w:rsidRDefault="005B0E7B" w:rsidP="008D36C2">
      <w:pPr>
        <w:pStyle w:val="Heading2"/>
        <w:spacing w:before="0" w:after="0"/>
      </w:pPr>
      <w:r>
        <w:t>5.2 Respirator</w:t>
      </w:r>
      <w:r>
        <w:t>y Medicine</w:t>
      </w:r>
    </w:p>
    <w:p w14:paraId="4C200156" w14:textId="77777777" w:rsidR="008D36C2" w:rsidRDefault="008D36C2" w:rsidP="008D36C2">
      <w:pPr>
        <w:pStyle w:val="Heading2"/>
        <w:spacing w:before="0" w:after="0"/>
      </w:pPr>
    </w:p>
    <w:p w14:paraId="0FC3AB4C" w14:textId="20915D1D" w:rsidR="002E76EF" w:rsidRDefault="005B0E7B" w:rsidP="008D36C2">
      <w:pPr>
        <w:jc w:val="both"/>
      </w:pPr>
      <w:r>
        <w:lastRenderedPageBreak/>
        <w:t>AI-enhanced CDSS in respiratory medicine have focused primarily on the analysis of chest imaging for the detection and characterisation of lung pathology. The application of deep learning to chest radiograph analysis has demonstrated performanc</w:t>
      </w:r>
      <w:r>
        <w:t xml:space="preserve">e in the detection of pneumonia, pleural effusion, pneumothorax, and cardiomegaly that is competitive with radiologist assessment. </w:t>
      </w:r>
      <w:r w:rsidR="008151C3" w:rsidRPr="008151C3">
        <w:t>This literature base has been further strengthened by recent multicentre evidence, as Dicente Cid et al. (2024) developed and externally validated open-source deep neural networks for comprehensive chest x-ray reading across multiple abnormality classes, showing robust generalisation and performance comparable to historical reporting for several findings, thereby reinforcing the potential of chest-radiograph AI as a scalable component of respiratory decision support in routine care.</w:t>
      </w:r>
      <w:r w:rsidR="00CA739B">
        <w:t xml:space="preserve"> </w:t>
      </w:r>
      <w:r>
        <w:t>Beyond plain film analysis, deep learning applied to computed tomography of the thorax has shown substantial promise for lung nodule detection and ma</w:t>
      </w:r>
      <w:r>
        <w:t>lignancy risk stratification, with several AI systems demonstrating sensitivity for malignant nodules comparable to or exceeding that of thoracic radiologists. These capabilities are directly relevant to internal medicine physicians managing patients admit</w:t>
      </w:r>
      <w:r>
        <w:t>ted with respiratory presentations, who must rapidly triage between viral infection, bacterial pneumonia, pulmonary oedema, malignancy, and other pathologies on the basis of clinical features and imaging.</w:t>
      </w:r>
      <w:r w:rsidR="009C4FC8" w:rsidRPr="009C4FC8">
        <w:t>This broader pattern is consistent with a recent scoping review of AI-enabled early disease detection in U.S. healthcare systems, which found that validated AI tools using imaging, electronic health record, and physiologic data can support earlier identification of cancer, cardiovascular, metabolic, and infectious disease, while also underscoring the importance of real-world validation and regulatory readiness (Uhoranishema et al., 2025).</w:t>
      </w:r>
    </w:p>
    <w:p w14:paraId="608F37E2" w14:textId="77777777" w:rsidR="002E76EF" w:rsidRDefault="005B0E7B" w:rsidP="008D36C2">
      <w:pPr>
        <w:jc w:val="both"/>
      </w:pPr>
      <w:r>
        <w:t>AI-enhanced CDSS have also been applied to the prediction of clinical deterioration in respiratory patients, including th</w:t>
      </w:r>
      <w:r>
        <w:t>e early identification of acute respiratory distress syndrome and the prediction of the need for mechanical ventilation in patients with severe pneumonia. The COVID-19 pandemic provided an inadvertent natural experiment for the deployment of AI-CDSS in a n</w:t>
      </w:r>
      <w:r>
        <w:t>ovel clinical context, with numerous AI systems developed and evaluated for risk stratification of infected patients; however, a systematic evaluation of such models concluded that many suffered from methodological deficiencies, including high risk of bias</w:t>
      </w:r>
      <w:r>
        <w:t xml:space="preserve"> and lack of external validation, limiting the confidence that can be placed in their reported performance (Rajpurkar et al., 2022). This episode illustrated both the speed with which AI tools can be developed in response to emerging clinical need and the </w:t>
      </w:r>
      <w:r>
        <w:t>risks of deploying inadequately validated systems in high-stakes clinical environments.</w:t>
      </w:r>
    </w:p>
    <w:p w14:paraId="6824E284" w14:textId="77777777" w:rsidR="008D36C2" w:rsidRDefault="008D36C2" w:rsidP="008D36C2">
      <w:pPr>
        <w:jc w:val="both"/>
      </w:pPr>
    </w:p>
    <w:p w14:paraId="715FB88F" w14:textId="77777777" w:rsidR="002E76EF" w:rsidRDefault="005B0E7B" w:rsidP="008D36C2">
      <w:pPr>
        <w:pStyle w:val="Heading2"/>
        <w:spacing w:before="0" w:after="0"/>
      </w:pPr>
      <w:r>
        <w:t>5.3 Endocrinology and Diabetes</w:t>
      </w:r>
    </w:p>
    <w:p w14:paraId="711C2579" w14:textId="77777777" w:rsidR="008D36C2" w:rsidRDefault="008D36C2" w:rsidP="008D36C2">
      <w:pPr>
        <w:pStyle w:val="Heading2"/>
        <w:spacing w:before="0" w:after="0"/>
      </w:pPr>
    </w:p>
    <w:p w14:paraId="00382F87" w14:textId="77777777" w:rsidR="002E76EF" w:rsidRDefault="005B0E7B" w:rsidP="008D36C2">
      <w:pPr>
        <w:jc w:val="both"/>
      </w:pPr>
      <w:r>
        <w:t>The management of diabetes mellitus, one of the most prevalent chronic diseases encountered in internal medicine, presents an extensive</w:t>
      </w:r>
      <w:r>
        <w:t xml:space="preserve"> opportunity for AI-enhanced clinical decision support. Beyond the landmark application of deep learning to diabetic retinopathy screening (Gulshan et al., 2016), AI-CDSS have been developed to optimise insulin dosing in hospitalised patients, predict hypo</w:t>
      </w:r>
      <w:r>
        <w:t>glycaemic episodes from continuous glucose monitoring data, and identify patients at elevated risk of developing type 2 diabetes from routine clinical records. AI models trained on glycaemic time-series data have demonstrated the capacity to predict hypogl</w:t>
      </w:r>
      <w:r>
        <w:t>ycaemic events several hours in advance, providing an actionable window for preventive intervention that may reduce the frequency of this potentially life-threatening complication.</w:t>
      </w:r>
    </w:p>
    <w:p w14:paraId="0683FEFA" w14:textId="11CDF8C9" w:rsidR="002E76EF" w:rsidRDefault="005B0E7B" w:rsidP="008D36C2">
      <w:pPr>
        <w:jc w:val="both"/>
      </w:pPr>
      <w:r>
        <w:t>Thyroid nodule evaluation, a common diagnostic challenge in internal medici</w:t>
      </w:r>
      <w:r>
        <w:t>ne practice, has also benefited from AI-enhanced imaging analysis. Deep learning systems applied to ultrasound images of thyroid nodules have demonstrated diagnostic accuracy for malignancy comparable to or exceeding that of radiologists and endocrinologis</w:t>
      </w:r>
      <w:r>
        <w:t xml:space="preserve">ts, potentially reducing the number of unnecessary fine needle aspiration biopsies performed on patients with benign </w:t>
      </w:r>
      <w:r>
        <w:lastRenderedPageBreak/>
        <w:t xml:space="preserve">nodular disease. </w:t>
      </w:r>
      <w:r w:rsidR="008151C3" w:rsidRPr="008151C3">
        <w:t>Recent multicentre evidence further strengthens this conclusion, as Ha et al. (2024) developed and validated an AI-assisted thyroid ultrasound model across 24 hospitals and showed that AI support improved diagnostic performance and interobserver agreement, particularly among less-experienced physicians, suggesting a plausible role for such systems in reducing variability in thyroid nodule assessment</w:t>
      </w:r>
      <w:r w:rsidR="008E380F" w:rsidRPr="008E380F">
        <w:t>.</w:t>
      </w:r>
      <w:r w:rsidR="008E380F">
        <w:t xml:space="preserve"> </w:t>
      </w:r>
      <w:r>
        <w:t xml:space="preserve">Jiang et al. (2017) highlighted endocrinology as one of the clinical domains with the greatest near-term potential for AI-CDSS integration, noting that the availability of large imaging datasets, standardised diagnostic criteria, </w:t>
      </w:r>
      <w:r>
        <w:t>and clear outcome definitions creates favourable conditions for algorithm development and validation.</w:t>
      </w:r>
      <w:r w:rsidR="008E380F">
        <w:t xml:space="preserve"> </w:t>
      </w:r>
      <w:r w:rsidR="008E380F" w:rsidRPr="008E380F">
        <w:t>More recent work has also moved beyond static-image classification alone: Zhou et al. (2025) reported a deep learning tool based on dynamic ultrasound video and 3D visualization that significantly improved radiologists’ external-validation performance, indicating that thyroid AI is beginning to evolve toward more workflow-congruent diagnostic assistance rather than isolated image benchmarks.</w:t>
      </w:r>
    </w:p>
    <w:p w14:paraId="41CD8C33" w14:textId="77777777" w:rsidR="008D36C2" w:rsidRDefault="008D36C2" w:rsidP="008D36C2">
      <w:pPr>
        <w:jc w:val="both"/>
      </w:pPr>
    </w:p>
    <w:p w14:paraId="10D96164" w14:textId="77777777" w:rsidR="002E76EF" w:rsidRDefault="005B0E7B" w:rsidP="008D36C2">
      <w:pPr>
        <w:pStyle w:val="Heading2"/>
        <w:spacing w:before="0" w:after="0"/>
      </w:pPr>
      <w:r>
        <w:t>5.4 Oncology</w:t>
      </w:r>
    </w:p>
    <w:p w14:paraId="5A16C44B" w14:textId="77777777" w:rsidR="008D36C2" w:rsidRDefault="008D36C2" w:rsidP="008D36C2">
      <w:pPr>
        <w:pStyle w:val="Heading2"/>
        <w:spacing w:before="0" w:after="0"/>
      </w:pPr>
    </w:p>
    <w:p w14:paraId="7E79ED63" w14:textId="755447E2" w:rsidR="002E76EF" w:rsidRDefault="005B0E7B" w:rsidP="008D36C2">
      <w:pPr>
        <w:jc w:val="both"/>
      </w:pPr>
      <w:r>
        <w:t>The application of AI to oncological diagnosis within internal medicine encompasses a wide range of tumour types and diagnostic modalities. AI systems applied to haematological malignancies have demonstrated performance in classifying lymphoma subtypes fro</w:t>
      </w:r>
      <w:r>
        <w:t>m histopathological images, identifying chromosomal abnormalities from genomic data, and predicting survival outcomes from clinical records. In solid tumour oncology, AI-enhanced CDSS have been applied to the analysis of circulating tumour DNA, multi-omics</w:t>
      </w:r>
      <w:r>
        <w:t xml:space="preserve"> data integration, and the prediction of treatment response to chemotherapy and immunotherapy.</w:t>
      </w:r>
      <w:r w:rsidR="00CA739B">
        <w:t xml:space="preserve"> </w:t>
      </w:r>
      <w:r w:rsidR="008151C3" w:rsidRPr="008151C3">
        <w:t>A notable recent example is provided by Placido et al. (2023), who used longitudinal disease trajectories derived from real-world clinical records to predict pancreatic cancer risk up to 3 years in advance, illustrating how AI can support earlier cancer risk stratification from routine health data rather than relying solely on imaging- or biomarker-centred workflows</w:t>
      </w:r>
      <w:r w:rsidR="00CA739B" w:rsidRPr="00CA739B">
        <w:t>.</w:t>
      </w:r>
    </w:p>
    <w:p w14:paraId="2694E17F" w14:textId="77777777" w:rsidR="002E76EF" w:rsidRDefault="005B0E7B" w:rsidP="008D36C2">
      <w:pPr>
        <w:jc w:val="both"/>
      </w:pPr>
      <w:r>
        <w:t>The diagnostic utility of AI in oncology extend</w:t>
      </w:r>
      <w:r>
        <w:t xml:space="preserve">s to the identification of malignancy in patients presenting to general internal medicine with non-specific symptoms. Models trained on routine blood test data and clinical records have demonstrated the capacity to identify patients with occult malignancy </w:t>
      </w:r>
      <w:r>
        <w:t>months before formal diagnosis, offering the prospect of earlier detection and improved therapeutic outcomes. However, as Christodoulou et al. (2019) noted in a systematic review comparing ML with logistic regression for clinical prediction, the incrementa</w:t>
      </w:r>
      <w:r>
        <w:t>l benefit of complex ML approaches over simpler statistical models is often modest when evaluated on prospective data, a finding that cautions against uncritical adoption of algorithmic complexity as a proxy for clinical utility. The authors found no consi</w:t>
      </w:r>
      <w:r>
        <w:t>stent performance advantage of ML methods over logistic regression across a range of clinical prediction tasks, highlighting the importance of rigorous comparative evaluation rather than assuming that methodological sophistication translates to clinical su</w:t>
      </w:r>
      <w:r>
        <w:t>periority.</w:t>
      </w:r>
    </w:p>
    <w:p w14:paraId="50C50F03" w14:textId="77777777" w:rsidR="008D36C2" w:rsidRDefault="008D36C2" w:rsidP="008D36C2">
      <w:pPr>
        <w:jc w:val="both"/>
      </w:pPr>
    </w:p>
    <w:p w14:paraId="389B7E02" w14:textId="77777777" w:rsidR="002E76EF" w:rsidRDefault="005B0E7B" w:rsidP="008D36C2">
      <w:pPr>
        <w:pStyle w:val="Heading2"/>
        <w:spacing w:before="0" w:after="0"/>
      </w:pPr>
      <w:r>
        <w:t>5.5 Infectious Disease and Sepsis Detection</w:t>
      </w:r>
    </w:p>
    <w:p w14:paraId="007D7A9C" w14:textId="77777777" w:rsidR="008D36C2" w:rsidRDefault="008D36C2" w:rsidP="008D36C2">
      <w:pPr>
        <w:pStyle w:val="Heading2"/>
        <w:spacing w:before="0" w:after="0"/>
      </w:pPr>
    </w:p>
    <w:p w14:paraId="403DE765" w14:textId="77777777" w:rsidR="002E76EF" w:rsidRDefault="005B0E7B" w:rsidP="008D36C2">
      <w:pPr>
        <w:jc w:val="both"/>
      </w:pPr>
      <w:r>
        <w:t>Sepsis, defined as life-threatening organ dysfunction caused by dysregulated host response to infection, represents one of the most time-sensitive and consequential diagnoses in internal medicine. Th</w:t>
      </w:r>
      <w:r>
        <w:t>e early and accurate identification of septic patients is critical for initiating appropriate antimicrobial therapy and organ support, yet sepsis is notoriously difficult to recognise in its early stages due to the non-specificity of its presenting feature</w:t>
      </w:r>
      <w:r>
        <w:t>s. AI-enhanced CDSS have attracted substantial research interest for early sepsis detection, drawing upon continuous monitoring data, laboratory values, vital signs, and clinical notes to generate real-time risk scores. Fleuren et al. (2020) conducted a sy</w:t>
      </w:r>
      <w:r>
        <w:t xml:space="preserve">stematic review and meta-analysis of ML </w:t>
      </w:r>
      <w:r>
        <w:lastRenderedPageBreak/>
        <w:t>models for sepsis prediction, identifying 28 eligible papers encompassing 130 extracted models. Performance assessed by AUROC ranged from 0.68 to 0.99 in intensive care unit settings, from 0.96 to 0.98 in in-hospital</w:t>
      </w:r>
      <w:r>
        <w:t xml:space="preserve"> settings, and from 0.87 to 0.97 in the emergency department, though performance varied substantially depending upon the patient population, prediction window, and outcome definition employed. The authors noted that varying sepsis definitions and substanti</w:t>
      </w:r>
      <w:r>
        <w:t>al between-study heterogeneity precluded pooling of performance metrics across studies, underscoring the need for standardisation of evaluation frameworks for AI-CDSS in sepsis.</w:t>
      </w:r>
    </w:p>
    <w:p w14:paraId="21E2F146" w14:textId="05172FD6" w:rsidR="002E76EF" w:rsidRDefault="008151C3" w:rsidP="008D36C2">
      <w:pPr>
        <w:jc w:val="both"/>
      </w:pPr>
      <w:r w:rsidRPr="008151C3">
        <w:t>AI-enhanced CDSS for antimicrobial stewardship represent another important application in infectious disease practice, with models trained on microbiology data, antibiotic prescribing records, and clinical outcomes demonstrating the capacity to support pathogen prediction, treatment optimisation, and stewardship-oriented decision-making. A recent review of machine learning applications using electronic health record data further highlighted the potential of these approaches to address antibiotic resistance, while also emphasising that clinical deployment remains limited and implementation barriers are substantial (Blechman &amp; Wright, 2024).</w:t>
      </w:r>
      <w:r>
        <w:t xml:space="preserve"> The clinical implications of accurate AI-assisted antibiotic selection are considerable, encompassing both individual patient outcomes and the broader challenge of antimicrobial resistance. In the context of emerging infectious diseases, AI systems have been deployed for the interpretation of novel diagnostic tests and the prediction of disease severity, though the rapidity with which new pathogens emerge and the limited availability of training data at the outset of novel epidemics impose significant constraints on AI performance in these settings.</w:t>
      </w:r>
    </w:p>
    <w:p w14:paraId="5F0CE258" w14:textId="77777777" w:rsidR="008D36C2" w:rsidRDefault="008D36C2" w:rsidP="008D36C2">
      <w:pPr>
        <w:jc w:val="both"/>
      </w:pPr>
    </w:p>
    <w:p w14:paraId="1A4ECD45" w14:textId="77777777" w:rsidR="002E76EF" w:rsidRDefault="005B0E7B" w:rsidP="008D36C2">
      <w:pPr>
        <w:pStyle w:val="Heading2"/>
        <w:spacing w:before="0" w:after="0"/>
      </w:pPr>
      <w:r>
        <w:t>5.6 Nephrology</w:t>
      </w:r>
    </w:p>
    <w:p w14:paraId="17105E48" w14:textId="77777777" w:rsidR="008D36C2" w:rsidRDefault="008D36C2" w:rsidP="008D36C2">
      <w:pPr>
        <w:pStyle w:val="Heading2"/>
        <w:spacing w:before="0" w:after="0"/>
      </w:pPr>
    </w:p>
    <w:p w14:paraId="5C258471" w14:textId="275CDE1B" w:rsidR="002E76EF" w:rsidRDefault="005B0E7B" w:rsidP="008D36C2">
      <w:pPr>
        <w:jc w:val="both"/>
      </w:pPr>
      <w:r>
        <w:t>Acute kidney injury (AKI) is a common and serious complication of hospitalisation, associated with increased morbidity, prolonged hospita</w:t>
      </w:r>
      <w:r>
        <w:t>l stay, and elevated mortality. Early identification of patients at risk of AKI enables preventive interventions and more vigilant monitoring, yet the condition frequently develops and progresses before conventional clinical or laboratory recognition. AI-C</w:t>
      </w:r>
      <w:r>
        <w:t xml:space="preserve">DSS incorporating trends in serum creatinine, fluid balance, medication exposures, and patient demographics have demonstrated the capacity to predict AKI onset with sufficient lead time to permit preventive action. </w:t>
      </w:r>
      <w:r w:rsidR="00CA739B" w:rsidRPr="00CA739B">
        <w:t>For example, Zhang et al. (2025) reported a real-time and interpretable AKI prediction model for general hospitalized patients that was validated across five independent hospitals, with prediction windows extending roughly 54–90 hours in external validation, supporting the feasibility of more operationally deployable AKI surveillance tools beyond single-centre proof-of-concept studies.</w:t>
      </w:r>
      <w:r w:rsidR="00CA739B">
        <w:t xml:space="preserve"> </w:t>
      </w:r>
      <w:r>
        <w:t>A notable deployment of an AKI prediction model at scale within the United States Veterans Affairs healthcare system reported successful prospective alerting of at-</w:t>
      </w:r>
      <w:r>
        <w:t>risk patients, though subsequent evaluation highlighted complexities in translating algorithmic alerts into effective clinical action—an important reminder that the clinical impact of AI-CDSS depends not only on algorithmic accuracy but also on the respons</w:t>
      </w:r>
      <w:r>
        <w:t>iveness of clinical systems to AI-generated recommendations (Rajpurkar et al., 2022).</w:t>
      </w:r>
    </w:p>
    <w:p w14:paraId="2656BB9E" w14:textId="77777777" w:rsidR="002E76EF" w:rsidRDefault="005B0E7B" w:rsidP="008D36C2">
      <w:pPr>
        <w:jc w:val="both"/>
      </w:pPr>
      <w:r>
        <w:t xml:space="preserve">Chronic kidney disease staging and progression prediction have also been addressed through AI-CDSS, with models trained on longitudinal EHR data demonstrating improved prediction of renal function decline compared to conventional clinical risk scores. The </w:t>
      </w:r>
      <w:r>
        <w:t>integration of AI tools into nephrology practice raises particular questions about the management of patients with complex multi-morbidity and polypharmacy, in whom the interaction between renal impairment, other organ dysfunction, and therapeutic agents c</w:t>
      </w:r>
      <w:r>
        <w:t>reates a high-dimensional clinical challenge that may be particularly amenable to AI-enhanced analysis. Goldstein et al. (2017) highlighted the opportunities and methodological pitfalls of using EHR data for clinical risk prediction in conditions such as A</w:t>
      </w:r>
      <w:r>
        <w:t xml:space="preserve">KI, noting that selection bias, informative censoring, and </w:t>
      </w:r>
      <w:r>
        <w:lastRenderedPageBreak/>
        <w:t>temporal variation in coding practices require careful methodological attention in the development and validation of AI predictive models.</w:t>
      </w:r>
    </w:p>
    <w:p w14:paraId="68686AB2" w14:textId="77777777" w:rsidR="002E76EF" w:rsidRDefault="002E76EF" w:rsidP="008D36C2"/>
    <w:p w14:paraId="08D227C0" w14:textId="77777777" w:rsidR="002E76EF" w:rsidRDefault="005B0E7B" w:rsidP="008D36C2">
      <w:pPr>
        <w:pStyle w:val="Heading1"/>
        <w:spacing w:before="0" w:after="0"/>
      </w:pPr>
      <w:r>
        <w:t>6. Integration of AI-Enhanced CDSS into Clinical Workflow</w:t>
      </w:r>
      <w:r>
        <w:t>s</w:t>
      </w:r>
    </w:p>
    <w:p w14:paraId="451BF143" w14:textId="77777777" w:rsidR="008D36C2" w:rsidRDefault="008D36C2" w:rsidP="008D36C2">
      <w:pPr>
        <w:pStyle w:val="Heading1"/>
        <w:spacing w:before="0" w:after="0"/>
      </w:pPr>
    </w:p>
    <w:p w14:paraId="014BB89C" w14:textId="77777777" w:rsidR="002E76EF" w:rsidRDefault="005B0E7B" w:rsidP="008D36C2">
      <w:pPr>
        <w:pStyle w:val="Heading2"/>
        <w:spacing w:before="0" w:after="0"/>
      </w:pPr>
      <w:r>
        <w:t>6.1 Electronic Health Record Integration</w:t>
      </w:r>
    </w:p>
    <w:p w14:paraId="0A3F4D37" w14:textId="77777777" w:rsidR="008D36C2" w:rsidRDefault="008D36C2" w:rsidP="008D36C2">
      <w:pPr>
        <w:pStyle w:val="Heading2"/>
        <w:spacing w:before="0" w:after="0"/>
      </w:pPr>
    </w:p>
    <w:p w14:paraId="50F5F391" w14:textId="77777777" w:rsidR="002E76EF" w:rsidRDefault="005B0E7B" w:rsidP="008D36C2">
      <w:pPr>
        <w:jc w:val="both"/>
      </w:pPr>
      <w:r>
        <w:t>The integration of AI-CDSS into EHR systems represents both the primary mechanism of delivery for AI-enhanced decision support and a substantial organisational challenge. EHR platforms vary enormously in their a</w:t>
      </w:r>
      <w:r>
        <w:t>rchitecture, data standards, and openness to third-party integration, creating a fragmented landscape in which AI-CDSS developed in one institutional or technological context may not be readily deployable in another (Shickel et al., 2018). Interoperability</w:t>
      </w:r>
      <w:r>
        <w:t xml:space="preserve"> standards such as Fast Healthcare Interoperability Resources (FHIR) and Clinical Document Architecture offer pathways towards more seamless integration, but their implementation varies substantially across health systems and jurisdictions.</w:t>
      </w:r>
    </w:p>
    <w:p w14:paraId="068DD2AE" w14:textId="77777777" w:rsidR="002E76EF" w:rsidRDefault="005B0E7B" w:rsidP="008D36C2">
      <w:pPr>
        <w:jc w:val="both"/>
      </w:pPr>
      <w:r>
        <w:t>The embedding o</w:t>
      </w:r>
      <w:r>
        <w:t>f AI-generated alerts and recommendations within clinical workflows must be designed with care to avoid the phenomenon of alert fatigue—the tendency of clinicians to override or disregard automated notifications when they are perceived as excessive in freq</w:t>
      </w:r>
      <w:r>
        <w:t>uency, insufficiently specific, or insufficiently actionable (Kawamoto et al., 2005). Alert fatigue is a well-documented problem even with rule-based CDSS, where override rates for drug interaction alerts routinely exceed 90 per cent in some health systems</w:t>
      </w:r>
      <w:r>
        <w:t>. AI-CDSS that generate probabilistic risk scores rather than binary alerts may offer one pathway towards more nuanced, clinically meaningful integration, allowing clinicians to contextualise algorithmic outputs within their broader clinical assessment rat</w:t>
      </w:r>
      <w:r>
        <w:t>her than responding to simple threshold-triggered notifications.</w:t>
      </w:r>
    </w:p>
    <w:p w14:paraId="3091A7B4" w14:textId="77777777" w:rsidR="008D36C2" w:rsidRDefault="008D36C2" w:rsidP="008D36C2">
      <w:pPr>
        <w:jc w:val="both"/>
      </w:pPr>
    </w:p>
    <w:p w14:paraId="09D8035A" w14:textId="77777777" w:rsidR="002E76EF" w:rsidRDefault="005B0E7B" w:rsidP="008D36C2">
      <w:pPr>
        <w:pStyle w:val="Heading2"/>
        <w:spacing w:before="0" w:after="0"/>
      </w:pPr>
      <w:r>
        <w:t>6.2 Point-of-Care Applications</w:t>
      </w:r>
    </w:p>
    <w:p w14:paraId="48EC9217" w14:textId="77777777" w:rsidR="008D36C2" w:rsidRDefault="008D36C2" w:rsidP="008D36C2">
      <w:pPr>
        <w:pStyle w:val="Heading2"/>
        <w:spacing w:before="0" w:after="0"/>
      </w:pPr>
    </w:p>
    <w:p w14:paraId="3F0558A1" w14:textId="5F748D86" w:rsidR="002E76EF" w:rsidRDefault="005B0E7B" w:rsidP="008D36C2">
      <w:pPr>
        <w:jc w:val="both"/>
      </w:pPr>
      <w:r>
        <w:t>The development of AI-CDSS for point-of-care deployment—including in outpatient clinics, emergency departments, and at the bedside in inpatient settings—has b</w:t>
      </w:r>
      <w:r>
        <w:t>een facilitated by advances in mobile computing, cloud-based processing, and edge AI. Point-of-care AI applications in internal medicine include AI-enhanced interpretation of portable ultrasound images, real-time analysis of bedside monitoring data for ear</w:t>
      </w:r>
      <w:r>
        <w:t xml:space="preserve">ly warning of deterioration, and AI-assisted clinical documentation that generates structured clinical summaries from voice input. The rapidity with which AI outputs can be delivered in these settings creates new opportunities for timely clinical decision </w:t>
      </w:r>
      <w:r>
        <w:t>support but also raises questions about the conditions under which algorithmic recommendations should be communicated to clinicians and the training required to enable appropriate interpretation and use of AI-generated information.</w:t>
      </w:r>
      <w:r w:rsidR="008E380F">
        <w:t xml:space="preserve"> </w:t>
      </w:r>
      <w:r w:rsidR="008151C3" w:rsidRPr="008151C3">
        <w:t>Emerging real-world evidence further suggests that implementation questions may be at least as important as model performance, as Gallo et al. (2024) reported that deployment of an AI-enabled deterioration intervention in hospitalized patients was associated with reduced escalations in care, illustrating that workflow design and operational embedding can materially influence clinical impact</w:t>
      </w:r>
      <w:r w:rsidR="008E380F" w:rsidRPr="008E380F">
        <w:t>.</w:t>
      </w:r>
    </w:p>
    <w:p w14:paraId="227E5207" w14:textId="77777777" w:rsidR="008D36C2" w:rsidRDefault="008D36C2" w:rsidP="008D36C2">
      <w:pPr>
        <w:jc w:val="both"/>
      </w:pPr>
    </w:p>
    <w:p w14:paraId="4B25F686" w14:textId="77777777" w:rsidR="002E76EF" w:rsidRDefault="005B0E7B" w:rsidP="008D36C2">
      <w:pPr>
        <w:pStyle w:val="Heading2"/>
        <w:spacing w:before="0" w:after="0"/>
      </w:pPr>
      <w:r>
        <w:t>6.3 Clinician–AI Collaboration</w:t>
      </w:r>
    </w:p>
    <w:p w14:paraId="7F393401" w14:textId="77777777" w:rsidR="008D36C2" w:rsidRDefault="008D36C2" w:rsidP="008D36C2">
      <w:pPr>
        <w:pStyle w:val="Heading2"/>
        <w:spacing w:before="0" w:after="0"/>
      </w:pPr>
    </w:p>
    <w:p w14:paraId="0A6F4AF3" w14:textId="176C0755" w:rsidR="002E76EF" w:rsidRDefault="005B0E7B" w:rsidP="008D36C2">
      <w:pPr>
        <w:jc w:val="both"/>
      </w:pPr>
      <w:r>
        <w:t xml:space="preserve">A growing body of evidence suggests that the most effective deployment of AI-CDSS occurs not when algorithms operate as autonomous decision-makers but when they function as collaborative tools that augment and enrich clinician reasoning. Studies examining </w:t>
      </w:r>
      <w:r>
        <w:t xml:space="preserve">the </w:t>
      </w:r>
      <w:r>
        <w:lastRenderedPageBreak/>
        <w:t xml:space="preserve">combined performance of human clinicians and AI systems have found that AI-assisted clinical decision-making frequently outperforms either the human clinician or the AI system operating independently, a phenomenon that reflects the complementary error </w:t>
      </w:r>
      <w:r>
        <w:t xml:space="preserve">profiles of human and machine cognition. </w:t>
      </w:r>
      <w:r w:rsidR="00CA739B" w:rsidRPr="00CA739B">
        <w:t>More direct evidence for this claim was provided by Jabbour et al. (2023), whose multicentre randomized clinical vignette study found that clinician diagnostic accuracy improved when standard AI predictions were provided, but also showed that biased AI predictions could substantially worsen performance, underscoring that effective clinician–AI collaboration depends not only on model accuracy but also on bias detection, trust calibration, and safe interface design.</w:t>
      </w:r>
      <w:r w:rsidR="00CA739B">
        <w:t xml:space="preserve"> </w:t>
      </w:r>
      <w:r>
        <w:t>Cl</w:t>
      </w:r>
      <w:r>
        <w:t>inicians bring contextual knowledge, patient relationship understanding, and ethical sensitivity, whilst AI systems offer superior pattern recognition across high-dimensional data and freedom from cognitive biases rooted in recent clinical experience or em</w:t>
      </w:r>
      <w:r>
        <w:t>otional salience (Topol, 2019). Designing AI-CDSS interfaces and clinical workflows to foster effective human-AI collaboration, rather than simple algorithmic replacement of human judgement, is therefore a critical challenge for implementation science in t</w:t>
      </w:r>
      <w:r>
        <w:t>his domain.</w:t>
      </w:r>
    </w:p>
    <w:p w14:paraId="6A9AFEB4" w14:textId="77777777" w:rsidR="002E76EF" w:rsidRDefault="002E76EF" w:rsidP="008D36C2"/>
    <w:p w14:paraId="572A2298" w14:textId="77777777" w:rsidR="002E76EF" w:rsidRDefault="005B0E7B" w:rsidP="008D36C2">
      <w:pPr>
        <w:pStyle w:val="Heading1"/>
        <w:spacing w:before="0" w:after="0"/>
      </w:pPr>
      <w:r>
        <w:t>7. Limitations and Challenges</w:t>
      </w:r>
    </w:p>
    <w:p w14:paraId="4A8294F6" w14:textId="77777777" w:rsidR="008D36C2" w:rsidRDefault="008D36C2" w:rsidP="008D36C2">
      <w:pPr>
        <w:pStyle w:val="Heading1"/>
        <w:spacing w:before="0" w:after="0"/>
      </w:pPr>
    </w:p>
    <w:p w14:paraId="067E0DF2" w14:textId="77777777" w:rsidR="002E76EF" w:rsidRDefault="005B0E7B" w:rsidP="008D36C2">
      <w:pPr>
        <w:pStyle w:val="Heading2"/>
        <w:spacing w:before="0" w:after="0"/>
      </w:pPr>
      <w:r>
        <w:t>7.1 Algorithmic Bias and Health Inequity</w:t>
      </w:r>
    </w:p>
    <w:p w14:paraId="77173DC4" w14:textId="77777777" w:rsidR="008D36C2" w:rsidRDefault="008D36C2" w:rsidP="008D36C2">
      <w:pPr>
        <w:pStyle w:val="Heading2"/>
        <w:spacing w:before="0" w:after="0"/>
      </w:pPr>
    </w:p>
    <w:p w14:paraId="2CE99F88" w14:textId="77777777" w:rsidR="002E76EF" w:rsidRDefault="005B0E7B" w:rsidP="008D36C2">
      <w:pPr>
        <w:jc w:val="both"/>
      </w:pPr>
      <w:r>
        <w:t>One of the most serious limitations of AI-enhanced CDSS is their susceptibility to embedding and perpetuating the health inequities encoded within the clinical datasets u</w:t>
      </w:r>
      <w:r>
        <w:t>pon which they are trained. The study by Obermeyer et al. (2019) provided a seminal empirical demonstration of this risk, revealing that a widely used commercial algorithm employed to manage the health of large patient populations systematically underestim</w:t>
      </w:r>
      <w:r>
        <w:t xml:space="preserve">ated the health needs of Black patients relative to White patients with equivalent levels of illness. This bias arose because the algorithm used healthcare cost as a proxy for health need—a seemingly reasonable design choice that inadvertently encoded the </w:t>
      </w:r>
      <w:r>
        <w:t>historical under-utilisation of healthcare by Black Americans as evidence of lower clinical need. The study estimated that correcting this bias would increase the proportion of Black patients identified for enrolment in a high-risk care management programm</w:t>
      </w:r>
      <w:r>
        <w:t>e from 17.7 per cent to 46.5 per cent, representing a profound practical consequence for health equity.</w:t>
      </w:r>
    </w:p>
    <w:p w14:paraId="1999FB1A" w14:textId="77777777" w:rsidR="002E76EF" w:rsidRDefault="005B0E7B" w:rsidP="008D36C2">
      <w:pPr>
        <w:jc w:val="both"/>
      </w:pPr>
      <w:r>
        <w:t>The sources of algorithmic bias in health AI are multiple and heterogeneous, encompassing biases in training data arising from differential access to ca</w:t>
      </w:r>
      <w:r>
        <w:t>re, differential recording of clinical information, and historical disparities in research participation; biases introduced through feature selection and model design decisions; and biases in evaluation, where performance metrics are reported for aggregate</w:t>
      </w:r>
      <w:r>
        <w:t xml:space="preserve"> populations without stratification by race, sex, age, or socioeconomic status (Challen et al., 2019). Addressing algorithmic bias requires proactive strategies at every stage of the AI development lifecycle, from diverse and representative data collection</w:t>
      </w:r>
      <w:r>
        <w:t xml:space="preserve"> through to post-deployment monitoring of AI performance across patient subgroups. The failure to address bias at any of these stages risks not only individual patient harm but also the systematic amplification of existing health disparities at population </w:t>
      </w:r>
      <w:r>
        <w:t>scale, a consequence that is ethically unacceptable and directly contrary to the aims of equitable healthcare.</w:t>
      </w:r>
    </w:p>
    <w:p w14:paraId="6D730BAA" w14:textId="77777777" w:rsidR="008D36C2" w:rsidRDefault="008D36C2" w:rsidP="008D36C2">
      <w:pPr>
        <w:jc w:val="both"/>
      </w:pPr>
    </w:p>
    <w:p w14:paraId="4342CDFE" w14:textId="77777777" w:rsidR="002E76EF" w:rsidRDefault="005B0E7B" w:rsidP="008D36C2">
      <w:pPr>
        <w:pStyle w:val="Heading2"/>
        <w:spacing w:before="0" w:after="0"/>
      </w:pPr>
      <w:r>
        <w:t>7.2 Data Quality, Completeness, and Interoperability</w:t>
      </w:r>
    </w:p>
    <w:p w14:paraId="3FA2FD90" w14:textId="77777777" w:rsidR="008D36C2" w:rsidRDefault="008D36C2" w:rsidP="008D36C2">
      <w:pPr>
        <w:pStyle w:val="Heading2"/>
        <w:spacing w:before="0" w:after="0"/>
      </w:pPr>
    </w:p>
    <w:p w14:paraId="74E54FEE" w14:textId="77777777" w:rsidR="002E76EF" w:rsidRDefault="005B0E7B" w:rsidP="008D36C2">
      <w:pPr>
        <w:jc w:val="both"/>
      </w:pPr>
      <w:r>
        <w:t>The performance of AI-CDSS is fundamentally contingent upon the quality, completeness, and</w:t>
      </w:r>
      <w:r>
        <w:t xml:space="preserve"> consistency of the clinical data on which they are trained and upon which they operate. EHR data are notoriously susceptible to missing values, transcription errors, non-standard coding, </w:t>
      </w:r>
      <w:r>
        <w:lastRenderedPageBreak/>
        <w:t xml:space="preserve">and informative missingness—the phenomenon whereby the absence of a </w:t>
      </w:r>
      <w:r>
        <w:t>recorded value may itself carry clinical information, for example, the absence of a documented pain assessment in a clinically well patient. Models trained on data from a single institution or health system may learn institutional idiosyncrasies of data ca</w:t>
      </w:r>
      <w:r>
        <w:t>pture rather than generalisable clinical signals, limiting their applicability when deployed in different clinical environments (Goldstein et al., 2017). The challenge of data interoperability across health systems, already substantial within individual co</w:t>
      </w:r>
      <w:r>
        <w:t>untries, becomes acute when considering the aspiration to train AI models on international clinical data to improve generalisability and power across diverse patient populations.</w:t>
      </w:r>
    </w:p>
    <w:p w14:paraId="1C384251" w14:textId="77777777" w:rsidR="002E76EF" w:rsidRDefault="005B0E7B" w:rsidP="008D36C2">
      <w:pPr>
        <w:jc w:val="both"/>
      </w:pPr>
      <w:r>
        <w:t>Goldstein et al. (2017) identified a range of methodological challenges speci</w:t>
      </w:r>
      <w:r>
        <w:t>fic to the use of EHR data for clinical risk prediction, including selection bias arising from the non-random ascertainment of clinical populations, confounding by indication in observational treatment data, and temporal changes in coding and documentation</w:t>
      </w:r>
      <w:r>
        <w:t xml:space="preserve"> practices that may alter the relationship between recorded variables and clinical outcomes over time. These challenges are not unique to AI models but are often exacerbated by the high-dimensional, non-linear modelling approaches employed in deep learning</w:t>
      </w:r>
      <w:r>
        <w:t>, which may identify spurious associations in the training data with greater facility than simpler statistical methods. The implications for the development and evaluation of AI-CDSS are significant: models that appear highly performant in retrospective va</w:t>
      </w:r>
      <w:r>
        <w:t>lidation may fail to generalise to prospective clinical deployment in the same or different institutions.</w:t>
      </w:r>
    </w:p>
    <w:p w14:paraId="1B6FDC8A" w14:textId="77777777" w:rsidR="008D36C2" w:rsidRDefault="008D36C2" w:rsidP="008D36C2">
      <w:pPr>
        <w:jc w:val="both"/>
      </w:pPr>
    </w:p>
    <w:p w14:paraId="3554E3C9" w14:textId="77777777" w:rsidR="002E76EF" w:rsidRDefault="005B0E7B" w:rsidP="008D36C2">
      <w:pPr>
        <w:pStyle w:val="Heading2"/>
        <w:spacing w:before="0" w:after="0"/>
      </w:pPr>
      <w:r>
        <w:t>7.3 Explainability and the Black-Box Problem</w:t>
      </w:r>
    </w:p>
    <w:p w14:paraId="30EF9411" w14:textId="77777777" w:rsidR="008D36C2" w:rsidRDefault="008D36C2" w:rsidP="008D36C2">
      <w:pPr>
        <w:pStyle w:val="Heading2"/>
        <w:spacing w:before="0" w:after="0"/>
      </w:pPr>
    </w:p>
    <w:p w14:paraId="14B35F01" w14:textId="77777777" w:rsidR="002E76EF" w:rsidRDefault="005B0E7B" w:rsidP="008D36C2">
      <w:pPr>
        <w:jc w:val="both"/>
      </w:pPr>
      <w:r>
        <w:t>A fundamental tension in the deployment of AI-CDSS in clinical medicine arises from the conflict betwee</w:t>
      </w:r>
      <w:r>
        <w:t xml:space="preserve">n the superior predictive performance of complex, opaque models and the requirements of clinical accountability, regulatory compliance, and patient consent for transparent and interpretable decision-making. Deep neural networks, whilst often achieving the </w:t>
      </w:r>
      <w:r>
        <w:t>highest predictive accuracy, operate as black boxes in the sense that their internal reasoning processes are not directly accessible to human interpretation. This opacity poses significant challenges for clinicians, who are responsible for the decisions th</w:t>
      </w:r>
      <w:r>
        <w:t>ey make with or without algorithmic assistance and who need to understand the basis for algorithmic recommendations to exercise informed professional judgement (London, 2019).</w:t>
      </w:r>
    </w:p>
    <w:p w14:paraId="405059B1" w14:textId="77777777" w:rsidR="002E76EF" w:rsidRDefault="005B0E7B" w:rsidP="008D36C2">
      <w:pPr>
        <w:jc w:val="both"/>
      </w:pPr>
      <w:r>
        <w:t>The field of explainable AI has developed a range of techniques to provide post-</w:t>
      </w:r>
      <w:r>
        <w:t>hoc explanations of black-box model outputs, including attention mechanisms, saliency mapping, and additive feature attribution methods. However, as London (2019) has argued, the relationship between the accuracy of an explanation and the accuracy of the u</w:t>
      </w:r>
      <w:r>
        <w:t>nderlying model is not straightforward: a compelling but misleading explanation may be more dangerous than acknowledged uncertainty, particularly when it provides clinicians with misplaced confidence in an erroneous algorithmic recommendation. The developm</w:t>
      </w:r>
      <w:r>
        <w:t>ent of AI systems that are simultaneously highly accurate and genuinely interpretable, rather than simply plausible-seeming in their explanations, remains an unsolved problem at the frontier of both computer science and medical informatics.</w:t>
      </w:r>
    </w:p>
    <w:p w14:paraId="3099148E" w14:textId="77777777" w:rsidR="008D36C2" w:rsidRDefault="008D36C2" w:rsidP="008D36C2">
      <w:pPr>
        <w:jc w:val="both"/>
      </w:pPr>
    </w:p>
    <w:p w14:paraId="658DBB35" w14:textId="77777777" w:rsidR="002E76EF" w:rsidRDefault="005B0E7B" w:rsidP="008D36C2">
      <w:pPr>
        <w:pStyle w:val="Heading2"/>
        <w:spacing w:before="0" w:after="0"/>
      </w:pPr>
      <w:r>
        <w:t>7.4 Regulatory</w:t>
      </w:r>
      <w:r>
        <w:t xml:space="preserve"> Frameworks and Legal Accountability</w:t>
      </w:r>
    </w:p>
    <w:p w14:paraId="6F290424" w14:textId="77777777" w:rsidR="008D36C2" w:rsidRDefault="008D36C2" w:rsidP="008D36C2">
      <w:pPr>
        <w:pStyle w:val="Heading2"/>
        <w:spacing w:before="0" w:after="0"/>
      </w:pPr>
    </w:p>
    <w:p w14:paraId="0953CD47" w14:textId="77777777" w:rsidR="002E76EF" w:rsidRDefault="005B0E7B" w:rsidP="008D36C2">
      <w:pPr>
        <w:jc w:val="both"/>
      </w:pPr>
      <w:r>
        <w:t>The regulatory oversight of AI-CDSS presents a challenge of substantial complexity for national and supranational regulatory bodies, which must adapt frameworks designed for conventional medical devices and pharmaceuti</w:t>
      </w:r>
      <w:r>
        <w:t xml:space="preserve">cal products to accommodate a new category of software-based adaptive systems that may change their behaviour as they are exposed to new data. In the United States, the Food and Drug Administration has developed a framework for </w:t>
      </w:r>
      <w:r>
        <w:lastRenderedPageBreak/>
        <w:t>the regulation of AI/ML-base</w:t>
      </w:r>
      <w:r>
        <w:t>d software as a medical device, including provisions for monitoring and managing algorithmic change over the product lifecycle. In the European Union, the Artificial Intelligence Act introduces a tiered risk-based regulatory framework that classifies AI sy</w:t>
      </w:r>
      <w:r>
        <w:t>stems used in healthcare as high-risk, subject to conformity assessment, transparency requirements, and human oversight provisions.</w:t>
      </w:r>
    </w:p>
    <w:p w14:paraId="6EF6DB48" w14:textId="5A5F6EDC" w:rsidR="002E76EF" w:rsidRDefault="005B0E7B" w:rsidP="008D36C2">
      <w:pPr>
        <w:jc w:val="both"/>
      </w:pPr>
      <w:r>
        <w:t>Price et al. (2019) examined the potential liability implications for physicians who use AI-based systems in clinical practi</w:t>
      </w:r>
      <w:r>
        <w:t>ce, noting that the standard of care in an environment of widespread AI adoption may evolve in ways that create new duties—both to utilise AI tools where they are proven beneficial and to critically evaluate AI recommendations rather than accepting them un</w:t>
      </w:r>
      <w:r>
        <w:t xml:space="preserve">critically. The allocation of liability between AI developers, health system deployers, and individual clinicians when AI-assisted decisions result in patient harm remains legally unsettled in most jurisdictions, creating a climate of uncertainty that may </w:t>
      </w:r>
      <w:r>
        <w:t xml:space="preserve">itself impede the adoption of beneficial AI-CDSS. </w:t>
      </w:r>
      <w:r w:rsidR="00CA739B" w:rsidRPr="00CA739B">
        <w:t>Concerns about regulatory adequacy are also supported by empirical analysis: Lee et al. (2023) found that among FDA-authorized AI/ML clinical decision support devices relevant to critical care, only a minority cited peer-reviewed evidence, none provided software code for independent validation, and none reported evaluation of performance bias, highlighting important gaps between authorization pathways and the evidentiary standards needed for trustworthy clinical deployment.</w:t>
      </w:r>
      <w:r w:rsidR="00CA739B">
        <w:t xml:space="preserve"> </w:t>
      </w:r>
      <w:r>
        <w:t>Regulatory clarity and the development of liability frameworks proportionate to the actual risk profiles of specific AI applications are therefore important prerequisites for the responsible integration of AI into clinical practice.</w:t>
      </w:r>
    </w:p>
    <w:p w14:paraId="09CFC82F" w14:textId="77777777" w:rsidR="008D36C2" w:rsidRDefault="008D36C2" w:rsidP="008D36C2">
      <w:pPr>
        <w:jc w:val="both"/>
      </w:pPr>
    </w:p>
    <w:p w14:paraId="0F4745BB" w14:textId="77777777" w:rsidR="002E76EF" w:rsidRDefault="005B0E7B" w:rsidP="008D36C2">
      <w:pPr>
        <w:pStyle w:val="Heading2"/>
        <w:spacing w:before="0" w:after="0"/>
      </w:pPr>
      <w:r>
        <w:t>7.5 C</w:t>
      </w:r>
      <w:r>
        <w:t>linician Acceptance, Trust, and Alert Fatigue</w:t>
      </w:r>
    </w:p>
    <w:p w14:paraId="378D69A9" w14:textId="77777777" w:rsidR="008D36C2" w:rsidRDefault="008D36C2" w:rsidP="008D36C2">
      <w:pPr>
        <w:pStyle w:val="Heading2"/>
        <w:spacing w:before="0" w:after="0"/>
      </w:pPr>
    </w:p>
    <w:p w14:paraId="3C4AD20D" w14:textId="77777777" w:rsidR="002E76EF" w:rsidRDefault="005B0E7B" w:rsidP="008D36C2">
      <w:pPr>
        <w:jc w:val="both"/>
      </w:pPr>
      <w:r>
        <w:t xml:space="preserve">The successful implementation of AI-CDSS requires not only technically sound systems but also the active engagement and trust of the clinicians who must use them. Survey research has consistently found that </w:t>
      </w:r>
      <w:r>
        <w:t>whilst clinicians express generally positive attitudes towards the potential of AI in medicine, they harbour significant scepticism about the readiness of current systems for routine clinical deployment, with concerns about the displacement of clinical jud</w:t>
      </w:r>
      <w:r>
        <w:t xml:space="preserve">gement, erosion of the therapeutic relationship, and responsibility for AI-assisted errors (Jiang et al., 2017). Trust in AI-CDSS is influenced by factors including the perceived accuracy and reliability of the system, the clinician’s understanding of how </w:t>
      </w:r>
      <w:r>
        <w:t>it operates, the quality of the user interface, and the organisational culture within which it is deployed.</w:t>
      </w:r>
    </w:p>
    <w:p w14:paraId="1D6922A1" w14:textId="77777777" w:rsidR="002E76EF" w:rsidRDefault="005B0E7B" w:rsidP="008D36C2">
      <w:pPr>
        <w:jc w:val="both"/>
      </w:pPr>
      <w:r>
        <w:t>Alert fatigue represents a specific manifestation of the broader challenge of clinician acceptance. AI-CDSS that generate frequent, poorly calibrate</w:t>
      </w:r>
      <w:r>
        <w:t xml:space="preserve">d, or poorly contextualised alerts are likely to be ignored or disabled by clinicians, undermining their clinical value and potentially generating perverse incentives if alert override rates are used as a metric of system success. The co-design of AI-CDSS </w:t>
      </w:r>
      <w:r>
        <w:t>with frontline clinicians, through participatory implementation approaches that engage clinical staff at every stage from requirement specification to deployment and iterative refinement, is increasingly recognised as a critical determinant of adoption suc</w:t>
      </w:r>
      <w:r>
        <w:t>cess. Kelly et al. (2019) identified end-user engagement and iterative co-design as among the most important factors determining whether AI tools achieve meaningful clinical adoption, arguing that technical performance alone is insufficient to guarantee cl</w:t>
      </w:r>
      <w:r>
        <w:t>inical impact in complex, sociotechnical healthcare environments.</w:t>
      </w:r>
    </w:p>
    <w:p w14:paraId="65622F29" w14:textId="77777777" w:rsidR="002E76EF" w:rsidRDefault="002E76EF" w:rsidP="008D36C2"/>
    <w:p w14:paraId="02B82C56" w14:textId="77777777" w:rsidR="002E76EF" w:rsidRDefault="005B0E7B" w:rsidP="008D36C2">
      <w:pPr>
        <w:pStyle w:val="Heading1"/>
        <w:spacing w:before="0" w:after="0"/>
      </w:pPr>
      <w:r>
        <w:t>8. Ethical Considerations</w:t>
      </w:r>
    </w:p>
    <w:p w14:paraId="7F11AF40" w14:textId="77777777" w:rsidR="008D36C2" w:rsidRDefault="008D36C2" w:rsidP="008D36C2">
      <w:pPr>
        <w:pStyle w:val="Heading1"/>
        <w:spacing w:before="0" w:after="0"/>
      </w:pPr>
    </w:p>
    <w:p w14:paraId="6E899D0E" w14:textId="77777777" w:rsidR="002E76EF" w:rsidRDefault="005B0E7B" w:rsidP="008D36C2">
      <w:pPr>
        <w:jc w:val="both"/>
      </w:pPr>
      <w:r>
        <w:t>The deployment of AI-enhanced CDSS in clinical medicine raises profound ethical questions that extend beyond the technical performance characteristics of individu</w:t>
      </w:r>
      <w:r>
        <w:t xml:space="preserve">al systems. The use of AI to assist clinical decision-making engages fundamental values of patient autonomy, </w:t>
      </w:r>
      <w:r>
        <w:lastRenderedPageBreak/>
        <w:t>beneficence, non-maleficence, and justice, and requires careful ethical deliberation to ensure that AI integration serves rather than undermines th</w:t>
      </w:r>
      <w:r>
        <w:t>e central purposes of medicine.</w:t>
      </w:r>
    </w:p>
    <w:p w14:paraId="305B1CAC" w14:textId="77777777" w:rsidR="002E76EF" w:rsidRDefault="005B0E7B" w:rsidP="008D36C2">
      <w:pPr>
        <w:jc w:val="both"/>
      </w:pPr>
      <w:r>
        <w:t>Patient autonomy is implicated when AI systems are used to make or inform decisions about a patient’s diagnosis or treatment without the patient’s knowledge or meaningful consent. The World Health Organization (WHO, 2021) ha</w:t>
      </w:r>
      <w:r>
        <w:t>s emphasised that AI in health must be developed and deployed with respect for human dignity and autonomy, including transparency about when and how AI is being used in clinical care and meaningful mechanisms for patients to understand and, where appropria</w:t>
      </w:r>
      <w:r>
        <w:t>te, contest algorithmic recommendations. The WHO’s guidance further highlights that the benefits of AI in health must be shared equitably across populations and that the development and governance of health AI should include diverse voices, including those</w:t>
      </w:r>
      <w:r>
        <w:t xml:space="preserve"> of patients, communities, and healthcare workers in low- and middle-income countries, who are often under-represented in the data and decision-making processes that shape AI systems (WHO, 2021).</w:t>
      </w:r>
    </w:p>
    <w:p w14:paraId="3267C355" w14:textId="77777777" w:rsidR="002E76EF" w:rsidRDefault="005B0E7B" w:rsidP="008D36C2">
      <w:pPr>
        <w:jc w:val="both"/>
      </w:pPr>
      <w:r>
        <w:t xml:space="preserve">The aggregation of large-scale patient data for AI training </w:t>
      </w:r>
      <w:r>
        <w:t>raises important concerns about privacy and data protection. Price et al. (2019) have noted that the de-identification of EHR data provides imperfect privacy protection, given the demonstrated capacity of re-identification attacks to link ostensibly anonym</w:t>
      </w:r>
      <w:r>
        <w:t>ous clinical records to individual patients, particularly when multiple data fields are combined. Governance frameworks for the use of clinical data in AI development must therefore balance the public health benefits of large-scale data utilisation against</w:t>
      </w:r>
      <w:r>
        <w:t xml:space="preserve"> the privacy rights of individual patients, drawing upon principles of proportionality, necessity, and transparency that are articulated in data protection legislation and ethical guidance.</w:t>
      </w:r>
    </w:p>
    <w:p w14:paraId="51BD6D58" w14:textId="77777777" w:rsidR="002E76EF" w:rsidRDefault="005B0E7B" w:rsidP="008D36C2">
      <w:pPr>
        <w:jc w:val="both"/>
      </w:pPr>
      <w:r>
        <w:t>Char et al. (2018) identified a range of ethical challenges specif</w:t>
      </w:r>
      <w:r>
        <w:t>ic to the implementation of ML in healthcare, including the risk that automated decision support may entrench existing practice patterns and reduce the willingness of clinicians to consider unconventional diagnostic or therapeutic possibilities, the potent</w:t>
      </w:r>
      <w:r>
        <w:t>ial for AI systems to aggregate and amplify biases present in clinical data in ways that systematically disadvantage already marginalised patient populations, and the difficulty of assigning moral responsibility for adverse outcomes in a clinical environme</w:t>
      </w:r>
      <w:r>
        <w:t xml:space="preserve">nt where human and algorithmic decision-making are increasingly intertwined. These challenges call for sustained interdisciplinary engagement between clinicians, ethicists, patient advocates, and AI developers as AI-CDSS become more widely integrated into </w:t>
      </w:r>
      <w:r>
        <w:t>clinical practice. The aspiration of clinical AI to do no harm must be operationalised through robust governance structures, continuous post-market surveillance, and a culture of transparency and accountability extending across the entire AI development an</w:t>
      </w:r>
      <w:r>
        <w:t>d deployment ecosystem.</w:t>
      </w:r>
    </w:p>
    <w:p w14:paraId="6B189E29" w14:textId="77777777" w:rsidR="002E76EF" w:rsidRDefault="002E76EF" w:rsidP="008D36C2"/>
    <w:p w14:paraId="2A7878E4" w14:textId="77777777" w:rsidR="002E76EF" w:rsidRDefault="005B0E7B" w:rsidP="008D36C2">
      <w:pPr>
        <w:pStyle w:val="Heading1"/>
        <w:spacing w:before="0" w:after="0"/>
      </w:pPr>
      <w:r>
        <w:t>9. Future Prospects</w:t>
      </w:r>
    </w:p>
    <w:p w14:paraId="3A61CC29" w14:textId="77777777" w:rsidR="008D36C2" w:rsidRDefault="008D36C2" w:rsidP="008D36C2">
      <w:pPr>
        <w:pStyle w:val="Heading1"/>
        <w:spacing w:before="0" w:after="0"/>
      </w:pPr>
    </w:p>
    <w:p w14:paraId="6AC28F2E" w14:textId="77777777" w:rsidR="002E76EF" w:rsidRDefault="005B0E7B" w:rsidP="008D36C2">
      <w:pPr>
        <w:pStyle w:val="Heading2"/>
        <w:spacing w:before="0" w:after="0"/>
      </w:pPr>
      <w:r>
        <w:t>9.1 Federated Learning and Privacy-Preserving AI</w:t>
      </w:r>
    </w:p>
    <w:p w14:paraId="2DF576CB" w14:textId="77777777" w:rsidR="008D36C2" w:rsidRDefault="008D36C2" w:rsidP="008D36C2">
      <w:pPr>
        <w:pStyle w:val="Heading2"/>
        <w:spacing w:before="0" w:after="0"/>
      </w:pPr>
    </w:p>
    <w:p w14:paraId="44FBB512" w14:textId="77777777" w:rsidR="002E76EF" w:rsidRDefault="005B0E7B" w:rsidP="008D36C2">
      <w:pPr>
        <w:jc w:val="both"/>
      </w:pPr>
      <w:r>
        <w:t xml:space="preserve">One of the most promising methodological advances for addressing the data challenges of clinical AI is federated learning, a distributed machine learning </w:t>
      </w:r>
      <w:r>
        <w:t>paradigm in which models are trained collaboratively across multiple institutions without requiring the centralisation of patient data. In federated learning, the AI model is transmitted to each participating institution, trained locally on that institutio</w:t>
      </w:r>
      <w:r>
        <w:t>n’s data, and the learned model parameters—rather than the raw clinical data—are aggregated to produce a global model update. This approach preserves the privacy of individual patient records, addresses data governance concerns about cross-institutional da</w:t>
      </w:r>
      <w:r>
        <w:t>ta sharing, and enables the training of more generalisable models on data from diverse clinical populations than any single institution could provide (Rieke et al., 2020).</w:t>
      </w:r>
    </w:p>
    <w:p w14:paraId="075E59D2" w14:textId="77777777" w:rsidR="002E76EF" w:rsidRDefault="005B0E7B" w:rsidP="008D36C2">
      <w:pPr>
        <w:jc w:val="both"/>
      </w:pPr>
      <w:r>
        <w:lastRenderedPageBreak/>
        <w:t>Rieke et al. (2020) outlined the potential of federated learning to transform digita</w:t>
      </w:r>
      <w:r>
        <w:t>l health by enabling privacy-preserving collaboration at scale, noting applications in medical imaging analysis, EHR-based prediction, and genomics. The practical implementation of federated learning in healthcare is not without challenges: communication o</w:t>
      </w:r>
      <w:r>
        <w:t>verhead between federated sites, the statistical heterogeneity of clinical data across institutions, and the security risks of adversarial attacks on the federated learning process are active areas of research. Nevertheless, federated learning represents a</w:t>
      </w:r>
      <w:r>
        <w:t xml:space="preserve"> compelling architectural approach for the development of AI-CDSS that respect patient privacy whilst achieving the data scale required for robust, generalisable performance across diverse clinical populations.</w:t>
      </w:r>
    </w:p>
    <w:p w14:paraId="051E0ACB" w14:textId="77777777" w:rsidR="008D36C2" w:rsidRDefault="008D36C2" w:rsidP="008D36C2">
      <w:pPr>
        <w:jc w:val="both"/>
      </w:pPr>
    </w:p>
    <w:p w14:paraId="49A87E71" w14:textId="77777777" w:rsidR="002E76EF" w:rsidRDefault="005B0E7B" w:rsidP="008D36C2">
      <w:pPr>
        <w:pStyle w:val="Heading2"/>
        <w:spacing w:before="0" w:after="0"/>
      </w:pPr>
      <w:r>
        <w:t>9.2 Multimodal AI Systems</w:t>
      </w:r>
    </w:p>
    <w:p w14:paraId="0164CD42" w14:textId="77777777" w:rsidR="008D36C2" w:rsidRDefault="008D36C2" w:rsidP="008D36C2">
      <w:pPr>
        <w:pStyle w:val="Heading2"/>
        <w:spacing w:before="0" w:after="0"/>
      </w:pPr>
    </w:p>
    <w:p w14:paraId="600794E2" w14:textId="77777777" w:rsidR="002E76EF" w:rsidRDefault="005B0E7B" w:rsidP="008D36C2">
      <w:pPr>
        <w:jc w:val="both"/>
      </w:pPr>
      <w:r>
        <w:t>The clinical asse</w:t>
      </w:r>
      <w:r>
        <w:t>ssment of patients in internal medicine inherently involves the integration of multiple data modalities—clinical history, physical examination findings, laboratory results, imaging, physiological monitoring, and genomic information—into a synthesised clini</w:t>
      </w:r>
      <w:r>
        <w:t>cal judgement. Early AI-CDSS typically operated on a single data modality, leveraging either structured clinical data, medical images, or clinical text in isolation. The development of multimodal AI systems, capable of simultaneously processing and integra</w:t>
      </w:r>
      <w:r>
        <w:t>ting information from multiple data types, represents a significant advance towards AI-CDSS that more closely mirror the integrative reasoning of the experienced clinician. Acosta et al. (2022) reviewed the current landscape of multimodal biomedical AI, de</w:t>
      </w:r>
      <w:r>
        <w:t>scribing architectures that integrate imaging with clinical data, genomic information with pathology, and wearable sensor data with EHR records, demonstrating that multimodal approaches consistently outperform unimodal models on tasks requiring the integra</w:t>
      </w:r>
      <w:r>
        <w:t>tion of complementary information sources.</w:t>
      </w:r>
    </w:p>
    <w:p w14:paraId="1DE78828" w14:textId="77777777" w:rsidR="002E76EF" w:rsidRDefault="005B0E7B" w:rsidP="008D36C2">
      <w:pPr>
        <w:jc w:val="both"/>
      </w:pPr>
      <w:r>
        <w:t>The development of multimodal foundation models, pre-trained on large corpora of diverse biomedical data and fine-tuned for specific clinical tasks, represents a particularly promising direction for AI-CDSS develo</w:t>
      </w:r>
      <w:r>
        <w:t>pment. These models leverage the representational power of large-scale self-supervised pre-training to acquire rich biomedical knowledge that can be efficiently adapted to downstream clinical tasks with relatively limited labelled training data, addressing</w:t>
      </w:r>
      <w:r>
        <w:t xml:space="preserve"> one of the fundamental bottlenecks in clinical AI development—the scarcity of high-quality, expertly annotated training datasets for specialist diagnostic tasks. Acosta et al. (2022) identified multimodal foundation models as a key frontier in biomedical </w:t>
      </w:r>
      <w:r>
        <w:t>AI, noting that their development will require sustained interdisciplinary collaboration between AI researchers, clinicians, and biomedical scientists.</w:t>
      </w:r>
    </w:p>
    <w:p w14:paraId="16BA6A1D" w14:textId="77777777" w:rsidR="008D36C2" w:rsidRDefault="008D36C2" w:rsidP="008D36C2">
      <w:pPr>
        <w:jc w:val="both"/>
      </w:pPr>
    </w:p>
    <w:p w14:paraId="565F2924" w14:textId="77777777" w:rsidR="002E76EF" w:rsidRDefault="005B0E7B" w:rsidP="008D36C2">
      <w:pPr>
        <w:pStyle w:val="Heading2"/>
        <w:spacing w:before="0" w:after="0"/>
      </w:pPr>
      <w:r>
        <w:t>9.3 Large Language Models and Foundation Models in Clinical Practice</w:t>
      </w:r>
    </w:p>
    <w:p w14:paraId="41B13588" w14:textId="77777777" w:rsidR="008D36C2" w:rsidRDefault="008D36C2" w:rsidP="008D36C2">
      <w:pPr>
        <w:pStyle w:val="Heading2"/>
        <w:spacing w:before="0" w:after="0"/>
      </w:pPr>
    </w:p>
    <w:p w14:paraId="1BBA3647" w14:textId="77777777" w:rsidR="002E76EF" w:rsidRDefault="005B0E7B" w:rsidP="008D36C2">
      <w:pPr>
        <w:jc w:val="both"/>
      </w:pPr>
      <w:r>
        <w:t>The emergence of large language m</w:t>
      </w:r>
      <w:r>
        <w:t>odels (LLMs), trained on massive text corpora encompassing biomedical literature and clinical documentation, has introduced a qualitatively new capability into the clinical AI landscape: the capacity for natural language interaction that enables clinicians</w:t>
      </w:r>
      <w:r>
        <w:t xml:space="preserve"> to query AI systems in free text, receive synthesised clinical information, and engage in iterative, dialogue-based decision support. Singhal et al. (2023) demonstrated that a large language model fine-tuned on medical question-answering data achieved per</w:t>
      </w:r>
      <w:r>
        <w:t>formance on medical licensing examination questions that exceeded the passing threshold and approached the performance of physician experts, demonstrating that substantial clinical knowledge can be encoded within LLM parameters through appropriately design</w:t>
      </w:r>
      <w:r>
        <w:t>ed training procedures.</w:t>
      </w:r>
    </w:p>
    <w:p w14:paraId="51C1005B" w14:textId="604AA15C" w:rsidR="002E76EF" w:rsidRDefault="005B0E7B" w:rsidP="008D36C2">
      <w:pPr>
        <w:jc w:val="both"/>
      </w:pPr>
      <w:r>
        <w:t>The application of LLMs to clinical decision support raises important questions about accuracy, hallucination—the tendency of LLMs to generate plausible-sounding but factually incorrect information—and the appropriate scope of LLM-generated clinical guidan</w:t>
      </w:r>
      <w:r>
        <w:t xml:space="preserve">ce. </w:t>
      </w:r>
      <w:r w:rsidR="008E380F" w:rsidRPr="008E380F">
        <w:t xml:space="preserve">These concerns </w:t>
      </w:r>
      <w:r w:rsidR="008E380F" w:rsidRPr="008E380F">
        <w:lastRenderedPageBreak/>
        <w:t>are reinforced by a recent systematic review of 519 studies evaluating health care applications of LLMs, which found that only 5% used real patient care data and that fairness, bias, and toxicity were assessed far less often than accuracy, suggesting that the present evidence base remains methodologically immature for high-stakes deployment (</w:t>
      </w:r>
      <w:r w:rsidR="008E380F">
        <w:t>Bedi</w:t>
      </w:r>
      <w:r w:rsidR="008E380F" w:rsidRPr="008E380F">
        <w:t xml:space="preserve"> et al., 202</w:t>
      </w:r>
      <w:r w:rsidR="008151C3">
        <w:t>5</w:t>
      </w:r>
      <w:r w:rsidR="008E380F" w:rsidRPr="008E380F">
        <w:t>).</w:t>
      </w:r>
      <w:r w:rsidR="008E380F">
        <w:t xml:space="preserve"> </w:t>
      </w:r>
      <w:r>
        <w:t>The use of retrieval-augmented generation, in which LLM outputs are grounded in curated clinical knowledge sources rather than ge</w:t>
      </w:r>
      <w:r>
        <w:t xml:space="preserve">nerated purely from model parameters, represents one approach to mitigating the hallucination problem and improving the reliability of LLM-based clinical decision support. </w:t>
      </w:r>
      <w:r w:rsidR="008151C3" w:rsidRPr="008151C3">
        <w:t>The need for such safeguards is reinforced by recent empirical safety work, as Asgari et al. (2025) proposed a clinical framework for evaluating hallucinations and omission errors in medical text summarisation and showed that even apparently high-performing systems require structured error taxonomies and clinician-led review to establish acceptable safety thresholds for clinical use</w:t>
      </w:r>
      <w:r w:rsidR="00B019ED" w:rsidRPr="00B019ED">
        <w:t>.</w:t>
      </w:r>
      <w:r w:rsidR="00B019ED">
        <w:t xml:space="preserve"> </w:t>
      </w:r>
      <w:r>
        <w:t>The integration of LLMs into EHR systems as intelligent clinical assistants capable of drafting clinical documentation, synthesising patient summaries, and responding to clinical queries represents a rapidly a</w:t>
      </w:r>
      <w:r>
        <w:t xml:space="preserve">dvancing frontier that will require careful evaluation, governance, and monitoring to ensure that the benefits of these powerful tools are realised without introducing new categories of clinical risk. </w:t>
      </w:r>
      <w:r w:rsidR="009E6651">
        <w:t>R</w:t>
      </w:r>
      <w:r w:rsidR="009E6651" w:rsidRPr="009E6651">
        <w:t>ecent evaluation on emergency department clinical notes showed that large language models can generate clinically relevant recommendations for admission status, radiological investigations, and antibiotic prescription decisions, but performance remained task-dependent and incomplete enough to justify continued human oversight in operational use (Ayers et al., 2024).</w:t>
      </w:r>
      <w:r w:rsidR="009E6651">
        <w:t xml:space="preserve"> </w:t>
      </w:r>
      <w:r>
        <w:t>Rajpurkar et al. (2022) noted that LLMs and foundation models represent a paradigmatic shift in medical AI, with the potential to democratise access to clinical knowledge and decision support in se</w:t>
      </w:r>
      <w:r>
        <w:t>ttings where specialist expertise is scarce.</w:t>
      </w:r>
    </w:p>
    <w:p w14:paraId="212FD679" w14:textId="77777777" w:rsidR="008D36C2" w:rsidRDefault="008D36C2" w:rsidP="008D36C2">
      <w:pPr>
        <w:jc w:val="both"/>
      </w:pPr>
    </w:p>
    <w:p w14:paraId="74379698" w14:textId="77777777" w:rsidR="002E76EF" w:rsidRDefault="005B0E7B" w:rsidP="008D36C2">
      <w:pPr>
        <w:pStyle w:val="Heading2"/>
        <w:spacing w:before="0" w:after="0"/>
      </w:pPr>
      <w:r>
        <w:t>9.4 Precision Medicine and Personalised Diagnostics</w:t>
      </w:r>
    </w:p>
    <w:p w14:paraId="58357E32" w14:textId="77777777" w:rsidR="008D36C2" w:rsidRDefault="008D36C2" w:rsidP="008D36C2">
      <w:pPr>
        <w:pStyle w:val="Heading2"/>
        <w:spacing w:before="0" w:after="0"/>
      </w:pPr>
    </w:p>
    <w:p w14:paraId="139948DF" w14:textId="77777777" w:rsidR="002E76EF" w:rsidRDefault="005B0E7B" w:rsidP="008D36C2">
      <w:pPr>
        <w:jc w:val="both"/>
      </w:pPr>
      <w:r>
        <w:t>The aspiration of precision medicine—to deliver the right treatment to the right patient at the right time, informed by individual-level biological, environm</w:t>
      </w:r>
      <w:r>
        <w:t>ental, and behavioural data—aligns naturally with the capabilities of AI-CDSS. AI systems trained on multi-omics data, including genomics, transcriptomics, proteomics, and metabolomics, integrated with clinical records and environmental exposures, offer th</w:t>
      </w:r>
      <w:r>
        <w:t>e prospect of diagnostic and therapeutic recommendations tailored to the biological individuality of each patient rather than based solely on population-level evidence. In internal medicine, precision AI-CDSS have been explored for the subclassification of</w:t>
      </w:r>
      <w:r>
        <w:t xml:space="preserve"> heterogeneous conditions such as heart failure, diabetes, and asthma into biologically distinct subtypes that may respond differently to therapeutic interventions, enabling more targeted and effective treatment selection.</w:t>
      </w:r>
    </w:p>
    <w:p w14:paraId="7A8D4C07" w14:textId="3BAE4149" w:rsidR="002E76EF" w:rsidRDefault="005B0E7B" w:rsidP="008D36C2">
      <w:pPr>
        <w:jc w:val="both"/>
      </w:pPr>
      <w:r>
        <w:t>Rajpurkar et al. (2022) identifie</w:t>
      </w:r>
      <w:r>
        <w:t>d precision medicine applications as among the most impactful potential contributions of AI to health and medicine over the coming decade, noting that the convergence of large-scale biomarker data with AI analytical methods creates opportunities to discove</w:t>
      </w:r>
      <w:r>
        <w:t>r new disease subtypes, identify novel therapeutic targets, and predict individual treatment responses with greater accuracy than conventional clinical criteria permit. Realising this potential will require sustained investment in biomarker measurement inf</w:t>
      </w:r>
      <w:r>
        <w:t xml:space="preserve">rastructure, longitudinal research cohorts, and the computational methods needed to analyse multi-omic data at the scale and complexity required for clinically actionable precision diagnostics. </w:t>
      </w:r>
      <w:r w:rsidR="009C4FC8" w:rsidRPr="009C4FC8">
        <w:t>More broadly, review-level discussion from pharmaceutical research has also emphasised that machine learning is increasingly being used across drug development, predictive modelling, and translational health applications, supporting the wider movement toward data-intensive personalised care pathways (Nagaprasad et al., 2021).</w:t>
      </w:r>
      <w:r w:rsidR="009C4FC8">
        <w:t xml:space="preserve"> </w:t>
      </w:r>
      <w:r>
        <w:t xml:space="preserve">The ethical dimensions of precision AI-CDSS, including questions of data ownership, equitable access to precision diagnostic tools, </w:t>
      </w:r>
      <w:r>
        <w:lastRenderedPageBreak/>
        <w:t>and the implications of probabilistic disease risk information for patients and insurers, will also require carefu</w:t>
      </w:r>
      <w:r>
        <w:t>l consideration as these systems mature towards routine clinical deployment.</w:t>
      </w:r>
    </w:p>
    <w:p w14:paraId="19AAB184" w14:textId="77777777" w:rsidR="002E76EF" w:rsidRDefault="002E76EF" w:rsidP="008D36C2"/>
    <w:p w14:paraId="4468C9ED" w14:textId="77777777" w:rsidR="002E76EF" w:rsidRDefault="005B0E7B" w:rsidP="008D36C2">
      <w:pPr>
        <w:pStyle w:val="Heading1"/>
        <w:spacing w:before="0" w:after="0"/>
      </w:pPr>
      <w:r>
        <w:t>10. Conclusions</w:t>
      </w:r>
    </w:p>
    <w:p w14:paraId="66745401" w14:textId="77777777" w:rsidR="008D36C2" w:rsidRDefault="008D36C2" w:rsidP="008D36C2">
      <w:pPr>
        <w:pStyle w:val="Heading1"/>
        <w:spacing w:before="0" w:after="0"/>
      </w:pPr>
    </w:p>
    <w:p w14:paraId="0317730D" w14:textId="77777777" w:rsidR="002E76EF" w:rsidRDefault="005B0E7B" w:rsidP="008D36C2">
      <w:pPr>
        <w:jc w:val="both"/>
      </w:pPr>
      <w:r>
        <w:t>Artificial intelligence–enhanced clinical decision support systems represent one of the most consequential developments in the recent history of internal medicin</w:t>
      </w:r>
      <w:r>
        <w:t>e, offering the prospect of augmenting clinician diagnostic reasoning, reducing medical errors, and improving patient outcomes across a wide range of clinical domains. The evidence reviewed in this article demonstrates that AI systems have achieved impress</w:t>
      </w:r>
      <w:r>
        <w:t xml:space="preserve">ive diagnostic performance in specific, well-defined tasks including cardiovascular risk stratification, arrhythmia detection, diabetic retinopathy screening, sepsis prediction, and the identification of occult malignancy from routine clinical data. These </w:t>
      </w:r>
      <w:r>
        <w:t>achievements represent the capacity of algorithms to extract clinically meaningful patterns from complex, high-dimensional data in ways that genuinely complement the capabilities of human clinicians.</w:t>
      </w:r>
    </w:p>
    <w:p w14:paraId="35A5670E" w14:textId="77777777" w:rsidR="002E76EF" w:rsidRDefault="005B0E7B" w:rsidP="008D36C2">
      <w:pPr>
        <w:jc w:val="both"/>
      </w:pPr>
      <w:r>
        <w:t>However, the path from proof-of-concept demonstration to</w:t>
      </w:r>
      <w:r>
        <w:t xml:space="preserve"> reliable, equitable, and trustworthy deployment in routine internal medicine practice is neither short nor straightforward. The limitations identified in this review—algorithmic bias, dependence on data quality and completeness, the black-box opacity of h</w:t>
      </w:r>
      <w:r>
        <w:t>igh-performance deep learning models, regulatory complexity, legal ambiguity, and the persistent challenge of clinician trust and alert fatigue—are not merely technical inconveniences to be resolved through algorithmic refinement. They reflect deeper struc</w:t>
      </w:r>
      <w:r>
        <w:t>tural challenges rooted in the heterogeneity of clinical data, the complexity of healthcare systems, the legitimate concerns of patients about transparency and autonomy, and the irreducibly social character of clinical medicine. Addressing these challenges</w:t>
      </w:r>
      <w:r>
        <w:t xml:space="preserve"> requires engagement from across the full spectrum of stakeholders: clinicians, patients, data scientists, ethicists, health system leaders, and regulatory authorities.</w:t>
      </w:r>
    </w:p>
    <w:p w14:paraId="256F59CF" w14:textId="77777777" w:rsidR="002E76EF" w:rsidRDefault="005B0E7B" w:rsidP="008D36C2">
      <w:pPr>
        <w:jc w:val="both"/>
      </w:pPr>
      <w:r>
        <w:t>The future of AI-enhanced CDSS in internal medicine is characterised by compelling tech</w:t>
      </w:r>
      <w:r>
        <w:t xml:space="preserve">nological promise, particularly in the areas of federated learning, multimodal AI, large language model integration, and precision diagnostics. Realising this promise will require a commitment to rigorous prospective validation, attention to health equity </w:t>
      </w:r>
      <w:r>
        <w:t>throughout the AI development lifecycle, the creation of transparent and appropriately flexible regulatory frameworks, and sustained investment in the implementation science needed to translate algorithmic capability into genuine clinical benefit. When dev</w:t>
      </w:r>
      <w:r>
        <w:t>eloped and deployed with appropriate care, governance, and humility, AI-enhanced CDSS have the potential to become an indispensable component of internal medicine practice in the decades ahead, augmenting the capacities of clinicians and improving outcomes</w:t>
      </w:r>
      <w:r>
        <w:t xml:space="preserve"> for patients in ways that neither humans nor algorithms could achieve independently.</w:t>
      </w:r>
    </w:p>
    <w:p w14:paraId="3BD51CE3" w14:textId="77777777" w:rsidR="002E76EF" w:rsidRDefault="002E76EF" w:rsidP="008D36C2"/>
    <w:p w14:paraId="79C1FD43" w14:textId="77777777" w:rsidR="002E76EF" w:rsidRDefault="005B0E7B" w:rsidP="008D36C2">
      <w:pPr>
        <w:pStyle w:val="Heading1"/>
        <w:spacing w:before="0" w:after="0"/>
      </w:pPr>
      <w:r>
        <w:t>11. Limitations of This Review</w:t>
      </w:r>
    </w:p>
    <w:p w14:paraId="5EAE5376" w14:textId="77777777" w:rsidR="008D36C2" w:rsidRDefault="008D36C2" w:rsidP="008D36C2">
      <w:pPr>
        <w:pStyle w:val="Heading1"/>
        <w:spacing w:before="0" w:after="0"/>
      </w:pPr>
    </w:p>
    <w:p w14:paraId="221DFA83" w14:textId="77777777" w:rsidR="002E76EF" w:rsidRDefault="005B0E7B" w:rsidP="008D36C2">
      <w:pPr>
        <w:jc w:val="both"/>
      </w:pPr>
      <w:r>
        <w:t>This review is subject to several inherent limitations that readers should consider when interpreting its findings. As a narrative review</w:t>
      </w:r>
      <w:r>
        <w:t>, it does not employ formal meta-analytic methods that would permit quantitative synthesis of reported performance metrics across studies. The selection of primary studies was guided by the expertise and judgement of the authors, introducing the possibilit</w:t>
      </w:r>
      <w:r>
        <w:t>y of selection bias in favour of higher-profile or more widely cited publications. The rapidly evolving nature of the AI-CDSS field means that literature published during and after the drafting of this review may contain important findings not reflected he</w:t>
      </w:r>
      <w:r>
        <w:t xml:space="preserve">rein. The review does not systematically address health systems outside of high-income countries, where the challenges of data infrastructure, digital health investment, and </w:t>
      </w:r>
      <w:r>
        <w:lastRenderedPageBreak/>
        <w:t>equitable AI deployment may differ substantially from those discussed in the conte</w:t>
      </w:r>
      <w:r>
        <w:t>xt of well-resourced health systems. Furthermore, given the broad scope of the topic, coverage of individual subspecialty domains and specific AI technologies is inevitably selective rather than exhaustive, and readers with specialist interests in particul</w:t>
      </w:r>
      <w:r>
        <w:t>ar clinical areas or algorithmic approaches are encouraged to supplement this review with more focused domain-specific literature. The possibility of publication bias in the primary studies reviewed—whereby studies reporting positive AI performance are mor</w:t>
      </w:r>
      <w:r>
        <w:t>e likely to be published and indexed than those reporting null or negative findings—should also be acknowledged as a limitation of the available evidence base.</w:t>
      </w:r>
    </w:p>
    <w:p w14:paraId="73204123" w14:textId="77777777" w:rsidR="002E76EF" w:rsidRDefault="002E76EF" w:rsidP="008D36C2"/>
    <w:p w14:paraId="376FDBD8" w14:textId="77777777" w:rsidR="002E76EF" w:rsidRDefault="005B0E7B" w:rsidP="008D36C2">
      <w:pPr>
        <w:pStyle w:val="Heading1"/>
        <w:spacing w:before="0" w:after="0"/>
      </w:pPr>
      <w:r>
        <w:t>References</w:t>
      </w:r>
    </w:p>
    <w:p w14:paraId="5951B852" w14:textId="77777777" w:rsidR="002E76EF" w:rsidRDefault="005B0E7B" w:rsidP="008D36C2">
      <w:pPr>
        <w:ind w:left="720" w:hanging="720"/>
      </w:pPr>
      <w:r>
        <w:t>Acosta, J. N., Falcone, G. J., Rajpurkar, P., &amp; Topol, E. J. (2022). Multimodal biom</w:t>
      </w:r>
      <w:r>
        <w:t xml:space="preserve">edical AI. </w:t>
      </w:r>
      <w:r>
        <w:rPr>
          <w:i/>
          <w:iCs/>
        </w:rPr>
        <w:t>Nature Medicine, 28</w:t>
      </w:r>
      <w:r>
        <w:t>(9), 1773–1784. https://doi.org/10.1038/s41591-022-01981-2</w:t>
      </w:r>
    </w:p>
    <w:p w14:paraId="2F190D3D" w14:textId="77777777" w:rsidR="002E76EF" w:rsidRDefault="005B0E7B" w:rsidP="008D36C2">
      <w:pPr>
        <w:ind w:left="720" w:hanging="720"/>
      </w:pPr>
      <w:r>
        <w:t xml:space="preserve">Bates, D. W., &amp; Gawande, A. A. (2003). Improving safety with information technology. </w:t>
      </w:r>
      <w:r>
        <w:rPr>
          <w:i/>
          <w:iCs/>
        </w:rPr>
        <w:t>New England Journal of Medicine, 348</w:t>
      </w:r>
      <w:r>
        <w:t xml:space="preserve">(25), 2526–2534. </w:t>
      </w:r>
      <w:r>
        <w:t>https://doi.org/10.1056/NEJMsa020847</w:t>
      </w:r>
    </w:p>
    <w:p w14:paraId="6F1DA2C4" w14:textId="77777777" w:rsidR="002E76EF" w:rsidRDefault="005B0E7B" w:rsidP="008D36C2">
      <w:pPr>
        <w:ind w:left="720" w:hanging="720"/>
      </w:pPr>
      <w:r>
        <w:t xml:space="preserve">Beam, A. L., &amp; Kohane, I. S. (2018). Big data and machine learning in health care. </w:t>
      </w:r>
      <w:r>
        <w:rPr>
          <w:i/>
          <w:iCs/>
        </w:rPr>
        <w:t>JAMA, 319</w:t>
      </w:r>
      <w:r>
        <w:t>(13), 1317–1318. https://doi.org/10.1001/jama.2017.18391</w:t>
      </w:r>
    </w:p>
    <w:p w14:paraId="5EFA2F97" w14:textId="77777777" w:rsidR="002E76EF" w:rsidRDefault="005B0E7B" w:rsidP="008D36C2">
      <w:pPr>
        <w:ind w:left="720" w:hanging="720"/>
      </w:pPr>
      <w:r>
        <w:t>Challen, R., Denny, J., Pitt, M., Gompels, L., Edwards, T., &amp; Tsaneva-</w:t>
      </w:r>
      <w:r>
        <w:t xml:space="preserve">Atanasova, K. (2019). Artificial intelligence, bias and clinical safety. </w:t>
      </w:r>
      <w:r>
        <w:rPr>
          <w:i/>
          <w:iCs/>
        </w:rPr>
        <w:t>BMJ Quality &amp; Safety, 28</w:t>
      </w:r>
      <w:r>
        <w:t>(3), 231–237. https://doi.org/10.1136/bmjqs-2018-008370</w:t>
      </w:r>
    </w:p>
    <w:p w14:paraId="3F008D65" w14:textId="77777777" w:rsidR="002E76EF" w:rsidRDefault="005B0E7B" w:rsidP="008D36C2">
      <w:pPr>
        <w:ind w:left="720" w:hanging="720"/>
      </w:pPr>
      <w:r>
        <w:t>Char, D. S., Shah, N. H., &amp; Magnus, D. (2018). Implementing machine learning in health care — addressin</w:t>
      </w:r>
      <w:r>
        <w:t xml:space="preserve">g ethical challenges. </w:t>
      </w:r>
      <w:r>
        <w:rPr>
          <w:i/>
          <w:iCs/>
        </w:rPr>
        <w:t>New England Journal of Medicine, 378</w:t>
      </w:r>
      <w:r>
        <w:t>(11), 981–983. https://doi.org/10.1056/NEJMp1714229</w:t>
      </w:r>
    </w:p>
    <w:p w14:paraId="133D37DB" w14:textId="77777777" w:rsidR="002E76EF" w:rsidRDefault="005B0E7B" w:rsidP="008D36C2">
      <w:pPr>
        <w:ind w:left="720" w:hanging="720"/>
      </w:pPr>
      <w:r>
        <w:t xml:space="preserve">Christodoulou, E., Ma, J., Collins, G. S., Steyerberg, E. W., Verbakel, J. Y., &amp; Van Calster, B. (2019). A systematic review shows no performance </w:t>
      </w:r>
      <w:r>
        <w:t xml:space="preserve">benefit of machine learning over logistic regression for clinical prediction models. </w:t>
      </w:r>
      <w:r>
        <w:rPr>
          <w:i/>
          <w:iCs/>
        </w:rPr>
        <w:t>Journal of Clinical Epidemiology, 110</w:t>
      </w:r>
      <w:r>
        <w:t>, 12–22. https://doi.org/10.1016/j.jclinepi.2019.02.004</w:t>
      </w:r>
    </w:p>
    <w:p w14:paraId="2E949012" w14:textId="77777777" w:rsidR="002E76EF" w:rsidRDefault="005B0E7B" w:rsidP="008D36C2">
      <w:pPr>
        <w:ind w:left="720" w:hanging="720"/>
      </w:pPr>
      <w:r>
        <w:t xml:space="preserve">Esteva, A., Kuprel, B., Novoa, R. A., Ko, J., Swetter, S. M., Blau, H. M., &amp; Thrun, S. (2017). Dermatologist-level classification of skin cancer with deep neural networks. </w:t>
      </w:r>
      <w:r>
        <w:rPr>
          <w:i/>
          <w:iCs/>
        </w:rPr>
        <w:t>Nature, 542</w:t>
      </w:r>
      <w:r>
        <w:t>(7639), 115–118. https://doi.org/10.1038/nature21056</w:t>
      </w:r>
    </w:p>
    <w:p w14:paraId="1467CF45" w14:textId="77777777" w:rsidR="002E76EF" w:rsidRDefault="005B0E7B" w:rsidP="008D36C2">
      <w:pPr>
        <w:ind w:left="720" w:hanging="720"/>
      </w:pPr>
      <w:r>
        <w:t>Fleuren, L. M., Klau</w:t>
      </w:r>
      <w:r>
        <w:t>sch, T. L. T., Zwager, C. L., Schoonmade, L. J., Guo, T., Roggeveen, L. F., Swart, E. L., Girbes, A. R. J., Thoral, P., Ercole, A., Hoogendoorn, M., &amp; Elbers, P. W. G. (2020). Machine learning for the prediction of sepsis: A systematic review and meta-anal</w:t>
      </w:r>
      <w:r>
        <w:t xml:space="preserve">ysis of diagnostic test accuracy. </w:t>
      </w:r>
      <w:r>
        <w:rPr>
          <w:i/>
          <w:iCs/>
        </w:rPr>
        <w:t>Intensive Care Medicine, 46</w:t>
      </w:r>
      <w:r>
        <w:t>(3), 383–400. https://doi.org/10.1007/s00134-019-05872-y</w:t>
      </w:r>
    </w:p>
    <w:p w14:paraId="6D873D8A" w14:textId="77777777" w:rsidR="002E76EF" w:rsidRDefault="005B0E7B" w:rsidP="008D36C2">
      <w:pPr>
        <w:ind w:left="720" w:hanging="720"/>
      </w:pPr>
      <w:r>
        <w:t>Goldstein, B. A., Navar, A. M., Pencina, M. J., &amp; Ioannidis, J. P. A. (2017). Opportunities and challenges in developing risk prediction m</w:t>
      </w:r>
      <w:r>
        <w:t xml:space="preserve">odels with electronic health records data: A systematic review. </w:t>
      </w:r>
      <w:r>
        <w:rPr>
          <w:i/>
          <w:iCs/>
        </w:rPr>
        <w:t>Journal of the American Medical Informatics Association, 24</w:t>
      </w:r>
      <w:r>
        <w:t>(1), 198–208. https://doi.org/10.1093/jamia/ocw042</w:t>
      </w:r>
    </w:p>
    <w:p w14:paraId="7850CF2A" w14:textId="77777777" w:rsidR="002E76EF" w:rsidRDefault="005B0E7B" w:rsidP="008D36C2">
      <w:pPr>
        <w:ind w:left="720" w:hanging="720"/>
      </w:pPr>
      <w:r>
        <w:t>Gulshan, V., Peng, L., Coram, M., Stumpe, M. C., Wu, D., Narayanaswamy, A., Venugo</w:t>
      </w:r>
      <w:r>
        <w:t xml:space="preserve">palan, S., Widner, K., Madams, T., Cuadros, J., Kim, R., Raman, R., Nelson, P. C., Mega, J. L., &amp; Webster, D. R. (2016). Development and validation of a deep learning algorithm for detection of diabetic retinopathy in retinal fundus photographs. </w:t>
      </w:r>
      <w:r>
        <w:rPr>
          <w:i/>
          <w:iCs/>
        </w:rPr>
        <w:t>JAMA, 316</w:t>
      </w:r>
      <w:r>
        <w:t>(</w:t>
      </w:r>
      <w:r>
        <w:t>22), 2402–2410. https://doi.org/10.1001/jama.2016.17216</w:t>
      </w:r>
    </w:p>
    <w:p w14:paraId="4F287E29" w14:textId="77777777" w:rsidR="002E76EF" w:rsidRDefault="005B0E7B" w:rsidP="008D36C2">
      <w:pPr>
        <w:ind w:left="720" w:hanging="720"/>
      </w:pPr>
      <w:r>
        <w:t xml:space="preserve">Hannun, A. Y., Rajpurkar, P., Haghpanahi, M., Tison, G. H., Bourn, C., Turakhia, M. P., &amp; Ng, A. Y. (2019). Cardiologist-level arrhythmia detection and classification in ambulatory electrocardiograms </w:t>
      </w:r>
      <w:r>
        <w:t xml:space="preserve">using a deep neural network. </w:t>
      </w:r>
      <w:r>
        <w:rPr>
          <w:i/>
          <w:iCs/>
        </w:rPr>
        <w:t>Nature Medicine, 25</w:t>
      </w:r>
      <w:r>
        <w:t>(1), 65–69. https://doi.org/10.1038/s41591-018-0268-3</w:t>
      </w:r>
    </w:p>
    <w:p w14:paraId="5F7CC721" w14:textId="77777777" w:rsidR="002E76EF" w:rsidRDefault="005B0E7B" w:rsidP="008D36C2">
      <w:pPr>
        <w:ind w:left="720" w:hanging="720"/>
      </w:pPr>
      <w:r>
        <w:t>Jiang, F., Jiang, Y., Zhi, H., Dong, Y., Li, H., Ma, S., Wang, Y., Dong, Q., Shen, H., &amp; Wang, Y. (2017). Artificial intelligence in healthcare: Past, pre</w:t>
      </w:r>
      <w:r>
        <w:t xml:space="preserve">sent and future. </w:t>
      </w:r>
      <w:r>
        <w:rPr>
          <w:i/>
          <w:iCs/>
        </w:rPr>
        <w:t>Stroke and Vascular Neurology, 2</w:t>
      </w:r>
      <w:r>
        <w:t>(4), 230–243. https://doi.org/10.1136/svn-2017-000101</w:t>
      </w:r>
    </w:p>
    <w:p w14:paraId="50F02DD4" w14:textId="77777777" w:rsidR="002E76EF" w:rsidRDefault="005B0E7B" w:rsidP="008D36C2">
      <w:pPr>
        <w:ind w:left="720" w:hanging="720"/>
      </w:pPr>
      <w:r>
        <w:t>Kawamoto, K., Houlihan, C. A., Balas, E. A., &amp; Lobach, D. F. (2005). Improving clinical practice using clinical decision support systems: A systematic re</w:t>
      </w:r>
      <w:r>
        <w:t xml:space="preserve">view of trials to identify features critical to success. </w:t>
      </w:r>
      <w:r>
        <w:rPr>
          <w:i/>
          <w:iCs/>
        </w:rPr>
        <w:t>BMJ, 330</w:t>
      </w:r>
      <w:r>
        <w:t>(7494), 765. https://doi.org/10.1136/bmj.38398.500764.8F</w:t>
      </w:r>
    </w:p>
    <w:p w14:paraId="291B0CFC" w14:textId="77777777" w:rsidR="002E76EF" w:rsidRDefault="005B0E7B" w:rsidP="008D36C2">
      <w:pPr>
        <w:ind w:left="720" w:hanging="720"/>
      </w:pPr>
      <w:r>
        <w:t>Kelly, C. J., Karthikesalingam, A., Suleyman, M., Corrado, G., &amp; King, D. (2019). Key challenges for delivering clinical impact with a</w:t>
      </w:r>
      <w:r>
        <w:t xml:space="preserve">rtificial intelligence. </w:t>
      </w:r>
      <w:r>
        <w:rPr>
          <w:i/>
          <w:iCs/>
        </w:rPr>
        <w:t>BMC Medicine, 17</w:t>
      </w:r>
      <w:r>
        <w:t>(1), 195. https://doi.org/10.1186/s12916-019-1426-2</w:t>
      </w:r>
    </w:p>
    <w:p w14:paraId="0DCDF9C4" w14:textId="77777777" w:rsidR="002E76EF" w:rsidRDefault="005B0E7B" w:rsidP="008D36C2">
      <w:pPr>
        <w:ind w:left="720" w:hanging="720"/>
      </w:pPr>
      <w:r>
        <w:t xml:space="preserve">London, A. J. (2019). Artificial intelligence and black-box medical decisions: Accuracy versus explainability. </w:t>
      </w:r>
      <w:r>
        <w:rPr>
          <w:i/>
          <w:iCs/>
        </w:rPr>
        <w:t>Hastings Center Report, 49</w:t>
      </w:r>
      <w:r>
        <w:t>(1), 15–21. https://doi.org</w:t>
      </w:r>
      <w:r>
        <w:t>/10.1002/hast.973</w:t>
      </w:r>
    </w:p>
    <w:p w14:paraId="31F37BFE" w14:textId="77777777" w:rsidR="002E76EF" w:rsidRDefault="005B0E7B" w:rsidP="008D36C2">
      <w:pPr>
        <w:ind w:left="720" w:hanging="720"/>
      </w:pPr>
      <w:r>
        <w:t xml:space="preserve">Miotto, R., Wang, F., Wang, S., Jiang, X., &amp; Dudley, J. T. (2018). Deep learning for healthcare: Review, opportunities and challenges. </w:t>
      </w:r>
      <w:r>
        <w:rPr>
          <w:i/>
          <w:iCs/>
        </w:rPr>
        <w:t>Briefings in Bioinformatics, 19</w:t>
      </w:r>
      <w:r>
        <w:t>(6), 1236–1246. https://doi.org/10.1093/bib/bbx044</w:t>
      </w:r>
    </w:p>
    <w:p w14:paraId="64E8840E" w14:textId="77777777" w:rsidR="002E76EF" w:rsidRDefault="005B0E7B" w:rsidP="008D36C2">
      <w:pPr>
        <w:ind w:left="720" w:hanging="720"/>
      </w:pPr>
      <w:r>
        <w:t>Obermeyer, Z., &amp; Eman</w:t>
      </w:r>
      <w:r>
        <w:t xml:space="preserve">uel, E. J. (2016). Predicting the future — big data, machine learning, and clinical medicine. </w:t>
      </w:r>
      <w:r>
        <w:rPr>
          <w:i/>
          <w:iCs/>
        </w:rPr>
        <w:t>New England Journal of Medicine, 375</w:t>
      </w:r>
      <w:r>
        <w:t>(13), 1216–1219. https://doi.org/10.1056/NEJMp1606181</w:t>
      </w:r>
    </w:p>
    <w:p w14:paraId="471F038C" w14:textId="77777777" w:rsidR="002E76EF" w:rsidRDefault="005B0E7B" w:rsidP="008D36C2">
      <w:pPr>
        <w:ind w:left="720" w:hanging="720"/>
      </w:pPr>
      <w:r>
        <w:t>Obermeyer, Z., Powers, B., Vogeli, C., &amp; Mullainathan, S. (2019). Dissec</w:t>
      </w:r>
      <w:r>
        <w:t xml:space="preserve">ting racial bias in an algorithm used to manage the health of populations. </w:t>
      </w:r>
      <w:r>
        <w:rPr>
          <w:i/>
          <w:iCs/>
        </w:rPr>
        <w:t>Science, 366</w:t>
      </w:r>
      <w:r>
        <w:t>(6464), 447–453. https://doi.org/10.1126/science.aax2342</w:t>
      </w:r>
    </w:p>
    <w:p w14:paraId="0BD7F25F" w14:textId="77777777" w:rsidR="002E76EF" w:rsidRDefault="005B0E7B" w:rsidP="008D36C2">
      <w:pPr>
        <w:ind w:left="720" w:hanging="720"/>
      </w:pPr>
      <w:r>
        <w:t>Price, W. N., Gerke, S., &amp; Cohen, I. G. (2019). Potential liability for physicians using artificial intelligence</w:t>
      </w:r>
      <w:r>
        <w:t xml:space="preserve">. </w:t>
      </w:r>
      <w:r>
        <w:rPr>
          <w:i/>
          <w:iCs/>
        </w:rPr>
        <w:t>JAMA, 322</w:t>
      </w:r>
      <w:r>
        <w:t>(18), 1765–1766. https://doi.org/10.1001/jama.2019.15064</w:t>
      </w:r>
    </w:p>
    <w:p w14:paraId="7679D830" w14:textId="77777777" w:rsidR="002E76EF" w:rsidRDefault="005B0E7B" w:rsidP="008D36C2">
      <w:pPr>
        <w:ind w:left="720" w:hanging="720"/>
      </w:pPr>
      <w:r>
        <w:t xml:space="preserve">Rajpurkar, P., Chen, E., Banerjee, O., &amp; Topol, E. J. (2022). AI in health and medicine. </w:t>
      </w:r>
      <w:r>
        <w:rPr>
          <w:i/>
          <w:iCs/>
        </w:rPr>
        <w:t>Nature Medicine, 28</w:t>
      </w:r>
      <w:r>
        <w:t>(1), 31–38. https://doi.org/10.1038/s41591-021-01614-0</w:t>
      </w:r>
    </w:p>
    <w:p w14:paraId="3B6793B0" w14:textId="77777777" w:rsidR="002E76EF" w:rsidRDefault="005B0E7B" w:rsidP="008D36C2">
      <w:pPr>
        <w:ind w:left="720" w:hanging="720"/>
      </w:pPr>
      <w:r>
        <w:t>Rieke, N., Hancox, J., Li</w:t>
      </w:r>
      <w:r>
        <w:t>, W., Milletarì, F., Roth, H. R., Albarqouni, S., Bakas, S., Galtier, M. N., Landman, B. A., Maier-Hein, K., Ourselin, S., Sheller, M., Summers, R. M., Trask, A., Xu, D., Baust, M., &amp; Cardoso, M. J. (2020). The future of digital health with federated learn</w:t>
      </w:r>
      <w:r>
        <w:t xml:space="preserve">ing. </w:t>
      </w:r>
      <w:r>
        <w:rPr>
          <w:i/>
          <w:iCs/>
        </w:rPr>
        <w:t>npj Digital Medicine, 3</w:t>
      </w:r>
      <w:r>
        <w:t>(1), 119. https://doi.org/10.1038/s41746-020-00323-1</w:t>
      </w:r>
    </w:p>
    <w:p w14:paraId="0F99904C" w14:textId="77777777" w:rsidR="002E76EF" w:rsidRDefault="005B0E7B" w:rsidP="008D36C2">
      <w:pPr>
        <w:ind w:left="720" w:hanging="720"/>
      </w:pPr>
      <w:r>
        <w:t xml:space="preserve">Shameer, K., Johnson, K. W., Glicksberg, B. S., Dudley, J. T., &amp; Sengupta, P. P. (2018). Machine learning in cardiovascular medicine: Are we there yet? </w:t>
      </w:r>
      <w:r>
        <w:rPr>
          <w:i/>
          <w:iCs/>
        </w:rPr>
        <w:t>Heart, 104</w:t>
      </w:r>
      <w:r>
        <w:t>(14), 1156–11</w:t>
      </w:r>
      <w:r>
        <w:t>64. https://doi.org/10.1136/heartjnl-2017-311198</w:t>
      </w:r>
    </w:p>
    <w:p w14:paraId="1141606B" w14:textId="77777777" w:rsidR="002E76EF" w:rsidRDefault="005B0E7B" w:rsidP="008D36C2">
      <w:pPr>
        <w:ind w:left="720" w:hanging="720"/>
      </w:pPr>
      <w:r>
        <w:t xml:space="preserve">Shickel, B., Tighe, P. J., Bihorac, A., &amp; Rashidi, P. (2018). Deep EHR: A survey of recent advances in deep learning techniques for electronic health record (EHR) analysis. </w:t>
      </w:r>
      <w:r>
        <w:rPr>
          <w:i/>
          <w:iCs/>
        </w:rPr>
        <w:t>IEEE Journal of Biomedical and Hea</w:t>
      </w:r>
      <w:r>
        <w:rPr>
          <w:i/>
          <w:iCs/>
        </w:rPr>
        <w:t>lth Informatics, 22</w:t>
      </w:r>
      <w:r>
        <w:t>(5), 1589–1604. https://doi.org/10.1109/JBHI.2017.2767063</w:t>
      </w:r>
    </w:p>
    <w:p w14:paraId="141CB42D" w14:textId="77777777" w:rsidR="002E76EF" w:rsidRDefault="005B0E7B" w:rsidP="008D36C2">
      <w:pPr>
        <w:ind w:left="720" w:hanging="720"/>
      </w:pPr>
      <w:r>
        <w:t xml:space="preserve">Shortliffe, E. H., &amp; Sepúlveda, M. J. (2018). Clinical decision support in the era of artificial intelligence. </w:t>
      </w:r>
      <w:r>
        <w:rPr>
          <w:i/>
          <w:iCs/>
        </w:rPr>
        <w:t>JAMA, 320</w:t>
      </w:r>
      <w:r>
        <w:t>(21), 2199–2200. https://doi.org/10.1001/jama.2018.17163</w:t>
      </w:r>
    </w:p>
    <w:p w14:paraId="2C38EAE1" w14:textId="77777777" w:rsidR="002E76EF" w:rsidRDefault="005B0E7B" w:rsidP="008D36C2">
      <w:pPr>
        <w:ind w:left="720" w:hanging="720"/>
      </w:pPr>
      <w:r>
        <w:t>Si</w:t>
      </w:r>
      <w:r>
        <w:t>nghal, K., Azizi, S., Tu, T., Mahdavi, S. S., Wei, J., Chung, H. W., Scales, N., Tanwani, A., Cole-Lewis, H., Pfohl, S., Payne, P., Seneviratne, M., Gamble, P., Kelly, C., Babiker, A., Schärli, N., Chowdhery, A., Mansfield, P., Demner-Fushman, D., … Natara</w:t>
      </w:r>
      <w:r>
        <w:t xml:space="preserve">jan, V. (2023). Large language models encode clinical knowledge. </w:t>
      </w:r>
      <w:r>
        <w:rPr>
          <w:i/>
          <w:iCs/>
        </w:rPr>
        <w:t>Nature, 620</w:t>
      </w:r>
      <w:r>
        <w:t>(7972), 172–180. https://doi.org/10.1038/s41586-023-06291-2</w:t>
      </w:r>
    </w:p>
    <w:p w14:paraId="1E978CFC" w14:textId="77777777" w:rsidR="002E76EF" w:rsidRDefault="005B0E7B" w:rsidP="008D36C2">
      <w:pPr>
        <w:ind w:left="720" w:hanging="720"/>
      </w:pPr>
      <w:r>
        <w:t xml:space="preserve">Topol, E. J. (2019). High-performance medicine: The convergence of human and artificial intelligence. </w:t>
      </w:r>
      <w:r>
        <w:rPr>
          <w:i/>
          <w:iCs/>
        </w:rPr>
        <w:t>Nature Medicine, 2</w:t>
      </w:r>
      <w:r>
        <w:rPr>
          <w:i/>
          <w:iCs/>
        </w:rPr>
        <w:t>5</w:t>
      </w:r>
      <w:r>
        <w:t>(1), 44–56. https://doi.org/10.1038/s41591-018-0300-7</w:t>
      </w:r>
    </w:p>
    <w:p w14:paraId="370871D2" w14:textId="77777777" w:rsidR="002E76EF" w:rsidRDefault="005B0E7B" w:rsidP="008D36C2">
      <w:pPr>
        <w:ind w:left="720" w:hanging="720"/>
      </w:pPr>
      <w:r>
        <w:t xml:space="preserve">Weng, S. F., Reps, J., Kai, J., Garibaldi, J. M., &amp; Qureshi, N. (2017). Can machine-learning improve cardiovascular risk prediction using routine clinical data? </w:t>
      </w:r>
      <w:r>
        <w:rPr>
          <w:i/>
          <w:iCs/>
        </w:rPr>
        <w:t>PLOS ONE, 12</w:t>
      </w:r>
      <w:r>
        <w:t xml:space="preserve">(4), e0174944. </w:t>
      </w:r>
      <w:r>
        <w:t>https://doi.org/10.1371/journal.pone.0174944</w:t>
      </w:r>
    </w:p>
    <w:p w14:paraId="5A0349B3" w14:textId="0FA0F70B" w:rsidR="002E76EF" w:rsidRDefault="005B0E7B" w:rsidP="008D36C2">
      <w:pPr>
        <w:ind w:left="720" w:hanging="720"/>
      </w:pPr>
      <w:r>
        <w:t xml:space="preserve">World Health Organization. (2021). </w:t>
      </w:r>
      <w:r>
        <w:rPr>
          <w:i/>
          <w:iCs/>
        </w:rPr>
        <w:t>Ethics and governance of artificial intelligence for health.</w:t>
      </w:r>
      <w:r>
        <w:t xml:space="preserve"> </w:t>
      </w:r>
      <w:hyperlink r:id="rId7" w:history="1">
        <w:r w:rsidR="00CA739B" w:rsidRPr="00AE57C8">
          <w:rPr>
            <w:rStyle w:val="Hyperlink"/>
          </w:rPr>
          <w:t>https://www.who.int/publications/i/item/9789240029200</w:t>
        </w:r>
      </w:hyperlink>
    </w:p>
    <w:p w14:paraId="3C3B8E7A" w14:textId="1B48E3B0" w:rsidR="00CA739B" w:rsidRDefault="00CA739B" w:rsidP="00CA739B">
      <w:pPr>
        <w:ind w:left="720" w:hanging="720"/>
      </w:pPr>
      <w:r>
        <w:t xml:space="preserve">Dicente Cid, Y., Macpherson, M., Gervais-Andre, L., Zhu, Y., Franco, G., Santeramo, R., Lim, C., Selby, I., Muthuswamy, K., Amlani, A., Hopewell, H., Indrajeet, D., Liakata, M., Hutchinson, C. E., Goh, V., &amp; Montana, G. (2024). Development and validation of open-source deep neural networks for comprehensive chest x-ray reading: A retrospective, multicentre study. The Lancet Digital Health, 6(1), e44–e57. </w:t>
      </w:r>
      <w:hyperlink r:id="rId8" w:history="1">
        <w:r w:rsidRPr="00AE57C8">
          <w:rPr>
            <w:rStyle w:val="Hyperlink"/>
          </w:rPr>
          <w:t>https://doi.org/10.1016/S2589-7500(23)00218-2</w:t>
        </w:r>
      </w:hyperlink>
      <w:r>
        <w:t xml:space="preserve"> </w:t>
      </w:r>
    </w:p>
    <w:p w14:paraId="53D5C02D" w14:textId="71D3C136" w:rsidR="00CA739B" w:rsidRDefault="00CA739B" w:rsidP="00CA739B">
      <w:pPr>
        <w:ind w:left="720" w:hanging="720"/>
      </w:pPr>
      <w:r>
        <w:t xml:space="preserve">Placido, D., Yuan, B., Hjaltelin, J. X., Zheng, C., Haue, A. D., Chmura, P. J., ... &amp; Sander, C. (2023). A deep learning algorithm to predict risk of pancreatic cancer from disease trajectories. Nature medicine, 29(5), 1113-1122. </w:t>
      </w:r>
      <w:hyperlink r:id="rId9" w:history="1">
        <w:r w:rsidRPr="00AE57C8">
          <w:rPr>
            <w:rStyle w:val="Hyperlink"/>
          </w:rPr>
          <w:t>https://doi.org/10.1038/s41591-023-02332-5</w:t>
        </w:r>
      </w:hyperlink>
      <w:r>
        <w:t xml:space="preserve"> </w:t>
      </w:r>
    </w:p>
    <w:p w14:paraId="4A3A60BA" w14:textId="48696D5C" w:rsidR="00CA739B" w:rsidRDefault="00CA739B" w:rsidP="00CA739B">
      <w:pPr>
        <w:ind w:left="720" w:hanging="720"/>
      </w:pPr>
      <w:r>
        <w:t xml:space="preserve">Zhang, Y., Xu, D., Gao, J., Wang, R., Yan, K., Liang, H., ... &amp; Yang, L. (2025). Development and validation of a real-time prediction model for acute kidney injury in hospitalized patients. Nature communications, 16(1), 68. </w:t>
      </w:r>
      <w:hyperlink r:id="rId10" w:history="1">
        <w:r w:rsidRPr="00AE57C8">
          <w:rPr>
            <w:rStyle w:val="Hyperlink"/>
          </w:rPr>
          <w:t>https://doi.org/10.1038/s41467-024-55629-5</w:t>
        </w:r>
      </w:hyperlink>
      <w:r>
        <w:t xml:space="preserve"> </w:t>
      </w:r>
    </w:p>
    <w:p w14:paraId="3C9DAC5E" w14:textId="182B74F8" w:rsidR="00CA739B" w:rsidRDefault="00CA739B" w:rsidP="00CA739B">
      <w:pPr>
        <w:ind w:left="720" w:hanging="720"/>
      </w:pPr>
      <w:r>
        <w:t xml:space="preserve">Jabbour, S., Fouhey, D., Shepard, S., Valley, T. S., Kazerooni, E. A., Banovic, N., ... &amp; Sjoding, M. W. (2023). Measuring the impact of AI in the diagnosis of hospitalized patients: a randomized clinical vignette survey study. Jama, 330(23), 2275-2284. </w:t>
      </w:r>
      <w:hyperlink r:id="rId11" w:history="1">
        <w:r w:rsidRPr="00AE57C8">
          <w:rPr>
            <w:rStyle w:val="Hyperlink"/>
          </w:rPr>
          <w:t>https://doi.org/10.1001/jama.2023.22295</w:t>
        </w:r>
      </w:hyperlink>
      <w:r>
        <w:t xml:space="preserve"> </w:t>
      </w:r>
    </w:p>
    <w:p w14:paraId="07EA621A" w14:textId="5CC5BB58" w:rsidR="00CA739B" w:rsidRDefault="00CA739B" w:rsidP="00CA739B">
      <w:pPr>
        <w:ind w:left="720" w:hanging="720"/>
      </w:pPr>
      <w:r>
        <w:t xml:space="preserve">Han, R., Acosta, J. N., Shakeri, Z., Ioannidis, J. P., Topol, E. J., &amp; Rajpurkar, P. (2024). Randomised controlled trials evaluating artificial intelligence in clinical practice: a scoping review. The lancet digital health, 6(5), e367-e373. </w:t>
      </w:r>
      <w:hyperlink r:id="rId12" w:history="1">
        <w:r w:rsidRPr="00AE57C8">
          <w:rPr>
            <w:rStyle w:val="Hyperlink"/>
          </w:rPr>
          <w:t>https://doi.org/10.1016/S2589-7500(24)00047-5</w:t>
        </w:r>
      </w:hyperlink>
      <w:r>
        <w:t xml:space="preserve"> </w:t>
      </w:r>
    </w:p>
    <w:p w14:paraId="0F41BC5A" w14:textId="7C19D821" w:rsidR="00CA739B" w:rsidRDefault="00CA739B" w:rsidP="00CA739B">
      <w:pPr>
        <w:ind w:left="720" w:hanging="720"/>
      </w:pPr>
      <w:r>
        <w:t xml:space="preserve">Lee, J. T., Moffett, A. T., Maliha, G., Faraji, Z., Kanter, G. P., &amp; Weissman, G. E. (2023). Analysis of devices authorized by the FDA for clinical decision support in critical care. JAMA Internal Medicine, 183(12), 1399–1401. </w:t>
      </w:r>
      <w:hyperlink r:id="rId13" w:history="1">
        <w:r w:rsidRPr="00AE57C8">
          <w:rPr>
            <w:rStyle w:val="Hyperlink"/>
          </w:rPr>
          <w:t>https://doi.org/10.1001/jamainternmed.2023.5002</w:t>
        </w:r>
      </w:hyperlink>
      <w:r>
        <w:t xml:space="preserve"> </w:t>
      </w:r>
    </w:p>
    <w:p w14:paraId="7EF41FF6" w14:textId="261A6D4E" w:rsidR="00B019ED" w:rsidRDefault="00B019ED" w:rsidP="00B019ED">
      <w:pPr>
        <w:ind w:left="720" w:hanging="720"/>
      </w:pPr>
      <w:r>
        <w:t xml:space="preserve">Ha, E. J., Lee, J. H., Lee, D. H., Moon, J., Lee, H., Kim, Y. J., Seo, H., Choi, N., Koh, Y. H., Hwang, J. A., Lee, J., Cho, B. Y., Kim, E.-K., &amp; Kim, J.-H. (2024). Artificial intelligence model assisting thyroid nodule diagnosis and management: A multicenter diagnostic study. The Journal of Clinical Endocrinology &amp; Metabolism, 109(2), 527–535. </w:t>
      </w:r>
      <w:hyperlink r:id="rId14" w:history="1">
        <w:r w:rsidRPr="00AE57C8">
          <w:rPr>
            <w:rStyle w:val="Hyperlink"/>
          </w:rPr>
          <w:t>https://doi.org/10.1210/clinem/dgad503</w:t>
        </w:r>
      </w:hyperlink>
      <w:r>
        <w:t xml:space="preserve"> </w:t>
      </w:r>
    </w:p>
    <w:p w14:paraId="767B0D76" w14:textId="3C061F0F" w:rsidR="00B019ED" w:rsidRDefault="00B019ED" w:rsidP="00B019ED">
      <w:pPr>
        <w:ind w:left="720" w:hanging="720"/>
      </w:pPr>
      <w:r>
        <w:t xml:space="preserve">Zhou, Y., Chen, C., Yao, J., Yu, J., Feng, B., Sui, L., Yan, Y., Chen, X., Liu, Y., Zhang, X., Wang, H., Pan, Q., Zou, W., Zhang, Q., Lin, L., Xu, C., Yuan, S., He, Q., Ding, X., ... Xu, D. (2025). A deep learning based ultrasound diagnostic tool driven by 3D visualization of thyroid nodules. npj Digital Medicine, 8, Article 126. </w:t>
      </w:r>
      <w:hyperlink r:id="rId15" w:history="1">
        <w:r w:rsidRPr="00AE57C8">
          <w:rPr>
            <w:rStyle w:val="Hyperlink"/>
          </w:rPr>
          <w:t>https://doi.org/10.1038/s41746-025-01455-y</w:t>
        </w:r>
      </w:hyperlink>
      <w:r>
        <w:t xml:space="preserve"> </w:t>
      </w:r>
    </w:p>
    <w:p w14:paraId="69C053B0" w14:textId="197C6ED1" w:rsidR="00B019ED" w:rsidRDefault="00B019ED" w:rsidP="00B019ED">
      <w:pPr>
        <w:ind w:left="720" w:hanging="720"/>
      </w:pPr>
      <w:r>
        <w:t xml:space="preserve">Blechman, S. E., &amp; Wright, E. S. (2024). Applications of machine learning on electronic health record data to combat antibiotic resistance. The Journal of Infectious Diseases, 230(5), 1073-1082. </w:t>
      </w:r>
      <w:hyperlink r:id="rId16" w:history="1">
        <w:r w:rsidRPr="00AE57C8">
          <w:rPr>
            <w:rStyle w:val="Hyperlink"/>
          </w:rPr>
          <w:t>https://doi.org/10.1093/infdis/jiae348</w:t>
        </w:r>
      </w:hyperlink>
      <w:r>
        <w:t xml:space="preserve"> </w:t>
      </w:r>
    </w:p>
    <w:p w14:paraId="12576F77" w14:textId="3BF8BE2F" w:rsidR="00B019ED" w:rsidRDefault="00B019ED" w:rsidP="00B019ED">
      <w:pPr>
        <w:ind w:left="720" w:hanging="720"/>
      </w:pPr>
      <w:r>
        <w:t xml:space="preserve">Gallo, R. J., Shieh, L., Smith, M., Marafino, B. J., Geldsetzer, P., Asch, S. M., ... &amp; Li, R. C. (2024). Effectiveness of an artificial intelligence–enabled intervention for detecting clinical deterioration. JAMA internal medicine, 184(5), 557-562. </w:t>
      </w:r>
      <w:hyperlink r:id="rId17" w:history="1">
        <w:r w:rsidRPr="00AE57C8">
          <w:rPr>
            <w:rStyle w:val="Hyperlink"/>
          </w:rPr>
          <w:t>https://doi.org/10.1001/jamainternmed.2024.0084</w:t>
        </w:r>
      </w:hyperlink>
      <w:r>
        <w:t xml:space="preserve"> </w:t>
      </w:r>
    </w:p>
    <w:p w14:paraId="3F5BEA9E" w14:textId="4853EAD6" w:rsidR="00B019ED" w:rsidRDefault="00B019ED" w:rsidP="00B019ED">
      <w:pPr>
        <w:ind w:left="720" w:hanging="720"/>
      </w:pPr>
      <w:r>
        <w:t xml:space="preserve">Bedi, S., Liu, Y., Orr-Ewing, L., Dash, D., Koyejo, S., Callahan, A., ... &amp; Shah, N. H. (2025). Testing and evaluation of health care applications of large language models: a systematic review. Jama, 333(4), 319-328. </w:t>
      </w:r>
      <w:hyperlink r:id="rId18" w:history="1">
        <w:r w:rsidRPr="00AE57C8">
          <w:rPr>
            <w:rStyle w:val="Hyperlink"/>
          </w:rPr>
          <w:t>https://doi.org/10.1001/jama.2024.21700</w:t>
        </w:r>
      </w:hyperlink>
      <w:r>
        <w:t xml:space="preserve"> </w:t>
      </w:r>
    </w:p>
    <w:p w14:paraId="162F00CC" w14:textId="6CB3E9F6" w:rsidR="00B019ED" w:rsidRDefault="00B019ED" w:rsidP="00B019ED">
      <w:pPr>
        <w:ind w:left="720" w:hanging="720"/>
      </w:pPr>
      <w:r>
        <w:t xml:space="preserve">Asgari, E., Montaña-Brown, N., Dubois, M., Khalil, S., Balloch, J., Au Yeung, J., &amp; Pimenta, D. (2025). A framework to assess clinical safety and hallucination rates of LLMs for medical text summarisation. npj Digital Medicine, 8, Article 274. </w:t>
      </w:r>
      <w:hyperlink r:id="rId19" w:history="1">
        <w:r w:rsidRPr="00AE57C8">
          <w:rPr>
            <w:rStyle w:val="Hyperlink"/>
          </w:rPr>
          <w:t>https://doi.org/10.1038/s41746-025-01670-7</w:t>
        </w:r>
      </w:hyperlink>
      <w:r>
        <w:t xml:space="preserve"> </w:t>
      </w:r>
    </w:p>
    <w:p w14:paraId="5F8FA7A6" w14:textId="761D2FE0" w:rsidR="009E6651" w:rsidRDefault="009E6651" w:rsidP="00B019ED">
      <w:pPr>
        <w:ind w:left="720" w:hanging="720"/>
      </w:pPr>
      <w:r w:rsidRPr="009E6651">
        <w:t xml:space="preserve">Ayers, J. W., Poliak, A., Dredze, M., et al. (2024). Evaluating the use of large language models to provide clinical recommendations in the Emergency Department. Nature Communications, 15, Article 8236. </w:t>
      </w:r>
      <w:hyperlink r:id="rId20" w:history="1">
        <w:r w:rsidRPr="00AE57C8">
          <w:rPr>
            <w:rStyle w:val="Hyperlink"/>
          </w:rPr>
          <w:t>https://doi.org/10.1038/s41467-024-52415-1</w:t>
        </w:r>
      </w:hyperlink>
    </w:p>
    <w:p w14:paraId="41C2C3E1" w14:textId="55947E95" w:rsidR="009C4FC8" w:rsidRDefault="009C4FC8" w:rsidP="00B019ED">
      <w:pPr>
        <w:ind w:left="720" w:hanging="720"/>
      </w:pPr>
      <w:r w:rsidRPr="009C4FC8">
        <w:t xml:space="preserve">Uhoranishema, B., Odufuwa, P., Rabbles, K. E., Nsanzumukunzi, F., Rhoda, K. T., Shasere, B. E., &amp; Ibrahim, M. S. (2025). Artificial intelligence applications for early disease detection in U.S. healthcare systems. Journal of Advances in Medicine and Medical Research, 37(12), 355–375. </w:t>
      </w:r>
      <w:hyperlink r:id="rId21" w:history="1">
        <w:r w:rsidRPr="00AE57C8">
          <w:rPr>
            <w:rStyle w:val="Hyperlink"/>
          </w:rPr>
          <w:t>https://doi.org/10.9734/jammr/2025/v37i126024</w:t>
        </w:r>
      </w:hyperlink>
    </w:p>
    <w:p w14:paraId="79ABDB8F" w14:textId="0C3CDE5B" w:rsidR="009C4FC8" w:rsidRDefault="009C4FC8" w:rsidP="00B019ED">
      <w:pPr>
        <w:ind w:left="720" w:hanging="720"/>
      </w:pPr>
      <w:r w:rsidRPr="009C4FC8">
        <w:t xml:space="preserve">Nagaprasad, S., Padmaja, D. L., Qureshi, Y., Bangare, S. L., Mishra, M., &amp; Mazumdar, B. D. (2021). Investigating the impact of machine learning in pharmaceutical industry. Journal of Pharmaceutical Research International, 33(46A), 6–14. </w:t>
      </w:r>
      <w:hyperlink r:id="rId22" w:history="1">
        <w:r w:rsidRPr="00AE57C8">
          <w:rPr>
            <w:rStyle w:val="Hyperlink"/>
          </w:rPr>
          <w:t>https://doi.org/10.9734/jpri/2021/v33i46A32834</w:t>
        </w:r>
      </w:hyperlink>
    </w:p>
    <w:p w14:paraId="65859378" w14:textId="77777777" w:rsidR="009C4FC8" w:rsidRDefault="009C4FC8" w:rsidP="00B019ED">
      <w:pPr>
        <w:ind w:left="720" w:hanging="720"/>
      </w:pPr>
    </w:p>
    <w:p w14:paraId="4F72E509" w14:textId="77777777" w:rsidR="009E6651" w:rsidRDefault="009E6651" w:rsidP="00B019ED">
      <w:pPr>
        <w:ind w:left="720" w:hanging="720"/>
      </w:pPr>
    </w:p>
    <w:sectPr w:rsidR="009E665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0A74" w14:textId="77777777" w:rsidR="005B0E7B" w:rsidRDefault="005B0E7B" w:rsidP="00DB2D5C">
      <w:r>
        <w:separator/>
      </w:r>
    </w:p>
  </w:endnote>
  <w:endnote w:type="continuationSeparator" w:id="0">
    <w:p w14:paraId="04FAB0AE" w14:textId="77777777" w:rsidR="005B0E7B" w:rsidRDefault="005B0E7B" w:rsidP="00DB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6C92" w14:textId="77777777" w:rsidR="00DB2D5C" w:rsidRDefault="00DB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8706" w14:textId="77777777" w:rsidR="00DB2D5C" w:rsidRDefault="00DB2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8806" w14:textId="77777777" w:rsidR="00DB2D5C" w:rsidRDefault="00DB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E790" w14:textId="77777777" w:rsidR="005B0E7B" w:rsidRDefault="005B0E7B" w:rsidP="00DB2D5C">
      <w:r>
        <w:separator/>
      </w:r>
    </w:p>
  </w:footnote>
  <w:footnote w:type="continuationSeparator" w:id="0">
    <w:p w14:paraId="2D892D75" w14:textId="77777777" w:rsidR="005B0E7B" w:rsidRDefault="005B0E7B" w:rsidP="00DB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7E7F" w14:textId="763C06F0" w:rsidR="00DB2D5C" w:rsidRDefault="00DB2D5C">
    <w:pPr>
      <w:pStyle w:val="Header"/>
    </w:pPr>
    <w:r>
      <w:rPr>
        <w:noProof/>
      </w:rPr>
      <w:pict w14:anchorId="24E81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1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221B" w14:textId="4ED5B35D" w:rsidR="00DB2D5C" w:rsidRDefault="00DB2D5C">
    <w:pPr>
      <w:pStyle w:val="Header"/>
    </w:pPr>
    <w:r>
      <w:rPr>
        <w:noProof/>
      </w:rPr>
      <w:pict w14:anchorId="464E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1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C69A" w14:textId="022C23AB" w:rsidR="00DB2D5C" w:rsidRDefault="00DB2D5C">
    <w:pPr>
      <w:pStyle w:val="Header"/>
    </w:pPr>
    <w:r>
      <w:rPr>
        <w:noProof/>
      </w:rPr>
      <w:pict w14:anchorId="69E14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1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9325C"/>
    <w:multiLevelType w:val="hybridMultilevel"/>
    <w:tmpl w:val="3C1A0D54"/>
    <w:lvl w:ilvl="0" w:tplc="984E509E">
      <w:start w:val="1"/>
      <w:numFmt w:val="bullet"/>
      <w:lvlText w:val="●"/>
      <w:lvlJc w:val="left"/>
      <w:pPr>
        <w:ind w:left="720" w:hanging="360"/>
      </w:pPr>
    </w:lvl>
    <w:lvl w:ilvl="1" w:tplc="126E86CA">
      <w:start w:val="1"/>
      <w:numFmt w:val="bullet"/>
      <w:lvlText w:val="○"/>
      <w:lvlJc w:val="left"/>
      <w:pPr>
        <w:ind w:left="1440" w:hanging="360"/>
      </w:pPr>
    </w:lvl>
    <w:lvl w:ilvl="2" w:tplc="739EDE46">
      <w:start w:val="1"/>
      <w:numFmt w:val="bullet"/>
      <w:lvlText w:val="■"/>
      <w:lvlJc w:val="left"/>
      <w:pPr>
        <w:ind w:left="2160" w:hanging="360"/>
      </w:pPr>
    </w:lvl>
    <w:lvl w:ilvl="3" w:tplc="CAF49CFE">
      <w:start w:val="1"/>
      <w:numFmt w:val="bullet"/>
      <w:lvlText w:val="●"/>
      <w:lvlJc w:val="left"/>
      <w:pPr>
        <w:ind w:left="2880" w:hanging="360"/>
      </w:pPr>
    </w:lvl>
    <w:lvl w:ilvl="4" w:tplc="2BC22202">
      <w:start w:val="1"/>
      <w:numFmt w:val="bullet"/>
      <w:lvlText w:val="○"/>
      <w:lvlJc w:val="left"/>
      <w:pPr>
        <w:ind w:left="3600" w:hanging="360"/>
      </w:pPr>
    </w:lvl>
    <w:lvl w:ilvl="5" w:tplc="156E82AA">
      <w:start w:val="1"/>
      <w:numFmt w:val="bullet"/>
      <w:lvlText w:val="■"/>
      <w:lvlJc w:val="left"/>
      <w:pPr>
        <w:ind w:left="4320" w:hanging="360"/>
      </w:pPr>
    </w:lvl>
    <w:lvl w:ilvl="6" w:tplc="4FF6F2B2">
      <w:start w:val="1"/>
      <w:numFmt w:val="bullet"/>
      <w:lvlText w:val="●"/>
      <w:lvlJc w:val="left"/>
      <w:pPr>
        <w:ind w:left="5040" w:hanging="360"/>
      </w:pPr>
    </w:lvl>
    <w:lvl w:ilvl="7" w:tplc="166C9116">
      <w:start w:val="1"/>
      <w:numFmt w:val="bullet"/>
      <w:lvlText w:val="●"/>
      <w:lvlJc w:val="left"/>
      <w:pPr>
        <w:ind w:left="5760" w:hanging="360"/>
      </w:pPr>
    </w:lvl>
    <w:lvl w:ilvl="8" w:tplc="7DC0D1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MDG3NLewsDA0sDRS0lEKTi0uzszPAykwqQUAuI+pFSwAAAA="/>
  </w:docVars>
  <w:rsids>
    <w:rsidRoot w:val="002E76EF"/>
    <w:rsid w:val="002E76EF"/>
    <w:rsid w:val="003C6A6C"/>
    <w:rsid w:val="005646CC"/>
    <w:rsid w:val="005B0E7B"/>
    <w:rsid w:val="006755C5"/>
    <w:rsid w:val="008151C3"/>
    <w:rsid w:val="008D36C2"/>
    <w:rsid w:val="008E380F"/>
    <w:rsid w:val="009C4FC8"/>
    <w:rsid w:val="009E6651"/>
    <w:rsid w:val="00B019ED"/>
    <w:rsid w:val="00CA739B"/>
    <w:rsid w:val="00DB2D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AA442"/>
  <w15:docId w15:val="{626BC91F-97B0-4E7E-B0C2-E9F3AA52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sz w:val="28"/>
      <w:szCs w:val="28"/>
    </w:rPr>
  </w:style>
  <w:style w:type="paragraph" w:styleId="Heading2">
    <w:name w:val="heading 2"/>
    <w:uiPriority w:val="9"/>
    <w:unhideWhenUsed/>
    <w:qFormat/>
    <w:pPr>
      <w:spacing w:before="360" w:after="18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A739B"/>
    <w:rPr>
      <w:color w:val="605E5C"/>
      <w:shd w:val="clear" w:color="auto" w:fill="E1DFDD"/>
    </w:rPr>
  </w:style>
  <w:style w:type="paragraph" w:styleId="Header">
    <w:name w:val="header"/>
    <w:basedOn w:val="Normal"/>
    <w:link w:val="HeaderChar"/>
    <w:uiPriority w:val="99"/>
    <w:unhideWhenUsed/>
    <w:rsid w:val="00DB2D5C"/>
    <w:pPr>
      <w:tabs>
        <w:tab w:val="center" w:pos="4680"/>
        <w:tab w:val="right" w:pos="9360"/>
      </w:tabs>
    </w:pPr>
  </w:style>
  <w:style w:type="character" w:customStyle="1" w:styleId="HeaderChar">
    <w:name w:val="Header Char"/>
    <w:basedOn w:val="DefaultParagraphFont"/>
    <w:link w:val="Header"/>
    <w:uiPriority w:val="99"/>
    <w:rsid w:val="00DB2D5C"/>
  </w:style>
  <w:style w:type="paragraph" w:styleId="Footer">
    <w:name w:val="footer"/>
    <w:basedOn w:val="Normal"/>
    <w:link w:val="FooterChar"/>
    <w:uiPriority w:val="99"/>
    <w:unhideWhenUsed/>
    <w:rsid w:val="00DB2D5C"/>
    <w:pPr>
      <w:tabs>
        <w:tab w:val="center" w:pos="4680"/>
        <w:tab w:val="right" w:pos="9360"/>
      </w:tabs>
    </w:pPr>
  </w:style>
  <w:style w:type="character" w:customStyle="1" w:styleId="FooterChar">
    <w:name w:val="Footer Char"/>
    <w:basedOn w:val="DefaultParagraphFont"/>
    <w:link w:val="Footer"/>
    <w:uiPriority w:val="99"/>
    <w:rsid w:val="00DB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S2589-7500(23)00218-2" TargetMode="External"/><Relationship Id="rId13" Type="http://schemas.openxmlformats.org/officeDocument/2006/relationships/hyperlink" Target="https://doi.org/10.1001/jamainternmed.2023.5002" TargetMode="External"/><Relationship Id="rId18" Type="http://schemas.openxmlformats.org/officeDocument/2006/relationships/hyperlink" Target="https://doi.org/10.1001/jama.2024.2170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9734/jammr/2025/v37i126024" TargetMode="External"/><Relationship Id="rId7" Type="http://schemas.openxmlformats.org/officeDocument/2006/relationships/hyperlink" Target="https://www.who.int/publications/i/item/9789240029200" TargetMode="External"/><Relationship Id="rId12" Type="http://schemas.openxmlformats.org/officeDocument/2006/relationships/hyperlink" Target="https://doi.org/10.1016/S2589-7500(24)00047-5" TargetMode="External"/><Relationship Id="rId17" Type="http://schemas.openxmlformats.org/officeDocument/2006/relationships/hyperlink" Target="https://doi.org/10.1001/jamainternmed.2024.008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93/infdis/jiae348" TargetMode="External"/><Relationship Id="rId20" Type="http://schemas.openxmlformats.org/officeDocument/2006/relationships/hyperlink" Target="https://doi.org/10.1038/s41467-024-5241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2023.2229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38/s41746-025-01455-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38/s41467-024-55629-5" TargetMode="External"/><Relationship Id="rId19" Type="http://schemas.openxmlformats.org/officeDocument/2006/relationships/hyperlink" Target="https://doi.org/10.1038/s41746-025-01670-7" TargetMode="External"/><Relationship Id="rId4" Type="http://schemas.openxmlformats.org/officeDocument/2006/relationships/webSettings" Target="webSettings.xml"/><Relationship Id="rId9" Type="http://schemas.openxmlformats.org/officeDocument/2006/relationships/hyperlink" Target="https://doi.org/10.1038/s41591-023-02332-5" TargetMode="External"/><Relationship Id="rId14" Type="http://schemas.openxmlformats.org/officeDocument/2006/relationships/hyperlink" Target="https://doi.org/10.1210/clinem/dgad503" TargetMode="External"/><Relationship Id="rId22" Type="http://schemas.openxmlformats.org/officeDocument/2006/relationships/hyperlink" Target="https://doi.org/10.9734/jpri/2021/v33i46A3283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12487</Words>
  <Characters>71177</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10</cp:revision>
  <dcterms:created xsi:type="dcterms:W3CDTF">2026-04-01T07:21:00Z</dcterms:created>
  <dcterms:modified xsi:type="dcterms:W3CDTF">2026-04-01T13:34:00Z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1bffe8d2-c80d-400d-aa54-97ebe53c8f84</vt:lpwstr>
  </property>
</Properties>
</file>