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A945B" w14:textId="24FF4AAD" w:rsidR="003D0033" w:rsidRDefault="00F0548F" w:rsidP="00B713BA">
      <w:pPr>
        <w:spacing w:line="360" w:lineRule="auto"/>
        <w:rPr>
          <w:rFonts w:ascii="Times New Roman" w:hAnsi="Times New Roman" w:cs="Times New Roman"/>
          <w:sz w:val="24"/>
          <w:szCs w:val="24"/>
        </w:rPr>
      </w:pPr>
      <w:r w:rsidRPr="00F0548F">
        <w:rPr>
          <w:rFonts w:ascii="Times New Roman" w:hAnsi="Times New Roman" w:cs="Times New Roman"/>
          <w:sz w:val="24"/>
          <w:szCs w:val="24"/>
        </w:rPr>
        <w:t xml:space="preserve">Review Article         </w:t>
      </w:r>
    </w:p>
    <w:p w14:paraId="70678DA7" w14:textId="77777777" w:rsidR="00F0548F" w:rsidRDefault="00F0548F" w:rsidP="00B713BA">
      <w:pPr>
        <w:spacing w:line="360" w:lineRule="auto"/>
        <w:rPr>
          <w:rFonts w:ascii="Times New Roman" w:hAnsi="Times New Roman" w:cs="Times New Roman"/>
          <w:sz w:val="24"/>
          <w:szCs w:val="24"/>
        </w:rPr>
      </w:pPr>
    </w:p>
    <w:p w14:paraId="192A178A" w14:textId="77777777" w:rsidR="00AB2F02" w:rsidRDefault="00AB2F02" w:rsidP="00B713BA">
      <w:pPr>
        <w:spacing w:line="360" w:lineRule="auto"/>
        <w:jc w:val="center"/>
        <w:rPr>
          <w:rFonts w:ascii="Times New Roman" w:hAnsi="Times New Roman" w:cs="Times New Roman"/>
          <w:b/>
          <w:sz w:val="28"/>
          <w:szCs w:val="28"/>
        </w:rPr>
      </w:pPr>
      <w:r w:rsidRPr="00A53A65">
        <w:rPr>
          <w:rFonts w:ascii="Times New Roman" w:hAnsi="Times New Roman" w:cs="Times New Roman"/>
          <w:b/>
          <w:sz w:val="28"/>
          <w:szCs w:val="28"/>
        </w:rPr>
        <w:t>HAMSTRING FLEXIBILITY AS A PREDICTOR OF MUSCULOSKELETAL WELLBEING IN UNIVERSITY STUDENTS: A CROSS-SECTIONAL STUDY</w:t>
      </w:r>
    </w:p>
    <w:p w14:paraId="31ED6F1A" w14:textId="4FA9AB39" w:rsidR="006379D5" w:rsidRDefault="006379D5" w:rsidP="00B713BA">
      <w:pPr>
        <w:spacing w:line="360" w:lineRule="auto"/>
        <w:jc w:val="center"/>
        <w:rPr>
          <w:rFonts w:ascii="Times New Roman" w:hAnsi="Times New Roman" w:cs="Times New Roman"/>
          <w:b/>
          <w:sz w:val="28"/>
          <w:szCs w:val="28"/>
        </w:rPr>
      </w:pPr>
    </w:p>
    <w:p w14:paraId="3B1A941B" w14:textId="77777777" w:rsidR="00FC3AEC" w:rsidRPr="00A53A65" w:rsidRDefault="00FC3AEC" w:rsidP="00B713BA">
      <w:pPr>
        <w:spacing w:line="360" w:lineRule="auto"/>
        <w:jc w:val="center"/>
        <w:rPr>
          <w:rFonts w:ascii="Times New Roman" w:hAnsi="Times New Roman" w:cs="Times New Roman"/>
          <w:b/>
          <w:sz w:val="28"/>
          <w:szCs w:val="28"/>
        </w:rPr>
      </w:pPr>
    </w:p>
    <w:p w14:paraId="7ED5D09C" w14:textId="77777777" w:rsidR="00AB2F02" w:rsidRPr="00A53A65" w:rsidRDefault="00AB2F02" w:rsidP="00B713BA">
      <w:pPr>
        <w:spacing w:line="360" w:lineRule="auto"/>
        <w:jc w:val="center"/>
        <w:rPr>
          <w:rFonts w:ascii="Times New Roman" w:hAnsi="Times New Roman" w:cs="Times New Roman"/>
          <w:b/>
          <w:sz w:val="24"/>
          <w:szCs w:val="24"/>
          <w:u w:val="single"/>
        </w:rPr>
      </w:pPr>
      <w:r w:rsidRPr="00A53A65">
        <w:rPr>
          <w:rFonts w:ascii="Times New Roman" w:hAnsi="Times New Roman" w:cs="Times New Roman"/>
          <w:b/>
          <w:sz w:val="24"/>
          <w:szCs w:val="24"/>
          <w:u w:val="single"/>
        </w:rPr>
        <w:t>ABSTRACT</w:t>
      </w:r>
    </w:p>
    <w:p w14:paraId="6BB0FBD0" w14:textId="77777777" w:rsidR="008D4569"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Background:</w:t>
      </w:r>
      <w:r w:rsidRPr="00A53A65">
        <w:rPr>
          <w:rFonts w:ascii="Times New Roman" w:hAnsi="Times New Roman" w:cs="Times New Roman"/>
          <w:sz w:val="24"/>
          <w:szCs w:val="24"/>
        </w:rPr>
        <w:t xml:space="preserve"> </w:t>
      </w:r>
      <w:r w:rsidR="008D4569" w:rsidRPr="00A53A65">
        <w:rPr>
          <w:rFonts w:ascii="Times New Roman" w:hAnsi="Times New Roman" w:cs="Times New Roman"/>
          <w:sz w:val="24"/>
          <w:szCs w:val="24"/>
        </w:rPr>
        <w:t>Sedentary academic lifestyle</w:t>
      </w:r>
      <w:r w:rsidR="002B45E3" w:rsidRPr="00A53A65">
        <w:rPr>
          <w:rFonts w:ascii="Times New Roman" w:hAnsi="Times New Roman" w:cs="Times New Roman"/>
          <w:sz w:val="24"/>
          <w:szCs w:val="24"/>
        </w:rPr>
        <w:t xml:space="preserve">s common in university settings, </w:t>
      </w:r>
      <w:r w:rsidR="008D4569" w:rsidRPr="00A53A65">
        <w:rPr>
          <w:rFonts w:ascii="Times New Roman" w:hAnsi="Times New Roman" w:cs="Times New Roman"/>
          <w:sz w:val="24"/>
          <w:szCs w:val="24"/>
        </w:rPr>
        <w:t xml:space="preserve">yet the specific contribution of hamstring flexibility to broader musculoskeletal health in this population has not been adequately examined. </w:t>
      </w:r>
    </w:p>
    <w:p w14:paraId="7FB9403D" w14:textId="77777777"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Objectives:</w:t>
      </w:r>
      <w:r w:rsidRPr="00A53A65">
        <w:rPr>
          <w:rFonts w:ascii="Times New Roman" w:hAnsi="Times New Roman" w:cs="Times New Roman"/>
          <w:sz w:val="24"/>
          <w:szCs w:val="24"/>
        </w:rPr>
        <w:t xml:space="preserve"> </w:t>
      </w:r>
      <w:r w:rsidR="008D4569" w:rsidRPr="00A53A65">
        <w:rPr>
          <w:rFonts w:ascii="Times New Roman" w:hAnsi="Times New Roman" w:cs="Times New Roman"/>
          <w:sz w:val="24"/>
          <w:szCs w:val="24"/>
        </w:rPr>
        <w:t>This study aimed to measure hamstring flexibility using two clinically validated tools, establish the pint prevalence to hamstring tightness among undergraduate students, and determine whether hamstring flexibility independently predicts mus</w:t>
      </w:r>
      <w:r w:rsidR="002B45E3" w:rsidRPr="00A53A65">
        <w:rPr>
          <w:rFonts w:ascii="Times New Roman" w:hAnsi="Times New Roman" w:cs="Times New Roman"/>
          <w:sz w:val="24"/>
          <w:szCs w:val="24"/>
        </w:rPr>
        <w:t>culoskeletal wellbeing outcomes.</w:t>
      </w:r>
    </w:p>
    <w:p w14:paraId="00E250BC" w14:textId="77777777"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Methods:</w:t>
      </w:r>
      <w:r w:rsidRPr="00A53A65">
        <w:rPr>
          <w:rFonts w:ascii="Times New Roman" w:hAnsi="Times New Roman" w:cs="Times New Roman"/>
          <w:sz w:val="24"/>
          <w:szCs w:val="24"/>
        </w:rPr>
        <w:t xml:space="preserve"> A cross-sectional observational </w:t>
      </w:r>
      <w:r w:rsidR="008D4569" w:rsidRPr="00A53A65">
        <w:rPr>
          <w:rFonts w:ascii="Times New Roman" w:hAnsi="Times New Roman" w:cs="Times New Roman"/>
          <w:sz w:val="24"/>
          <w:szCs w:val="24"/>
        </w:rPr>
        <w:t xml:space="preserve">design was employed </w:t>
      </w:r>
      <w:r w:rsidRPr="00A53A65">
        <w:rPr>
          <w:rFonts w:ascii="Times New Roman" w:hAnsi="Times New Roman" w:cs="Times New Roman"/>
          <w:sz w:val="24"/>
          <w:szCs w:val="24"/>
        </w:rPr>
        <w:t xml:space="preserve">among </w:t>
      </w:r>
      <w:r w:rsidR="008D4569" w:rsidRPr="00A53A65">
        <w:rPr>
          <w:rFonts w:ascii="Times New Roman" w:hAnsi="Times New Roman" w:cs="Times New Roman"/>
          <w:sz w:val="24"/>
          <w:szCs w:val="24"/>
        </w:rPr>
        <w:t xml:space="preserve">undergraduate </w:t>
      </w:r>
      <w:r w:rsidRPr="00A53A65">
        <w:rPr>
          <w:rFonts w:ascii="Times New Roman" w:hAnsi="Times New Roman" w:cs="Times New Roman"/>
          <w:sz w:val="24"/>
          <w:szCs w:val="24"/>
        </w:rPr>
        <w:t xml:space="preserve">students </w:t>
      </w:r>
      <w:r w:rsidR="008D4569" w:rsidRPr="00A53A65">
        <w:rPr>
          <w:rFonts w:ascii="Times New Roman" w:hAnsi="Times New Roman" w:cs="Times New Roman"/>
          <w:sz w:val="24"/>
          <w:szCs w:val="24"/>
        </w:rPr>
        <w:t>affiliated to university in</w:t>
      </w:r>
      <w:r w:rsidRPr="00A53A65">
        <w:rPr>
          <w:rFonts w:ascii="Times New Roman" w:hAnsi="Times New Roman" w:cs="Times New Roman"/>
          <w:sz w:val="24"/>
          <w:szCs w:val="24"/>
        </w:rPr>
        <w:t xml:space="preserve"> South In</w:t>
      </w:r>
      <w:r w:rsidR="008D4569" w:rsidRPr="00A53A65">
        <w:rPr>
          <w:rFonts w:ascii="Times New Roman" w:hAnsi="Times New Roman" w:cs="Times New Roman"/>
          <w:sz w:val="24"/>
          <w:szCs w:val="24"/>
        </w:rPr>
        <w:t>dia. Hamstring flexibility was evaluated</w:t>
      </w:r>
      <w:r w:rsidRPr="00A53A65">
        <w:rPr>
          <w:rFonts w:ascii="Times New Roman" w:hAnsi="Times New Roman" w:cs="Times New Roman"/>
          <w:sz w:val="24"/>
          <w:szCs w:val="24"/>
        </w:rPr>
        <w:t xml:space="preserve"> using the Sit-and-Reach test (SRT) and the Active Knee Extension (AKE) test. Musculoskeletal outcomes were</w:t>
      </w:r>
      <w:r w:rsidR="008D4569" w:rsidRPr="00A53A65">
        <w:rPr>
          <w:rFonts w:ascii="Times New Roman" w:hAnsi="Times New Roman" w:cs="Times New Roman"/>
          <w:sz w:val="24"/>
          <w:szCs w:val="24"/>
        </w:rPr>
        <w:t xml:space="preserve"> quantified</w:t>
      </w:r>
      <w:r w:rsidRPr="00A53A65">
        <w:rPr>
          <w:rFonts w:ascii="Times New Roman" w:hAnsi="Times New Roman" w:cs="Times New Roman"/>
          <w:sz w:val="24"/>
          <w:szCs w:val="24"/>
        </w:rPr>
        <w:t xml:space="preserve"> </w:t>
      </w:r>
      <w:r w:rsidR="008D4569" w:rsidRPr="00A53A65">
        <w:rPr>
          <w:rFonts w:ascii="Times New Roman" w:hAnsi="Times New Roman" w:cs="Times New Roman"/>
          <w:sz w:val="24"/>
          <w:szCs w:val="24"/>
        </w:rPr>
        <w:t>through</w:t>
      </w:r>
      <w:r w:rsidRPr="00A53A65">
        <w:rPr>
          <w:rFonts w:ascii="Times New Roman" w:hAnsi="Times New Roman" w:cs="Times New Roman"/>
          <w:sz w:val="24"/>
          <w:szCs w:val="24"/>
        </w:rPr>
        <w:t xml:space="preserve"> </w:t>
      </w:r>
      <w:r w:rsidR="002B45E3" w:rsidRPr="00A53A65">
        <w:rPr>
          <w:rFonts w:ascii="Times New Roman" w:hAnsi="Times New Roman" w:cs="Times New Roman"/>
          <w:sz w:val="24"/>
          <w:szCs w:val="24"/>
        </w:rPr>
        <w:t xml:space="preserve">various validated instruments. </w:t>
      </w:r>
      <w:r w:rsidRPr="00A53A65">
        <w:rPr>
          <w:rFonts w:ascii="Times New Roman" w:hAnsi="Times New Roman" w:cs="Times New Roman"/>
          <w:sz w:val="24"/>
          <w:szCs w:val="24"/>
        </w:rPr>
        <w:t>Multiple linear regression</w:t>
      </w:r>
      <w:r w:rsidR="008D4569" w:rsidRPr="00A53A65">
        <w:rPr>
          <w:rFonts w:ascii="Times New Roman" w:hAnsi="Times New Roman" w:cs="Times New Roman"/>
          <w:sz w:val="24"/>
          <w:szCs w:val="24"/>
        </w:rPr>
        <w:t xml:space="preserve"> modelling identified independent predictor of a composite Musculoskeletal Wellbeing Score (MWS).</w:t>
      </w:r>
      <w:r w:rsidRPr="00A53A65">
        <w:rPr>
          <w:rFonts w:ascii="Times New Roman" w:hAnsi="Times New Roman" w:cs="Times New Roman"/>
          <w:sz w:val="24"/>
          <w:szCs w:val="24"/>
        </w:rPr>
        <w:t xml:space="preserve"> </w:t>
      </w:r>
    </w:p>
    <w:p w14:paraId="053FF76B" w14:textId="77777777"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Results:</w:t>
      </w:r>
      <w:r w:rsidRPr="00A53A65">
        <w:rPr>
          <w:rFonts w:ascii="Times New Roman" w:hAnsi="Times New Roman" w:cs="Times New Roman"/>
          <w:sz w:val="24"/>
          <w:szCs w:val="24"/>
        </w:rPr>
        <w:t xml:space="preserve"> Hamstring tightness was</w:t>
      </w:r>
      <w:r w:rsidR="008D4569" w:rsidRPr="00A53A65">
        <w:rPr>
          <w:rFonts w:ascii="Times New Roman" w:hAnsi="Times New Roman" w:cs="Times New Roman"/>
          <w:sz w:val="24"/>
          <w:szCs w:val="24"/>
        </w:rPr>
        <w:t xml:space="preserve"> detected in 126 participants</w:t>
      </w:r>
      <w:r w:rsidR="00E80DC0" w:rsidRPr="00A53A65">
        <w:rPr>
          <w:rFonts w:ascii="Times New Roman" w:hAnsi="Times New Roman" w:cs="Times New Roman"/>
          <w:sz w:val="24"/>
          <w:szCs w:val="24"/>
        </w:rPr>
        <w:t xml:space="preserve"> (60.0%). Female students recorded substantially higher</w:t>
      </w:r>
      <w:r w:rsidRPr="00A53A65">
        <w:rPr>
          <w:rFonts w:ascii="Times New Roman" w:hAnsi="Times New Roman" w:cs="Times New Roman"/>
          <w:sz w:val="24"/>
          <w:szCs w:val="24"/>
        </w:rPr>
        <w:t xml:space="preserve"> SRT scores </w:t>
      </w:r>
      <w:r w:rsidR="00E80DC0" w:rsidRPr="00A53A65">
        <w:rPr>
          <w:rFonts w:ascii="Times New Roman" w:hAnsi="Times New Roman" w:cs="Times New Roman"/>
          <w:sz w:val="24"/>
          <w:szCs w:val="24"/>
        </w:rPr>
        <w:t>than males, whereas</w:t>
      </w:r>
      <w:r w:rsidRPr="00A53A65">
        <w:rPr>
          <w:rFonts w:ascii="Times New Roman" w:hAnsi="Times New Roman" w:cs="Times New Roman"/>
          <w:sz w:val="24"/>
          <w:szCs w:val="24"/>
        </w:rPr>
        <w:t xml:space="preserve"> males </w:t>
      </w:r>
      <w:r w:rsidR="00E80DC0" w:rsidRPr="00A53A65">
        <w:rPr>
          <w:rFonts w:ascii="Times New Roman" w:hAnsi="Times New Roman" w:cs="Times New Roman"/>
          <w:sz w:val="24"/>
          <w:szCs w:val="24"/>
        </w:rPr>
        <w:t xml:space="preserve">showed </w:t>
      </w:r>
      <w:r w:rsidRPr="00A53A65">
        <w:rPr>
          <w:rFonts w:ascii="Times New Roman" w:hAnsi="Times New Roman" w:cs="Times New Roman"/>
          <w:sz w:val="24"/>
          <w:szCs w:val="24"/>
        </w:rPr>
        <w:t xml:space="preserve">greater </w:t>
      </w:r>
      <w:r w:rsidR="00E80DC0" w:rsidRPr="00A53A65">
        <w:rPr>
          <w:rFonts w:ascii="Times New Roman" w:hAnsi="Times New Roman" w:cs="Times New Roman"/>
          <w:sz w:val="24"/>
          <w:szCs w:val="24"/>
        </w:rPr>
        <w:t xml:space="preserve">bilateral </w:t>
      </w:r>
      <w:r w:rsidRPr="00A53A65">
        <w:rPr>
          <w:rFonts w:ascii="Times New Roman" w:hAnsi="Times New Roman" w:cs="Times New Roman"/>
          <w:sz w:val="24"/>
          <w:szCs w:val="24"/>
        </w:rPr>
        <w:t>AKE angles</w:t>
      </w:r>
      <w:r w:rsidR="00E80DC0" w:rsidRPr="00A53A65">
        <w:rPr>
          <w:rFonts w:ascii="Times New Roman" w:hAnsi="Times New Roman" w:cs="Times New Roman"/>
          <w:sz w:val="24"/>
          <w:szCs w:val="24"/>
        </w:rPr>
        <w:t xml:space="preserve"> reflecting more pronounced</w:t>
      </w:r>
      <w:r w:rsidRPr="00A53A65">
        <w:rPr>
          <w:rFonts w:ascii="Times New Roman" w:hAnsi="Times New Roman" w:cs="Times New Roman"/>
          <w:sz w:val="24"/>
          <w:szCs w:val="24"/>
        </w:rPr>
        <w:t xml:space="preserve"> tightness.</w:t>
      </w:r>
      <w:r w:rsidR="00E80DC0" w:rsidRPr="00A53A65">
        <w:rPr>
          <w:rFonts w:ascii="Times New Roman" w:hAnsi="Times New Roman" w:cs="Times New Roman"/>
          <w:sz w:val="24"/>
          <w:szCs w:val="24"/>
        </w:rPr>
        <w:t xml:space="preserve"> All musculoskeletal outcome measures worsened in a graded manner across flexibility categories (P&lt;0.001 to </w:t>
      </w:r>
      <w:r w:rsidR="002B45E3" w:rsidRPr="00A53A65">
        <w:rPr>
          <w:rFonts w:ascii="Times New Roman" w:hAnsi="Times New Roman" w:cs="Times New Roman"/>
          <w:sz w:val="24"/>
          <w:szCs w:val="24"/>
        </w:rPr>
        <w:t xml:space="preserve">0.003). In the regression model </w:t>
      </w:r>
      <w:r w:rsidR="00E80DC0" w:rsidRPr="00A53A65">
        <w:rPr>
          <w:rFonts w:ascii="Times New Roman" w:hAnsi="Times New Roman" w:cs="Times New Roman"/>
          <w:sz w:val="24"/>
          <w:szCs w:val="24"/>
        </w:rPr>
        <w:t>SRT score emerged as the strongest independent predictor</w:t>
      </w:r>
      <w:r w:rsidRPr="00A53A65">
        <w:rPr>
          <w:rFonts w:ascii="Times New Roman" w:hAnsi="Times New Roman" w:cs="Times New Roman"/>
          <w:sz w:val="24"/>
          <w:szCs w:val="24"/>
        </w:rPr>
        <w:t xml:space="preserve"> </w:t>
      </w:r>
      <w:r w:rsidR="00E80DC0" w:rsidRPr="00A53A65">
        <w:rPr>
          <w:rFonts w:ascii="Times New Roman" w:hAnsi="Times New Roman" w:cs="Times New Roman"/>
          <w:sz w:val="24"/>
          <w:szCs w:val="24"/>
        </w:rPr>
        <w:t>(β = -0.36; p &lt;0.001); d</w:t>
      </w:r>
      <w:r w:rsidRPr="00A53A65">
        <w:rPr>
          <w:rFonts w:ascii="Times New Roman" w:hAnsi="Times New Roman" w:cs="Times New Roman"/>
          <w:sz w:val="24"/>
          <w:szCs w:val="24"/>
        </w:rPr>
        <w:t>aily sitting time and physical acti</w:t>
      </w:r>
      <w:r w:rsidR="002B45E3" w:rsidRPr="00A53A65">
        <w:rPr>
          <w:rFonts w:ascii="Times New Roman" w:hAnsi="Times New Roman" w:cs="Times New Roman"/>
          <w:sz w:val="24"/>
          <w:szCs w:val="24"/>
        </w:rPr>
        <w:t>vity level</w:t>
      </w:r>
      <w:r w:rsidRPr="00A53A65">
        <w:rPr>
          <w:rFonts w:ascii="Times New Roman" w:hAnsi="Times New Roman" w:cs="Times New Roman"/>
          <w:sz w:val="24"/>
          <w:szCs w:val="24"/>
        </w:rPr>
        <w:t xml:space="preserve"> </w:t>
      </w:r>
      <w:r w:rsidR="00E80DC0" w:rsidRPr="00A53A65">
        <w:rPr>
          <w:rFonts w:ascii="Times New Roman" w:hAnsi="Times New Roman" w:cs="Times New Roman"/>
          <w:sz w:val="24"/>
          <w:szCs w:val="24"/>
        </w:rPr>
        <w:t>also contributed significantly.</w:t>
      </w:r>
    </w:p>
    <w:p w14:paraId="0203836A" w14:textId="77777777"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Conclusion:</w:t>
      </w:r>
      <w:r w:rsidRPr="00A53A65">
        <w:rPr>
          <w:rFonts w:ascii="Times New Roman" w:hAnsi="Times New Roman" w:cs="Times New Roman"/>
          <w:sz w:val="24"/>
          <w:szCs w:val="24"/>
        </w:rPr>
        <w:t xml:space="preserve"> Hamstring flexibility </w:t>
      </w:r>
      <w:r w:rsidR="00E80DC0" w:rsidRPr="00A53A65">
        <w:rPr>
          <w:rFonts w:ascii="Times New Roman" w:hAnsi="Times New Roman" w:cs="Times New Roman"/>
          <w:sz w:val="24"/>
          <w:szCs w:val="24"/>
        </w:rPr>
        <w:t>is</w:t>
      </w:r>
      <w:r w:rsidR="0036424A" w:rsidRPr="00A53A65">
        <w:rPr>
          <w:rFonts w:ascii="Times New Roman" w:hAnsi="Times New Roman" w:cs="Times New Roman"/>
          <w:sz w:val="24"/>
          <w:szCs w:val="24"/>
        </w:rPr>
        <w:t xml:space="preserve"> </w:t>
      </w:r>
      <w:r w:rsidRPr="00A53A65">
        <w:rPr>
          <w:rFonts w:ascii="Times New Roman" w:hAnsi="Times New Roman" w:cs="Times New Roman"/>
          <w:sz w:val="24"/>
          <w:szCs w:val="24"/>
        </w:rPr>
        <w:t xml:space="preserve">a significant and independent predictor of </w:t>
      </w:r>
      <w:r w:rsidR="00F00CF8" w:rsidRPr="00A53A65">
        <w:rPr>
          <w:rFonts w:ascii="Times New Roman" w:hAnsi="Times New Roman" w:cs="Times New Roman"/>
          <w:sz w:val="24"/>
          <w:szCs w:val="24"/>
        </w:rPr>
        <w:t>musculoskeletal</w:t>
      </w:r>
      <w:r w:rsidRPr="00A53A65">
        <w:rPr>
          <w:rFonts w:ascii="Times New Roman" w:hAnsi="Times New Roman" w:cs="Times New Roman"/>
          <w:sz w:val="24"/>
          <w:szCs w:val="24"/>
        </w:rPr>
        <w:t xml:space="preserve"> wellbeing in university students. The</w:t>
      </w:r>
      <w:r w:rsidR="00E80DC0" w:rsidRPr="00A53A65">
        <w:rPr>
          <w:rFonts w:ascii="Times New Roman" w:hAnsi="Times New Roman" w:cs="Times New Roman"/>
          <w:sz w:val="24"/>
          <w:szCs w:val="24"/>
        </w:rPr>
        <w:t xml:space="preserve"> 60%</w:t>
      </w:r>
      <w:r w:rsidRPr="00A53A65">
        <w:rPr>
          <w:rFonts w:ascii="Times New Roman" w:hAnsi="Times New Roman" w:cs="Times New Roman"/>
          <w:sz w:val="24"/>
          <w:szCs w:val="24"/>
        </w:rPr>
        <w:t xml:space="preserve"> prevalence of tightness</w:t>
      </w:r>
      <w:r w:rsidR="00E80DC0" w:rsidRPr="00A53A65">
        <w:rPr>
          <w:rFonts w:ascii="Times New Roman" w:hAnsi="Times New Roman" w:cs="Times New Roman"/>
          <w:sz w:val="24"/>
          <w:szCs w:val="24"/>
        </w:rPr>
        <w:t xml:space="preserve"> in this </w:t>
      </w:r>
      <w:r w:rsidR="00E80DC0" w:rsidRPr="00A53A65">
        <w:rPr>
          <w:rFonts w:ascii="Times New Roman" w:hAnsi="Times New Roman" w:cs="Times New Roman"/>
          <w:sz w:val="24"/>
          <w:szCs w:val="24"/>
        </w:rPr>
        <w:lastRenderedPageBreak/>
        <w:t>cohort warrants structured institutional screening. Both the SRT and AKE test provide reliable, complementary assessments suitable for university health appraisals, and modifiable behavioural factors like prolonged sitting and physical inactivity should be addressed alongside flexibility training.</w:t>
      </w:r>
      <w:r w:rsidRPr="00A53A65">
        <w:rPr>
          <w:rFonts w:ascii="Times New Roman" w:hAnsi="Times New Roman" w:cs="Times New Roman"/>
          <w:sz w:val="24"/>
          <w:szCs w:val="24"/>
        </w:rPr>
        <w:t xml:space="preserve"> </w:t>
      </w:r>
    </w:p>
    <w:p w14:paraId="5BD539AE" w14:textId="77777777" w:rsidR="00F00CF8" w:rsidRPr="00A53A65" w:rsidRDefault="00F00CF8"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Keywords:</w:t>
      </w:r>
      <w:r w:rsidRPr="00A53A65">
        <w:rPr>
          <w:rFonts w:ascii="Times New Roman" w:hAnsi="Times New Roman" w:cs="Times New Roman"/>
          <w:sz w:val="24"/>
          <w:szCs w:val="24"/>
        </w:rPr>
        <w:t xml:space="preserve"> </w:t>
      </w:r>
      <w:r w:rsidRPr="00A53A65">
        <w:rPr>
          <w:rFonts w:ascii="Times New Roman" w:hAnsi="Times New Roman" w:cs="Times New Roman"/>
          <w:i/>
          <w:sz w:val="24"/>
          <w:szCs w:val="24"/>
        </w:rPr>
        <w:t>Hamstring Flexibility, Musculoskeletal Wellbeing; University Students; Low Back Pain; Sit-and-Reach Test; Active Knee Extension; Postural Alignment; Sedentary Behaviour</w:t>
      </w:r>
    </w:p>
    <w:p w14:paraId="4B29B797" w14:textId="77777777" w:rsidR="00F00CF8" w:rsidRPr="00A53A65" w:rsidRDefault="00F00CF8"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Introduction</w:t>
      </w:r>
    </w:p>
    <w:p w14:paraId="1A74F82B" w14:textId="77777777"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Undergraduate education demands sustained sedentary engagement include lectures, computer-based assignments and private study routinely occupy the majority of a student's waking hours. Research indicates that university students accumulate between seven and eight hours of seated time daily, placing them among the most sedentary young adult groups in contemporary society.</w:t>
      </w:r>
      <w:r w:rsidRPr="00A53A65">
        <w:rPr>
          <w:rFonts w:ascii="Times New Roman" w:hAnsi="Times New Roman" w:cs="Times New Roman"/>
          <w:sz w:val="24"/>
          <w:szCs w:val="24"/>
          <w:vertAlign w:val="superscript"/>
        </w:rPr>
        <w:t>1</w:t>
      </w:r>
      <w:r w:rsidRPr="00A53A65">
        <w:rPr>
          <w:rFonts w:ascii="Times New Roman" w:hAnsi="Times New Roman" w:cs="Times New Roman"/>
          <w:sz w:val="24"/>
          <w:szCs w:val="24"/>
        </w:rPr>
        <w:t xml:space="preserve"> Sustained sitting maintains the hip and knee in flexion simultaneously, holding the semitendinosus, semimembranosus and biceps femoris in a shortened configuration for extended durations. With repeated exposure, this positional loading promotes adaptive muscle shortening that reduces resting hamstring extensibility.</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Population surveys in university cohorts have documented hamstring tightness in 40–68% of students, making it one of the most commonly encountered musculoskeletal findings in this age group.</w:t>
      </w:r>
      <w:r w:rsidRPr="00A53A65">
        <w:rPr>
          <w:rFonts w:ascii="Times New Roman" w:hAnsi="Times New Roman" w:cs="Times New Roman"/>
          <w:sz w:val="24"/>
          <w:szCs w:val="24"/>
          <w:vertAlign w:val="superscript"/>
        </w:rPr>
        <w:t>3</w:t>
      </w:r>
    </w:p>
    <w:p w14:paraId="14615B12" w14:textId="77777777"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clinical significance of hamstring tightness extends well beyond restricted lower limb motion. Originating from the ischial tuberosities, tight hamstrings exert a posteriorly directed traction force on the pelvis, suppressing anterior pelvic tilt and attenuating lumbar lordosis.</w:t>
      </w:r>
      <w:r w:rsidRPr="00A53A65">
        <w:rPr>
          <w:rFonts w:ascii="Times New Roman" w:hAnsi="Times New Roman" w:cs="Times New Roman"/>
          <w:sz w:val="24"/>
          <w:szCs w:val="24"/>
          <w:vertAlign w:val="superscript"/>
        </w:rPr>
        <w:t>4</w:t>
      </w:r>
      <w:r w:rsidRPr="00A53A65">
        <w:rPr>
          <w:rFonts w:ascii="Times New Roman" w:hAnsi="Times New Roman" w:cs="Times New Roman"/>
          <w:sz w:val="24"/>
          <w:szCs w:val="24"/>
        </w:rPr>
        <w:t xml:space="preserve"> Altered lumbopelvic positioning modifies load distribution across intervertebral discs and the posterior spinal elements, raising mechanical stress in structures poorly equipped for prolonged compressive and shear forces.</w:t>
      </w:r>
      <w:r w:rsidRPr="00A53A65">
        <w:rPr>
          <w:rFonts w:ascii="Times New Roman" w:hAnsi="Times New Roman" w:cs="Times New Roman"/>
          <w:sz w:val="24"/>
          <w:szCs w:val="24"/>
          <w:vertAlign w:val="superscript"/>
        </w:rPr>
        <w:t>5</w:t>
      </w:r>
      <w:r w:rsidRPr="00A53A65">
        <w:rPr>
          <w:rFonts w:ascii="Times New Roman" w:hAnsi="Times New Roman" w:cs="Times New Roman"/>
          <w:sz w:val="24"/>
          <w:szCs w:val="24"/>
        </w:rPr>
        <w:t xml:space="preserve"> Consistent with these biomechanical effects, epidemiological investigations associate restricted hamstring extensibility with elevated rates of low back pain (LBP), patellofemoral pain syndrome, and plantar fasciitis.</w:t>
      </w:r>
      <w:r w:rsidRPr="00A53A65">
        <w:rPr>
          <w:rFonts w:ascii="Times New Roman" w:hAnsi="Times New Roman" w:cs="Times New Roman"/>
          <w:sz w:val="24"/>
          <w:szCs w:val="24"/>
          <w:vertAlign w:val="superscript"/>
        </w:rPr>
        <w:t>3,6</w:t>
      </w:r>
      <w:r w:rsidRPr="00A53A65">
        <w:rPr>
          <w:rFonts w:ascii="Times New Roman" w:hAnsi="Times New Roman" w:cs="Times New Roman"/>
          <w:sz w:val="24"/>
          <w:szCs w:val="24"/>
        </w:rPr>
        <w:t xml:space="preserve"> LBP itself carries a lifetime prevalence of roughly 84% in the general adult population, with younger sedentary groups showing increasing incidence in recent decades.</w:t>
      </w:r>
      <w:r w:rsidRPr="00A53A65">
        <w:rPr>
          <w:rFonts w:ascii="Times New Roman" w:hAnsi="Times New Roman" w:cs="Times New Roman"/>
          <w:sz w:val="24"/>
          <w:szCs w:val="24"/>
          <w:vertAlign w:val="superscript"/>
        </w:rPr>
        <w:t>7</w:t>
      </w:r>
    </w:p>
    <w:p w14:paraId="75EF8605" w14:textId="77777777"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Paradoxically, hamstring flexibility is seldom assessed as part of formal student health evaluations, despite the frequency of tightness in this population. The existing body of research has tended to examine hamstring restriction either as a risk factor for discrete lower limb injuries or as an isolated biomechanical variable, rather than as a predictor of overall musculoskeletal health. An additional complexity is that biological sex influences hamstring </w:t>
      </w:r>
      <w:r w:rsidRPr="00A53A65">
        <w:rPr>
          <w:rFonts w:ascii="Times New Roman" w:hAnsi="Times New Roman" w:cs="Times New Roman"/>
          <w:sz w:val="24"/>
          <w:szCs w:val="24"/>
        </w:rPr>
        <w:lastRenderedPageBreak/>
        <w:t>extensibility, with females typically displaying greater flexibility than males an effect attributed partly to oestrogen-mediated differences in connective tissue compliance and muscle architecture.</w:t>
      </w:r>
      <w:r w:rsidRPr="00A53A65">
        <w:rPr>
          <w:rFonts w:ascii="Times New Roman" w:hAnsi="Times New Roman" w:cs="Times New Roman"/>
          <w:sz w:val="24"/>
          <w:szCs w:val="24"/>
          <w:vertAlign w:val="superscript"/>
        </w:rPr>
        <w:t>8,9</w:t>
      </w:r>
      <w:r w:rsidRPr="00A53A65">
        <w:rPr>
          <w:rFonts w:ascii="Times New Roman" w:hAnsi="Times New Roman" w:cs="Times New Roman"/>
          <w:sz w:val="24"/>
          <w:szCs w:val="24"/>
        </w:rPr>
        <w:t xml:space="preserve"> Ignoring this sex-based variation can distort risk estimates if sex is not properly accounted for in analyses.</w:t>
      </w:r>
    </w:p>
    <w:p w14:paraId="00F56EC6" w14:textId="77777777"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Two clinical tools have accrued substantial validity evidence for measuring hamstring extensibility. The Sit-and-Reach Test (SRT) and the Active Knee Extension (AKE) test are each well-studied and practical enough for screening in non-laboratory settings.</w:t>
      </w:r>
      <w:r w:rsidRPr="00A53A65">
        <w:rPr>
          <w:rFonts w:ascii="Times New Roman" w:hAnsi="Times New Roman" w:cs="Times New Roman"/>
          <w:sz w:val="24"/>
          <w:szCs w:val="24"/>
          <w:vertAlign w:val="superscript"/>
        </w:rPr>
        <w:t>10,11</w:t>
      </w:r>
      <w:r w:rsidRPr="00A53A65">
        <w:rPr>
          <w:rFonts w:ascii="Times New Roman" w:hAnsi="Times New Roman" w:cs="Times New Roman"/>
          <w:sz w:val="24"/>
          <w:szCs w:val="24"/>
        </w:rPr>
        <w:t xml:space="preserve"> The SRT yields high test-retest reliability (ICC = 0.92–0.99) and shows moderate criterion validity against direct hamstring length measurements (r = 0.46–0.67).</w:t>
      </w:r>
      <w:r w:rsidRPr="00A53A65">
        <w:rPr>
          <w:rFonts w:ascii="Times New Roman" w:hAnsi="Times New Roman" w:cs="Times New Roman"/>
          <w:sz w:val="24"/>
          <w:szCs w:val="24"/>
          <w:vertAlign w:val="superscript"/>
        </w:rPr>
        <w:t>12</w:t>
      </w:r>
      <w:r w:rsidRPr="00A53A65">
        <w:rPr>
          <w:rFonts w:ascii="Times New Roman" w:hAnsi="Times New Roman" w:cs="Times New Roman"/>
          <w:sz w:val="24"/>
          <w:szCs w:val="24"/>
        </w:rPr>
        <w:t xml:space="preserve"> The AKE test controls pelvic position during assessment, thereby isolating hamstring extensibility more precisely; it achieves excellent inter-rater and test-retest reliability (ICC = 0.92–0.95).</w:t>
      </w:r>
      <w:r w:rsidRPr="00A53A65">
        <w:rPr>
          <w:rFonts w:ascii="Times New Roman" w:hAnsi="Times New Roman" w:cs="Times New Roman"/>
          <w:sz w:val="24"/>
          <w:szCs w:val="24"/>
          <w:vertAlign w:val="superscript"/>
        </w:rPr>
        <w:t>13</w:t>
      </w:r>
    </w:p>
    <w:p w14:paraId="62A74645" w14:textId="77777777"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primary objective of this study was to evaluate hamstring flexibility as an independent predictor of musculoskeletal wellbeing in a university student sample. Additional objectives included estimating the prevalence of hamstring tightness, characterising sex-based differences in flexibility scores, and quantifying associations between hamstring flexibility, sitting behaviour and musculoskeletal pain outcomes.</w:t>
      </w:r>
    </w:p>
    <w:p w14:paraId="463FA294" w14:textId="77777777" w:rsidR="00096A0B" w:rsidRPr="00A53A65" w:rsidRDefault="00096A0B" w:rsidP="001407CE">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M</w:t>
      </w:r>
      <w:r w:rsidR="00A0517D" w:rsidRPr="00A53A65">
        <w:rPr>
          <w:rFonts w:ascii="Times New Roman" w:hAnsi="Times New Roman" w:cs="Times New Roman"/>
          <w:b/>
          <w:sz w:val="24"/>
          <w:szCs w:val="24"/>
        </w:rPr>
        <w:t>ethods</w:t>
      </w:r>
    </w:p>
    <w:p w14:paraId="124CE115" w14:textId="77777777" w:rsidR="00531E4A" w:rsidRPr="00A53A65" w:rsidRDefault="00096A0B"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Design:</w:t>
      </w:r>
      <w:r w:rsidRPr="00A53A65">
        <w:rPr>
          <w:rFonts w:ascii="Times New Roman" w:hAnsi="Times New Roman" w:cs="Times New Roman"/>
          <w:sz w:val="24"/>
          <w:szCs w:val="24"/>
        </w:rPr>
        <w:t xml:space="preserve"> A cross-sectional observational study was </w:t>
      </w:r>
      <w:r w:rsidR="00E80DC0" w:rsidRPr="00A53A65">
        <w:rPr>
          <w:rFonts w:ascii="Times New Roman" w:hAnsi="Times New Roman" w:cs="Times New Roman"/>
          <w:sz w:val="24"/>
          <w:szCs w:val="24"/>
        </w:rPr>
        <w:t xml:space="preserve">employed to examine associations </w:t>
      </w:r>
      <w:r w:rsidRPr="00A53A65">
        <w:rPr>
          <w:rFonts w:ascii="Times New Roman" w:hAnsi="Times New Roman" w:cs="Times New Roman"/>
          <w:sz w:val="24"/>
          <w:szCs w:val="24"/>
        </w:rPr>
        <w:t>between</w:t>
      </w:r>
      <w:r w:rsidR="00E80DC0" w:rsidRPr="00A53A65">
        <w:rPr>
          <w:rFonts w:ascii="Times New Roman" w:hAnsi="Times New Roman" w:cs="Times New Roman"/>
          <w:sz w:val="24"/>
          <w:szCs w:val="24"/>
        </w:rPr>
        <w:t xml:space="preserve"> hamstring flexibility and musculoskeletal wellbeing outcomes in an undergraduate student population. This design was selected as it permits simultaneous measurement of exposure and outcome variables across a defined population at a single point in time, making it appropriate for prevalence estimation and predictor identification.</w:t>
      </w:r>
      <w:r w:rsidRPr="00A53A65">
        <w:rPr>
          <w:rFonts w:ascii="Times New Roman" w:hAnsi="Times New Roman" w:cs="Times New Roman"/>
          <w:sz w:val="24"/>
          <w:szCs w:val="24"/>
        </w:rPr>
        <w:t xml:space="preserve"> </w:t>
      </w:r>
    </w:p>
    <w:p w14:paraId="2A63A9E3" w14:textId="77777777" w:rsidR="00531E4A" w:rsidRPr="00A53A65" w:rsidRDefault="00531E4A"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Setting:</w:t>
      </w:r>
      <w:r w:rsidRPr="00A53A65">
        <w:rPr>
          <w:rFonts w:ascii="Times New Roman" w:hAnsi="Times New Roman" w:cs="Times New Roman"/>
          <w:sz w:val="24"/>
          <w:szCs w:val="24"/>
        </w:rPr>
        <w:t xml:space="preserve"> The study was conducted at a university-affiliated college in South India. The institution enrols students across multiple undergraduate faculties providing a sufficiently heterogeneous population for stratified recruitment. Assessment procedures were carried out in a designated physiotherapy laboratory within the institution to ensure standardised environmental conditions.</w:t>
      </w:r>
    </w:p>
    <w:p w14:paraId="4C793957" w14:textId="77777777" w:rsidR="00531E4A" w:rsidRPr="00A53A65" w:rsidRDefault="00531E4A"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Duration:</w:t>
      </w:r>
      <w:r w:rsidRPr="00A53A65">
        <w:rPr>
          <w:rFonts w:ascii="Times New Roman" w:hAnsi="Times New Roman" w:cs="Times New Roman"/>
          <w:sz w:val="24"/>
          <w:szCs w:val="24"/>
        </w:rPr>
        <w:t xml:space="preserve"> Data collection was conducted over a nine month period from April 2025 to December 2025. This timeframe was selected to capture the full academic year, thereby minimising seasonal or semester-specific biases in physical activity levels, sitting behaviour and musculoskeletal complaints.</w:t>
      </w:r>
    </w:p>
    <w:p w14:paraId="61998A35" w14:textId="77777777" w:rsidR="00531E4A" w:rsidRPr="00A53A65" w:rsidRDefault="00531E4A" w:rsidP="00531E4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lastRenderedPageBreak/>
        <w:t>Sample Size:</w:t>
      </w:r>
      <w:r w:rsidRPr="00A53A65">
        <w:rPr>
          <w:rFonts w:ascii="Times New Roman" w:hAnsi="Times New Roman" w:cs="Times New Roman"/>
          <w:sz w:val="24"/>
          <w:szCs w:val="24"/>
        </w:rPr>
        <w:t xml:space="preserve"> Sample size was estimated a priori using G*Power software version 3.1 (University of Dusseldorf, Germany). Based on the published effect size estimates for multiple linear regression in similar populations, a medium effect size (f</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 0.15) was anticipated. With a significance threshold of α = 0.05, and statistical power set at 0.80, the minimum required sample size was 192 participants. </w:t>
      </w:r>
      <w:r w:rsidR="00A65509" w:rsidRPr="00A53A65">
        <w:rPr>
          <w:rFonts w:ascii="Times New Roman" w:hAnsi="Times New Roman" w:cs="Times New Roman"/>
          <w:sz w:val="24"/>
          <w:szCs w:val="24"/>
        </w:rPr>
        <w:t>To compensate for an anticipated attrition or ineligibility rate of approximately 10%, 220 students were invited for screening. Of these 210 met all eligibility criteria, completed all assessment procedures and provided complete data sets for inclusion in the final analysis</w:t>
      </w:r>
      <w:r w:rsidRPr="00A53A65">
        <w:rPr>
          <w:rFonts w:ascii="Times New Roman" w:hAnsi="Times New Roman" w:cs="Times New Roman"/>
          <w:sz w:val="24"/>
          <w:szCs w:val="24"/>
        </w:rPr>
        <w:t>.</w:t>
      </w:r>
    </w:p>
    <w:p w14:paraId="5A57F7A8" w14:textId="77777777" w:rsidR="00A65509" w:rsidRPr="00A53A65" w:rsidRDefault="00A65509" w:rsidP="00531E4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Sampling Method:</w:t>
      </w:r>
      <w:r w:rsidRPr="00A53A65">
        <w:rPr>
          <w:rFonts w:ascii="Times New Roman" w:hAnsi="Times New Roman" w:cs="Times New Roman"/>
          <w:sz w:val="24"/>
          <w:szCs w:val="24"/>
        </w:rPr>
        <w:t xml:space="preserve"> Participants were recruited using stratified random sampling across undergraduate faculties. Each faculty was treated as a sampling stratum (Physiotherapy, Nursing, and Allied Health Sciences) and participants were randomly selected from faculty enrolment lists in proportion to the relative size of each department within the institution. This approach ensured equitable representation across academic disciplines and minimised the risk of subject selection bias. Recruitment was conducted through direct classroom announcement.</w:t>
      </w:r>
    </w:p>
    <w:p w14:paraId="7BC4D127" w14:textId="77777777" w:rsidR="00243CA8" w:rsidRPr="00A53A65" w:rsidRDefault="00A65509"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Inclusion Criteria:</w:t>
      </w:r>
      <w:r w:rsidRPr="00A53A65">
        <w:rPr>
          <w:rFonts w:ascii="Times New Roman" w:hAnsi="Times New Roman" w:cs="Times New Roman"/>
          <w:sz w:val="24"/>
          <w:szCs w:val="24"/>
        </w:rPr>
        <w:t xml:space="preserve"> Students were eligible for participation if they met all of the following criteria:</w:t>
      </w:r>
      <w:r w:rsidR="00631014" w:rsidRPr="00A53A65">
        <w:rPr>
          <w:rFonts w:ascii="Times New Roman" w:hAnsi="Times New Roman" w:cs="Times New Roman"/>
          <w:sz w:val="24"/>
          <w:szCs w:val="24"/>
        </w:rPr>
        <w:t xml:space="preserve"> (</w:t>
      </w:r>
      <w:proofErr w:type="spellStart"/>
      <w:r w:rsidR="00631014" w:rsidRPr="00A53A65">
        <w:rPr>
          <w:rFonts w:ascii="Times New Roman" w:hAnsi="Times New Roman" w:cs="Times New Roman"/>
          <w:sz w:val="24"/>
          <w:szCs w:val="24"/>
        </w:rPr>
        <w:t>i</w:t>
      </w:r>
      <w:proofErr w:type="spellEnd"/>
      <w:r w:rsidR="00631014" w:rsidRPr="00A53A65">
        <w:rPr>
          <w:rFonts w:ascii="Times New Roman" w:hAnsi="Times New Roman" w:cs="Times New Roman"/>
          <w:sz w:val="24"/>
          <w:szCs w:val="24"/>
        </w:rPr>
        <w:t>) age</w:t>
      </w:r>
      <w:r w:rsidRPr="00A53A65">
        <w:rPr>
          <w:rFonts w:ascii="Times New Roman" w:hAnsi="Times New Roman" w:cs="Times New Roman"/>
          <w:sz w:val="24"/>
          <w:szCs w:val="24"/>
        </w:rPr>
        <w:t xml:space="preserve"> between 18 and </w:t>
      </w:r>
      <w:r w:rsidR="00631014" w:rsidRPr="00A53A65">
        <w:rPr>
          <w:rFonts w:ascii="Times New Roman" w:hAnsi="Times New Roman" w:cs="Times New Roman"/>
          <w:sz w:val="24"/>
          <w:szCs w:val="24"/>
        </w:rPr>
        <w:t xml:space="preserve">25 years </w:t>
      </w:r>
      <w:r w:rsidRPr="00A53A65">
        <w:rPr>
          <w:rFonts w:ascii="Times New Roman" w:hAnsi="Times New Roman" w:cs="Times New Roman"/>
          <w:sz w:val="24"/>
          <w:szCs w:val="24"/>
        </w:rPr>
        <w:t xml:space="preserve">at the time of enrolment; </w:t>
      </w:r>
      <w:r w:rsidR="00631014" w:rsidRPr="00A53A65">
        <w:rPr>
          <w:rFonts w:ascii="Times New Roman" w:hAnsi="Times New Roman" w:cs="Times New Roman"/>
          <w:sz w:val="24"/>
          <w:szCs w:val="24"/>
        </w:rPr>
        <w:t xml:space="preserve">(ii) currently </w:t>
      </w:r>
      <w:r w:rsidRPr="00A53A65">
        <w:rPr>
          <w:rFonts w:ascii="Times New Roman" w:hAnsi="Times New Roman" w:cs="Times New Roman"/>
          <w:sz w:val="24"/>
          <w:szCs w:val="24"/>
        </w:rPr>
        <w:t>registered as a</w:t>
      </w:r>
      <w:r w:rsidR="00631014" w:rsidRPr="00A53A65">
        <w:rPr>
          <w:rFonts w:ascii="Times New Roman" w:hAnsi="Times New Roman" w:cs="Times New Roman"/>
          <w:sz w:val="24"/>
          <w:szCs w:val="24"/>
        </w:rPr>
        <w:t xml:space="preserve"> full-time undergraduate student</w:t>
      </w:r>
      <w:r w:rsidRPr="00A53A65">
        <w:rPr>
          <w:rFonts w:ascii="Times New Roman" w:hAnsi="Times New Roman" w:cs="Times New Roman"/>
          <w:sz w:val="24"/>
          <w:szCs w:val="24"/>
        </w:rPr>
        <w:t xml:space="preserve"> at the participating institutions; and</w:t>
      </w:r>
      <w:r w:rsidR="00631014" w:rsidRPr="00A53A65">
        <w:rPr>
          <w:rFonts w:ascii="Times New Roman" w:hAnsi="Times New Roman" w:cs="Times New Roman"/>
          <w:sz w:val="24"/>
          <w:szCs w:val="24"/>
        </w:rPr>
        <w:t xml:space="preserve"> (iii) </w:t>
      </w:r>
      <w:r w:rsidRPr="00A53A65">
        <w:rPr>
          <w:rFonts w:ascii="Times New Roman" w:hAnsi="Times New Roman" w:cs="Times New Roman"/>
          <w:sz w:val="24"/>
          <w:szCs w:val="24"/>
        </w:rPr>
        <w:t>absence of any lower</w:t>
      </w:r>
      <w:r w:rsidR="00631014" w:rsidRPr="00A53A65">
        <w:rPr>
          <w:rFonts w:ascii="Times New Roman" w:hAnsi="Times New Roman" w:cs="Times New Roman"/>
          <w:sz w:val="24"/>
          <w:szCs w:val="24"/>
        </w:rPr>
        <w:t xml:space="preserve"> limb </w:t>
      </w:r>
      <w:r w:rsidR="00D30B55" w:rsidRPr="00A53A65">
        <w:rPr>
          <w:rFonts w:ascii="Times New Roman" w:hAnsi="Times New Roman" w:cs="Times New Roman"/>
          <w:sz w:val="24"/>
          <w:szCs w:val="24"/>
        </w:rPr>
        <w:t xml:space="preserve">or lumbar spine surgery, acute musculoskeletal injury </w:t>
      </w:r>
      <w:r w:rsidRPr="00A53A65">
        <w:rPr>
          <w:rFonts w:ascii="Times New Roman" w:hAnsi="Times New Roman" w:cs="Times New Roman"/>
          <w:sz w:val="24"/>
          <w:szCs w:val="24"/>
        </w:rPr>
        <w:t>with</w:t>
      </w:r>
      <w:r w:rsidR="00D30B55" w:rsidRPr="00A53A65">
        <w:rPr>
          <w:rFonts w:ascii="Times New Roman" w:hAnsi="Times New Roman" w:cs="Times New Roman"/>
          <w:sz w:val="24"/>
          <w:szCs w:val="24"/>
        </w:rPr>
        <w:t xml:space="preserve">in the </w:t>
      </w:r>
      <w:r w:rsidRPr="00A53A65">
        <w:rPr>
          <w:rFonts w:ascii="Times New Roman" w:hAnsi="Times New Roman" w:cs="Times New Roman"/>
          <w:sz w:val="24"/>
          <w:szCs w:val="24"/>
        </w:rPr>
        <w:t xml:space="preserve">three months </w:t>
      </w:r>
      <w:r w:rsidR="00D30B55" w:rsidRPr="00A53A65">
        <w:rPr>
          <w:rFonts w:ascii="Times New Roman" w:hAnsi="Times New Roman" w:cs="Times New Roman"/>
          <w:sz w:val="24"/>
          <w:szCs w:val="24"/>
        </w:rPr>
        <w:t>preceding</w:t>
      </w:r>
      <w:r w:rsidRPr="00A53A65">
        <w:rPr>
          <w:rFonts w:ascii="Times New Roman" w:hAnsi="Times New Roman" w:cs="Times New Roman"/>
          <w:sz w:val="24"/>
          <w:szCs w:val="24"/>
        </w:rPr>
        <w:t xml:space="preserve"> enrolment,</w:t>
      </w:r>
      <w:r w:rsidR="00D30B55" w:rsidRPr="00A53A65">
        <w:rPr>
          <w:rFonts w:ascii="Times New Roman" w:hAnsi="Times New Roman" w:cs="Times New Roman"/>
          <w:sz w:val="24"/>
          <w:szCs w:val="24"/>
        </w:rPr>
        <w:t xml:space="preserve"> or</w:t>
      </w:r>
      <w:r w:rsidRPr="00A53A65">
        <w:rPr>
          <w:rFonts w:ascii="Times New Roman" w:hAnsi="Times New Roman" w:cs="Times New Roman"/>
          <w:sz w:val="24"/>
          <w:szCs w:val="24"/>
        </w:rPr>
        <w:t xml:space="preserve"> confirmed</w:t>
      </w:r>
      <w:r w:rsidR="00D30B55" w:rsidRPr="00A53A65">
        <w:rPr>
          <w:rFonts w:ascii="Times New Roman" w:hAnsi="Times New Roman" w:cs="Times New Roman"/>
          <w:sz w:val="24"/>
          <w:szCs w:val="24"/>
        </w:rPr>
        <w:t xml:space="preserve"> neurological disorder affecti</w:t>
      </w:r>
      <w:r w:rsidR="005A0EF9" w:rsidRPr="00A53A65">
        <w:rPr>
          <w:rFonts w:ascii="Times New Roman" w:hAnsi="Times New Roman" w:cs="Times New Roman"/>
          <w:sz w:val="24"/>
          <w:szCs w:val="24"/>
        </w:rPr>
        <w:t>ng lower extremity function</w:t>
      </w:r>
      <w:r w:rsidRPr="00A53A65">
        <w:rPr>
          <w:rFonts w:ascii="Times New Roman" w:hAnsi="Times New Roman" w:cs="Times New Roman"/>
          <w:sz w:val="24"/>
          <w:szCs w:val="24"/>
        </w:rPr>
        <w:t xml:space="preserve"> or sensation</w:t>
      </w:r>
      <w:r w:rsidR="00D30B55" w:rsidRPr="00A53A65">
        <w:rPr>
          <w:rFonts w:ascii="Times New Roman" w:hAnsi="Times New Roman" w:cs="Times New Roman"/>
          <w:sz w:val="24"/>
          <w:szCs w:val="24"/>
        </w:rPr>
        <w:t>.</w:t>
      </w:r>
    </w:p>
    <w:p w14:paraId="4898BF4D" w14:textId="77777777" w:rsidR="00631014" w:rsidRPr="00A53A65" w:rsidRDefault="00D30B55"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Exclusion criteria</w:t>
      </w:r>
      <w:r w:rsidR="00243CA8" w:rsidRPr="00A53A65">
        <w:rPr>
          <w:rFonts w:ascii="Times New Roman" w:hAnsi="Times New Roman" w:cs="Times New Roman"/>
          <w:sz w:val="24"/>
          <w:szCs w:val="24"/>
        </w:rPr>
        <w:t>: Participants were exc</w:t>
      </w:r>
      <w:r w:rsidRPr="00A53A65">
        <w:rPr>
          <w:rFonts w:ascii="Times New Roman" w:hAnsi="Times New Roman" w:cs="Times New Roman"/>
          <w:sz w:val="24"/>
          <w:szCs w:val="24"/>
        </w:rPr>
        <w:t xml:space="preserve">luded </w:t>
      </w:r>
      <w:r w:rsidR="00243CA8" w:rsidRPr="00A53A65">
        <w:rPr>
          <w:rFonts w:ascii="Times New Roman" w:hAnsi="Times New Roman" w:cs="Times New Roman"/>
          <w:sz w:val="24"/>
          <w:szCs w:val="24"/>
        </w:rPr>
        <w:t xml:space="preserve">if they had </w:t>
      </w:r>
      <w:r w:rsidRPr="00A53A65">
        <w:rPr>
          <w:rFonts w:ascii="Times New Roman" w:hAnsi="Times New Roman" w:cs="Times New Roman"/>
          <w:sz w:val="24"/>
          <w:szCs w:val="24"/>
        </w:rPr>
        <w:t>a Body Mass Index (BMI) ≥ 30 kg/m</w:t>
      </w:r>
      <w:r w:rsidRPr="00A53A65">
        <w:rPr>
          <w:rFonts w:ascii="Times New Roman" w:hAnsi="Times New Roman" w:cs="Times New Roman"/>
          <w:sz w:val="24"/>
          <w:szCs w:val="24"/>
          <w:vertAlign w:val="superscript"/>
        </w:rPr>
        <w:t>2</w:t>
      </w:r>
      <w:r w:rsidR="00243CA8" w:rsidRPr="00A53A65">
        <w:rPr>
          <w:rFonts w:ascii="Times New Roman" w:hAnsi="Times New Roman" w:cs="Times New Roman"/>
          <w:sz w:val="24"/>
          <w:szCs w:val="24"/>
        </w:rPr>
        <w:t xml:space="preserve"> or greater</w:t>
      </w:r>
      <w:r w:rsidRPr="00A53A65">
        <w:rPr>
          <w:rFonts w:ascii="Times New Roman" w:hAnsi="Times New Roman" w:cs="Times New Roman"/>
          <w:sz w:val="24"/>
          <w:szCs w:val="24"/>
        </w:rPr>
        <w:t>,</w:t>
      </w:r>
      <w:r w:rsidR="00243CA8" w:rsidRPr="00A53A65">
        <w:rPr>
          <w:rFonts w:ascii="Times New Roman" w:hAnsi="Times New Roman" w:cs="Times New Roman"/>
          <w:sz w:val="24"/>
          <w:szCs w:val="24"/>
        </w:rPr>
        <w:t xml:space="preserve"> as adipose tissue distribution can independently influence sitting posture and SRT performance. Additional exclusion criteria were a confirmed diagnosis of </w:t>
      </w:r>
      <w:r w:rsidRPr="00A53A65">
        <w:rPr>
          <w:rFonts w:ascii="Times New Roman" w:hAnsi="Times New Roman" w:cs="Times New Roman"/>
          <w:sz w:val="24"/>
          <w:szCs w:val="24"/>
        </w:rPr>
        <w:t>joint hypermobility syndrome (Beighton score ≥ 6/9)</w:t>
      </w:r>
      <w:r w:rsidR="00243CA8" w:rsidRPr="00A53A65">
        <w:rPr>
          <w:rFonts w:ascii="Times New Roman" w:hAnsi="Times New Roman" w:cs="Times New Roman"/>
          <w:sz w:val="24"/>
          <w:szCs w:val="24"/>
        </w:rPr>
        <w:t xml:space="preserve">, which could artificially inflate flexibility measurements, and the inability to perform </w:t>
      </w:r>
      <w:r w:rsidRPr="00A53A65">
        <w:rPr>
          <w:rFonts w:ascii="Times New Roman" w:hAnsi="Times New Roman" w:cs="Times New Roman"/>
          <w:sz w:val="24"/>
          <w:szCs w:val="24"/>
        </w:rPr>
        <w:t>s</w:t>
      </w:r>
      <w:r w:rsidR="00A0517D" w:rsidRPr="00A53A65">
        <w:rPr>
          <w:rFonts w:ascii="Times New Roman" w:hAnsi="Times New Roman" w:cs="Times New Roman"/>
          <w:sz w:val="24"/>
          <w:szCs w:val="24"/>
        </w:rPr>
        <w:t>ta</w:t>
      </w:r>
      <w:r w:rsidR="00243CA8" w:rsidRPr="00A53A65">
        <w:rPr>
          <w:rFonts w:ascii="Times New Roman" w:hAnsi="Times New Roman" w:cs="Times New Roman"/>
          <w:sz w:val="24"/>
          <w:szCs w:val="24"/>
        </w:rPr>
        <w:t>ndardised assessment manoeuvres for any reason.</w:t>
      </w:r>
    </w:p>
    <w:p w14:paraId="26EFC9D0" w14:textId="77777777" w:rsidR="00A0517D" w:rsidRPr="00A53A65" w:rsidRDefault="0052377B"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 xml:space="preserve">Data Collection Tool: </w:t>
      </w:r>
      <w:r w:rsidRPr="00A53A65">
        <w:rPr>
          <w:rFonts w:ascii="Times New Roman" w:hAnsi="Times New Roman" w:cs="Times New Roman"/>
          <w:sz w:val="24"/>
          <w:szCs w:val="24"/>
        </w:rPr>
        <w:t>Hamstring flexibility was measured using tw</w:t>
      </w:r>
      <w:r w:rsidR="00A0517D" w:rsidRPr="00A53A65">
        <w:rPr>
          <w:rFonts w:ascii="Times New Roman" w:hAnsi="Times New Roman" w:cs="Times New Roman"/>
          <w:sz w:val="24"/>
          <w:szCs w:val="24"/>
        </w:rPr>
        <w:t xml:space="preserve">o </w:t>
      </w:r>
      <w:r w:rsidRPr="00A53A65">
        <w:rPr>
          <w:rFonts w:ascii="Times New Roman" w:hAnsi="Times New Roman" w:cs="Times New Roman"/>
          <w:sz w:val="24"/>
          <w:szCs w:val="24"/>
        </w:rPr>
        <w:t>validated</w:t>
      </w:r>
      <w:r w:rsidR="00A0517D" w:rsidRPr="00A53A65">
        <w:rPr>
          <w:rFonts w:ascii="Times New Roman" w:hAnsi="Times New Roman" w:cs="Times New Roman"/>
          <w:sz w:val="24"/>
          <w:szCs w:val="24"/>
        </w:rPr>
        <w:t xml:space="preserve"> clinical </w:t>
      </w:r>
      <w:r w:rsidRPr="00A53A65">
        <w:rPr>
          <w:rFonts w:ascii="Times New Roman" w:hAnsi="Times New Roman" w:cs="Times New Roman"/>
          <w:sz w:val="24"/>
          <w:szCs w:val="24"/>
        </w:rPr>
        <w:t>instruments</w:t>
      </w:r>
      <w:r w:rsidR="00A0517D" w:rsidRPr="00A53A65">
        <w:rPr>
          <w:rFonts w:ascii="Times New Roman" w:hAnsi="Times New Roman" w:cs="Times New Roman"/>
          <w:sz w:val="24"/>
          <w:szCs w:val="24"/>
        </w:rPr>
        <w:t>.</w:t>
      </w:r>
      <w:r w:rsidRPr="00A53A65">
        <w:rPr>
          <w:rFonts w:ascii="Times New Roman" w:hAnsi="Times New Roman" w:cs="Times New Roman"/>
          <w:sz w:val="24"/>
          <w:szCs w:val="24"/>
        </w:rPr>
        <w:t xml:space="preserve"> For Sit-and-Reach Test (SRT), p</w:t>
      </w:r>
      <w:r w:rsidR="00A0517D" w:rsidRPr="00A53A65">
        <w:rPr>
          <w:rFonts w:ascii="Times New Roman" w:hAnsi="Times New Roman" w:cs="Times New Roman"/>
          <w:sz w:val="24"/>
          <w:szCs w:val="24"/>
        </w:rPr>
        <w:t xml:space="preserve">articipants removed </w:t>
      </w:r>
      <w:r w:rsidRPr="00A53A65">
        <w:rPr>
          <w:rFonts w:ascii="Times New Roman" w:hAnsi="Times New Roman" w:cs="Times New Roman"/>
          <w:sz w:val="24"/>
          <w:szCs w:val="24"/>
        </w:rPr>
        <w:t>their footwear, and</w:t>
      </w:r>
      <w:r w:rsidR="00A0517D" w:rsidRPr="00A53A65">
        <w:rPr>
          <w:rFonts w:ascii="Times New Roman" w:hAnsi="Times New Roman" w:cs="Times New Roman"/>
          <w:sz w:val="24"/>
          <w:szCs w:val="24"/>
        </w:rPr>
        <w:t xml:space="preserve"> sat with</w:t>
      </w:r>
      <w:r w:rsidRPr="00A53A65">
        <w:rPr>
          <w:rFonts w:ascii="Times New Roman" w:hAnsi="Times New Roman" w:cs="Times New Roman"/>
          <w:sz w:val="24"/>
          <w:szCs w:val="24"/>
        </w:rPr>
        <w:t xml:space="preserve"> both</w:t>
      </w:r>
      <w:r w:rsidR="00A0517D" w:rsidRPr="00A53A65">
        <w:rPr>
          <w:rFonts w:ascii="Times New Roman" w:hAnsi="Times New Roman" w:cs="Times New Roman"/>
          <w:sz w:val="24"/>
          <w:szCs w:val="24"/>
        </w:rPr>
        <w:t xml:space="preserve"> legs fully extended against the footplate of a calibrated sit-and-r</w:t>
      </w:r>
      <w:r w:rsidRPr="00A53A65">
        <w:rPr>
          <w:rFonts w:ascii="Times New Roman" w:hAnsi="Times New Roman" w:cs="Times New Roman"/>
          <w:sz w:val="24"/>
          <w:szCs w:val="24"/>
        </w:rPr>
        <w:t xml:space="preserve">each box (Baseline® model, USA). With </w:t>
      </w:r>
      <w:r w:rsidR="00A0517D" w:rsidRPr="00A53A65">
        <w:rPr>
          <w:rFonts w:ascii="Times New Roman" w:hAnsi="Times New Roman" w:cs="Times New Roman"/>
          <w:sz w:val="24"/>
          <w:szCs w:val="24"/>
        </w:rPr>
        <w:t>fingertips</w:t>
      </w:r>
      <w:r w:rsidRPr="00A53A65">
        <w:rPr>
          <w:rFonts w:ascii="Times New Roman" w:hAnsi="Times New Roman" w:cs="Times New Roman"/>
          <w:sz w:val="24"/>
          <w:szCs w:val="24"/>
        </w:rPr>
        <w:t xml:space="preserve"> overlapping and knees maintained in full extension, participants reached forward as far as possible and held the end position for two seconds. Three consecutive trials were performed, with the best result recorded in centimetres; negative values denoted failure to reach the footplate level. Sex-specific normative reference values from published </w:t>
      </w:r>
      <w:r w:rsidRPr="00A53A65">
        <w:rPr>
          <w:rFonts w:ascii="Times New Roman" w:hAnsi="Times New Roman" w:cs="Times New Roman"/>
          <w:sz w:val="24"/>
          <w:szCs w:val="24"/>
        </w:rPr>
        <w:lastRenderedPageBreak/>
        <w:t>physical activity guidelines were applied (</w:t>
      </w:r>
      <w:r w:rsidR="00763BF5" w:rsidRPr="00A53A65">
        <w:rPr>
          <w:rFonts w:ascii="Times New Roman" w:hAnsi="Times New Roman" w:cs="Times New Roman"/>
          <w:sz w:val="24"/>
          <w:szCs w:val="24"/>
        </w:rPr>
        <w:t xml:space="preserve">≥ 5 cm </w:t>
      </w:r>
      <w:r w:rsidRPr="00A53A65">
        <w:rPr>
          <w:rFonts w:ascii="Times New Roman" w:hAnsi="Times New Roman" w:cs="Times New Roman"/>
          <w:sz w:val="24"/>
          <w:szCs w:val="24"/>
        </w:rPr>
        <w:t xml:space="preserve">for </w:t>
      </w:r>
      <w:r w:rsidR="00763BF5" w:rsidRPr="00A53A65">
        <w:rPr>
          <w:rFonts w:ascii="Times New Roman" w:hAnsi="Times New Roman" w:cs="Times New Roman"/>
          <w:sz w:val="24"/>
          <w:szCs w:val="24"/>
        </w:rPr>
        <w:t xml:space="preserve">males, and ≥ 8 cm </w:t>
      </w:r>
      <w:r w:rsidRPr="00A53A65">
        <w:rPr>
          <w:rFonts w:ascii="Times New Roman" w:hAnsi="Times New Roman" w:cs="Times New Roman"/>
          <w:sz w:val="24"/>
          <w:szCs w:val="24"/>
        </w:rPr>
        <w:t xml:space="preserve">for females; </w:t>
      </w:r>
      <w:r w:rsidR="00763BF5" w:rsidRPr="00A53A65">
        <w:rPr>
          <w:rFonts w:ascii="Times New Roman" w:hAnsi="Times New Roman" w:cs="Times New Roman"/>
          <w:sz w:val="24"/>
          <w:szCs w:val="24"/>
        </w:rPr>
        <w:t>ages 20-29 years</w:t>
      </w:r>
      <w:r w:rsidRPr="00A53A65">
        <w:rPr>
          <w:rFonts w:ascii="Times New Roman" w:hAnsi="Times New Roman" w:cs="Times New Roman"/>
          <w:sz w:val="24"/>
          <w:szCs w:val="24"/>
        </w:rPr>
        <w:t>) for classification purposes</w:t>
      </w:r>
      <w:r w:rsidR="00763BF5" w:rsidRPr="00A53A65">
        <w:rPr>
          <w:rFonts w:ascii="Times New Roman" w:hAnsi="Times New Roman" w:cs="Times New Roman"/>
          <w:sz w:val="24"/>
          <w:szCs w:val="24"/>
        </w:rPr>
        <w:t>.</w:t>
      </w:r>
      <w:r w:rsidR="00763BF5" w:rsidRPr="00A53A65">
        <w:rPr>
          <w:rFonts w:ascii="Times New Roman" w:hAnsi="Times New Roman" w:cs="Times New Roman"/>
          <w:sz w:val="24"/>
          <w:szCs w:val="24"/>
          <w:vertAlign w:val="superscript"/>
        </w:rPr>
        <w:t>14</w:t>
      </w:r>
    </w:p>
    <w:p w14:paraId="581DE60F" w14:textId="77777777" w:rsidR="00763BF5" w:rsidRPr="00A53A65" w:rsidRDefault="0052377B"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For the </w:t>
      </w:r>
      <w:r w:rsidR="00763BF5" w:rsidRPr="00A53A65">
        <w:rPr>
          <w:rFonts w:ascii="Times New Roman" w:hAnsi="Times New Roman" w:cs="Times New Roman"/>
          <w:sz w:val="24"/>
          <w:szCs w:val="24"/>
        </w:rPr>
        <w:t>Act</w:t>
      </w:r>
      <w:r w:rsidRPr="00A53A65">
        <w:rPr>
          <w:rFonts w:ascii="Times New Roman" w:hAnsi="Times New Roman" w:cs="Times New Roman"/>
          <w:sz w:val="24"/>
          <w:szCs w:val="24"/>
        </w:rPr>
        <w:t>ive Knee Extension (AKE) test, participants were positioned</w:t>
      </w:r>
      <w:r w:rsidR="00763BF5" w:rsidRPr="00A53A65">
        <w:rPr>
          <w:rFonts w:ascii="Times New Roman" w:hAnsi="Times New Roman" w:cs="Times New Roman"/>
          <w:sz w:val="24"/>
          <w:szCs w:val="24"/>
        </w:rPr>
        <w:t xml:space="preserve"> supine</w:t>
      </w:r>
      <w:r w:rsidRPr="00A53A65">
        <w:rPr>
          <w:rFonts w:ascii="Times New Roman" w:hAnsi="Times New Roman" w:cs="Times New Roman"/>
          <w:sz w:val="24"/>
          <w:szCs w:val="24"/>
        </w:rPr>
        <w:t xml:space="preserve"> on an assessment plinth. The test limb was brought to 90</w:t>
      </w:r>
      <w:r w:rsidR="00763BF5" w:rsidRPr="00A53A65">
        <w:rPr>
          <w:rFonts w:ascii="Times New Roman" w:hAnsi="Times New Roman" w:cs="Times New Roman"/>
          <w:sz w:val="24"/>
          <w:szCs w:val="24"/>
          <w:vertAlign w:val="superscript"/>
        </w:rPr>
        <w:t>o</w:t>
      </w:r>
      <w:r w:rsidR="00763BF5" w:rsidRPr="00A53A65">
        <w:rPr>
          <w:rFonts w:ascii="Times New Roman" w:hAnsi="Times New Roman" w:cs="Times New Roman"/>
          <w:sz w:val="24"/>
          <w:szCs w:val="24"/>
        </w:rPr>
        <w:t xml:space="preserve"> of </w:t>
      </w:r>
      <w:r w:rsidRPr="00A53A65">
        <w:rPr>
          <w:rFonts w:ascii="Times New Roman" w:hAnsi="Times New Roman" w:cs="Times New Roman"/>
          <w:sz w:val="24"/>
          <w:szCs w:val="24"/>
        </w:rPr>
        <w:t>hip flexion, verified with</w:t>
      </w:r>
      <w:r w:rsidR="00763BF5" w:rsidRPr="00A53A65">
        <w:rPr>
          <w:rFonts w:ascii="Times New Roman" w:hAnsi="Times New Roman" w:cs="Times New Roman"/>
          <w:sz w:val="24"/>
          <w:szCs w:val="24"/>
        </w:rPr>
        <w:t xml:space="preserve"> </w:t>
      </w:r>
      <w:r w:rsidRPr="00A53A65">
        <w:rPr>
          <w:rFonts w:ascii="Times New Roman" w:hAnsi="Times New Roman" w:cs="Times New Roman"/>
          <w:sz w:val="24"/>
          <w:szCs w:val="24"/>
        </w:rPr>
        <w:t xml:space="preserve">a goniometer, </w:t>
      </w:r>
      <w:r w:rsidR="00763BF5" w:rsidRPr="00A53A65">
        <w:rPr>
          <w:rFonts w:ascii="Times New Roman" w:hAnsi="Times New Roman" w:cs="Times New Roman"/>
          <w:sz w:val="24"/>
          <w:szCs w:val="24"/>
        </w:rPr>
        <w:t>and</w:t>
      </w:r>
      <w:r w:rsidRPr="00A53A65">
        <w:rPr>
          <w:rFonts w:ascii="Times New Roman" w:hAnsi="Times New Roman" w:cs="Times New Roman"/>
          <w:sz w:val="24"/>
          <w:szCs w:val="24"/>
        </w:rPr>
        <w:t xml:space="preserve"> stabilises </w:t>
      </w:r>
      <w:r w:rsidR="00763BF5" w:rsidRPr="00A53A65">
        <w:rPr>
          <w:rFonts w:ascii="Times New Roman" w:hAnsi="Times New Roman" w:cs="Times New Roman"/>
          <w:sz w:val="24"/>
          <w:szCs w:val="24"/>
        </w:rPr>
        <w:t>against the plinth</w:t>
      </w:r>
      <w:r w:rsidR="00B7713E" w:rsidRPr="00A53A65">
        <w:rPr>
          <w:rFonts w:ascii="Times New Roman" w:hAnsi="Times New Roman" w:cs="Times New Roman"/>
          <w:sz w:val="24"/>
          <w:szCs w:val="24"/>
        </w:rPr>
        <w:t xml:space="preserve"> surface. P</w:t>
      </w:r>
      <w:r w:rsidR="00763BF5" w:rsidRPr="00A53A65">
        <w:rPr>
          <w:rFonts w:ascii="Times New Roman" w:hAnsi="Times New Roman" w:cs="Times New Roman"/>
          <w:sz w:val="24"/>
          <w:szCs w:val="24"/>
        </w:rPr>
        <w:t>articipant</w:t>
      </w:r>
      <w:r w:rsidR="00B7713E" w:rsidRPr="00A53A65">
        <w:rPr>
          <w:rFonts w:ascii="Times New Roman" w:hAnsi="Times New Roman" w:cs="Times New Roman"/>
          <w:sz w:val="24"/>
          <w:szCs w:val="24"/>
        </w:rPr>
        <w:t>s</w:t>
      </w:r>
      <w:r w:rsidR="00763BF5" w:rsidRPr="00A53A65">
        <w:rPr>
          <w:rFonts w:ascii="Times New Roman" w:hAnsi="Times New Roman" w:cs="Times New Roman"/>
          <w:sz w:val="24"/>
          <w:szCs w:val="24"/>
        </w:rPr>
        <w:t xml:space="preserve"> </w:t>
      </w:r>
      <w:r w:rsidR="00B7713E" w:rsidRPr="00A53A65">
        <w:rPr>
          <w:rFonts w:ascii="Times New Roman" w:hAnsi="Times New Roman" w:cs="Times New Roman"/>
          <w:sz w:val="24"/>
          <w:szCs w:val="24"/>
        </w:rPr>
        <w:t xml:space="preserve">were instructed to extend the knee as fully as possible under active effort while maintaining the specific hip angle. </w:t>
      </w:r>
      <w:r w:rsidR="00763BF5" w:rsidRPr="00A53A65">
        <w:rPr>
          <w:rFonts w:ascii="Times New Roman" w:hAnsi="Times New Roman" w:cs="Times New Roman"/>
          <w:sz w:val="24"/>
          <w:szCs w:val="24"/>
        </w:rPr>
        <w:t>The</w:t>
      </w:r>
      <w:r w:rsidR="00B7713E" w:rsidRPr="00A53A65">
        <w:rPr>
          <w:rFonts w:ascii="Times New Roman" w:hAnsi="Times New Roman" w:cs="Times New Roman"/>
          <w:sz w:val="24"/>
          <w:szCs w:val="24"/>
        </w:rPr>
        <w:t xml:space="preserve"> resulting</w:t>
      </w:r>
      <w:r w:rsidR="00763BF5" w:rsidRPr="00A53A65">
        <w:rPr>
          <w:rFonts w:ascii="Times New Roman" w:hAnsi="Times New Roman" w:cs="Times New Roman"/>
          <w:sz w:val="24"/>
          <w:szCs w:val="24"/>
        </w:rPr>
        <w:t xml:space="preserve"> knee flexion angle from full extension (0</w:t>
      </w:r>
      <w:r w:rsidR="00763BF5" w:rsidRPr="00A53A65">
        <w:rPr>
          <w:rFonts w:ascii="Times New Roman" w:hAnsi="Times New Roman" w:cs="Times New Roman"/>
          <w:sz w:val="24"/>
          <w:szCs w:val="24"/>
          <w:vertAlign w:val="superscript"/>
        </w:rPr>
        <w:t>o</w:t>
      </w:r>
      <w:r w:rsidR="00763BF5" w:rsidRPr="00A53A65">
        <w:rPr>
          <w:rFonts w:ascii="Times New Roman" w:hAnsi="Times New Roman" w:cs="Times New Roman"/>
          <w:sz w:val="24"/>
          <w:szCs w:val="24"/>
        </w:rPr>
        <w:t xml:space="preserve">) was measured with a standard </w:t>
      </w:r>
      <w:r w:rsidR="00B7713E" w:rsidRPr="00A53A65">
        <w:rPr>
          <w:rFonts w:ascii="Times New Roman" w:hAnsi="Times New Roman" w:cs="Times New Roman"/>
          <w:sz w:val="24"/>
          <w:szCs w:val="24"/>
        </w:rPr>
        <w:t xml:space="preserve">long-arm </w:t>
      </w:r>
      <w:r w:rsidR="00763BF5" w:rsidRPr="00A53A65">
        <w:rPr>
          <w:rFonts w:ascii="Times New Roman" w:hAnsi="Times New Roman" w:cs="Times New Roman"/>
          <w:sz w:val="24"/>
          <w:szCs w:val="24"/>
        </w:rPr>
        <w:t xml:space="preserve">goniometer. An </w:t>
      </w:r>
      <w:r w:rsidR="00B7713E" w:rsidRPr="00A53A65">
        <w:rPr>
          <w:rFonts w:ascii="Times New Roman" w:hAnsi="Times New Roman" w:cs="Times New Roman"/>
          <w:sz w:val="24"/>
          <w:szCs w:val="24"/>
        </w:rPr>
        <w:t xml:space="preserve">AKE angle exceeding </w:t>
      </w:r>
      <w:r w:rsidR="00763BF5" w:rsidRPr="00A53A65">
        <w:rPr>
          <w:rFonts w:ascii="Times New Roman" w:hAnsi="Times New Roman" w:cs="Times New Roman"/>
          <w:sz w:val="24"/>
          <w:szCs w:val="24"/>
        </w:rPr>
        <w:t>20</w:t>
      </w:r>
      <w:r w:rsidR="00763BF5" w:rsidRPr="00A53A65">
        <w:rPr>
          <w:rFonts w:ascii="Times New Roman" w:hAnsi="Times New Roman" w:cs="Times New Roman"/>
          <w:sz w:val="24"/>
          <w:szCs w:val="24"/>
          <w:vertAlign w:val="superscript"/>
        </w:rPr>
        <w:t>o</w:t>
      </w:r>
      <w:r w:rsidR="00B7713E" w:rsidRPr="00A53A65">
        <w:rPr>
          <w:rFonts w:ascii="Times New Roman" w:hAnsi="Times New Roman" w:cs="Times New Roman"/>
          <w:sz w:val="24"/>
          <w:szCs w:val="24"/>
        </w:rPr>
        <w:t xml:space="preserve"> was classified </w:t>
      </w:r>
      <w:r w:rsidR="00763BF5" w:rsidRPr="00A53A65">
        <w:rPr>
          <w:rFonts w:ascii="Times New Roman" w:hAnsi="Times New Roman" w:cs="Times New Roman"/>
          <w:sz w:val="24"/>
          <w:szCs w:val="24"/>
        </w:rPr>
        <w:t>as indi</w:t>
      </w:r>
      <w:r w:rsidR="00B7713E" w:rsidRPr="00A53A65">
        <w:rPr>
          <w:rFonts w:ascii="Times New Roman" w:hAnsi="Times New Roman" w:cs="Times New Roman"/>
          <w:sz w:val="24"/>
          <w:szCs w:val="24"/>
        </w:rPr>
        <w:t>cative</w:t>
      </w:r>
      <w:r w:rsidR="00763BF5" w:rsidRPr="00A53A65">
        <w:rPr>
          <w:rFonts w:ascii="Times New Roman" w:hAnsi="Times New Roman" w:cs="Times New Roman"/>
          <w:sz w:val="24"/>
          <w:szCs w:val="24"/>
        </w:rPr>
        <w:t xml:space="preserve"> hamstring tightness.</w:t>
      </w:r>
      <w:r w:rsidR="00763BF5" w:rsidRPr="00A53A65">
        <w:rPr>
          <w:rFonts w:ascii="Times New Roman" w:hAnsi="Times New Roman" w:cs="Times New Roman"/>
          <w:sz w:val="24"/>
          <w:szCs w:val="24"/>
          <w:vertAlign w:val="superscript"/>
        </w:rPr>
        <w:t>3,15</w:t>
      </w:r>
      <w:r w:rsidR="00763BF5" w:rsidRPr="00A53A65">
        <w:rPr>
          <w:rFonts w:ascii="Times New Roman" w:hAnsi="Times New Roman" w:cs="Times New Roman"/>
          <w:sz w:val="24"/>
          <w:szCs w:val="24"/>
        </w:rPr>
        <w:t xml:space="preserve"> Both limbs were assessed</w:t>
      </w:r>
      <w:r w:rsidR="00B7713E" w:rsidRPr="00A53A65">
        <w:rPr>
          <w:rFonts w:ascii="Times New Roman" w:hAnsi="Times New Roman" w:cs="Times New Roman"/>
          <w:sz w:val="24"/>
          <w:szCs w:val="24"/>
        </w:rPr>
        <w:t xml:space="preserve"> in all participants</w:t>
      </w:r>
      <w:r w:rsidR="00763BF5" w:rsidRPr="00A53A65">
        <w:rPr>
          <w:rFonts w:ascii="Times New Roman" w:hAnsi="Times New Roman" w:cs="Times New Roman"/>
          <w:sz w:val="24"/>
          <w:szCs w:val="24"/>
        </w:rPr>
        <w:t xml:space="preserve">, and the mean bilateral AKE angle was computed for </w:t>
      </w:r>
      <w:r w:rsidR="00B7713E" w:rsidRPr="00A53A65">
        <w:rPr>
          <w:rFonts w:ascii="Times New Roman" w:hAnsi="Times New Roman" w:cs="Times New Roman"/>
          <w:sz w:val="24"/>
          <w:szCs w:val="24"/>
        </w:rPr>
        <w:t xml:space="preserve">statistical </w:t>
      </w:r>
      <w:r w:rsidR="00763BF5" w:rsidRPr="00A53A65">
        <w:rPr>
          <w:rFonts w:ascii="Times New Roman" w:hAnsi="Times New Roman" w:cs="Times New Roman"/>
          <w:sz w:val="24"/>
          <w:szCs w:val="24"/>
        </w:rPr>
        <w:t>analysis.</w:t>
      </w:r>
    </w:p>
    <w:p w14:paraId="0E0FC1D1" w14:textId="77777777" w:rsidR="00935686" w:rsidRPr="00A53A65" w:rsidRDefault="00935686"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Based on </w:t>
      </w:r>
      <w:r w:rsidR="00B7713E" w:rsidRPr="00A53A65">
        <w:rPr>
          <w:rFonts w:ascii="Times New Roman" w:hAnsi="Times New Roman" w:cs="Times New Roman"/>
          <w:sz w:val="24"/>
          <w:szCs w:val="24"/>
        </w:rPr>
        <w:t>combined SRT</w:t>
      </w:r>
      <w:r w:rsidRPr="00A53A65">
        <w:rPr>
          <w:rFonts w:ascii="Times New Roman" w:hAnsi="Times New Roman" w:cs="Times New Roman"/>
          <w:sz w:val="24"/>
          <w:szCs w:val="24"/>
        </w:rPr>
        <w:t xml:space="preserve"> and AKE </w:t>
      </w:r>
      <w:r w:rsidR="00B7713E" w:rsidRPr="00A53A65">
        <w:rPr>
          <w:rFonts w:ascii="Times New Roman" w:hAnsi="Times New Roman" w:cs="Times New Roman"/>
          <w:sz w:val="24"/>
          <w:szCs w:val="24"/>
        </w:rPr>
        <w:t>findings</w:t>
      </w:r>
      <w:r w:rsidRPr="00A53A65">
        <w:rPr>
          <w:rFonts w:ascii="Times New Roman" w:hAnsi="Times New Roman" w:cs="Times New Roman"/>
          <w:sz w:val="24"/>
          <w:szCs w:val="24"/>
        </w:rPr>
        <w:t>, participants were classified into three flexibility categ</w:t>
      </w:r>
      <w:r w:rsidR="00B7713E" w:rsidRPr="00A53A65">
        <w:rPr>
          <w:rFonts w:ascii="Times New Roman" w:hAnsi="Times New Roman" w:cs="Times New Roman"/>
          <w:sz w:val="24"/>
          <w:szCs w:val="24"/>
        </w:rPr>
        <w:t>ories; Normal flexibility (SRT at or above</w:t>
      </w:r>
      <w:r w:rsidRPr="00A53A65">
        <w:rPr>
          <w:rFonts w:ascii="Times New Roman" w:hAnsi="Times New Roman" w:cs="Times New Roman"/>
          <w:sz w:val="24"/>
          <w:szCs w:val="24"/>
        </w:rPr>
        <w:t xml:space="preserve"> normative cutoff AND bilateral AKE ≤20</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n = 84), Mild hamstring tightness (SRT below normative cutoff OR bilateral AKE 21-35</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n = 74) and Severe hamstring tightness (SRT markedly below cutoff AND bilateral AKE &gt;35</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n = 52).</w:t>
      </w:r>
    </w:p>
    <w:p w14:paraId="0D8B25C7" w14:textId="77777777" w:rsidR="00500053" w:rsidRPr="00A53A65" w:rsidRDefault="00935686"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Musculoskeletal wellbeing was assessed across four domains. </w:t>
      </w:r>
      <w:r w:rsidR="00B7713E" w:rsidRPr="00A53A65">
        <w:rPr>
          <w:rFonts w:ascii="Times New Roman" w:hAnsi="Times New Roman" w:cs="Times New Roman"/>
          <w:sz w:val="24"/>
          <w:szCs w:val="24"/>
        </w:rPr>
        <w:t>Current low back pain (</w:t>
      </w:r>
      <w:r w:rsidRPr="00A53A65">
        <w:rPr>
          <w:rFonts w:ascii="Times New Roman" w:hAnsi="Times New Roman" w:cs="Times New Roman"/>
          <w:sz w:val="24"/>
          <w:szCs w:val="24"/>
        </w:rPr>
        <w:t>LBP) and neck/shoulder pain were self-reported using the 11-point Numeric Pain Rating Scale (NPRS; 0 = no pain, 10 = worst imaginable pain), which demonstrate</w:t>
      </w:r>
      <w:r w:rsidR="00B7713E" w:rsidRPr="00A53A65">
        <w:rPr>
          <w:rFonts w:ascii="Times New Roman" w:hAnsi="Times New Roman" w:cs="Times New Roman"/>
          <w:sz w:val="24"/>
          <w:szCs w:val="24"/>
        </w:rPr>
        <w:t>s</w:t>
      </w:r>
      <w:r w:rsidRPr="00A53A65">
        <w:rPr>
          <w:rFonts w:ascii="Times New Roman" w:hAnsi="Times New Roman" w:cs="Times New Roman"/>
          <w:sz w:val="24"/>
          <w:szCs w:val="24"/>
        </w:rPr>
        <w:t xml:space="preserve"> excellent test-retest reliability (ICC = 0.96).</w:t>
      </w:r>
      <w:r w:rsidRPr="00A53A65">
        <w:rPr>
          <w:rFonts w:ascii="Times New Roman" w:hAnsi="Times New Roman" w:cs="Times New Roman"/>
          <w:sz w:val="24"/>
          <w:szCs w:val="24"/>
          <w:vertAlign w:val="superscript"/>
        </w:rPr>
        <w:t>16</w:t>
      </w:r>
      <w:r w:rsidR="00500053" w:rsidRPr="00A53A65">
        <w:rPr>
          <w:rFonts w:ascii="Times New Roman" w:hAnsi="Times New Roman" w:cs="Times New Roman"/>
          <w:sz w:val="24"/>
          <w:szCs w:val="24"/>
          <w:vertAlign w:val="superscript"/>
        </w:rPr>
        <w:t xml:space="preserve"> </w:t>
      </w:r>
      <w:r w:rsidR="00B7713E" w:rsidRPr="00A53A65">
        <w:rPr>
          <w:rFonts w:ascii="Times New Roman" w:hAnsi="Times New Roman" w:cs="Times New Roman"/>
          <w:sz w:val="24"/>
          <w:szCs w:val="24"/>
        </w:rPr>
        <w:t>Functional disability was quantified using t</w:t>
      </w:r>
      <w:r w:rsidR="00500053" w:rsidRPr="00A53A65">
        <w:rPr>
          <w:rFonts w:ascii="Times New Roman" w:hAnsi="Times New Roman" w:cs="Times New Roman"/>
          <w:sz w:val="24"/>
          <w:szCs w:val="24"/>
        </w:rPr>
        <w:t xml:space="preserve">he Roland-Morris Disability Questionnaire (RMDQ; 0-24 points), a well-validated measure of LBP-related </w:t>
      </w:r>
      <w:r w:rsidR="00B7713E" w:rsidRPr="00A53A65">
        <w:rPr>
          <w:rFonts w:ascii="Times New Roman" w:hAnsi="Times New Roman" w:cs="Times New Roman"/>
          <w:sz w:val="24"/>
          <w:szCs w:val="24"/>
        </w:rPr>
        <w:t xml:space="preserve">activity limitation. Postural alignment was assessed </w:t>
      </w:r>
      <w:r w:rsidR="00500053" w:rsidRPr="00A53A65">
        <w:rPr>
          <w:rFonts w:ascii="Times New Roman" w:hAnsi="Times New Roman" w:cs="Times New Roman"/>
          <w:sz w:val="24"/>
          <w:szCs w:val="24"/>
        </w:rPr>
        <w:t xml:space="preserve">via lateral </w:t>
      </w:r>
      <w:r w:rsidR="00B7713E" w:rsidRPr="00A53A65">
        <w:rPr>
          <w:rFonts w:ascii="Times New Roman" w:hAnsi="Times New Roman" w:cs="Times New Roman"/>
          <w:sz w:val="24"/>
          <w:szCs w:val="24"/>
        </w:rPr>
        <w:t>digital photography: p</w:t>
      </w:r>
      <w:r w:rsidR="00500053" w:rsidRPr="00A53A65">
        <w:rPr>
          <w:rFonts w:ascii="Times New Roman" w:hAnsi="Times New Roman" w:cs="Times New Roman"/>
          <w:sz w:val="24"/>
          <w:szCs w:val="24"/>
        </w:rPr>
        <w:t xml:space="preserve">articipants stood in </w:t>
      </w:r>
      <w:r w:rsidR="00B7713E" w:rsidRPr="00A53A65">
        <w:rPr>
          <w:rFonts w:ascii="Times New Roman" w:hAnsi="Times New Roman" w:cs="Times New Roman"/>
          <w:sz w:val="24"/>
          <w:szCs w:val="24"/>
        </w:rPr>
        <w:t xml:space="preserve">their customary </w:t>
      </w:r>
      <w:r w:rsidR="00500053" w:rsidRPr="00A53A65">
        <w:rPr>
          <w:rFonts w:ascii="Times New Roman" w:hAnsi="Times New Roman" w:cs="Times New Roman"/>
          <w:sz w:val="24"/>
          <w:szCs w:val="24"/>
        </w:rPr>
        <w:t>posture</w:t>
      </w:r>
      <w:r w:rsidR="00B7713E" w:rsidRPr="00A53A65">
        <w:rPr>
          <w:rFonts w:ascii="Times New Roman" w:hAnsi="Times New Roman" w:cs="Times New Roman"/>
          <w:sz w:val="24"/>
          <w:szCs w:val="24"/>
        </w:rPr>
        <w:t xml:space="preserve"> and a standardised photograph was taken at a fixed camera distance; horizontal displacement of the </w:t>
      </w:r>
      <w:r w:rsidR="00500053" w:rsidRPr="00A53A65">
        <w:rPr>
          <w:rFonts w:ascii="Times New Roman" w:hAnsi="Times New Roman" w:cs="Times New Roman"/>
          <w:sz w:val="24"/>
          <w:szCs w:val="24"/>
        </w:rPr>
        <w:t xml:space="preserve">tragus of the ear from the C7 spinous process was measured in millimetres using </w:t>
      </w:r>
      <w:proofErr w:type="spellStart"/>
      <w:r w:rsidR="00500053" w:rsidRPr="00A53A65">
        <w:rPr>
          <w:rFonts w:ascii="Times New Roman" w:hAnsi="Times New Roman" w:cs="Times New Roman"/>
          <w:sz w:val="24"/>
          <w:szCs w:val="24"/>
        </w:rPr>
        <w:t>Kinovea</w:t>
      </w:r>
      <w:proofErr w:type="spellEnd"/>
      <w:r w:rsidR="00B7713E" w:rsidRPr="00A53A65">
        <w:rPr>
          <w:rFonts w:ascii="Times New Roman" w:hAnsi="Times New Roman" w:cs="Times New Roman"/>
          <w:sz w:val="24"/>
          <w:szCs w:val="24"/>
        </w:rPr>
        <w:t xml:space="preserve"> motion analysis software as an index of forward head posture (FHP). Sleep quality was evaluated using the</w:t>
      </w:r>
      <w:r w:rsidR="00C80961" w:rsidRPr="00A53A65">
        <w:rPr>
          <w:rFonts w:ascii="Times New Roman" w:hAnsi="Times New Roman" w:cs="Times New Roman"/>
          <w:sz w:val="24"/>
          <w:szCs w:val="24"/>
        </w:rPr>
        <w:t xml:space="preserve"> Pittsburgh Sleep Quality Index (PSQI; 0-21 points; score</w:t>
      </w:r>
      <w:r w:rsidR="004403D4" w:rsidRPr="00A53A65">
        <w:rPr>
          <w:rFonts w:ascii="Times New Roman" w:hAnsi="Times New Roman" w:cs="Times New Roman"/>
          <w:sz w:val="24"/>
          <w:szCs w:val="24"/>
        </w:rPr>
        <w:t>s &gt;5 indicate poor sleep</w:t>
      </w:r>
      <w:r w:rsidR="00C80961" w:rsidRPr="00A53A65">
        <w:rPr>
          <w:rFonts w:ascii="Times New Roman" w:hAnsi="Times New Roman" w:cs="Times New Roman"/>
          <w:sz w:val="24"/>
          <w:szCs w:val="24"/>
        </w:rPr>
        <w:t>)</w:t>
      </w:r>
      <w:r w:rsidR="004403D4" w:rsidRPr="00A53A65">
        <w:rPr>
          <w:rFonts w:ascii="Times New Roman" w:hAnsi="Times New Roman" w:cs="Times New Roman"/>
          <w:sz w:val="24"/>
          <w:szCs w:val="24"/>
        </w:rPr>
        <w:t xml:space="preserve">, reflecting the established association between </w:t>
      </w:r>
      <w:r w:rsidR="00C80961" w:rsidRPr="00A53A65">
        <w:rPr>
          <w:rFonts w:ascii="Times New Roman" w:hAnsi="Times New Roman" w:cs="Times New Roman"/>
          <w:sz w:val="24"/>
          <w:szCs w:val="24"/>
        </w:rPr>
        <w:t xml:space="preserve"> musculoskeletal pain and sleep disturbances.</w:t>
      </w:r>
      <w:r w:rsidR="00C80961" w:rsidRPr="00A53A65">
        <w:rPr>
          <w:rFonts w:ascii="Times New Roman" w:hAnsi="Times New Roman" w:cs="Times New Roman"/>
          <w:sz w:val="24"/>
          <w:szCs w:val="24"/>
          <w:vertAlign w:val="superscript"/>
        </w:rPr>
        <w:t>17</w:t>
      </w:r>
      <w:r w:rsidR="00C80961" w:rsidRPr="00A53A65">
        <w:rPr>
          <w:rFonts w:ascii="Times New Roman" w:hAnsi="Times New Roman" w:cs="Times New Roman"/>
          <w:sz w:val="24"/>
          <w:szCs w:val="24"/>
        </w:rPr>
        <w:t xml:space="preserve"> A composite Musculoskeletal Wellbeing Score (MWS) was </w:t>
      </w:r>
      <w:r w:rsidR="004403D4" w:rsidRPr="00A53A65">
        <w:rPr>
          <w:rFonts w:ascii="Times New Roman" w:hAnsi="Times New Roman" w:cs="Times New Roman"/>
          <w:sz w:val="24"/>
          <w:szCs w:val="24"/>
        </w:rPr>
        <w:t>derived</w:t>
      </w:r>
      <w:r w:rsidR="00C80961" w:rsidRPr="00A53A65">
        <w:rPr>
          <w:rFonts w:ascii="Times New Roman" w:hAnsi="Times New Roman" w:cs="Times New Roman"/>
          <w:sz w:val="24"/>
          <w:szCs w:val="24"/>
        </w:rPr>
        <w:t xml:space="preserve"> by summing </w:t>
      </w:r>
      <w:r w:rsidR="004403D4" w:rsidRPr="00A53A65">
        <w:rPr>
          <w:rFonts w:ascii="Times New Roman" w:hAnsi="Times New Roman" w:cs="Times New Roman"/>
          <w:sz w:val="24"/>
          <w:szCs w:val="24"/>
        </w:rPr>
        <w:t xml:space="preserve">z-standardised </w:t>
      </w:r>
      <w:r w:rsidR="00C80961" w:rsidRPr="00A53A65">
        <w:rPr>
          <w:rFonts w:ascii="Times New Roman" w:hAnsi="Times New Roman" w:cs="Times New Roman"/>
          <w:sz w:val="24"/>
          <w:szCs w:val="24"/>
        </w:rPr>
        <w:t xml:space="preserve">values of LBP, NPRS, RMDQ score and FHP displacement, with PSQI </w:t>
      </w:r>
      <w:r w:rsidR="004403D4" w:rsidRPr="00A53A65">
        <w:rPr>
          <w:rFonts w:ascii="Times New Roman" w:hAnsi="Times New Roman" w:cs="Times New Roman"/>
          <w:sz w:val="24"/>
          <w:szCs w:val="24"/>
        </w:rPr>
        <w:t>included</w:t>
      </w:r>
      <w:r w:rsidR="00C80961" w:rsidRPr="00A53A65">
        <w:rPr>
          <w:rFonts w:ascii="Times New Roman" w:hAnsi="Times New Roman" w:cs="Times New Roman"/>
          <w:sz w:val="24"/>
          <w:szCs w:val="24"/>
        </w:rPr>
        <w:t xml:space="preserve"> as a wellbeing covariate. Higher MWS indicated </w:t>
      </w:r>
      <w:r w:rsidR="004403D4" w:rsidRPr="00A53A65">
        <w:rPr>
          <w:rFonts w:ascii="Times New Roman" w:hAnsi="Times New Roman" w:cs="Times New Roman"/>
          <w:sz w:val="24"/>
          <w:szCs w:val="24"/>
        </w:rPr>
        <w:t>worse overall</w:t>
      </w:r>
      <w:r w:rsidR="00C80961" w:rsidRPr="00A53A65">
        <w:rPr>
          <w:rFonts w:ascii="Times New Roman" w:hAnsi="Times New Roman" w:cs="Times New Roman"/>
          <w:sz w:val="24"/>
          <w:szCs w:val="24"/>
        </w:rPr>
        <w:t xml:space="preserve"> musculoskeletal wellbeing.</w:t>
      </w:r>
    </w:p>
    <w:p w14:paraId="2E34F546" w14:textId="77777777" w:rsidR="004403D4" w:rsidRPr="00A53A65" w:rsidRDefault="004403D4"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Validation of Instruments:</w:t>
      </w:r>
      <w:r w:rsidRPr="00A53A65">
        <w:rPr>
          <w:rFonts w:ascii="Times New Roman" w:hAnsi="Times New Roman" w:cs="Times New Roman"/>
          <w:sz w:val="24"/>
          <w:szCs w:val="24"/>
        </w:rPr>
        <w:t xml:space="preserve"> All instruments employed in this study carry established psychometric properties in comparable populations. The NPRS demonstrates as ICC of 0.96 </w:t>
      </w:r>
      <w:r w:rsidRPr="00A53A65">
        <w:rPr>
          <w:rFonts w:ascii="Times New Roman" w:hAnsi="Times New Roman" w:cs="Times New Roman"/>
          <w:sz w:val="24"/>
          <w:szCs w:val="24"/>
        </w:rPr>
        <w:lastRenderedPageBreak/>
        <w:t>for test-retest reliability in musculoskeletal pain contexts.</w:t>
      </w:r>
      <w:r w:rsidRPr="00A53A65">
        <w:rPr>
          <w:rFonts w:ascii="Times New Roman" w:hAnsi="Times New Roman" w:cs="Times New Roman"/>
          <w:sz w:val="24"/>
          <w:szCs w:val="24"/>
          <w:vertAlign w:val="superscript"/>
        </w:rPr>
        <w:t>16</w:t>
      </w:r>
      <w:r w:rsidRPr="00A53A65">
        <w:rPr>
          <w:rFonts w:ascii="Times New Roman" w:hAnsi="Times New Roman" w:cs="Times New Roman"/>
          <w:sz w:val="24"/>
          <w:szCs w:val="24"/>
        </w:rPr>
        <w:t xml:space="preserve"> The RMDQ is a validated functional disability measure with documented responsiveness to clinically meaningful change. The PSQI is widely validated for sleep quality research across clinical populations.</w:t>
      </w:r>
      <w:r w:rsidRPr="00A53A65">
        <w:rPr>
          <w:rFonts w:ascii="Times New Roman" w:hAnsi="Times New Roman" w:cs="Times New Roman"/>
          <w:sz w:val="24"/>
          <w:szCs w:val="24"/>
          <w:vertAlign w:val="superscript"/>
        </w:rPr>
        <w:t>17</w:t>
      </w:r>
      <w:r w:rsidRPr="00A53A65">
        <w:rPr>
          <w:rFonts w:ascii="Times New Roman" w:hAnsi="Times New Roman" w:cs="Times New Roman"/>
          <w:sz w:val="24"/>
          <w:szCs w:val="24"/>
        </w:rPr>
        <w:t xml:space="preserve"> </w:t>
      </w:r>
      <w:r w:rsidR="008E27E4" w:rsidRPr="00A53A65">
        <w:rPr>
          <w:rFonts w:ascii="Times New Roman" w:hAnsi="Times New Roman" w:cs="Times New Roman"/>
          <w:sz w:val="24"/>
          <w:szCs w:val="24"/>
        </w:rPr>
        <w:t>The SRT and AKE test each carry robust reliability evidence (ICC 0.92-0.99 and 0.92-0.95, respectively),</w:t>
      </w:r>
      <w:r w:rsidR="008E27E4" w:rsidRPr="00A53A65">
        <w:rPr>
          <w:rFonts w:ascii="Times New Roman" w:hAnsi="Times New Roman" w:cs="Times New Roman"/>
          <w:sz w:val="24"/>
          <w:szCs w:val="24"/>
          <w:vertAlign w:val="superscript"/>
        </w:rPr>
        <w:t>12,13</w:t>
      </w:r>
      <w:r w:rsidR="008E27E4" w:rsidRPr="00A53A65">
        <w:rPr>
          <w:rFonts w:ascii="Times New Roman" w:hAnsi="Times New Roman" w:cs="Times New Roman"/>
          <w:sz w:val="24"/>
          <w:szCs w:val="24"/>
        </w:rPr>
        <w:t xml:space="preserve"> the sitting time questionnaire used has demonstrated acceptable validity against objective measurement in adults,</w:t>
      </w:r>
      <w:r w:rsidR="008E27E4" w:rsidRPr="00A53A65">
        <w:rPr>
          <w:rFonts w:ascii="Times New Roman" w:hAnsi="Times New Roman" w:cs="Times New Roman"/>
          <w:sz w:val="24"/>
          <w:szCs w:val="24"/>
          <w:vertAlign w:val="superscript"/>
        </w:rPr>
        <w:t>18</w:t>
      </w:r>
      <w:r w:rsidR="008E27E4" w:rsidRPr="00A53A65">
        <w:rPr>
          <w:rFonts w:ascii="Times New Roman" w:hAnsi="Times New Roman" w:cs="Times New Roman"/>
          <w:sz w:val="24"/>
          <w:szCs w:val="24"/>
        </w:rPr>
        <w:t xml:space="preserve"> and physical activity classification was based on the IPAQ-SF, which has established international reliability and validity.</w:t>
      </w:r>
      <w:r w:rsidR="008E27E4" w:rsidRPr="00A53A65">
        <w:rPr>
          <w:rFonts w:ascii="Times New Roman" w:hAnsi="Times New Roman" w:cs="Times New Roman"/>
          <w:sz w:val="24"/>
          <w:szCs w:val="24"/>
          <w:vertAlign w:val="superscript"/>
        </w:rPr>
        <w:t>19</w:t>
      </w:r>
    </w:p>
    <w:p w14:paraId="40B237D3" w14:textId="77777777" w:rsidR="00C80961" w:rsidRPr="00A53A65" w:rsidRDefault="008E27E4"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Variables</w:t>
      </w:r>
      <w:r w:rsidR="00DA44A7" w:rsidRPr="00A53A65">
        <w:rPr>
          <w:rFonts w:ascii="Times New Roman" w:hAnsi="Times New Roman" w:cs="Times New Roman"/>
          <w:b/>
          <w:i/>
          <w:sz w:val="24"/>
          <w:szCs w:val="24"/>
        </w:rPr>
        <w:t>:</w:t>
      </w:r>
      <w:r w:rsidR="00DA44A7" w:rsidRPr="00A53A65">
        <w:rPr>
          <w:rFonts w:ascii="Times New Roman" w:hAnsi="Times New Roman" w:cs="Times New Roman"/>
          <w:sz w:val="24"/>
          <w:szCs w:val="24"/>
        </w:rPr>
        <w:t xml:space="preserve"> </w:t>
      </w:r>
      <w:r w:rsidRPr="00A53A65">
        <w:rPr>
          <w:rFonts w:ascii="Times New Roman" w:hAnsi="Times New Roman" w:cs="Times New Roman"/>
          <w:sz w:val="24"/>
          <w:szCs w:val="24"/>
        </w:rPr>
        <w:t>The primary independent variables were hamstring flexibility quantified by SRT score (continuous, cm) and bilateral mean AKE angle (continuous, degrees), along with flexibility category (Normal/ Mild Tightness/ Severe Tightness). The primary dependent variable was the composite MWS. Secondary dependent variables included individual NPRS scores for LBP and neck/shoulder pain, RMDQ score, FHP displacement and PSQI score. Covariates included age, sex, BMI, daily sitting time and physical activity classification (active vs. sedentary, based on the WHO 150 min/week moderate-intensity threshold).</w:t>
      </w:r>
    </w:p>
    <w:p w14:paraId="101478BD" w14:textId="77777777" w:rsidR="008E27E4" w:rsidRPr="00A53A65" w:rsidRDefault="008E27E4"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 xml:space="preserve">Data Collection Procedure: </w:t>
      </w:r>
      <w:r w:rsidRPr="00A53A65">
        <w:rPr>
          <w:rFonts w:ascii="Times New Roman" w:hAnsi="Times New Roman" w:cs="Times New Roman"/>
          <w:sz w:val="24"/>
          <w:szCs w:val="24"/>
        </w:rPr>
        <w:t xml:space="preserve">Participant recruitment, screening and data collection were performed by trained research assistant who underwent a standardised calibration session prior to data collection assessment. All physical assessments were conducted in the physiotherapy laboratory between </w:t>
      </w:r>
      <w:r w:rsidR="00565D75" w:rsidRPr="00A53A65">
        <w:rPr>
          <w:rFonts w:ascii="Times New Roman" w:hAnsi="Times New Roman" w:cs="Times New Roman"/>
          <w:sz w:val="24"/>
          <w:szCs w:val="24"/>
        </w:rPr>
        <w:t>9.30 am and 4.30 pm to minimise diurnal variation in flexibility measurements. Anthropometric measurements height using a stadiometer, weight using a calibrated digital scale, BMI computed as weight (kg) / height (m</w:t>
      </w:r>
      <w:r w:rsidR="00565D75" w:rsidRPr="00A53A65">
        <w:rPr>
          <w:rFonts w:ascii="Times New Roman" w:hAnsi="Times New Roman" w:cs="Times New Roman"/>
          <w:sz w:val="24"/>
          <w:szCs w:val="24"/>
          <w:vertAlign w:val="superscript"/>
        </w:rPr>
        <w:t>2</w:t>
      </w:r>
      <w:r w:rsidR="00565D75" w:rsidRPr="00A53A65">
        <w:rPr>
          <w:rFonts w:ascii="Times New Roman" w:hAnsi="Times New Roman" w:cs="Times New Roman"/>
          <w:sz w:val="24"/>
          <w:szCs w:val="24"/>
        </w:rPr>
        <w:t>) were obtained before flexibility assessments.</w:t>
      </w:r>
    </w:p>
    <w:p w14:paraId="7C68B164" w14:textId="77777777" w:rsidR="00565D75" w:rsidRPr="00A53A65" w:rsidRDefault="00565D75"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Questionnaires were administered in paper format and completed privately to reduce social desirability bias. Flexibility assessments were performed after a standardised five-minute low intensity warm-up on a stationary cycle. Participants were blinded to their flexibility classification until completion of all outcome assessments.</w:t>
      </w:r>
    </w:p>
    <w:p w14:paraId="576A3526" w14:textId="77777777" w:rsidR="00565D75" w:rsidRPr="00A53A65" w:rsidRDefault="00565D75"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Ethical Consideration:</w:t>
      </w:r>
      <w:r w:rsidRPr="00A53A65">
        <w:rPr>
          <w:rFonts w:ascii="Times New Roman" w:hAnsi="Times New Roman" w:cs="Times New Roman"/>
          <w:sz w:val="24"/>
          <w:szCs w:val="24"/>
        </w:rPr>
        <w:t xml:space="preserve"> The study protocol received prospective ethical approval from the Research Ethics Committee of Indira Gandhi Technological and Medical Sciences University, Ziro (Ref. No: IGTAMSU/VC/2025/052), and was prospectively registered with the Clinical Trials Registry-India (CTRI/2025/05/0864311). All procedures were carried out in compliance with the ethical standards of the Declaration of Helsinki. Prior to enrolment, each participant received a written participant information sheet and provided written informed consent. Participation was entirely voluntary, with assurance that declining or withdrawing at any stage </w:t>
      </w:r>
      <w:r w:rsidRPr="00A53A65">
        <w:rPr>
          <w:rFonts w:ascii="Times New Roman" w:hAnsi="Times New Roman" w:cs="Times New Roman"/>
          <w:sz w:val="24"/>
          <w:szCs w:val="24"/>
        </w:rPr>
        <w:lastRenderedPageBreak/>
        <w:t>would carry no academic consequences. All data were de-identified at the point of entry and stored securely.</w:t>
      </w:r>
    </w:p>
    <w:p w14:paraId="2085DB55" w14:textId="77777777" w:rsidR="00C656A1" w:rsidRPr="00A53A65" w:rsidRDefault="00C656A1" w:rsidP="00B713BA">
      <w:pPr>
        <w:spacing w:line="360" w:lineRule="auto"/>
        <w:jc w:val="both"/>
        <w:rPr>
          <w:rFonts w:ascii="Times New Roman" w:eastAsia="Times New Roman" w:hAnsi="Times New Roman" w:cs="Times New Roman"/>
          <w:sz w:val="24"/>
          <w:szCs w:val="24"/>
        </w:rPr>
      </w:pPr>
      <w:r w:rsidRPr="00A53A65">
        <w:rPr>
          <w:rFonts w:ascii="Times New Roman" w:hAnsi="Times New Roman" w:cs="Times New Roman"/>
          <w:b/>
          <w:i/>
          <w:sz w:val="24"/>
          <w:szCs w:val="24"/>
        </w:rPr>
        <w:t>Statistical Analysis:</w:t>
      </w:r>
      <w:r w:rsidRPr="00A53A65">
        <w:rPr>
          <w:rFonts w:ascii="Times New Roman" w:hAnsi="Times New Roman" w:cs="Times New Roman"/>
          <w:sz w:val="24"/>
          <w:szCs w:val="24"/>
        </w:rPr>
        <w:t xml:space="preserve"> Analyses were performed using IBM SPSS Statistics version 26 (IBM Corp., Armonk, New York, USA). Continuous data are presented as mean ± standard deviation (SD) and categorical data as frequencies with percentages. Normality of continuous variables were confirmed using the Kolmogorov-Smirnov test (p &gt;0.05 for all primary outcomes). Independent t tests were used for between-sex comparisons. One-way analysis of variance (ANOVA) with post-hoc Tukey’s Honest Significant Difference (HSD) test was used to compare outcome measures across the three flexibility categories. Pearson’s correlation coefficient was used to examine bivariate associations between continuous flexibility scores and outcome variables. Multiple linear regression was performed with composite MWS as the dependent variable and SRT score, AKE angle, daily sitting time, sex, BMI and physical activity level as independent predictors. Statistical significance was set α</w:t>
      </w:r>
      <w:r w:rsidR="008D27EB" w:rsidRPr="00A53A65">
        <w:rPr>
          <w:rFonts w:ascii="Times New Roman" w:hAnsi="Times New Roman" w:cs="Times New Roman"/>
          <w:sz w:val="24"/>
          <w:szCs w:val="24"/>
        </w:rPr>
        <w:t xml:space="preserve"> = 0.05 (two-tailed). Effect sizes were reported as Cohen’s d for t-tests and </w:t>
      </w:r>
      <w:r w:rsidR="008D27EB" w:rsidRPr="00A53A65">
        <w:rPr>
          <w:rFonts w:ascii="Times New Roman" w:eastAsia="Times New Roman" w:hAnsi="Times New Roman" w:cs="Times New Roman"/>
          <w:sz w:val="24"/>
          <w:szCs w:val="24"/>
        </w:rPr>
        <w:t>η</w:t>
      </w:r>
      <w:r w:rsidR="008D27EB" w:rsidRPr="00A53A65">
        <w:rPr>
          <w:rFonts w:ascii="Times New Roman" w:eastAsia="Times New Roman" w:hAnsi="Times New Roman" w:cs="Times New Roman"/>
          <w:sz w:val="24"/>
          <w:szCs w:val="24"/>
          <w:vertAlign w:val="superscript"/>
        </w:rPr>
        <w:t>2</w:t>
      </w:r>
      <w:r w:rsidR="00831BD9" w:rsidRPr="00A53A65">
        <w:rPr>
          <w:rFonts w:ascii="Times New Roman" w:eastAsia="Times New Roman" w:hAnsi="Times New Roman" w:cs="Times New Roman"/>
          <w:sz w:val="24"/>
          <w:szCs w:val="24"/>
        </w:rPr>
        <w:t xml:space="preserve"> (eta-squared)</w:t>
      </w:r>
      <w:r w:rsidR="008D27EB" w:rsidRPr="00A53A65">
        <w:rPr>
          <w:rFonts w:ascii="Times New Roman" w:eastAsia="Times New Roman" w:hAnsi="Times New Roman" w:cs="Times New Roman"/>
          <w:sz w:val="24"/>
          <w:szCs w:val="24"/>
        </w:rPr>
        <w:t xml:space="preserve"> for ANOVA.</w:t>
      </w:r>
    </w:p>
    <w:p w14:paraId="4A3C0E44" w14:textId="77777777" w:rsidR="008D27EB" w:rsidRPr="00A53A65" w:rsidRDefault="008D27EB" w:rsidP="00B713BA">
      <w:pPr>
        <w:spacing w:line="360" w:lineRule="auto"/>
        <w:jc w:val="both"/>
        <w:rPr>
          <w:rFonts w:ascii="Times New Roman" w:eastAsia="Times New Roman" w:hAnsi="Times New Roman" w:cs="Times New Roman"/>
          <w:b/>
          <w:sz w:val="24"/>
          <w:szCs w:val="24"/>
        </w:rPr>
      </w:pPr>
      <w:r w:rsidRPr="00A53A65">
        <w:rPr>
          <w:rFonts w:ascii="Times New Roman" w:eastAsia="Times New Roman" w:hAnsi="Times New Roman" w:cs="Times New Roman"/>
          <w:b/>
          <w:sz w:val="24"/>
          <w:szCs w:val="24"/>
        </w:rPr>
        <w:t>Results</w:t>
      </w:r>
    </w:p>
    <w:p w14:paraId="7CFC1DFE" w14:textId="77777777" w:rsidR="008D27EB" w:rsidRPr="00A53A65" w:rsidRDefault="008D27EB" w:rsidP="00B713BA">
      <w:pPr>
        <w:spacing w:line="360" w:lineRule="auto"/>
        <w:jc w:val="both"/>
        <w:rPr>
          <w:rFonts w:ascii="Times New Roman" w:hAnsi="Times New Roman" w:cs="Times New Roman"/>
          <w:sz w:val="24"/>
          <w:szCs w:val="24"/>
        </w:rPr>
      </w:pPr>
      <w:r w:rsidRPr="00A53A65">
        <w:rPr>
          <w:rFonts w:ascii="Times New Roman" w:eastAsia="Times New Roman" w:hAnsi="Times New Roman" w:cs="Times New Roman"/>
          <w:b/>
          <w:i/>
          <w:sz w:val="24"/>
          <w:szCs w:val="24"/>
        </w:rPr>
        <w:t xml:space="preserve">Participant Characteristics: </w:t>
      </w:r>
      <w:r w:rsidRPr="00A53A65">
        <w:rPr>
          <w:rFonts w:ascii="Times New Roman" w:eastAsia="Times New Roman" w:hAnsi="Times New Roman" w:cs="Times New Roman"/>
          <w:sz w:val="24"/>
          <w:szCs w:val="24"/>
        </w:rPr>
        <w:t xml:space="preserve">A total of 210 students (105 males, 105 females) with a mean age of 20.8 </w:t>
      </w:r>
      <w:r w:rsidRPr="00A53A65">
        <w:rPr>
          <w:rFonts w:ascii="Times New Roman" w:hAnsi="Times New Roman" w:cs="Times New Roman"/>
          <w:sz w:val="24"/>
          <w:szCs w:val="24"/>
        </w:rPr>
        <w:t>± 1.7 years were included in the final analysis. Table 1 presents demographic and anthropometric characteristics. No significant differences were observed in age or daily sitting time betw</w:t>
      </w:r>
      <w:r w:rsidR="00991C4D" w:rsidRPr="00A53A65">
        <w:rPr>
          <w:rFonts w:ascii="Times New Roman" w:hAnsi="Times New Roman" w:cs="Times New Roman"/>
          <w:sz w:val="24"/>
          <w:szCs w:val="24"/>
        </w:rPr>
        <w:t>een males and females. Males had</w:t>
      </w:r>
      <w:r w:rsidRPr="00A53A65">
        <w:rPr>
          <w:rFonts w:ascii="Times New Roman" w:hAnsi="Times New Roman" w:cs="Times New Roman"/>
          <w:sz w:val="24"/>
          <w:szCs w:val="24"/>
        </w:rPr>
        <w:t xml:space="preserve"> significantly greater height, weight and BMI (p &lt;0.001 for height and weight; p = 0.002 for BMI). Physical activity distribution did not differ significantly by sex (p = 0.067), with 57.6% of all participants classified as sedentary.</w:t>
      </w:r>
    </w:p>
    <w:tbl>
      <w:tblPr>
        <w:tblStyle w:val="GridTable4-Accent2"/>
        <w:tblW w:w="9493" w:type="dxa"/>
        <w:tblLook w:val="04A0" w:firstRow="1" w:lastRow="0" w:firstColumn="1" w:lastColumn="0" w:noHBand="0" w:noVBand="1"/>
      </w:tblPr>
      <w:tblGrid>
        <w:gridCol w:w="3964"/>
        <w:gridCol w:w="1418"/>
        <w:gridCol w:w="1417"/>
        <w:gridCol w:w="1560"/>
        <w:gridCol w:w="1134"/>
      </w:tblGrid>
      <w:tr w:rsidR="0013532F" w:rsidRPr="00A53A65" w14:paraId="7FEB5AA8" w14:textId="77777777" w:rsidTr="00135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F178A90" w14:textId="77777777" w:rsidR="005A0EF9" w:rsidRPr="00A53A65" w:rsidRDefault="005A0EF9" w:rsidP="005A0EF9">
            <w:pPr>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Characteristics</w:t>
            </w:r>
          </w:p>
        </w:tc>
        <w:tc>
          <w:tcPr>
            <w:tcW w:w="1418" w:type="dxa"/>
          </w:tcPr>
          <w:p w14:paraId="752BA8BA" w14:textId="77777777"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All (n=210)</w:t>
            </w:r>
          </w:p>
        </w:tc>
        <w:tc>
          <w:tcPr>
            <w:tcW w:w="1417" w:type="dxa"/>
          </w:tcPr>
          <w:p w14:paraId="26F4CF7F" w14:textId="77777777"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Males (n=105)</w:t>
            </w:r>
          </w:p>
        </w:tc>
        <w:tc>
          <w:tcPr>
            <w:tcW w:w="1560" w:type="dxa"/>
          </w:tcPr>
          <w:p w14:paraId="18C91295" w14:textId="77777777"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Female (n=105)</w:t>
            </w:r>
          </w:p>
        </w:tc>
        <w:tc>
          <w:tcPr>
            <w:tcW w:w="1134" w:type="dxa"/>
          </w:tcPr>
          <w:p w14:paraId="74DA90A1" w14:textId="77777777"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p-value</w:t>
            </w:r>
          </w:p>
        </w:tc>
      </w:tr>
      <w:tr w:rsidR="0013532F" w:rsidRPr="00A53A65" w14:paraId="2F3FACB9" w14:textId="77777777"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301EE13" w14:textId="77777777"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Age (years), Mean ± SD</w:t>
            </w:r>
          </w:p>
        </w:tc>
        <w:tc>
          <w:tcPr>
            <w:tcW w:w="1418" w:type="dxa"/>
          </w:tcPr>
          <w:p w14:paraId="7C16F8EF"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20.8 ± 1.7</w:t>
            </w:r>
          </w:p>
        </w:tc>
        <w:tc>
          <w:tcPr>
            <w:tcW w:w="1417" w:type="dxa"/>
          </w:tcPr>
          <w:p w14:paraId="1858E536"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21.0 ± 1.8</w:t>
            </w:r>
          </w:p>
        </w:tc>
        <w:tc>
          <w:tcPr>
            <w:tcW w:w="1560" w:type="dxa"/>
          </w:tcPr>
          <w:p w14:paraId="255E00E4"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20.6 ± 1.6</w:t>
            </w:r>
          </w:p>
        </w:tc>
        <w:tc>
          <w:tcPr>
            <w:tcW w:w="1134" w:type="dxa"/>
          </w:tcPr>
          <w:p w14:paraId="2254EE1E"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0.098</w:t>
            </w:r>
          </w:p>
        </w:tc>
      </w:tr>
      <w:tr w:rsidR="005A0EF9" w:rsidRPr="00A53A65" w14:paraId="5E6C0294" w14:textId="77777777" w:rsidTr="0013532F">
        <w:tc>
          <w:tcPr>
            <w:cnfStyle w:val="001000000000" w:firstRow="0" w:lastRow="0" w:firstColumn="1" w:lastColumn="0" w:oddVBand="0" w:evenVBand="0" w:oddHBand="0" w:evenHBand="0" w:firstRowFirstColumn="0" w:firstRowLastColumn="0" w:lastRowFirstColumn="0" w:lastRowLastColumn="0"/>
            <w:tcW w:w="3964" w:type="dxa"/>
          </w:tcPr>
          <w:p w14:paraId="38D1F50C" w14:textId="77777777"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Height (cm), Mean ± SD</w:t>
            </w:r>
          </w:p>
        </w:tc>
        <w:tc>
          <w:tcPr>
            <w:tcW w:w="1418" w:type="dxa"/>
          </w:tcPr>
          <w:p w14:paraId="69B29DE8" w14:textId="77777777"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168.4 ± 9.1</w:t>
            </w:r>
          </w:p>
        </w:tc>
        <w:tc>
          <w:tcPr>
            <w:tcW w:w="1417" w:type="dxa"/>
          </w:tcPr>
          <w:p w14:paraId="0460B13D" w14:textId="77777777"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174.2 ± 7.6</w:t>
            </w:r>
          </w:p>
        </w:tc>
        <w:tc>
          <w:tcPr>
            <w:tcW w:w="1560" w:type="dxa"/>
          </w:tcPr>
          <w:p w14:paraId="0C7C307A" w14:textId="77777777"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162.6 ± 7.3</w:t>
            </w:r>
          </w:p>
        </w:tc>
        <w:tc>
          <w:tcPr>
            <w:tcW w:w="1134" w:type="dxa"/>
          </w:tcPr>
          <w:p w14:paraId="135C7E75" w14:textId="77777777"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14:paraId="0D547B33" w14:textId="77777777"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0ABCAD1" w14:textId="77777777"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Weight (kg), Mean ± SD</w:t>
            </w:r>
          </w:p>
        </w:tc>
        <w:tc>
          <w:tcPr>
            <w:tcW w:w="1418" w:type="dxa"/>
          </w:tcPr>
          <w:p w14:paraId="0990B914"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65.3 ± 12.4</w:t>
            </w:r>
          </w:p>
        </w:tc>
        <w:tc>
          <w:tcPr>
            <w:tcW w:w="1417" w:type="dxa"/>
          </w:tcPr>
          <w:p w14:paraId="1018DF34"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72.1 ± 11.8</w:t>
            </w:r>
          </w:p>
        </w:tc>
        <w:tc>
          <w:tcPr>
            <w:tcW w:w="1560" w:type="dxa"/>
          </w:tcPr>
          <w:p w14:paraId="25378471"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58.5 ± 10.2</w:t>
            </w:r>
          </w:p>
        </w:tc>
        <w:tc>
          <w:tcPr>
            <w:tcW w:w="1134" w:type="dxa"/>
          </w:tcPr>
          <w:p w14:paraId="5DE09F84" w14:textId="77777777"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5A0EF9" w:rsidRPr="00A53A65" w14:paraId="6DAEFDFE" w14:textId="77777777" w:rsidTr="0013532F">
        <w:tc>
          <w:tcPr>
            <w:cnfStyle w:val="001000000000" w:firstRow="0" w:lastRow="0" w:firstColumn="1" w:lastColumn="0" w:oddVBand="0" w:evenVBand="0" w:oddHBand="0" w:evenHBand="0" w:firstRowFirstColumn="0" w:firstRowLastColumn="0" w:lastRowFirstColumn="0" w:lastRowLastColumn="0"/>
            <w:tcW w:w="3964" w:type="dxa"/>
          </w:tcPr>
          <w:p w14:paraId="7D070ABF" w14:textId="77777777"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BMI (kg/m</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Mean ± SD</w:t>
            </w:r>
          </w:p>
        </w:tc>
        <w:tc>
          <w:tcPr>
            <w:tcW w:w="1418" w:type="dxa"/>
          </w:tcPr>
          <w:p w14:paraId="12343C92" w14:textId="77777777"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22.9 ± 3.6</w:t>
            </w:r>
          </w:p>
        </w:tc>
        <w:tc>
          <w:tcPr>
            <w:tcW w:w="1417" w:type="dxa"/>
          </w:tcPr>
          <w:p w14:paraId="79047830" w14:textId="77777777"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23.6 ± 3.8</w:t>
            </w:r>
          </w:p>
        </w:tc>
        <w:tc>
          <w:tcPr>
            <w:tcW w:w="1560" w:type="dxa"/>
          </w:tcPr>
          <w:p w14:paraId="3B83D0C2" w14:textId="77777777"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22.1 ± 3.3</w:t>
            </w:r>
          </w:p>
        </w:tc>
        <w:tc>
          <w:tcPr>
            <w:tcW w:w="1134" w:type="dxa"/>
          </w:tcPr>
          <w:p w14:paraId="4AEC7E1D" w14:textId="77777777"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0.002*</w:t>
            </w:r>
          </w:p>
        </w:tc>
      </w:tr>
      <w:tr w:rsidR="0013532F" w:rsidRPr="00A53A65" w14:paraId="2E98BCC7" w14:textId="77777777"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D52E2D8" w14:textId="77777777"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Daily sitting time (Hrs), Mean ± SD</w:t>
            </w:r>
          </w:p>
        </w:tc>
        <w:tc>
          <w:tcPr>
            <w:tcW w:w="1418" w:type="dxa"/>
          </w:tcPr>
          <w:p w14:paraId="1FD57620"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7.6 ± 2.1</w:t>
            </w:r>
          </w:p>
        </w:tc>
        <w:tc>
          <w:tcPr>
            <w:tcW w:w="1417" w:type="dxa"/>
          </w:tcPr>
          <w:p w14:paraId="5B2174A0"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7.4 ± 2.3</w:t>
            </w:r>
          </w:p>
        </w:tc>
        <w:tc>
          <w:tcPr>
            <w:tcW w:w="1560" w:type="dxa"/>
          </w:tcPr>
          <w:p w14:paraId="2D841783"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7.8 ± 1.9</w:t>
            </w:r>
          </w:p>
        </w:tc>
        <w:tc>
          <w:tcPr>
            <w:tcW w:w="1134" w:type="dxa"/>
          </w:tcPr>
          <w:p w14:paraId="3F86B9F5" w14:textId="77777777"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0.184</w:t>
            </w:r>
          </w:p>
        </w:tc>
      </w:tr>
      <w:tr w:rsidR="005A0EF9" w:rsidRPr="00A53A65" w14:paraId="15E707A7" w14:textId="77777777" w:rsidTr="0013532F">
        <w:tc>
          <w:tcPr>
            <w:cnfStyle w:val="001000000000" w:firstRow="0" w:lastRow="0" w:firstColumn="1" w:lastColumn="0" w:oddVBand="0" w:evenVBand="0" w:oddHBand="0" w:evenHBand="0" w:firstRowFirstColumn="0" w:firstRowLastColumn="0" w:lastRowFirstColumn="0" w:lastRowLastColumn="0"/>
            <w:tcW w:w="3964" w:type="dxa"/>
          </w:tcPr>
          <w:p w14:paraId="348EF0CA" w14:textId="77777777"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Physical activity: Active, n (%)</w:t>
            </w:r>
          </w:p>
        </w:tc>
        <w:tc>
          <w:tcPr>
            <w:tcW w:w="1418" w:type="dxa"/>
          </w:tcPr>
          <w:p w14:paraId="6AB84EB2" w14:textId="77777777"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89 (42.4%)</w:t>
            </w:r>
          </w:p>
        </w:tc>
        <w:tc>
          <w:tcPr>
            <w:tcW w:w="1417" w:type="dxa"/>
          </w:tcPr>
          <w:p w14:paraId="3BAFF049" w14:textId="77777777"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51 (48.6%)</w:t>
            </w:r>
          </w:p>
        </w:tc>
        <w:tc>
          <w:tcPr>
            <w:tcW w:w="1560" w:type="dxa"/>
          </w:tcPr>
          <w:p w14:paraId="67A1F064" w14:textId="77777777"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38 (36.2%)</w:t>
            </w:r>
          </w:p>
        </w:tc>
        <w:tc>
          <w:tcPr>
            <w:tcW w:w="1134" w:type="dxa"/>
          </w:tcPr>
          <w:p w14:paraId="4A901E4B" w14:textId="77777777"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0.067</w:t>
            </w:r>
          </w:p>
        </w:tc>
      </w:tr>
      <w:tr w:rsidR="0013532F" w:rsidRPr="00A53A65" w14:paraId="4BDF752C" w14:textId="77777777"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B1D546E" w14:textId="77777777"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Physical Activity: Sedentary, n (%)</w:t>
            </w:r>
          </w:p>
        </w:tc>
        <w:tc>
          <w:tcPr>
            <w:tcW w:w="1418" w:type="dxa"/>
          </w:tcPr>
          <w:p w14:paraId="0F3CD3BC" w14:textId="77777777"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121 (57.6%)</w:t>
            </w:r>
          </w:p>
        </w:tc>
        <w:tc>
          <w:tcPr>
            <w:tcW w:w="1417" w:type="dxa"/>
          </w:tcPr>
          <w:p w14:paraId="2B93899F" w14:textId="77777777"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54 (51.4%)</w:t>
            </w:r>
          </w:p>
        </w:tc>
        <w:tc>
          <w:tcPr>
            <w:tcW w:w="1560" w:type="dxa"/>
          </w:tcPr>
          <w:p w14:paraId="561366B0" w14:textId="77777777"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67 (63.8%)</w:t>
            </w:r>
          </w:p>
        </w:tc>
        <w:tc>
          <w:tcPr>
            <w:tcW w:w="1134" w:type="dxa"/>
          </w:tcPr>
          <w:p w14:paraId="4157442E" w14:textId="77777777"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0.067</w:t>
            </w:r>
          </w:p>
        </w:tc>
      </w:tr>
      <w:tr w:rsidR="0013532F" w:rsidRPr="00A53A65" w14:paraId="2BAB10C1" w14:textId="77777777" w:rsidTr="0013532F">
        <w:tc>
          <w:tcPr>
            <w:cnfStyle w:val="001000000000" w:firstRow="0" w:lastRow="0" w:firstColumn="1" w:lastColumn="0" w:oddVBand="0" w:evenVBand="0" w:oddHBand="0" w:evenHBand="0" w:firstRowFirstColumn="0" w:firstRowLastColumn="0" w:lastRowFirstColumn="0" w:lastRowLastColumn="0"/>
            <w:tcW w:w="9493" w:type="dxa"/>
            <w:gridSpan w:val="5"/>
          </w:tcPr>
          <w:p w14:paraId="569EF85E" w14:textId="77777777" w:rsidR="0013532F" w:rsidRPr="00A53A65" w:rsidRDefault="0013532F" w:rsidP="0013532F">
            <w:pPr>
              <w:keepNext/>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*Statistically significant at P &lt;0.05</w:t>
            </w:r>
          </w:p>
        </w:tc>
      </w:tr>
    </w:tbl>
    <w:p w14:paraId="5CAE9773" w14:textId="77777777" w:rsidR="005A0EF9" w:rsidRPr="00A53A65" w:rsidRDefault="0013532F" w:rsidP="0013532F">
      <w:pPr>
        <w:pStyle w:val="Caption"/>
        <w:jc w:val="center"/>
        <w:rPr>
          <w:rFonts w:ascii="Times New Roman" w:hAnsi="Times New Roman" w:cs="Times New Roman"/>
          <w:sz w:val="24"/>
          <w:szCs w:val="24"/>
        </w:rPr>
      </w:pPr>
      <w:r w:rsidRPr="00A53A65">
        <w:t xml:space="preserve">Table </w:t>
      </w:r>
      <w:fldSimple w:instr=" SEQ Table \* ARABIC ">
        <w:r w:rsidR="00E77DA7" w:rsidRPr="00A53A65">
          <w:rPr>
            <w:noProof/>
          </w:rPr>
          <w:t>1</w:t>
        </w:r>
      </w:fldSimple>
      <w:r w:rsidRPr="00A53A65">
        <w:t>: Demographic and anthropometric characteristics of participants</w:t>
      </w:r>
    </w:p>
    <w:p w14:paraId="30F500BA" w14:textId="77777777" w:rsidR="008D27EB" w:rsidRPr="00A53A65" w:rsidRDefault="008D27EB"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lastRenderedPageBreak/>
        <w:t>Hamstring Flexibility:</w:t>
      </w:r>
      <w:r w:rsidRPr="00A53A65">
        <w:rPr>
          <w:rFonts w:ascii="Times New Roman" w:hAnsi="Times New Roman" w:cs="Times New Roman"/>
          <w:sz w:val="24"/>
          <w:szCs w:val="24"/>
        </w:rPr>
        <w:t xml:space="preserve"> Hamstring flexibility outcomes are summarised in Table 2. Hamstring tightness (AKE &gt;20</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xml:space="preserve"> or SRT below normative cutoff) was identified in 126 participants (60%). A large and statistically significant sex difference was observed in SRT scores, with females scoring markedly higher (8.0 ± 7.2 cm vs. -1.2 ± 8.1 cm; p &lt;0.001; d = 1.14). males demonstrated significantly higher AKE angles bilaterally (right: 32.6</w:t>
      </w:r>
      <w:proofErr w:type="gramStart"/>
      <w:r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vertAlign w:val="superscript"/>
        </w:rPr>
        <w:t xml:space="preserve"> </w:t>
      </w:r>
      <w:r w:rsidR="006F0A69" w:rsidRPr="00A53A65">
        <w:rPr>
          <w:rFonts w:ascii="Times New Roman" w:hAnsi="Times New Roman" w:cs="Times New Roman"/>
          <w:sz w:val="24"/>
          <w:szCs w:val="24"/>
        </w:rPr>
        <w:t xml:space="preserve"> vs.</w:t>
      </w:r>
      <w:proofErr w:type="gramEnd"/>
      <w:r w:rsidR="006F0A69" w:rsidRPr="00A53A65">
        <w:rPr>
          <w:rFonts w:ascii="Times New Roman" w:hAnsi="Times New Roman" w:cs="Times New Roman"/>
          <w:sz w:val="24"/>
          <w:szCs w:val="24"/>
        </w:rPr>
        <w:t xml:space="preserve"> 24.0</w:t>
      </w:r>
      <w:r w:rsidR="006F0A69"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rPr>
        <w:t>; left: 32.1</w:t>
      </w:r>
      <w:r w:rsidR="006F0A69"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rPr>
        <w:t xml:space="preserve"> vs. 23.5</w:t>
      </w:r>
      <w:r w:rsidR="006F0A69"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rPr>
        <w:t>; both p &lt;0.001) indicating greater hamstring tightness. No significant between-sex difference in overall tightness prevalence was observed (p = 0.162).</w:t>
      </w:r>
    </w:p>
    <w:tbl>
      <w:tblPr>
        <w:tblStyle w:val="GridTable4-Accent2"/>
        <w:tblW w:w="9782" w:type="dxa"/>
        <w:tblInd w:w="-431" w:type="dxa"/>
        <w:tblLook w:val="04A0" w:firstRow="1" w:lastRow="0" w:firstColumn="1" w:lastColumn="0" w:noHBand="0" w:noVBand="1"/>
      </w:tblPr>
      <w:tblGrid>
        <w:gridCol w:w="1844"/>
        <w:gridCol w:w="1417"/>
        <w:gridCol w:w="1418"/>
        <w:gridCol w:w="1417"/>
        <w:gridCol w:w="1701"/>
        <w:gridCol w:w="851"/>
        <w:gridCol w:w="1134"/>
      </w:tblGrid>
      <w:tr w:rsidR="0013532F" w:rsidRPr="00A53A65" w14:paraId="220E6654" w14:textId="77777777" w:rsidTr="003D0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4229B344" w14:textId="77777777"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Measure</w:t>
            </w:r>
          </w:p>
        </w:tc>
        <w:tc>
          <w:tcPr>
            <w:tcW w:w="1417" w:type="dxa"/>
            <w:vAlign w:val="center"/>
          </w:tcPr>
          <w:p w14:paraId="54CF0D6C" w14:textId="77777777"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All (n=210)</w:t>
            </w:r>
          </w:p>
        </w:tc>
        <w:tc>
          <w:tcPr>
            <w:tcW w:w="1418" w:type="dxa"/>
            <w:vAlign w:val="center"/>
          </w:tcPr>
          <w:p w14:paraId="2642BA48" w14:textId="77777777"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Males (n=105)</w:t>
            </w:r>
          </w:p>
        </w:tc>
        <w:tc>
          <w:tcPr>
            <w:tcW w:w="1417" w:type="dxa"/>
            <w:vAlign w:val="center"/>
          </w:tcPr>
          <w:p w14:paraId="68F13206" w14:textId="77777777"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Females (n=105)</w:t>
            </w:r>
          </w:p>
        </w:tc>
        <w:tc>
          <w:tcPr>
            <w:tcW w:w="1701" w:type="dxa"/>
            <w:vAlign w:val="center"/>
          </w:tcPr>
          <w:p w14:paraId="0818F02B" w14:textId="77777777"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MD (95% CI)</w:t>
            </w:r>
          </w:p>
        </w:tc>
        <w:tc>
          <w:tcPr>
            <w:tcW w:w="851" w:type="dxa"/>
            <w:vAlign w:val="center"/>
          </w:tcPr>
          <w:p w14:paraId="3FC248E2" w14:textId="77777777"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d</w:t>
            </w:r>
          </w:p>
        </w:tc>
        <w:tc>
          <w:tcPr>
            <w:tcW w:w="1134" w:type="dxa"/>
            <w:vAlign w:val="center"/>
          </w:tcPr>
          <w:p w14:paraId="1B72E6D6" w14:textId="77777777"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p-value</w:t>
            </w:r>
          </w:p>
        </w:tc>
      </w:tr>
      <w:tr w:rsidR="0013532F" w:rsidRPr="00A53A65" w14:paraId="6A454116" w14:textId="77777777" w:rsidTr="003D0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1D785C0A" w14:textId="77777777"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SRT score (mm)</w:t>
            </w:r>
          </w:p>
        </w:tc>
        <w:tc>
          <w:tcPr>
            <w:tcW w:w="1417" w:type="dxa"/>
            <w:vAlign w:val="center"/>
          </w:tcPr>
          <w:p w14:paraId="2D6FB5F7"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3.4 ± 8.6</w:t>
            </w:r>
          </w:p>
        </w:tc>
        <w:tc>
          <w:tcPr>
            <w:tcW w:w="1418" w:type="dxa"/>
            <w:vAlign w:val="center"/>
          </w:tcPr>
          <w:p w14:paraId="31A47F67"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 ± 8.1</w:t>
            </w:r>
          </w:p>
        </w:tc>
        <w:tc>
          <w:tcPr>
            <w:tcW w:w="1417" w:type="dxa"/>
            <w:vAlign w:val="center"/>
          </w:tcPr>
          <w:p w14:paraId="0EB84E84"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8.0 ± 7.2</w:t>
            </w:r>
          </w:p>
        </w:tc>
        <w:tc>
          <w:tcPr>
            <w:tcW w:w="1701" w:type="dxa"/>
            <w:vAlign w:val="center"/>
          </w:tcPr>
          <w:p w14:paraId="4FA8C4FD"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9.2 (7.0 – 11.4)</w:t>
            </w:r>
          </w:p>
        </w:tc>
        <w:tc>
          <w:tcPr>
            <w:tcW w:w="851" w:type="dxa"/>
            <w:vAlign w:val="center"/>
          </w:tcPr>
          <w:p w14:paraId="189A101B"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1.14</w:t>
            </w:r>
          </w:p>
        </w:tc>
        <w:tc>
          <w:tcPr>
            <w:tcW w:w="1134" w:type="dxa"/>
            <w:vAlign w:val="center"/>
          </w:tcPr>
          <w:p w14:paraId="69688864"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14:paraId="3EC5FEF4" w14:textId="77777777" w:rsidTr="003D0033">
        <w:tc>
          <w:tcPr>
            <w:cnfStyle w:val="001000000000" w:firstRow="0" w:lastRow="0" w:firstColumn="1" w:lastColumn="0" w:oddVBand="0" w:evenVBand="0" w:oddHBand="0" w:evenHBand="0" w:firstRowFirstColumn="0" w:firstRowLastColumn="0" w:lastRowFirstColumn="0" w:lastRowLastColumn="0"/>
            <w:tcW w:w="1844" w:type="dxa"/>
            <w:vAlign w:val="center"/>
          </w:tcPr>
          <w:p w14:paraId="7DDEE43F" w14:textId="77777777"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AKE-Right (</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w:t>
            </w:r>
          </w:p>
        </w:tc>
        <w:tc>
          <w:tcPr>
            <w:tcW w:w="1417" w:type="dxa"/>
            <w:vAlign w:val="center"/>
          </w:tcPr>
          <w:p w14:paraId="6AE73D5E" w14:textId="77777777"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28.3 ± 11.4</w:t>
            </w:r>
          </w:p>
        </w:tc>
        <w:tc>
          <w:tcPr>
            <w:tcW w:w="1418" w:type="dxa"/>
            <w:vAlign w:val="center"/>
          </w:tcPr>
          <w:p w14:paraId="442A4259" w14:textId="77777777"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32.6 ± 10.8</w:t>
            </w:r>
          </w:p>
        </w:tc>
        <w:tc>
          <w:tcPr>
            <w:tcW w:w="1417" w:type="dxa"/>
            <w:vAlign w:val="center"/>
          </w:tcPr>
          <w:p w14:paraId="24402C45" w14:textId="77777777"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24.0 ± 10.9</w:t>
            </w:r>
          </w:p>
        </w:tc>
        <w:tc>
          <w:tcPr>
            <w:tcW w:w="1701" w:type="dxa"/>
            <w:vAlign w:val="center"/>
          </w:tcPr>
          <w:p w14:paraId="4CEF2809" w14:textId="77777777"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8.6 (5.8 – 11.4)</w:t>
            </w:r>
          </w:p>
        </w:tc>
        <w:tc>
          <w:tcPr>
            <w:tcW w:w="851" w:type="dxa"/>
            <w:vAlign w:val="center"/>
          </w:tcPr>
          <w:p w14:paraId="0DDFBA5D" w14:textId="77777777"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0.79</w:t>
            </w:r>
          </w:p>
        </w:tc>
        <w:tc>
          <w:tcPr>
            <w:tcW w:w="1134" w:type="dxa"/>
            <w:vAlign w:val="center"/>
          </w:tcPr>
          <w:p w14:paraId="5AFD3423" w14:textId="77777777"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14:paraId="03ED7377" w14:textId="77777777" w:rsidTr="003D0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4CD2A11E" w14:textId="77777777"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AKE-Left (</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w:t>
            </w:r>
          </w:p>
        </w:tc>
        <w:tc>
          <w:tcPr>
            <w:tcW w:w="1417" w:type="dxa"/>
            <w:vAlign w:val="center"/>
          </w:tcPr>
          <w:p w14:paraId="477BEADE"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27.8 ± 11.1</w:t>
            </w:r>
          </w:p>
        </w:tc>
        <w:tc>
          <w:tcPr>
            <w:tcW w:w="1418" w:type="dxa"/>
            <w:vAlign w:val="center"/>
          </w:tcPr>
          <w:p w14:paraId="77EE20DC"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32.1 ± 10.4</w:t>
            </w:r>
          </w:p>
        </w:tc>
        <w:tc>
          <w:tcPr>
            <w:tcW w:w="1417" w:type="dxa"/>
            <w:vAlign w:val="center"/>
          </w:tcPr>
          <w:p w14:paraId="056F8C70"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23.5 ± 10.6</w:t>
            </w:r>
          </w:p>
        </w:tc>
        <w:tc>
          <w:tcPr>
            <w:tcW w:w="1701" w:type="dxa"/>
            <w:vAlign w:val="center"/>
          </w:tcPr>
          <w:p w14:paraId="236B698C"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8.6 (5.9 – 11.3)</w:t>
            </w:r>
          </w:p>
        </w:tc>
        <w:tc>
          <w:tcPr>
            <w:tcW w:w="851" w:type="dxa"/>
            <w:vAlign w:val="center"/>
          </w:tcPr>
          <w:p w14:paraId="6ABCF6EC"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0.81</w:t>
            </w:r>
          </w:p>
        </w:tc>
        <w:tc>
          <w:tcPr>
            <w:tcW w:w="1134" w:type="dxa"/>
            <w:vAlign w:val="center"/>
          </w:tcPr>
          <w:p w14:paraId="6E59BE7B" w14:textId="77777777"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14:paraId="1206C11B" w14:textId="77777777" w:rsidTr="00991C4D">
        <w:tc>
          <w:tcPr>
            <w:cnfStyle w:val="001000000000" w:firstRow="0" w:lastRow="0" w:firstColumn="1" w:lastColumn="0" w:oddVBand="0" w:evenVBand="0" w:oddHBand="0" w:evenHBand="0" w:firstRowFirstColumn="0" w:firstRowLastColumn="0" w:lastRowFirstColumn="0" w:lastRowLastColumn="0"/>
            <w:tcW w:w="1844" w:type="dxa"/>
            <w:vAlign w:val="center"/>
          </w:tcPr>
          <w:p w14:paraId="47735C98" w14:textId="77777777" w:rsidR="0013532F" w:rsidRPr="00A53A65" w:rsidRDefault="0013532F" w:rsidP="003D0033">
            <w:pPr>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Hamstring tightness, n (%)</w:t>
            </w:r>
          </w:p>
        </w:tc>
        <w:tc>
          <w:tcPr>
            <w:tcW w:w="1417" w:type="dxa"/>
            <w:vAlign w:val="center"/>
          </w:tcPr>
          <w:p w14:paraId="2FB40E2F" w14:textId="77777777" w:rsidR="0013532F" w:rsidRPr="00A53A65" w:rsidRDefault="0013532F" w:rsidP="00991C4D">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126 (60%)</w:t>
            </w:r>
          </w:p>
        </w:tc>
        <w:tc>
          <w:tcPr>
            <w:tcW w:w="1418" w:type="dxa"/>
            <w:vAlign w:val="center"/>
          </w:tcPr>
          <w:p w14:paraId="2990E82F" w14:textId="77777777"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58 (55.2%)</w:t>
            </w:r>
          </w:p>
        </w:tc>
        <w:tc>
          <w:tcPr>
            <w:tcW w:w="1417" w:type="dxa"/>
            <w:vAlign w:val="center"/>
          </w:tcPr>
          <w:p w14:paraId="37281503" w14:textId="77777777"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68 (64.8%)</w:t>
            </w:r>
          </w:p>
        </w:tc>
        <w:tc>
          <w:tcPr>
            <w:tcW w:w="1701" w:type="dxa"/>
            <w:vAlign w:val="center"/>
          </w:tcPr>
          <w:p w14:paraId="17BAE7F0" w14:textId="77777777"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w:t>
            </w:r>
          </w:p>
        </w:tc>
        <w:tc>
          <w:tcPr>
            <w:tcW w:w="851" w:type="dxa"/>
            <w:vAlign w:val="center"/>
          </w:tcPr>
          <w:p w14:paraId="78609F7A" w14:textId="77777777"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w:t>
            </w:r>
          </w:p>
        </w:tc>
        <w:tc>
          <w:tcPr>
            <w:tcW w:w="1134" w:type="dxa"/>
            <w:vAlign w:val="center"/>
          </w:tcPr>
          <w:p w14:paraId="2DD2FB7D" w14:textId="77777777"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0.162</w:t>
            </w:r>
          </w:p>
        </w:tc>
      </w:tr>
      <w:tr w:rsidR="003D0033" w:rsidRPr="00A53A65" w14:paraId="103A83B8" w14:textId="77777777" w:rsidTr="003D0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7"/>
            <w:vAlign w:val="center"/>
          </w:tcPr>
          <w:p w14:paraId="282AE25B" w14:textId="77777777" w:rsidR="003D0033" w:rsidRPr="00A53A65" w:rsidRDefault="003D0033" w:rsidP="003D0033">
            <w:pPr>
              <w:keepNext/>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MD – Mean Difference, d – Cohen’s d effect size, *Statistically significant at p &lt;0.05</w:t>
            </w:r>
          </w:p>
        </w:tc>
      </w:tr>
    </w:tbl>
    <w:p w14:paraId="2FDBE856" w14:textId="77777777" w:rsidR="0013532F" w:rsidRPr="00A53A65" w:rsidRDefault="003D0033" w:rsidP="003D0033">
      <w:pPr>
        <w:pStyle w:val="Caption"/>
        <w:jc w:val="center"/>
        <w:rPr>
          <w:rFonts w:ascii="Times New Roman" w:hAnsi="Times New Roman" w:cs="Times New Roman"/>
          <w:sz w:val="24"/>
          <w:szCs w:val="24"/>
        </w:rPr>
      </w:pPr>
      <w:r w:rsidRPr="00A53A65">
        <w:t xml:space="preserve">Table </w:t>
      </w:r>
      <w:fldSimple w:instr=" SEQ Table \* ARABIC ">
        <w:r w:rsidR="00E77DA7" w:rsidRPr="00A53A65">
          <w:rPr>
            <w:noProof/>
          </w:rPr>
          <w:t>2</w:t>
        </w:r>
      </w:fldSimple>
      <w:r w:rsidRPr="00A53A65">
        <w:t>: Hamstring flexibility measures by sex</w:t>
      </w:r>
    </w:p>
    <w:p w14:paraId="226CF174" w14:textId="77777777" w:rsidR="006F0A69" w:rsidRPr="00A53A65" w:rsidRDefault="006F0A69" w:rsidP="00B713BA">
      <w:pPr>
        <w:spacing w:line="360" w:lineRule="auto"/>
        <w:jc w:val="both"/>
        <w:rPr>
          <w:rFonts w:ascii="Times New Roman" w:eastAsia="Times New Roman" w:hAnsi="Times New Roman" w:cs="Times New Roman"/>
          <w:sz w:val="24"/>
          <w:szCs w:val="24"/>
        </w:rPr>
      </w:pPr>
      <w:r w:rsidRPr="00A53A65">
        <w:rPr>
          <w:rFonts w:ascii="Times New Roman" w:hAnsi="Times New Roman" w:cs="Times New Roman"/>
          <w:b/>
          <w:i/>
          <w:sz w:val="24"/>
          <w:szCs w:val="24"/>
        </w:rPr>
        <w:t>Musculoskeletal Outcomes by Flexibility Category:</w:t>
      </w:r>
      <w:r w:rsidRPr="00A53A65">
        <w:rPr>
          <w:rFonts w:ascii="Times New Roman" w:hAnsi="Times New Roman" w:cs="Times New Roman"/>
          <w:sz w:val="24"/>
          <w:szCs w:val="24"/>
        </w:rPr>
        <w:t xml:space="preserve"> Table 3 represents musculoskeletal outcomes stratified by flexibility category. Significant monotonic dose-response relationships were observed across all outcome measures, with participants in the ‘Severely Tight’ category consistently demonstrating the greatest musculoskeletal burden. LBP NPRS scores increased from 2.1 ± 1.8 (Normal) to 3.9 ± 2.1 (Mild) to 5.6 ± 2.4 (Severe) (p &lt;0.001; </w:t>
      </w:r>
      <w:r w:rsidRPr="00A53A65">
        <w:rPr>
          <w:rFonts w:ascii="Times New Roman" w:eastAsia="Times New Roman" w:hAnsi="Times New Roman" w:cs="Times New Roman"/>
          <w:sz w:val="24"/>
          <w:szCs w:val="24"/>
        </w:rPr>
        <w:t>η</w:t>
      </w:r>
      <w:r w:rsidRPr="00A53A65">
        <w:rPr>
          <w:rFonts w:ascii="Times New Roman" w:eastAsia="Times New Roman" w:hAnsi="Times New Roman" w:cs="Times New Roman"/>
          <w:sz w:val="24"/>
          <w:szCs w:val="24"/>
          <w:vertAlign w:val="superscript"/>
        </w:rPr>
        <w:t>2</w:t>
      </w:r>
      <w:r w:rsidRPr="00A53A65">
        <w:rPr>
          <w:rFonts w:ascii="Times New Roman" w:eastAsia="Times New Roman" w:hAnsi="Times New Roman" w:cs="Times New Roman"/>
          <w:sz w:val="24"/>
          <w:szCs w:val="24"/>
        </w:rPr>
        <w:t xml:space="preserve"> = 0.21). Similar gradients were observed for neck/shoulder pain (p = 0.003), forward head posture (p &lt;0.001). Post-hoc Tukey HSD tests confirmed significant pairwise differences between all three categories for LBP and RMDQ score (all p &lt;0.05).</w:t>
      </w:r>
      <w:r w:rsidR="005E185A" w:rsidRPr="00A53A65">
        <w:rPr>
          <w:rFonts w:ascii="Times New Roman" w:eastAsia="Times New Roman" w:hAnsi="Times New Roman" w:cs="Times New Roman"/>
          <w:sz w:val="24"/>
          <w:szCs w:val="24"/>
        </w:rPr>
        <w:t xml:space="preserve"> Pearson’s correlation analysis revealed significant negative associations between SRT score and LBP NPRS (r = -0.48; p &lt;0.001), RMDQ (r = -0.52; p &lt;0.001), FHP displacement (r = -0.41; p &lt;0.001) and PSQI score (r = -0.29; p &lt;0.001). Positive correlations were observed between AKE angle and all adverse outcomes (LBP: r = 0.44; RMDQ: r = 0.49; FHP: r = 0.37; all p &lt;0.001).</w:t>
      </w:r>
    </w:p>
    <w:tbl>
      <w:tblPr>
        <w:tblStyle w:val="GridTable4-Accent2"/>
        <w:tblW w:w="10485" w:type="dxa"/>
        <w:jc w:val="center"/>
        <w:tblLook w:val="04A0" w:firstRow="1" w:lastRow="0" w:firstColumn="1" w:lastColumn="0" w:noHBand="0" w:noVBand="1"/>
      </w:tblPr>
      <w:tblGrid>
        <w:gridCol w:w="3539"/>
        <w:gridCol w:w="1759"/>
        <w:gridCol w:w="2068"/>
        <w:gridCol w:w="1843"/>
        <w:gridCol w:w="1276"/>
      </w:tblGrid>
      <w:tr w:rsidR="003D0033" w:rsidRPr="00A53A65" w14:paraId="0548CEC7" w14:textId="77777777" w:rsidTr="009B78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877AA2F" w14:textId="77777777"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Musculoskeletal Outcomes</w:t>
            </w:r>
          </w:p>
        </w:tc>
        <w:tc>
          <w:tcPr>
            <w:tcW w:w="1759" w:type="dxa"/>
            <w:vAlign w:val="center"/>
          </w:tcPr>
          <w:p w14:paraId="31C8AC02" w14:textId="77777777" w:rsidR="003D0033" w:rsidRPr="00A53A65" w:rsidRDefault="003D0033"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Normal Flexibility (n=84)</w:t>
            </w:r>
          </w:p>
        </w:tc>
        <w:tc>
          <w:tcPr>
            <w:tcW w:w="2068" w:type="dxa"/>
            <w:vAlign w:val="center"/>
          </w:tcPr>
          <w:p w14:paraId="7A7BA7E2" w14:textId="77777777" w:rsidR="003D0033" w:rsidRPr="00A53A65" w:rsidRDefault="009B7842"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Mildly</w:t>
            </w:r>
            <w:r w:rsidR="003D0033" w:rsidRPr="00A53A65">
              <w:rPr>
                <w:rFonts w:ascii="Times New Roman" w:eastAsia="Times New Roman" w:hAnsi="Times New Roman" w:cs="Times New Roman"/>
                <w:sz w:val="24"/>
                <w:szCs w:val="24"/>
              </w:rPr>
              <w:t xml:space="preserve"> Tight</w:t>
            </w:r>
            <w:r w:rsidRPr="00A53A65">
              <w:rPr>
                <w:rFonts w:ascii="Times New Roman" w:eastAsia="Times New Roman" w:hAnsi="Times New Roman" w:cs="Times New Roman"/>
                <w:sz w:val="24"/>
                <w:szCs w:val="24"/>
              </w:rPr>
              <w:t>ness</w:t>
            </w:r>
            <w:r w:rsidR="003D0033" w:rsidRPr="00A53A65">
              <w:rPr>
                <w:rFonts w:ascii="Times New Roman" w:eastAsia="Times New Roman" w:hAnsi="Times New Roman" w:cs="Times New Roman"/>
                <w:sz w:val="24"/>
                <w:szCs w:val="24"/>
              </w:rPr>
              <w:t xml:space="preserve"> (n=74)</w:t>
            </w:r>
          </w:p>
        </w:tc>
        <w:tc>
          <w:tcPr>
            <w:tcW w:w="1843" w:type="dxa"/>
            <w:vAlign w:val="center"/>
          </w:tcPr>
          <w:p w14:paraId="74E47D2A" w14:textId="77777777" w:rsidR="003D0033" w:rsidRPr="00A53A65" w:rsidRDefault="009B7842"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Severely</w:t>
            </w:r>
            <w:r w:rsidR="003D0033" w:rsidRPr="00A53A65">
              <w:rPr>
                <w:rFonts w:ascii="Times New Roman" w:eastAsia="Times New Roman" w:hAnsi="Times New Roman" w:cs="Times New Roman"/>
                <w:sz w:val="24"/>
                <w:szCs w:val="24"/>
              </w:rPr>
              <w:t xml:space="preserve"> Tight</w:t>
            </w:r>
            <w:r w:rsidRPr="00A53A65">
              <w:rPr>
                <w:rFonts w:ascii="Times New Roman" w:eastAsia="Times New Roman" w:hAnsi="Times New Roman" w:cs="Times New Roman"/>
                <w:sz w:val="24"/>
                <w:szCs w:val="24"/>
              </w:rPr>
              <w:t>ness</w:t>
            </w:r>
            <w:r w:rsidR="003D0033" w:rsidRPr="00A53A65">
              <w:rPr>
                <w:rFonts w:ascii="Times New Roman" w:eastAsia="Times New Roman" w:hAnsi="Times New Roman" w:cs="Times New Roman"/>
                <w:sz w:val="24"/>
                <w:szCs w:val="24"/>
              </w:rPr>
              <w:t xml:space="preserve"> (n=52)</w:t>
            </w:r>
          </w:p>
        </w:tc>
        <w:tc>
          <w:tcPr>
            <w:tcW w:w="1276" w:type="dxa"/>
            <w:vAlign w:val="center"/>
          </w:tcPr>
          <w:p w14:paraId="7CA29C08" w14:textId="77777777" w:rsidR="003D0033" w:rsidRPr="00A53A65" w:rsidRDefault="003D0033"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p-value</w:t>
            </w:r>
          </w:p>
        </w:tc>
      </w:tr>
      <w:tr w:rsidR="003D0033" w:rsidRPr="00A53A65" w14:paraId="177E3338" w14:textId="77777777"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531631C" w14:textId="77777777"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lastRenderedPageBreak/>
              <w:t>LBP NPRS score (0-10)</w:t>
            </w:r>
          </w:p>
        </w:tc>
        <w:tc>
          <w:tcPr>
            <w:tcW w:w="1759" w:type="dxa"/>
            <w:vAlign w:val="center"/>
          </w:tcPr>
          <w:p w14:paraId="62B41990"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2.1 </w:t>
            </w:r>
            <w:r w:rsidRPr="00A53A65">
              <w:rPr>
                <w:rFonts w:ascii="Times New Roman" w:hAnsi="Times New Roman" w:cs="Times New Roman"/>
                <w:sz w:val="24"/>
                <w:szCs w:val="24"/>
              </w:rPr>
              <w:t>± 1.8</w:t>
            </w:r>
          </w:p>
        </w:tc>
        <w:tc>
          <w:tcPr>
            <w:tcW w:w="2068" w:type="dxa"/>
            <w:vAlign w:val="center"/>
          </w:tcPr>
          <w:p w14:paraId="324594D6"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3.9 </w:t>
            </w:r>
            <w:r w:rsidRPr="00A53A65">
              <w:rPr>
                <w:rFonts w:ascii="Times New Roman" w:hAnsi="Times New Roman" w:cs="Times New Roman"/>
                <w:sz w:val="24"/>
                <w:szCs w:val="24"/>
              </w:rPr>
              <w:t>± 2.1</w:t>
            </w:r>
          </w:p>
        </w:tc>
        <w:tc>
          <w:tcPr>
            <w:tcW w:w="1843" w:type="dxa"/>
            <w:vAlign w:val="center"/>
          </w:tcPr>
          <w:p w14:paraId="326BA252"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5.6 </w:t>
            </w:r>
            <w:r w:rsidRPr="00A53A65">
              <w:rPr>
                <w:rFonts w:ascii="Times New Roman" w:hAnsi="Times New Roman" w:cs="Times New Roman"/>
                <w:sz w:val="24"/>
                <w:szCs w:val="24"/>
              </w:rPr>
              <w:t>± 2.4</w:t>
            </w:r>
          </w:p>
        </w:tc>
        <w:tc>
          <w:tcPr>
            <w:tcW w:w="1276" w:type="dxa"/>
            <w:vAlign w:val="center"/>
          </w:tcPr>
          <w:p w14:paraId="663EEFB0"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3D0033" w:rsidRPr="00A53A65" w14:paraId="5A25083A" w14:textId="77777777" w:rsidTr="009B7842">
        <w:trPr>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F7F9D9E" w14:textId="77777777" w:rsidR="009B7842"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Neck/shoulder pain NPRS </w:t>
            </w:r>
          </w:p>
          <w:p w14:paraId="3DCEB208" w14:textId="77777777"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(0-10)</w:t>
            </w:r>
          </w:p>
        </w:tc>
        <w:tc>
          <w:tcPr>
            <w:tcW w:w="1759" w:type="dxa"/>
            <w:vAlign w:val="center"/>
          </w:tcPr>
          <w:p w14:paraId="3D90AB82"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2.4 </w:t>
            </w:r>
            <w:r w:rsidRPr="00A53A65">
              <w:rPr>
                <w:rFonts w:ascii="Times New Roman" w:hAnsi="Times New Roman" w:cs="Times New Roman"/>
                <w:sz w:val="24"/>
                <w:szCs w:val="24"/>
              </w:rPr>
              <w:t>± 1.9</w:t>
            </w:r>
          </w:p>
        </w:tc>
        <w:tc>
          <w:tcPr>
            <w:tcW w:w="2068" w:type="dxa"/>
            <w:vAlign w:val="center"/>
          </w:tcPr>
          <w:p w14:paraId="72106274"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3.2 </w:t>
            </w:r>
            <w:r w:rsidRPr="00A53A65">
              <w:rPr>
                <w:rFonts w:ascii="Times New Roman" w:hAnsi="Times New Roman" w:cs="Times New Roman"/>
                <w:sz w:val="24"/>
                <w:szCs w:val="24"/>
              </w:rPr>
              <w:t>± 2.0</w:t>
            </w:r>
          </w:p>
        </w:tc>
        <w:tc>
          <w:tcPr>
            <w:tcW w:w="1843" w:type="dxa"/>
            <w:vAlign w:val="center"/>
          </w:tcPr>
          <w:p w14:paraId="799E003C"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4.1 </w:t>
            </w:r>
            <w:r w:rsidRPr="00A53A65">
              <w:rPr>
                <w:rFonts w:ascii="Times New Roman" w:hAnsi="Times New Roman" w:cs="Times New Roman"/>
                <w:sz w:val="24"/>
                <w:szCs w:val="24"/>
              </w:rPr>
              <w:t>± 2.3</w:t>
            </w:r>
          </w:p>
        </w:tc>
        <w:tc>
          <w:tcPr>
            <w:tcW w:w="1276" w:type="dxa"/>
            <w:vAlign w:val="center"/>
          </w:tcPr>
          <w:p w14:paraId="3D7C06FE"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0.003*</w:t>
            </w:r>
          </w:p>
        </w:tc>
      </w:tr>
      <w:tr w:rsidR="003D0033" w:rsidRPr="00A53A65" w14:paraId="3BF6A6D4" w14:textId="77777777"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9B97D9F" w14:textId="77777777" w:rsidR="009B7842"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Postural deviation </w:t>
            </w:r>
          </w:p>
          <w:p w14:paraId="3C1533D3" w14:textId="77777777"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(FHP, mm)</w:t>
            </w:r>
          </w:p>
        </w:tc>
        <w:tc>
          <w:tcPr>
            <w:tcW w:w="1759" w:type="dxa"/>
            <w:vAlign w:val="center"/>
          </w:tcPr>
          <w:p w14:paraId="1471F12F"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21.4 </w:t>
            </w:r>
            <w:r w:rsidRPr="00A53A65">
              <w:rPr>
                <w:rFonts w:ascii="Times New Roman" w:hAnsi="Times New Roman" w:cs="Times New Roman"/>
                <w:sz w:val="24"/>
                <w:szCs w:val="24"/>
              </w:rPr>
              <w:t>± 8.2</w:t>
            </w:r>
          </w:p>
        </w:tc>
        <w:tc>
          <w:tcPr>
            <w:tcW w:w="2068" w:type="dxa"/>
            <w:vAlign w:val="center"/>
          </w:tcPr>
          <w:p w14:paraId="723E4F25"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28.6 </w:t>
            </w:r>
            <w:r w:rsidRPr="00A53A65">
              <w:rPr>
                <w:rFonts w:ascii="Times New Roman" w:hAnsi="Times New Roman" w:cs="Times New Roman"/>
                <w:sz w:val="24"/>
                <w:szCs w:val="24"/>
              </w:rPr>
              <w:t>± 9.4</w:t>
            </w:r>
          </w:p>
        </w:tc>
        <w:tc>
          <w:tcPr>
            <w:tcW w:w="1843" w:type="dxa"/>
            <w:vAlign w:val="center"/>
          </w:tcPr>
          <w:p w14:paraId="5B6F2BAF"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35.8 </w:t>
            </w:r>
            <w:r w:rsidRPr="00A53A65">
              <w:rPr>
                <w:rFonts w:ascii="Times New Roman" w:hAnsi="Times New Roman" w:cs="Times New Roman"/>
                <w:sz w:val="24"/>
                <w:szCs w:val="24"/>
              </w:rPr>
              <w:t>± 11.3</w:t>
            </w:r>
          </w:p>
        </w:tc>
        <w:tc>
          <w:tcPr>
            <w:tcW w:w="1276" w:type="dxa"/>
            <w:vAlign w:val="center"/>
          </w:tcPr>
          <w:p w14:paraId="52EBD27B"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3D0033" w:rsidRPr="00A53A65" w14:paraId="2FC21F85" w14:textId="77777777" w:rsidTr="009B7842">
        <w:trPr>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06AED4F" w14:textId="77777777"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Lumbar lordosis angle (</w:t>
            </w:r>
            <w:r w:rsidRPr="00A53A65">
              <w:rPr>
                <w:rFonts w:ascii="Times New Roman" w:eastAsia="Times New Roman" w:hAnsi="Times New Roman" w:cs="Times New Roman"/>
                <w:sz w:val="24"/>
                <w:szCs w:val="24"/>
                <w:vertAlign w:val="superscript"/>
              </w:rPr>
              <w:t>o</w:t>
            </w:r>
            <w:r w:rsidRPr="00A53A65">
              <w:rPr>
                <w:rFonts w:ascii="Times New Roman" w:eastAsia="Times New Roman" w:hAnsi="Times New Roman" w:cs="Times New Roman"/>
                <w:sz w:val="24"/>
                <w:szCs w:val="24"/>
              </w:rPr>
              <w:t>)</w:t>
            </w:r>
          </w:p>
        </w:tc>
        <w:tc>
          <w:tcPr>
            <w:tcW w:w="1759" w:type="dxa"/>
            <w:vAlign w:val="center"/>
          </w:tcPr>
          <w:p w14:paraId="211E9E75"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44.1 </w:t>
            </w:r>
            <w:r w:rsidRPr="00A53A65">
              <w:rPr>
                <w:rFonts w:ascii="Times New Roman" w:hAnsi="Times New Roman" w:cs="Times New Roman"/>
                <w:sz w:val="24"/>
                <w:szCs w:val="24"/>
              </w:rPr>
              <w:t>± 6.8</w:t>
            </w:r>
          </w:p>
        </w:tc>
        <w:tc>
          <w:tcPr>
            <w:tcW w:w="2068" w:type="dxa"/>
            <w:vAlign w:val="center"/>
          </w:tcPr>
          <w:p w14:paraId="2EB1AF2B"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38.6 </w:t>
            </w:r>
            <w:r w:rsidRPr="00A53A65">
              <w:rPr>
                <w:rFonts w:ascii="Times New Roman" w:hAnsi="Times New Roman" w:cs="Times New Roman"/>
                <w:sz w:val="24"/>
                <w:szCs w:val="24"/>
              </w:rPr>
              <w:t>± 7.2</w:t>
            </w:r>
          </w:p>
        </w:tc>
        <w:tc>
          <w:tcPr>
            <w:tcW w:w="1843" w:type="dxa"/>
            <w:vAlign w:val="center"/>
          </w:tcPr>
          <w:p w14:paraId="7199E098"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33.2 </w:t>
            </w:r>
            <w:r w:rsidRPr="00A53A65">
              <w:rPr>
                <w:rFonts w:ascii="Times New Roman" w:hAnsi="Times New Roman" w:cs="Times New Roman"/>
                <w:sz w:val="24"/>
                <w:szCs w:val="24"/>
              </w:rPr>
              <w:t>± 8.0</w:t>
            </w:r>
          </w:p>
        </w:tc>
        <w:tc>
          <w:tcPr>
            <w:tcW w:w="1276" w:type="dxa"/>
            <w:vAlign w:val="center"/>
          </w:tcPr>
          <w:p w14:paraId="374A12DB" w14:textId="77777777" w:rsidR="003D0033" w:rsidRPr="00A53A65" w:rsidRDefault="009B7842"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3D0033" w:rsidRPr="00A53A65" w14:paraId="437FF21B" w14:textId="77777777"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540017D" w14:textId="77777777"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PSQI score</w:t>
            </w:r>
          </w:p>
        </w:tc>
        <w:tc>
          <w:tcPr>
            <w:tcW w:w="1759" w:type="dxa"/>
            <w:vAlign w:val="center"/>
          </w:tcPr>
          <w:p w14:paraId="4385FFE3"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6.2 </w:t>
            </w:r>
            <w:r w:rsidRPr="00A53A65">
              <w:rPr>
                <w:rFonts w:ascii="Times New Roman" w:hAnsi="Times New Roman" w:cs="Times New Roman"/>
                <w:sz w:val="24"/>
                <w:szCs w:val="24"/>
              </w:rPr>
              <w:t>± 2.4</w:t>
            </w:r>
          </w:p>
        </w:tc>
        <w:tc>
          <w:tcPr>
            <w:tcW w:w="2068" w:type="dxa"/>
            <w:vAlign w:val="center"/>
          </w:tcPr>
          <w:p w14:paraId="06B67B63"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7.1 </w:t>
            </w:r>
            <w:r w:rsidRPr="00A53A65">
              <w:rPr>
                <w:rFonts w:ascii="Times New Roman" w:hAnsi="Times New Roman" w:cs="Times New Roman"/>
                <w:sz w:val="24"/>
                <w:szCs w:val="24"/>
              </w:rPr>
              <w:t>± 2.8</w:t>
            </w:r>
          </w:p>
        </w:tc>
        <w:tc>
          <w:tcPr>
            <w:tcW w:w="1843" w:type="dxa"/>
            <w:vAlign w:val="center"/>
          </w:tcPr>
          <w:p w14:paraId="21A8493A" w14:textId="77777777"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8.6 </w:t>
            </w:r>
            <w:r w:rsidRPr="00A53A65">
              <w:rPr>
                <w:rFonts w:ascii="Times New Roman" w:hAnsi="Times New Roman" w:cs="Times New Roman"/>
                <w:sz w:val="24"/>
                <w:szCs w:val="24"/>
              </w:rPr>
              <w:t>± 3.0</w:t>
            </w:r>
          </w:p>
        </w:tc>
        <w:tc>
          <w:tcPr>
            <w:tcW w:w="1276" w:type="dxa"/>
            <w:vAlign w:val="center"/>
          </w:tcPr>
          <w:p w14:paraId="500DFBC1" w14:textId="77777777" w:rsidR="003D0033" w:rsidRPr="00A53A65" w:rsidRDefault="009B7842"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0.002*</w:t>
            </w:r>
          </w:p>
        </w:tc>
      </w:tr>
      <w:tr w:rsidR="003D0033" w:rsidRPr="00A53A65" w14:paraId="049761DC" w14:textId="77777777" w:rsidTr="009B7842">
        <w:trPr>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E77CB3B" w14:textId="77777777"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Functional disability (RMDQ)</w:t>
            </w:r>
          </w:p>
        </w:tc>
        <w:tc>
          <w:tcPr>
            <w:tcW w:w="1759" w:type="dxa"/>
            <w:vAlign w:val="center"/>
          </w:tcPr>
          <w:p w14:paraId="74BC4C9B"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3.1 </w:t>
            </w:r>
            <w:r w:rsidRPr="00A53A65">
              <w:rPr>
                <w:rFonts w:ascii="Times New Roman" w:hAnsi="Times New Roman" w:cs="Times New Roman"/>
                <w:sz w:val="24"/>
                <w:szCs w:val="24"/>
              </w:rPr>
              <w:t>± 3.0</w:t>
            </w:r>
          </w:p>
        </w:tc>
        <w:tc>
          <w:tcPr>
            <w:tcW w:w="2068" w:type="dxa"/>
            <w:vAlign w:val="center"/>
          </w:tcPr>
          <w:p w14:paraId="76D3BCA8"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6.4 </w:t>
            </w:r>
            <w:r w:rsidRPr="00A53A65">
              <w:rPr>
                <w:rFonts w:ascii="Times New Roman" w:hAnsi="Times New Roman" w:cs="Times New Roman"/>
                <w:sz w:val="24"/>
                <w:szCs w:val="24"/>
              </w:rPr>
              <w:t>± 3.6</w:t>
            </w:r>
          </w:p>
        </w:tc>
        <w:tc>
          <w:tcPr>
            <w:tcW w:w="1843" w:type="dxa"/>
            <w:vAlign w:val="center"/>
          </w:tcPr>
          <w:p w14:paraId="33F97E08" w14:textId="77777777"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10.2 </w:t>
            </w:r>
            <w:r w:rsidRPr="00A53A65">
              <w:rPr>
                <w:rFonts w:ascii="Times New Roman" w:hAnsi="Times New Roman" w:cs="Times New Roman"/>
                <w:sz w:val="24"/>
                <w:szCs w:val="24"/>
              </w:rPr>
              <w:t>± 4.4</w:t>
            </w:r>
          </w:p>
        </w:tc>
        <w:tc>
          <w:tcPr>
            <w:tcW w:w="1276" w:type="dxa"/>
            <w:vAlign w:val="center"/>
          </w:tcPr>
          <w:p w14:paraId="0564BC45" w14:textId="77777777" w:rsidR="003D0033" w:rsidRPr="00A53A65" w:rsidRDefault="009B7842"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9B7842" w:rsidRPr="00A53A65" w14:paraId="7FC9947F" w14:textId="77777777"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85" w:type="dxa"/>
            <w:gridSpan w:val="5"/>
            <w:vAlign w:val="center"/>
          </w:tcPr>
          <w:p w14:paraId="3E91F0A4" w14:textId="77777777" w:rsidR="009B7842" w:rsidRPr="00A53A65" w:rsidRDefault="00574804" w:rsidP="00574804">
            <w:pPr>
              <w:keepNext/>
              <w:spacing w:line="360" w:lineRule="auto"/>
              <w:jc w:val="center"/>
              <w:rPr>
                <w:rFonts w:ascii="Times New Roman" w:eastAsia="Times New Roman" w:hAnsi="Times New Roman" w:cs="Times New Roman"/>
                <w:b w:val="0"/>
                <w:sz w:val="24"/>
                <w:szCs w:val="24"/>
              </w:rPr>
            </w:pPr>
            <w:r w:rsidRPr="00A53A65">
              <w:rPr>
                <w:rFonts w:ascii="Times New Roman" w:eastAsia="Times New Roman" w:hAnsi="Times New Roman" w:cs="Times New Roman"/>
                <w:b w:val="0"/>
                <w:sz w:val="24"/>
                <w:szCs w:val="24"/>
              </w:rPr>
              <w:t xml:space="preserve">*Statistically significant </w:t>
            </w:r>
            <w:r w:rsidR="009B7842" w:rsidRPr="00A53A65">
              <w:rPr>
                <w:rFonts w:ascii="Times New Roman" w:eastAsia="Times New Roman" w:hAnsi="Times New Roman" w:cs="Times New Roman"/>
                <w:b w:val="0"/>
                <w:sz w:val="24"/>
                <w:szCs w:val="24"/>
              </w:rPr>
              <w:t>at p &lt;0.05 (one-way ANOVA)</w:t>
            </w:r>
          </w:p>
        </w:tc>
      </w:tr>
    </w:tbl>
    <w:p w14:paraId="7352D2EE" w14:textId="77777777" w:rsidR="003D0033" w:rsidRPr="00A53A65" w:rsidRDefault="009B7842" w:rsidP="009B7842">
      <w:pPr>
        <w:pStyle w:val="Caption"/>
        <w:jc w:val="center"/>
        <w:rPr>
          <w:rFonts w:ascii="Times New Roman" w:eastAsia="Times New Roman" w:hAnsi="Times New Roman" w:cs="Times New Roman"/>
          <w:sz w:val="24"/>
          <w:szCs w:val="24"/>
        </w:rPr>
      </w:pPr>
      <w:r w:rsidRPr="00A53A65">
        <w:t xml:space="preserve">Table </w:t>
      </w:r>
      <w:fldSimple w:instr=" SEQ Table \* ARABIC ">
        <w:r w:rsidR="00E77DA7" w:rsidRPr="00A53A65">
          <w:rPr>
            <w:noProof/>
          </w:rPr>
          <w:t>3</w:t>
        </w:r>
      </w:fldSimple>
      <w:r w:rsidRPr="00A53A65">
        <w:t>: Musculoskeletal outcomes stratified by hamstring flexibility category</w:t>
      </w:r>
    </w:p>
    <w:p w14:paraId="4B72EBF9" w14:textId="77777777" w:rsidR="006F0A69" w:rsidRPr="00A53A65" w:rsidRDefault="005E185A"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Predicto</w:t>
      </w:r>
      <w:r w:rsidR="00B713BA" w:rsidRPr="00A53A65">
        <w:rPr>
          <w:rFonts w:ascii="Times New Roman" w:hAnsi="Times New Roman" w:cs="Times New Roman"/>
          <w:b/>
          <w:i/>
          <w:sz w:val="24"/>
          <w:szCs w:val="24"/>
        </w:rPr>
        <w:t>rs of Musculoskeletal Wellbeing (Regression Analysis):</w:t>
      </w:r>
      <w:r w:rsidR="00B713BA" w:rsidRPr="00A53A65">
        <w:rPr>
          <w:rFonts w:ascii="Times New Roman" w:hAnsi="Times New Roman" w:cs="Times New Roman"/>
          <w:sz w:val="24"/>
          <w:szCs w:val="24"/>
        </w:rPr>
        <w:t xml:space="preserve"> Table 4 presents the results of the multiple linear regression model predicting composite Musculoskeletal Wellbeing Score (MWS: R</w:t>
      </w:r>
      <w:r w:rsidR="00B713BA" w:rsidRPr="00A53A65">
        <w:rPr>
          <w:rFonts w:ascii="Times New Roman" w:hAnsi="Times New Roman" w:cs="Times New Roman"/>
          <w:sz w:val="24"/>
          <w:szCs w:val="24"/>
          <w:vertAlign w:val="superscript"/>
        </w:rPr>
        <w:t>2</w:t>
      </w:r>
      <w:r w:rsidR="00B713BA" w:rsidRPr="00A53A65">
        <w:rPr>
          <w:rFonts w:ascii="Times New Roman" w:hAnsi="Times New Roman" w:cs="Times New Roman"/>
          <w:sz w:val="24"/>
          <w:szCs w:val="24"/>
        </w:rPr>
        <w:t xml:space="preserve"> = 0.42; F (6, 203) = 24.7; p &lt;0.001). SRT score was the strongest predictor (β = -0.36; p &lt;0.001), indicating that greater hamstring flexibility was independently associated with better musculoskeletal wellbeing. AKE angle (β = 0.28; p &lt;0.001) a</w:t>
      </w:r>
      <w:r w:rsidR="003C23D5" w:rsidRPr="00A53A65">
        <w:rPr>
          <w:rFonts w:ascii="Times New Roman" w:hAnsi="Times New Roman" w:cs="Times New Roman"/>
          <w:sz w:val="24"/>
          <w:szCs w:val="24"/>
        </w:rPr>
        <w:t>nd daily sitting time (β = 0.18</w:t>
      </w:r>
      <w:r w:rsidR="00B713BA" w:rsidRPr="00A53A65">
        <w:rPr>
          <w:rFonts w:ascii="Times New Roman" w:hAnsi="Times New Roman" w:cs="Times New Roman"/>
          <w:sz w:val="24"/>
          <w:szCs w:val="24"/>
        </w:rPr>
        <w:t>; p &lt;0.001) were also significant predictors. Physical activity level (β = -0.12; p = 0.010) and sex (β = -0.10; p = 0.031) contributed significantly, where BMI did not reach statistical significance (β = 0.09; p = 0.069) after controlling for other variables.</w:t>
      </w:r>
    </w:p>
    <w:tbl>
      <w:tblPr>
        <w:tblStyle w:val="GridTable4-Accent2"/>
        <w:tblW w:w="9918" w:type="dxa"/>
        <w:tblLook w:val="04A0" w:firstRow="1" w:lastRow="0" w:firstColumn="1" w:lastColumn="0" w:noHBand="0" w:noVBand="1"/>
      </w:tblPr>
      <w:tblGrid>
        <w:gridCol w:w="2689"/>
        <w:gridCol w:w="1275"/>
        <w:gridCol w:w="1418"/>
        <w:gridCol w:w="1559"/>
        <w:gridCol w:w="1418"/>
        <w:gridCol w:w="1559"/>
      </w:tblGrid>
      <w:tr w:rsidR="00E77DA7" w:rsidRPr="00A53A65" w14:paraId="0AD91A6E" w14:textId="77777777" w:rsidTr="00E7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D37E82" w14:textId="77777777"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Predictor</w:t>
            </w:r>
          </w:p>
        </w:tc>
        <w:tc>
          <w:tcPr>
            <w:tcW w:w="1275" w:type="dxa"/>
          </w:tcPr>
          <w:p w14:paraId="56A90CE7" w14:textId="77777777"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B</w:t>
            </w:r>
          </w:p>
        </w:tc>
        <w:tc>
          <w:tcPr>
            <w:tcW w:w="1418" w:type="dxa"/>
          </w:tcPr>
          <w:p w14:paraId="2E60E54B" w14:textId="77777777"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SE</w:t>
            </w:r>
          </w:p>
        </w:tc>
        <w:tc>
          <w:tcPr>
            <w:tcW w:w="1559" w:type="dxa"/>
          </w:tcPr>
          <w:p w14:paraId="56492CE3" w14:textId="77777777"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β</w:t>
            </w:r>
          </w:p>
        </w:tc>
        <w:tc>
          <w:tcPr>
            <w:tcW w:w="1418" w:type="dxa"/>
          </w:tcPr>
          <w:p w14:paraId="504BD49C" w14:textId="77777777"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t</w:t>
            </w:r>
          </w:p>
        </w:tc>
        <w:tc>
          <w:tcPr>
            <w:tcW w:w="1559" w:type="dxa"/>
          </w:tcPr>
          <w:p w14:paraId="08283DD7" w14:textId="77777777"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p</w:t>
            </w:r>
          </w:p>
        </w:tc>
      </w:tr>
      <w:tr w:rsidR="00E77DA7" w:rsidRPr="00A53A65" w14:paraId="47F82909" w14:textId="77777777"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D79FB7" w14:textId="77777777"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MWS (Intercept)</w:t>
            </w:r>
          </w:p>
        </w:tc>
        <w:tc>
          <w:tcPr>
            <w:tcW w:w="1275" w:type="dxa"/>
          </w:tcPr>
          <w:p w14:paraId="7C16FA55"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12.48</w:t>
            </w:r>
          </w:p>
        </w:tc>
        <w:tc>
          <w:tcPr>
            <w:tcW w:w="1418" w:type="dxa"/>
          </w:tcPr>
          <w:p w14:paraId="188E7A54"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1.43</w:t>
            </w:r>
          </w:p>
        </w:tc>
        <w:tc>
          <w:tcPr>
            <w:tcW w:w="1559" w:type="dxa"/>
          </w:tcPr>
          <w:p w14:paraId="2CF7AE46"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w:t>
            </w:r>
          </w:p>
        </w:tc>
        <w:tc>
          <w:tcPr>
            <w:tcW w:w="1418" w:type="dxa"/>
          </w:tcPr>
          <w:p w14:paraId="34E59164"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8.73</w:t>
            </w:r>
          </w:p>
        </w:tc>
        <w:tc>
          <w:tcPr>
            <w:tcW w:w="1559" w:type="dxa"/>
          </w:tcPr>
          <w:p w14:paraId="66077AA0"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14:paraId="66BE71A0" w14:textId="77777777" w:rsidTr="00E77DA7">
        <w:tc>
          <w:tcPr>
            <w:cnfStyle w:val="001000000000" w:firstRow="0" w:lastRow="0" w:firstColumn="1" w:lastColumn="0" w:oddVBand="0" w:evenVBand="0" w:oddHBand="0" w:evenHBand="0" w:firstRowFirstColumn="0" w:firstRowLastColumn="0" w:lastRowFirstColumn="0" w:lastRowLastColumn="0"/>
            <w:tcW w:w="2689" w:type="dxa"/>
          </w:tcPr>
          <w:p w14:paraId="164B211A" w14:textId="77777777"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SRT score (cm)</w:t>
            </w:r>
          </w:p>
        </w:tc>
        <w:tc>
          <w:tcPr>
            <w:tcW w:w="1275" w:type="dxa"/>
          </w:tcPr>
          <w:p w14:paraId="5B41AC53"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-0.14</w:t>
            </w:r>
          </w:p>
        </w:tc>
        <w:tc>
          <w:tcPr>
            <w:tcW w:w="1418" w:type="dxa"/>
          </w:tcPr>
          <w:p w14:paraId="017CC9BE"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0.03</w:t>
            </w:r>
          </w:p>
        </w:tc>
        <w:tc>
          <w:tcPr>
            <w:tcW w:w="1559" w:type="dxa"/>
          </w:tcPr>
          <w:p w14:paraId="2B542C7B"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-0.36</w:t>
            </w:r>
          </w:p>
        </w:tc>
        <w:tc>
          <w:tcPr>
            <w:tcW w:w="1418" w:type="dxa"/>
          </w:tcPr>
          <w:p w14:paraId="573B35D6"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-5.12</w:t>
            </w:r>
          </w:p>
        </w:tc>
        <w:tc>
          <w:tcPr>
            <w:tcW w:w="1559" w:type="dxa"/>
          </w:tcPr>
          <w:p w14:paraId="158D3F34"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14:paraId="64E3C06E" w14:textId="77777777"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19E8C2" w14:textId="77777777"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AKE angle (</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w:t>
            </w:r>
          </w:p>
        </w:tc>
        <w:tc>
          <w:tcPr>
            <w:tcW w:w="1275" w:type="dxa"/>
          </w:tcPr>
          <w:p w14:paraId="040327F5"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0.08</w:t>
            </w:r>
          </w:p>
        </w:tc>
        <w:tc>
          <w:tcPr>
            <w:tcW w:w="1418" w:type="dxa"/>
          </w:tcPr>
          <w:p w14:paraId="08208E71"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0.02</w:t>
            </w:r>
          </w:p>
        </w:tc>
        <w:tc>
          <w:tcPr>
            <w:tcW w:w="1559" w:type="dxa"/>
          </w:tcPr>
          <w:p w14:paraId="64052D83"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0.28</w:t>
            </w:r>
          </w:p>
        </w:tc>
        <w:tc>
          <w:tcPr>
            <w:tcW w:w="1418" w:type="dxa"/>
          </w:tcPr>
          <w:p w14:paraId="35AFD7BA"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3.96</w:t>
            </w:r>
          </w:p>
        </w:tc>
        <w:tc>
          <w:tcPr>
            <w:tcW w:w="1559" w:type="dxa"/>
          </w:tcPr>
          <w:p w14:paraId="35F3CBF2"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14:paraId="5AFD6D78" w14:textId="77777777" w:rsidTr="00E77DA7">
        <w:tc>
          <w:tcPr>
            <w:cnfStyle w:val="001000000000" w:firstRow="0" w:lastRow="0" w:firstColumn="1" w:lastColumn="0" w:oddVBand="0" w:evenVBand="0" w:oddHBand="0" w:evenHBand="0" w:firstRowFirstColumn="0" w:firstRowLastColumn="0" w:lastRowFirstColumn="0" w:lastRowLastColumn="0"/>
            <w:tcW w:w="2689" w:type="dxa"/>
          </w:tcPr>
          <w:p w14:paraId="105A1AAC" w14:textId="77777777"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Daily sitting time (Hrs)</w:t>
            </w:r>
          </w:p>
        </w:tc>
        <w:tc>
          <w:tcPr>
            <w:tcW w:w="1275" w:type="dxa"/>
          </w:tcPr>
          <w:p w14:paraId="6BBE02BC"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0.44</w:t>
            </w:r>
          </w:p>
        </w:tc>
        <w:tc>
          <w:tcPr>
            <w:tcW w:w="1418" w:type="dxa"/>
          </w:tcPr>
          <w:p w14:paraId="737BE6B9"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0.12</w:t>
            </w:r>
          </w:p>
        </w:tc>
        <w:tc>
          <w:tcPr>
            <w:tcW w:w="1559" w:type="dxa"/>
          </w:tcPr>
          <w:p w14:paraId="734F2DEE"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0.18</w:t>
            </w:r>
          </w:p>
        </w:tc>
        <w:tc>
          <w:tcPr>
            <w:tcW w:w="1418" w:type="dxa"/>
          </w:tcPr>
          <w:p w14:paraId="3FA204DD"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3.67</w:t>
            </w:r>
          </w:p>
        </w:tc>
        <w:tc>
          <w:tcPr>
            <w:tcW w:w="1559" w:type="dxa"/>
          </w:tcPr>
          <w:p w14:paraId="45A1606F"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14:paraId="66DB8FDE" w14:textId="77777777"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75D8B0E" w14:textId="77777777"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Sex (Female =1)</w:t>
            </w:r>
          </w:p>
        </w:tc>
        <w:tc>
          <w:tcPr>
            <w:tcW w:w="1275" w:type="dxa"/>
          </w:tcPr>
          <w:p w14:paraId="6AAC7897"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-0.82</w:t>
            </w:r>
          </w:p>
        </w:tc>
        <w:tc>
          <w:tcPr>
            <w:tcW w:w="1418" w:type="dxa"/>
          </w:tcPr>
          <w:p w14:paraId="759B3742"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0.38</w:t>
            </w:r>
          </w:p>
        </w:tc>
        <w:tc>
          <w:tcPr>
            <w:tcW w:w="1559" w:type="dxa"/>
          </w:tcPr>
          <w:p w14:paraId="5EA3C939"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-0.10</w:t>
            </w:r>
          </w:p>
        </w:tc>
        <w:tc>
          <w:tcPr>
            <w:tcW w:w="1418" w:type="dxa"/>
          </w:tcPr>
          <w:p w14:paraId="4C6B7F6D"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-2.16</w:t>
            </w:r>
          </w:p>
        </w:tc>
        <w:tc>
          <w:tcPr>
            <w:tcW w:w="1559" w:type="dxa"/>
          </w:tcPr>
          <w:p w14:paraId="53044BC4"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0.031</w:t>
            </w:r>
            <w:r w:rsidR="00574804" w:rsidRPr="00A53A65">
              <w:rPr>
                <w:rFonts w:ascii="Times New Roman" w:hAnsi="Times New Roman" w:cs="Times New Roman"/>
                <w:sz w:val="24"/>
                <w:szCs w:val="24"/>
              </w:rPr>
              <w:t>*</w:t>
            </w:r>
          </w:p>
        </w:tc>
      </w:tr>
      <w:tr w:rsidR="00E77DA7" w:rsidRPr="00A53A65" w14:paraId="09F538DC" w14:textId="77777777" w:rsidTr="00E77DA7">
        <w:tc>
          <w:tcPr>
            <w:cnfStyle w:val="001000000000" w:firstRow="0" w:lastRow="0" w:firstColumn="1" w:lastColumn="0" w:oddVBand="0" w:evenVBand="0" w:oddHBand="0" w:evenHBand="0" w:firstRowFirstColumn="0" w:firstRowLastColumn="0" w:lastRowFirstColumn="0" w:lastRowLastColumn="0"/>
            <w:tcW w:w="2689" w:type="dxa"/>
          </w:tcPr>
          <w:p w14:paraId="102B268C" w14:textId="77777777"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BMI (kg/m</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w:t>
            </w:r>
          </w:p>
        </w:tc>
        <w:tc>
          <w:tcPr>
            <w:tcW w:w="1275" w:type="dxa"/>
          </w:tcPr>
          <w:p w14:paraId="627275BD"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0.11</w:t>
            </w:r>
          </w:p>
        </w:tc>
        <w:tc>
          <w:tcPr>
            <w:tcW w:w="1418" w:type="dxa"/>
          </w:tcPr>
          <w:p w14:paraId="5C1BCC4B"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w:t>
            </w:r>
          </w:p>
        </w:tc>
        <w:tc>
          <w:tcPr>
            <w:tcW w:w="1559" w:type="dxa"/>
          </w:tcPr>
          <w:p w14:paraId="31794405"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0.09</w:t>
            </w:r>
          </w:p>
        </w:tc>
        <w:tc>
          <w:tcPr>
            <w:tcW w:w="1418" w:type="dxa"/>
          </w:tcPr>
          <w:p w14:paraId="14334770"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1.83</w:t>
            </w:r>
          </w:p>
        </w:tc>
        <w:tc>
          <w:tcPr>
            <w:tcW w:w="1559" w:type="dxa"/>
          </w:tcPr>
          <w:p w14:paraId="0E486271" w14:textId="77777777"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0.069</w:t>
            </w:r>
          </w:p>
        </w:tc>
      </w:tr>
      <w:tr w:rsidR="00E77DA7" w:rsidRPr="00A53A65" w14:paraId="5D3BB43F" w14:textId="77777777"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92FF0E" w14:textId="77777777"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Physical activity level</w:t>
            </w:r>
          </w:p>
        </w:tc>
        <w:tc>
          <w:tcPr>
            <w:tcW w:w="1275" w:type="dxa"/>
          </w:tcPr>
          <w:p w14:paraId="654F793A"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-0.96</w:t>
            </w:r>
          </w:p>
        </w:tc>
        <w:tc>
          <w:tcPr>
            <w:tcW w:w="1418" w:type="dxa"/>
          </w:tcPr>
          <w:p w14:paraId="34EA884D"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0.37</w:t>
            </w:r>
          </w:p>
        </w:tc>
        <w:tc>
          <w:tcPr>
            <w:tcW w:w="1559" w:type="dxa"/>
          </w:tcPr>
          <w:p w14:paraId="247BD0D5"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-0.12</w:t>
            </w:r>
          </w:p>
        </w:tc>
        <w:tc>
          <w:tcPr>
            <w:tcW w:w="1418" w:type="dxa"/>
          </w:tcPr>
          <w:p w14:paraId="3D075392"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-2.59</w:t>
            </w:r>
          </w:p>
        </w:tc>
        <w:tc>
          <w:tcPr>
            <w:tcW w:w="1559" w:type="dxa"/>
          </w:tcPr>
          <w:p w14:paraId="5D1DD9DC" w14:textId="77777777"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0.010</w:t>
            </w:r>
            <w:r w:rsidR="00574804" w:rsidRPr="00A53A65">
              <w:rPr>
                <w:rFonts w:ascii="Times New Roman" w:hAnsi="Times New Roman" w:cs="Times New Roman"/>
                <w:sz w:val="24"/>
                <w:szCs w:val="24"/>
              </w:rPr>
              <w:t>*</w:t>
            </w:r>
          </w:p>
        </w:tc>
      </w:tr>
      <w:tr w:rsidR="00E77DA7" w:rsidRPr="00A53A65" w14:paraId="57C7E74C" w14:textId="77777777" w:rsidTr="00E77DA7">
        <w:tc>
          <w:tcPr>
            <w:cnfStyle w:val="001000000000" w:firstRow="0" w:lastRow="0" w:firstColumn="1" w:lastColumn="0" w:oddVBand="0" w:evenVBand="0" w:oddHBand="0" w:evenHBand="0" w:firstRowFirstColumn="0" w:firstRowLastColumn="0" w:lastRowFirstColumn="0" w:lastRowLastColumn="0"/>
            <w:tcW w:w="9918" w:type="dxa"/>
            <w:gridSpan w:val="6"/>
          </w:tcPr>
          <w:p w14:paraId="567EC13B" w14:textId="77777777" w:rsidR="00E77DA7" w:rsidRPr="00A53A65" w:rsidRDefault="00E77DA7" w:rsidP="00E77DA7">
            <w:pPr>
              <w:keepNext/>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B – unstandardized coefficient, SE – Standard Error, β – Standardised Coefficient. Model: R</w:t>
            </w:r>
            <w:r w:rsidRPr="00A53A65">
              <w:rPr>
                <w:rFonts w:ascii="Times New Roman" w:hAnsi="Times New Roman" w:cs="Times New Roman"/>
                <w:b w:val="0"/>
                <w:sz w:val="24"/>
                <w:szCs w:val="24"/>
                <w:vertAlign w:val="superscript"/>
              </w:rPr>
              <w:t>2</w:t>
            </w:r>
            <w:r w:rsidRPr="00A53A65">
              <w:rPr>
                <w:rFonts w:ascii="Times New Roman" w:hAnsi="Times New Roman" w:cs="Times New Roman"/>
                <w:b w:val="0"/>
                <w:sz w:val="24"/>
                <w:szCs w:val="24"/>
              </w:rPr>
              <w:t xml:space="preserve"> = 0.42; F (6, 203) = 24.7; </w:t>
            </w:r>
            <w:r w:rsidR="00574804" w:rsidRPr="00A53A65">
              <w:rPr>
                <w:rFonts w:ascii="Times New Roman" w:hAnsi="Times New Roman" w:cs="Times New Roman"/>
                <w:b w:val="0"/>
                <w:sz w:val="24"/>
                <w:szCs w:val="24"/>
              </w:rPr>
              <w:t>*Statistically significant at P &lt;0.05</w:t>
            </w:r>
          </w:p>
        </w:tc>
      </w:tr>
    </w:tbl>
    <w:p w14:paraId="2B0139E9" w14:textId="77777777" w:rsidR="009B7842" w:rsidRPr="00A53A65" w:rsidRDefault="00E77DA7" w:rsidP="00E77DA7">
      <w:pPr>
        <w:pStyle w:val="Caption"/>
        <w:jc w:val="center"/>
        <w:rPr>
          <w:rFonts w:ascii="Times New Roman" w:hAnsi="Times New Roman" w:cs="Times New Roman"/>
          <w:sz w:val="24"/>
          <w:szCs w:val="24"/>
        </w:rPr>
      </w:pPr>
      <w:r w:rsidRPr="00A53A65">
        <w:t xml:space="preserve">Table </w:t>
      </w:r>
      <w:fldSimple w:instr=" SEQ Table \* ARABIC ">
        <w:r w:rsidRPr="00A53A65">
          <w:rPr>
            <w:noProof/>
          </w:rPr>
          <w:t>4</w:t>
        </w:r>
      </w:fldSimple>
      <w:r w:rsidRPr="00A53A65">
        <w:t>: Multiple linear regression: predictors of composite MWS</w:t>
      </w:r>
    </w:p>
    <w:p w14:paraId="69175750" w14:textId="77777777" w:rsidR="00B713BA" w:rsidRPr="00A53A65" w:rsidRDefault="00B713BA"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Discussion</w:t>
      </w:r>
    </w:p>
    <w:p w14:paraId="3F7D96B1" w14:textId="77777777" w:rsidR="00831BD9" w:rsidRPr="00A53A65" w:rsidRDefault="00B713BA"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This cross-sectional</w:t>
      </w:r>
      <w:r w:rsidR="00831BD9" w:rsidRPr="00A53A65">
        <w:rPr>
          <w:rFonts w:ascii="Times New Roman" w:hAnsi="Times New Roman" w:cs="Times New Roman"/>
          <w:sz w:val="24"/>
          <w:szCs w:val="24"/>
        </w:rPr>
        <w:t xml:space="preserve"> investigation examined </w:t>
      </w:r>
      <w:r w:rsidRPr="00A53A65">
        <w:rPr>
          <w:rFonts w:ascii="Times New Roman" w:hAnsi="Times New Roman" w:cs="Times New Roman"/>
          <w:sz w:val="24"/>
          <w:szCs w:val="24"/>
        </w:rPr>
        <w:t>hamstring flexibility</w:t>
      </w:r>
      <w:r w:rsidR="00831BD9" w:rsidRPr="00A53A65">
        <w:rPr>
          <w:rFonts w:ascii="Times New Roman" w:hAnsi="Times New Roman" w:cs="Times New Roman"/>
          <w:sz w:val="24"/>
          <w:szCs w:val="24"/>
        </w:rPr>
        <w:t xml:space="preserve"> as a predictor of </w:t>
      </w:r>
      <w:r w:rsidR="00917D02" w:rsidRPr="00A53A65">
        <w:rPr>
          <w:rFonts w:ascii="Times New Roman" w:hAnsi="Times New Roman" w:cs="Times New Roman"/>
          <w:sz w:val="24"/>
          <w:szCs w:val="24"/>
        </w:rPr>
        <w:t>musculoskeletal wellbeing in university students</w:t>
      </w:r>
      <w:r w:rsidR="00831BD9" w:rsidRPr="00A53A65">
        <w:rPr>
          <w:rFonts w:ascii="Times New Roman" w:hAnsi="Times New Roman" w:cs="Times New Roman"/>
          <w:sz w:val="24"/>
          <w:szCs w:val="24"/>
        </w:rPr>
        <w:t xml:space="preserve"> and found that flexibility measures, sedentary </w:t>
      </w:r>
      <w:r w:rsidR="00831BD9" w:rsidRPr="00A53A65">
        <w:rPr>
          <w:rFonts w:ascii="Times New Roman" w:hAnsi="Times New Roman" w:cs="Times New Roman"/>
          <w:sz w:val="24"/>
          <w:szCs w:val="24"/>
        </w:rPr>
        <w:lastRenderedPageBreak/>
        <w:t>behaviour and physical activity collectively accounted for 42% of the variance in composite wellbeing score. Each key finding is addressed below, with reference to corroborating and contrasting evidence in the recent literature.</w:t>
      </w:r>
    </w:p>
    <w:p w14:paraId="500ADD17" w14:textId="77777777" w:rsidR="00831BD9" w:rsidRPr="00A53A65" w:rsidRDefault="00831BD9" w:rsidP="00831BD9">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60.0% prevalence of hamstring tightness in this cohort sits at the upper end of the 40-68% range reported in comparable university populations.</w:t>
      </w:r>
      <w:r w:rsidRPr="00A53A65">
        <w:rPr>
          <w:rFonts w:ascii="Times New Roman" w:hAnsi="Times New Roman" w:cs="Times New Roman"/>
          <w:sz w:val="24"/>
          <w:szCs w:val="24"/>
          <w:vertAlign w:val="superscript"/>
        </w:rPr>
        <w:t>3</w:t>
      </w:r>
      <w:r w:rsidRPr="00A53A65">
        <w:rPr>
          <w:rFonts w:ascii="Times New Roman" w:hAnsi="Times New Roman" w:cs="Times New Roman"/>
          <w:sz w:val="24"/>
          <w:szCs w:val="24"/>
        </w:rPr>
        <w:t xml:space="preserve"> A 2024 systematic review and network meta-analysis of physical therapy interventions for hamstring tightness in students reported baseline tightness rates broadly consistent with this estimate, suggesting the finding is not atypical for South Asian academic settings.</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Somewhat lower prevalence figures (around 48–52%) have been described in European student samples, which may reflect differences in chair design, commuting habits, study culture, or variation in the diagnostic threshold applied. The use of a dual-test classification system in the present study may have contributed to the relatively high prevalence by capturing students who were tight on one instrument but not the other.</w:t>
      </w:r>
    </w:p>
    <w:p w14:paraId="4BD09E8F" w14:textId="77777777" w:rsidR="00831BD9" w:rsidRPr="00A53A65" w:rsidRDefault="00831BD9" w:rsidP="00831BD9">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sex difference in SRT scores, with females outperforming males by approximately 9.2 cm (d = 1.14), is one of the most consistent findings in the hamstring flexibility literature and was fully replicated here. Allam and colleagues documented equivalent female superiority in trunk flexibility and SRT performance in healthy young adults, attributing this to oestrogen-mediated effects on connective tissue compliance and sex-specific differences in muscle fibre type distribution.</w:t>
      </w:r>
      <w:r w:rsidRPr="00A53A65">
        <w:rPr>
          <w:rFonts w:ascii="Times New Roman" w:hAnsi="Times New Roman" w:cs="Times New Roman"/>
          <w:sz w:val="24"/>
          <w:szCs w:val="24"/>
          <w:vertAlign w:val="superscript"/>
        </w:rPr>
        <w:t>8</w:t>
      </w:r>
      <w:r w:rsidRPr="00A53A65">
        <w:rPr>
          <w:rFonts w:ascii="Times New Roman" w:hAnsi="Times New Roman" w:cs="Times New Roman"/>
          <w:sz w:val="24"/>
          <w:szCs w:val="24"/>
        </w:rPr>
        <w:t xml:space="preserve"> The parallel finding that males showed greater AKE angles bilaterally, indicating more contractile hamstring restriction, reflects that the AKE test captures a different dimension of extensibility than the SRT specifically the myofascial component rather than composite posterior chain flexibility. Despite this flexibility gap, sex contributed only modestly to overall MSK wellbeing (β = −0.10) after controlling for flexibility and behaviour, a finding consistent with Shaikh et al., who reported that sex did not moderate treatment responses to hamstring interventions in young adults.</w:t>
      </w:r>
      <w:r w:rsidRPr="00A53A65">
        <w:rPr>
          <w:rFonts w:ascii="Times New Roman" w:hAnsi="Times New Roman" w:cs="Times New Roman"/>
          <w:sz w:val="24"/>
          <w:szCs w:val="24"/>
          <w:vertAlign w:val="superscript"/>
        </w:rPr>
        <w:t>9</w:t>
      </w:r>
      <w:r w:rsidRPr="00A53A65">
        <w:rPr>
          <w:rFonts w:ascii="Times New Roman" w:hAnsi="Times New Roman" w:cs="Times New Roman"/>
          <w:sz w:val="24"/>
          <w:szCs w:val="24"/>
        </w:rPr>
        <w:t xml:space="preserve"> This reinforces the importance of screening both male and female students.</w:t>
      </w:r>
    </w:p>
    <w:p w14:paraId="1D5FC0AC" w14:textId="77777777" w:rsidR="00831BD9" w:rsidRPr="00A53A65" w:rsidRDefault="00831BD9" w:rsidP="00831BD9">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graded relationship between tightness category and LBP NPRS scores (2.1 → 3.9 → 5.6; η</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 0.21) represents one of the stronger effect sizes observed in this dataset and is mechanistically well-grounded. Shortened hamstrings generate posterior pelvic traction that reduces lumbar lordosis and redistributes mechanical load to passive spinal structures.</w:t>
      </w:r>
      <w:r w:rsidRPr="00A53A65">
        <w:rPr>
          <w:rFonts w:ascii="Times New Roman" w:hAnsi="Times New Roman" w:cs="Times New Roman"/>
          <w:sz w:val="24"/>
          <w:szCs w:val="24"/>
          <w:vertAlign w:val="superscript"/>
        </w:rPr>
        <w:t>4</w:t>
      </w:r>
      <w:r w:rsidRPr="00A53A65">
        <w:rPr>
          <w:rFonts w:ascii="Times New Roman" w:hAnsi="Times New Roman" w:cs="Times New Roman"/>
          <w:sz w:val="24"/>
          <w:szCs w:val="24"/>
        </w:rPr>
        <w:t xml:space="preserve"> The progressive reduction in lumbar lordosis angle across flexibility categories (44.1° → 38.6° → 33.2°) within the same sample provides direct postural corroboration of this mechanism. </w:t>
      </w:r>
      <w:proofErr w:type="spellStart"/>
      <w:r w:rsidRPr="00A53A65">
        <w:rPr>
          <w:rFonts w:ascii="Times New Roman" w:hAnsi="Times New Roman" w:cs="Times New Roman"/>
          <w:sz w:val="24"/>
          <w:szCs w:val="24"/>
        </w:rPr>
        <w:lastRenderedPageBreak/>
        <w:t>Plandowska</w:t>
      </w:r>
      <w:proofErr w:type="spellEnd"/>
      <w:r w:rsidRPr="00A53A65">
        <w:rPr>
          <w:rFonts w:ascii="Times New Roman" w:hAnsi="Times New Roman" w:cs="Times New Roman"/>
          <w:sz w:val="24"/>
          <w:szCs w:val="24"/>
        </w:rPr>
        <w:t xml:space="preserve"> et al. demonstrated in a randomised controlled trial that active hamstring stretching combined with core stabilisation significantly reduced LBP in students engaged in prolonged sitting, lending interventional support to the cross-sectional associations identified here.</w:t>
      </w:r>
      <w:r w:rsidRPr="00A53A65">
        <w:rPr>
          <w:rFonts w:ascii="Times New Roman" w:hAnsi="Times New Roman" w:cs="Times New Roman"/>
          <w:sz w:val="24"/>
          <w:szCs w:val="24"/>
          <w:vertAlign w:val="superscript"/>
        </w:rPr>
        <w:t>7</w:t>
      </w:r>
      <w:r w:rsidRPr="00A53A65">
        <w:rPr>
          <w:rFonts w:ascii="Times New Roman" w:hAnsi="Times New Roman" w:cs="Times New Roman"/>
          <w:sz w:val="24"/>
          <w:szCs w:val="24"/>
        </w:rPr>
        <w:t xml:space="preserve"> By contrast, some studies in non-student occupational cohorts have reported weak or null correlations between hamstring length and LBP, a discrepancy that may reflect differences in postural loading patterns specific to academic versus occupational sitting, or differences in LBP chronicity between samples.</w:t>
      </w:r>
      <w:r w:rsidRPr="00A53A65">
        <w:rPr>
          <w:rFonts w:ascii="Times New Roman" w:hAnsi="Times New Roman" w:cs="Times New Roman"/>
          <w:sz w:val="24"/>
          <w:szCs w:val="24"/>
          <w:vertAlign w:val="superscript"/>
        </w:rPr>
        <w:t>5</w:t>
      </w:r>
    </w:p>
    <w:p w14:paraId="7D6F4F76" w14:textId="77777777" w:rsidR="00F7600E" w:rsidRPr="00A53A65" w:rsidRDefault="00F7600E" w:rsidP="00F7600E">
      <w:pPr>
        <w:spacing w:line="360" w:lineRule="auto"/>
        <w:jc w:val="both"/>
      </w:pPr>
      <w:r w:rsidRPr="00A53A65">
        <w:rPr>
          <w:rFonts w:ascii="Times New Roman" w:hAnsi="Times New Roman" w:cs="Times New Roman"/>
          <w:sz w:val="24"/>
          <w:szCs w:val="24"/>
        </w:rPr>
        <w:t>The extension of the flexibility-pain gradient to neck and shoulder pain (NPRS: 2.4 → 4.1; p = 0.003) is clinically important and mechanistically coherent within the kinematic chain model. As hamstring tightness flattens lumbar lordosis, compensatory thoracic kyphosis develops, displacing the head anteriorly to maintain a horizontal visual axis.</w:t>
      </w:r>
      <w:r w:rsidRPr="00A53A65">
        <w:rPr>
          <w:rFonts w:ascii="Times New Roman" w:hAnsi="Times New Roman" w:cs="Times New Roman"/>
          <w:sz w:val="24"/>
          <w:szCs w:val="24"/>
          <w:vertAlign w:val="superscript"/>
        </w:rPr>
        <w:t>1,15</w:t>
      </w:r>
      <w:r w:rsidRPr="00A53A65">
        <w:rPr>
          <w:rFonts w:ascii="Times New Roman" w:hAnsi="Times New Roman" w:cs="Times New Roman"/>
          <w:sz w:val="24"/>
          <w:szCs w:val="24"/>
        </w:rPr>
        <w:t xml:space="preserve"> The progressive increase in FHP displacement across flexibility categories (21.4 mm → 28.6 mm → 35.8 mm) quantifies this cascade within the present sample. Guzmán-Muñoz et al. documented altered proximal muscle activation patterns in young adults with hamstring tightness, consistent with kinematic compensation at the thoracic and cervical levels.</w:t>
      </w:r>
      <w:r w:rsidRPr="00A53A65">
        <w:rPr>
          <w:rFonts w:ascii="Times New Roman" w:hAnsi="Times New Roman" w:cs="Times New Roman"/>
          <w:sz w:val="24"/>
          <w:szCs w:val="24"/>
          <w:vertAlign w:val="superscript"/>
        </w:rPr>
        <w:t>3</w:t>
      </w:r>
      <w:r w:rsidRPr="00A53A65">
        <w:rPr>
          <w:rFonts w:ascii="Times New Roman" w:hAnsi="Times New Roman" w:cs="Times New Roman"/>
          <w:sz w:val="24"/>
          <w:szCs w:val="24"/>
        </w:rPr>
        <w:t xml:space="preserve"> Clinically, this implies that stretching programmes targeting hamstring extensibility may carry secondary benefits for cervicothoracic complaints a finding of practical value given the high prevalence of neck pain among university students</w:t>
      </w:r>
      <w:r w:rsidRPr="00A53A65">
        <w:t>.</w:t>
      </w:r>
    </w:p>
    <w:p w14:paraId="32485EEC" w14:textId="77777777"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Functional disability scores on the RMDQ rose from 3.1 (normal flexibility) to 10.2 (severe tightness; p &lt; 0.001). An RMDQ score ≥ 7 is widely recognised as a threshold for moderate functional impairment, meaning a substantial proportion of severely tight students were experiencing clinically meaningful activity limitation. The SRT-RMDQ correlation (r = −0.52) was the strongest bivariate association in the dataset, and SRT was the dominant regression predictor (β = −0.36), outperforming AKE (β = 0.28). This differential likely reflects the SRT's additional lumbar and thoracic flexion component, which captures cumulative posterior chain restriction relevant to functional activities.</w:t>
      </w:r>
      <w:r w:rsidRPr="00A53A65">
        <w:rPr>
          <w:rFonts w:ascii="Times New Roman" w:hAnsi="Times New Roman" w:cs="Times New Roman"/>
          <w:sz w:val="24"/>
          <w:szCs w:val="24"/>
          <w:vertAlign w:val="superscript"/>
        </w:rPr>
        <w:t>12,13</w:t>
      </w:r>
      <w:r w:rsidRPr="00A53A65">
        <w:rPr>
          <w:rFonts w:ascii="Times New Roman" w:hAnsi="Times New Roman" w:cs="Times New Roman"/>
          <w:sz w:val="24"/>
          <w:szCs w:val="24"/>
        </w:rPr>
        <w:t xml:space="preserve"> Liu et al. similarly concluded that multiple hamstring tests provide better clinical characterisation than any single assessment, and that each test captures overlapping but distinct aspects of extensibility.</w:t>
      </w:r>
      <w:r w:rsidRPr="00A53A65">
        <w:rPr>
          <w:rFonts w:ascii="Times New Roman" w:hAnsi="Times New Roman" w:cs="Times New Roman"/>
          <w:sz w:val="24"/>
          <w:szCs w:val="24"/>
          <w:vertAlign w:val="superscript"/>
        </w:rPr>
        <w:t>13</w:t>
      </w:r>
    </w:p>
    <w:p w14:paraId="1D6E63B8" w14:textId="77777777" w:rsidR="00F7600E" w:rsidRPr="00A53A65" w:rsidRDefault="00F7600E" w:rsidP="00F7600E">
      <w:pPr>
        <w:spacing w:line="360" w:lineRule="auto"/>
        <w:jc w:val="both"/>
        <w:rPr>
          <w:rFonts w:ascii="Times New Roman" w:hAnsi="Times New Roman" w:cs="Times New Roman"/>
          <w:sz w:val="24"/>
          <w:szCs w:val="24"/>
          <w:vertAlign w:val="superscript"/>
        </w:rPr>
      </w:pPr>
      <w:r w:rsidRPr="00A53A65">
        <w:rPr>
          <w:rFonts w:ascii="Times New Roman" w:hAnsi="Times New Roman" w:cs="Times New Roman"/>
          <w:sz w:val="24"/>
          <w:szCs w:val="24"/>
        </w:rPr>
        <w:t xml:space="preserve">Sleep quality worsened progressively across flexibility categories (PSQI: 6.2 → 7.1 → 8.6; p = 0.002), and all three groups exceeded the PSQI clinical cut-off of 5, indicating that poor sleep is prevalent irrespective of flexibility status in this student sample. The SRT-PSQI correlation (r = −0.29) was the weakest of the observed associations, consistent with sleep disturbance </w:t>
      </w:r>
      <w:r w:rsidRPr="00A53A65">
        <w:rPr>
          <w:rFonts w:ascii="Times New Roman" w:hAnsi="Times New Roman" w:cs="Times New Roman"/>
          <w:sz w:val="24"/>
          <w:szCs w:val="24"/>
        </w:rPr>
        <w:lastRenderedPageBreak/>
        <w:t>being an indirect consequence of musculoskeletal pain rather than a direct effect of hamstring length. The pain-sleep interaction is well-documented musculoskeletal pain disrupts sleep onset and sleep continuity, reducing sleep quality but to our knowledge no prior study has specifically examined this relationship stratified by hamstring flexibility category in students, precluding direct comparison.</w:t>
      </w:r>
      <w:r w:rsidRPr="00A53A65">
        <w:rPr>
          <w:rFonts w:ascii="Times New Roman" w:hAnsi="Times New Roman" w:cs="Times New Roman"/>
          <w:sz w:val="24"/>
          <w:szCs w:val="24"/>
          <w:vertAlign w:val="superscript"/>
        </w:rPr>
        <w:t>17</w:t>
      </w:r>
    </w:p>
    <w:p w14:paraId="2EF45779" w14:textId="77777777"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Daily sitting time (β = 0.18) and physical activity level (β = −0.12) contributed independently to MWS after controlling for flexibility. The sitting time finding reflects the self-reinforcing cycle of academic sedentary behaviour: prolonged sitting promotes hamstring shortening, which worsens MSK outcomes, independently of the measured flexibility at any given time point. Garn and Simonton found that students with stronger physical activity motivation accumulated less daily sitting time, suggesting that behavioural interventions targeting activity attitudes may help break this cycle.</w:t>
      </w:r>
      <w:r w:rsidRPr="00A53A65">
        <w:rPr>
          <w:rFonts w:ascii="Times New Roman" w:hAnsi="Times New Roman" w:cs="Times New Roman"/>
          <w:sz w:val="24"/>
          <w:szCs w:val="24"/>
          <w:vertAlign w:val="superscript"/>
        </w:rPr>
        <w:t>1</w:t>
      </w:r>
      <w:r w:rsidRPr="00A53A65">
        <w:rPr>
          <w:rFonts w:ascii="Times New Roman" w:hAnsi="Times New Roman" w:cs="Times New Roman"/>
          <w:sz w:val="24"/>
          <w:szCs w:val="24"/>
        </w:rPr>
        <w:t xml:space="preserve"> The independent effect of meeting WHO activity recommendations confirms that regular movement reduces MSK burden through pathways beyond flexibility alone, including neuromuscular conditioning and psychological stress relief. A recent randomised trial of active stretching and core stabilisation in young people demonstrated reductions in both LBP and musculoskeletal discomfort during prolonged sitting,</w:t>
      </w:r>
      <w:r w:rsidRPr="00A53A65">
        <w:rPr>
          <w:rFonts w:ascii="Times New Roman" w:hAnsi="Times New Roman" w:cs="Times New Roman"/>
          <w:sz w:val="24"/>
          <w:szCs w:val="24"/>
          <w:vertAlign w:val="superscript"/>
        </w:rPr>
        <w:t>7</w:t>
      </w:r>
      <w:r w:rsidRPr="00A53A65">
        <w:rPr>
          <w:rFonts w:ascii="Times New Roman" w:hAnsi="Times New Roman" w:cs="Times New Roman"/>
          <w:sz w:val="24"/>
          <w:szCs w:val="24"/>
        </w:rPr>
        <w:t xml:space="preserve"> providing direct interventional support for the modifiable predictors identified in the present regression model.</w:t>
      </w:r>
    </w:p>
    <w:p w14:paraId="6ECC7753" w14:textId="77777777"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non-significant contribution of BMI (β = 0.09; p = 0.069) after controlling for other variables is a practically informative null finding. While elevated BMI is associated with greater LBP risk in general population studies, this effect may be attenuated in younger student samples with BMI constrained below 30 kg/m</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where variance in BMI is limited relative to the flexibility and behavioural predictors. From a screening perspective, these results suggest that BMI-based risk stratification alone is insufficient in this age group and that flexibility and sitting behaviour should be the primary targets of assessment.</w:t>
      </w:r>
    </w:p>
    <w:p w14:paraId="350A9819" w14:textId="77777777"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From a clinical measurement standpoint, both the SRT and AKE test are recommended for complementary use in university screening programmes. The SRT is faster to administer in groups and requires minimal equipment, making it suitable for first-line institutional screening. The AKE test provides greater specificity for hamstring isolation and adds incremental information when SRT scores fall near the normative boundary. A combined approach — SRT for population-level screening, AKE for confirmatory assessment in borderline cases — represents a pragmatic and evidence-based strategy. Prior systematic reviews have confirmed </w:t>
      </w:r>
      <w:r w:rsidRPr="00A53A65">
        <w:rPr>
          <w:rFonts w:ascii="Times New Roman" w:hAnsi="Times New Roman" w:cs="Times New Roman"/>
          <w:sz w:val="24"/>
          <w:szCs w:val="24"/>
        </w:rPr>
        <w:lastRenderedPageBreak/>
        <w:t>that multiple physical therapy interventions including static stretching, neurodynamic mobilisation and dry needling are effective at improving hamstring flexibility in university students,</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and hamstring flexibility and strength training have been shown to beneficially alter musculotendinous biomechanics in young adults.</w:t>
      </w:r>
      <w:r w:rsidRPr="00A53A65">
        <w:rPr>
          <w:rFonts w:ascii="Times New Roman" w:hAnsi="Times New Roman" w:cs="Times New Roman"/>
          <w:sz w:val="24"/>
          <w:szCs w:val="24"/>
          <w:vertAlign w:val="superscript"/>
        </w:rPr>
        <w:t>20</w:t>
      </w:r>
    </w:p>
    <w:p w14:paraId="7279D51D" w14:textId="77777777"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b/>
          <w:bCs/>
          <w:i/>
          <w:iCs/>
          <w:sz w:val="24"/>
          <w:szCs w:val="24"/>
        </w:rPr>
        <w:t>Limitations</w:t>
      </w:r>
      <w:r w:rsidRPr="00A53A65">
        <w:rPr>
          <w:rFonts w:ascii="Times New Roman" w:hAnsi="Times New Roman" w:cs="Times New Roman"/>
          <w:sz w:val="24"/>
          <w:szCs w:val="24"/>
        </w:rPr>
        <w:t xml:space="preserve">: Several methodological constraints should be considered when interpreting these findings. The cross-sectional design captures associations at a single time point, making it impossible to establish temporal precedence or causal directionality; while the biomechanical pathways are well-characterised, the data do not confirm whether tightness precedes MSK complaints or whether pain-related activity restriction leads to secondary hamstring shortening. The study was conducted at a single institution in South India, which may limit the generalisability of prevalence estimates and regression coefficients to student populations in other geographical, cultural or ergonomic contexts. Pain intensity and daily sitting time were captured via self-report instruments and are therefore subject to recall bias. The composite MWS, while clinically meaningful in conceptual terms, is a derived variable constructed for this study and has not been independently validated as a standalone outcome measure. Psychological variables including academic stress, anxiety and depression were not assessed, despite strong evidence that they amplify pain perception in students. Future longitudinal research should incorporate objective sitting time measures such as triaxial </w:t>
      </w:r>
      <w:proofErr w:type="spellStart"/>
      <w:r w:rsidRPr="00A53A65">
        <w:rPr>
          <w:rFonts w:ascii="Times New Roman" w:hAnsi="Times New Roman" w:cs="Times New Roman"/>
          <w:sz w:val="24"/>
          <w:szCs w:val="24"/>
        </w:rPr>
        <w:t>accelerometry</w:t>
      </w:r>
      <w:proofErr w:type="spellEnd"/>
      <w:r w:rsidRPr="00A53A65">
        <w:rPr>
          <w:rFonts w:ascii="Times New Roman" w:hAnsi="Times New Roman" w:cs="Times New Roman"/>
          <w:sz w:val="24"/>
          <w:szCs w:val="24"/>
        </w:rPr>
        <w:t>, validated psychological assessments, and extended follow-up periods to establish causality and track the natural history of hamstring tightness across the university years.</w:t>
      </w:r>
    </w:p>
    <w:p w14:paraId="46F1B82A" w14:textId="77777777" w:rsidR="008F5109" w:rsidRPr="00A53A65" w:rsidRDefault="008F5109"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Conclusions</w:t>
      </w:r>
    </w:p>
    <w:p w14:paraId="4232FC33" w14:textId="77777777"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Hamstring tightness was detected in 60% of undergraduate students in this study, confirming a substantial musculoskeletal health burden in this population. Using both the SRT and AKE test which demonstrated complementary validity for screening hamstring flexibility emerged as a significant and independent predictor of musculoskeletal wellbeing across all measured outcomes, with the regression model explaining 42% of variance in the composite wellbeing score. The SRT was the stronger individual predictor, consistent with its capacity to capture cumulative posterior chain restriction. Daily sitting time and physical inactivity contributed independently to poorer outcomes, identifying modifiable behavioural targets beyond flexibility training. Together, these findings support the integration of routine hamstring flexibility screening using both the SRT and AKE test into first-year university health </w:t>
      </w:r>
      <w:r w:rsidRPr="00A53A65">
        <w:rPr>
          <w:rFonts w:ascii="Times New Roman" w:hAnsi="Times New Roman" w:cs="Times New Roman"/>
          <w:sz w:val="24"/>
          <w:szCs w:val="24"/>
        </w:rPr>
        <w:lastRenderedPageBreak/>
        <w:t>appraisals, alongside evidence-based stretching programmes and institutional movement promotion initiatives aimed at reducing musculoskeletal morbidity during the university years.</w:t>
      </w:r>
    </w:p>
    <w:p w14:paraId="3901FB4E" w14:textId="77777777" w:rsidR="008F5109" w:rsidRPr="00A53A65" w:rsidRDefault="00F7600E" w:rsidP="00F7600E">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 xml:space="preserve"> </w:t>
      </w:r>
      <w:r w:rsidR="00212063" w:rsidRPr="00A53A65">
        <w:rPr>
          <w:rFonts w:ascii="Times New Roman" w:hAnsi="Times New Roman" w:cs="Times New Roman"/>
          <w:b/>
          <w:sz w:val="24"/>
          <w:szCs w:val="24"/>
        </w:rPr>
        <w:t>Declarations</w:t>
      </w:r>
    </w:p>
    <w:p w14:paraId="1C12C3D1" w14:textId="77777777" w:rsidR="00212063" w:rsidRPr="00A53A65" w:rsidRDefault="00212063"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Ethics Approval:</w:t>
      </w:r>
      <w:r w:rsidR="00A25C0F" w:rsidRPr="00A53A65">
        <w:rPr>
          <w:rFonts w:ascii="Times New Roman" w:hAnsi="Times New Roman" w:cs="Times New Roman"/>
          <w:b/>
          <w:i/>
          <w:sz w:val="24"/>
          <w:szCs w:val="24"/>
        </w:rPr>
        <w:t xml:space="preserve"> </w:t>
      </w:r>
      <w:r w:rsidR="00A25C0F" w:rsidRPr="00A53A65">
        <w:rPr>
          <w:rFonts w:ascii="Times New Roman" w:hAnsi="Times New Roman" w:cs="Times New Roman"/>
          <w:sz w:val="24"/>
          <w:szCs w:val="24"/>
        </w:rPr>
        <w:t>The study was a part of randomized controlled trial prospectively registered (CTRI/2025/05/0864311) in Clinical Trials Registry-India (CTRI) approved by the Research Ethics Committee of Indira Gandhi Technological and Medical Sciences University, Ziro (Ref. No: IGTAMSU/VC/2025/052).</w:t>
      </w:r>
    </w:p>
    <w:p w14:paraId="13A17E46" w14:textId="77777777" w:rsidR="00212063" w:rsidRPr="00A53A65" w:rsidRDefault="00212063" w:rsidP="00B713BA">
      <w:pPr>
        <w:spacing w:line="360" w:lineRule="auto"/>
        <w:jc w:val="both"/>
        <w:rPr>
          <w:rFonts w:ascii="Times New Roman" w:hAnsi="Times New Roman" w:cs="Times New Roman"/>
          <w:sz w:val="24"/>
          <w:szCs w:val="24"/>
        </w:rPr>
      </w:pPr>
      <w:bookmarkStart w:id="0" w:name="_GoBack"/>
      <w:bookmarkEnd w:id="0"/>
      <w:r w:rsidRPr="00A53A65">
        <w:rPr>
          <w:rFonts w:ascii="Times New Roman" w:hAnsi="Times New Roman" w:cs="Times New Roman"/>
          <w:b/>
          <w:i/>
          <w:sz w:val="24"/>
          <w:szCs w:val="24"/>
        </w:rPr>
        <w:t>Conflicts of Interest:</w:t>
      </w:r>
      <w:r w:rsidRPr="00A53A65">
        <w:rPr>
          <w:rFonts w:ascii="Times New Roman" w:hAnsi="Times New Roman" w:cs="Times New Roman"/>
          <w:sz w:val="24"/>
          <w:szCs w:val="24"/>
        </w:rPr>
        <w:t xml:space="preserve"> The authors declare no conflict of interest.</w:t>
      </w:r>
    </w:p>
    <w:p w14:paraId="35760DD6" w14:textId="77777777" w:rsidR="00212063" w:rsidRPr="00A53A65" w:rsidRDefault="00212063"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Data Availability:</w:t>
      </w:r>
      <w:r w:rsidRPr="00A53A65">
        <w:rPr>
          <w:rFonts w:ascii="Times New Roman" w:hAnsi="Times New Roman" w:cs="Times New Roman"/>
          <w:sz w:val="24"/>
          <w:szCs w:val="24"/>
        </w:rPr>
        <w:t xml:space="preserve"> De-identified data supporting the findings of this study are available from the corresponding author upon reasonable request.</w:t>
      </w:r>
    </w:p>
    <w:p w14:paraId="65019BA1" w14:textId="77777777" w:rsidR="00FC3AEC" w:rsidRDefault="00FC3AEC" w:rsidP="00B713BA">
      <w:pPr>
        <w:spacing w:line="360" w:lineRule="auto"/>
        <w:jc w:val="both"/>
        <w:rPr>
          <w:rFonts w:ascii="Times New Roman" w:hAnsi="Times New Roman" w:cs="Times New Roman"/>
          <w:b/>
          <w:sz w:val="24"/>
          <w:szCs w:val="24"/>
        </w:rPr>
      </w:pPr>
    </w:p>
    <w:p w14:paraId="75FF4392" w14:textId="05B0A6F4" w:rsidR="00BE175A" w:rsidRPr="00A53A65" w:rsidRDefault="00BE175A"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References</w:t>
      </w:r>
    </w:p>
    <w:p w14:paraId="5CD02C2D" w14:textId="77777777" w:rsidR="00BE175A" w:rsidRPr="00A53A65" w:rsidRDefault="00BE175A" w:rsidP="00BE175A">
      <w:pPr>
        <w:pStyle w:val="ListParagraph"/>
        <w:numPr>
          <w:ilvl w:val="0"/>
          <w:numId w:val="1"/>
        </w:numPr>
        <w:spacing w:line="360" w:lineRule="auto"/>
        <w:jc w:val="both"/>
        <w:rPr>
          <w:rFonts w:ascii="Times New Roman" w:hAnsi="Times New Roman" w:cs="Times New Roman"/>
          <w:color w:val="212121"/>
          <w:sz w:val="24"/>
          <w:szCs w:val="24"/>
          <w:shd w:val="clear" w:color="auto" w:fill="FFFFFF"/>
        </w:rPr>
      </w:pPr>
      <w:r w:rsidRPr="00A53A65">
        <w:rPr>
          <w:rFonts w:ascii="Times New Roman" w:hAnsi="Times New Roman" w:cs="Times New Roman"/>
          <w:color w:val="212121"/>
          <w:sz w:val="24"/>
          <w:szCs w:val="24"/>
          <w:shd w:val="clear" w:color="auto" w:fill="FFFFFF"/>
        </w:rPr>
        <w:t xml:space="preserve">Garn AC, Simonton KL. Prolonged Sitting in University Students: An Intra-Individual Study Exploring Physical Activity Value as a Deterrent. Int J Environ Res Public Health. 2023; 20(3):1891.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10.3390/ijerph20031891. PMID: 36767258; PMCID: PMC9915133.</w:t>
      </w:r>
    </w:p>
    <w:p w14:paraId="393BA92B" w14:textId="77777777" w:rsidR="00BE175A" w:rsidRPr="00A53A65" w:rsidRDefault="00BE175A"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Liyanage</w:t>
      </w:r>
      <w:proofErr w:type="spellEnd"/>
      <w:r w:rsidRPr="00A53A65">
        <w:rPr>
          <w:rFonts w:ascii="Times New Roman" w:hAnsi="Times New Roman" w:cs="Times New Roman"/>
          <w:color w:val="212121"/>
          <w:sz w:val="24"/>
          <w:szCs w:val="24"/>
          <w:shd w:val="clear" w:color="auto" w:fill="FFFFFF"/>
        </w:rPr>
        <w:t xml:space="preserve"> E, </w:t>
      </w:r>
      <w:proofErr w:type="spellStart"/>
      <w:r w:rsidRPr="00A53A65">
        <w:rPr>
          <w:rFonts w:ascii="Times New Roman" w:hAnsi="Times New Roman" w:cs="Times New Roman"/>
          <w:color w:val="212121"/>
          <w:sz w:val="24"/>
          <w:szCs w:val="24"/>
          <w:shd w:val="clear" w:color="auto" w:fill="FFFFFF"/>
        </w:rPr>
        <w:t>Malwanage</w:t>
      </w:r>
      <w:proofErr w:type="spellEnd"/>
      <w:r w:rsidRPr="00A53A65">
        <w:rPr>
          <w:rFonts w:ascii="Times New Roman" w:hAnsi="Times New Roman" w:cs="Times New Roman"/>
          <w:color w:val="212121"/>
          <w:sz w:val="24"/>
          <w:szCs w:val="24"/>
          <w:shd w:val="clear" w:color="auto" w:fill="FFFFFF"/>
        </w:rPr>
        <w:t xml:space="preserve"> K, </w:t>
      </w:r>
      <w:proofErr w:type="spellStart"/>
      <w:r w:rsidRPr="00A53A65">
        <w:rPr>
          <w:rFonts w:ascii="Times New Roman" w:hAnsi="Times New Roman" w:cs="Times New Roman"/>
          <w:color w:val="212121"/>
          <w:sz w:val="24"/>
          <w:szCs w:val="24"/>
          <w:shd w:val="clear" w:color="auto" w:fill="FFFFFF"/>
        </w:rPr>
        <w:t>Senarath</w:t>
      </w:r>
      <w:proofErr w:type="spellEnd"/>
      <w:r w:rsidRPr="00A53A65">
        <w:rPr>
          <w:rFonts w:ascii="Times New Roman" w:hAnsi="Times New Roman" w:cs="Times New Roman"/>
          <w:color w:val="212121"/>
          <w:sz w:val="24"/>
          <w:szCs w:val="24"/>
          <w:shd w:val="clear" w:color="auto" w:fill="FFFFFF"/>
        </w:rPr>
        <w:t xml:space="preserve"> D, </w:t>
      </w:r>
      <w:proofErr w:type="spellStart"/>
      <w:r w:rsidRPr="00A53A65">
        <w:rPr>
          <w:rFonts w:ascii="Times New Roman" w:hAnsi="Times New Roman" w:cs="Times New Roman"/>
          <w:color w:val="212121"/>
          <w:sz w:val="24"/>
          <w:szCs w:val="24"/>
          <w:shd w:val="clear" w:color="auto" w:fill="FFFFFF"/>
        </w:rPr>
        <w:t>Wijayasinghe</w:t>
      </w:r>
      <w:proofErr w:type="spellEnd"/>
      <w:r w:rsidRPr="00A53A65">
        <w:rPr>
          <w:rFonts w:ascii="Times New Roman" w:hAnsi="Times New Roman" w:cs="Times New Roman"/>
          <w:color w:val="212121"/>
          <w:sz w:val="24"/>
          <w:szCs w:val="24"/>
          <w:shd w:val="clear" w:color="auto" w:fill="FFFFFF"/>
        </w:rPr>
        <w:t xml:space="preserve"> H, </w:t>
      </w:r>
      <w:proofErr w:type="spellStart"/>
      <w:r w:rsidRPr="00A53A65">
        <w:rPr>
          <w:rFonts w:ascii="Times New Roman" w:hAnsi="Times New Roman" w:cs="Times New Roman"/>
          <w:color w:val="212121"/>
          <w:sz w:val="24"/>
          <w:szCs w:val="24"/>
          <w:shd w:val="clear" w:color="auto" w:fill="FFFFFF"/>
        </w:rPr>
        <w:t>Liyanage</w:t>
      </w:r>
      <w:proofErr w:type="spellEnd"/>
      <w:r w:rsidRPr="00A53A65">
        <w:rPr>
          <w:rFonts w:ascii="Times New Roman" w:hAnsi="Times New Roman" w:cs="Times New Roman"/>
          <w:color w:val="212121"/>
          <w:sz w:val="24"/>
          <w:szCs w:val="24"/>
          <w:shd w:val="clear" w:color="auto" w:fill="FFFFFF"/>
        </w:rPr>
        <w:t xml:space="preserve"> I, Chellapillai D, et al. Effects of Different Physical Therapy Interventions in Improving Flexibility in University Students with Hamstring Tightness - A Systematic Review and Network Meta-analysis. Int J </w:t>
      </w:r>
      <w:proofErr w:type="spellStart"/>
      <w:r w:rsidRPr="00A53A65">
        <w:rPr>
          <w:rFonts w:ascii="Times New Roman" w:hAnsi="Times New Roman" w:cs="Times New Roman"/>
          <w:color w:val="212121"/>
          <w:sz w:val="24"/>
          <w:szCs w:val="24"/>
          <w:shd w:val="clear" w:color="auto" w:fill="FFFFFF"/>
        </w:rPr>
        <w:t>Exerc</w:t>
      </w:r>
      <w:proofErr w:type="spellEnd"/>
      <w:r w:rsidRPr="00A53A65">
        <w:rPr>
          <w:rFonts w:ascii="Times New Roman" w:hAnsi="Times New Roman" w:cs="Times New Roman"/>
          <w:color w:val="212121"/>
          <w:sz w:val="24"/>
          <w:szCs w:val="24"/>
          <w:shd w:val="clear" w:color="auto" w:fill="FFFFFF"/>
        </w:rPr>
        <w:t xml:space="preserve"> Sci. 2024; 17(3):359-381.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10.70252/ZOLU9336. PMID: 38665684; PMCID: PMC11042845.</w:t>
      </w:r>
    </w:p>
    <w:p w14:paraId="40D5A2E6" w14:textId="77777777" w:rsidR="00BE175A" w:rsidRPr="00A53A65" w:rsidRDefault="00BE175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Guzmán-Muñoz E, Zurita-Leiva C, Gómez-Araya F, Concha-Cisternas Y, Castillo-Paredes A, Montalva-Valenzuela F, et al. Impact of Hamstring Tightness on Muscle Activation in Healthy Young Adults. J </w:t>
      </w:r>
      <w:proofErr w:type="spellStart"/>
      <w:r w:rsidRPr="00A53A65">
        <w:rPr>
          <w:rFonts w:ascii="Times New Roman" w:hAnsi="Times New Roman" w:cs="Times New Roman"/>
          <w:color w:val="1B1B1B"/>
          <w:sz w:val="24"/>
          <w:szCs w:val="24"/>
          <w:shd w:val="clear" w:color="auto" w:fill="FFFFFF"/>
        </w:rPr>
        <w:t>Funct</w:t>
      </w:r>
      <w:proofErr w:type="spellEnd"/>
      <w:r w:rsidRPr="00A53A65">
        <w:rPr>
          <w:rFonts w:ascii="Times New Roman" w:hAnsi="Times New Roman" w:cs="Times New Roman"/>
          <w:color w:val="1B1B1B"/>
          <w:sz w:val="24"/>
          <w:szCs w:val="24"/>
          <w:shd w:val="clear" w:color="auto" w:fill="FFFFFF"/>
        </w:rPr>
        <w:t xml:space="preserve"> </w:t>
      </w:r>
      <w:proofErr w:type="spellStart"/>
      <w:r w:rsidRPr="00A53A65">
        <w:rPr>
          <w:rFonts w:ascii="Times New Roman" w:hAnsi="Times New Roman" w:cs="Times New Roman"/>
          <w:color w:val="1B1B1B"/>
          <w:sz w:val="24"/>
          <w:szCs w:val="24"/>
          <w:shd w:val="clear" w:color="auto" w:fill="FFFFFF"/>
        </w:rPr>
        <w:t>Morphol</w:t>
      </w:r>
      <w:proofErr w:type="spellEnd"/>
      <w:r w:rsidRPr="00A53A65">
        <w:rPr>
          <w:rFonts w:ascii="Times New Roman" w:hAnsi="Times New Roman" w:cs="Times New Roman"/>
          <w:color w:val="1B1B1B"/>
          <w:sz w:val="24"/>
          <w:szCs w:val="24"/>
          <w:shd w:val="clear" w:color="auto" w:fill="FFFFFF"/>
        </w:rPr>
        <w:t xml:space="preserve"> </w:t>
      </w:r>
      <w:proofErr w:type="spellStart"/>
      <w:r w:rsidRPr="00A53A65">
        <w:rPr>
          <w:rFonts w:ascii="Times New Roman" w:hAnsi="Times New Roman" w:cs="Times New Roman"/>
          <w:color w:val="1B1B1B"/>
          <w:sz w:val="24"/>
          <w:szCs w:val="24"/>
          <w:shd w:val="clear" w:color="auto" w:fill="FFFFFF"/>
        </w:rPr>
        <w:t>Kinesiol</w:t>
      </w:r>
      <w:proofErr w:type="spellEnd"/>
      <w:r w:rsidRPr="00A53A65">
        <w:rPr>
          <w:rFonts w:ascii="Times New Roman" w:hAnsi="Times New Roman" w:cs="Times New Roman"/>
          <w:color w:val="1B1B1B"/>
          <w:sz w:val="24"/>
          <w:szCs w:val="24"/>
          <w:shd w:val="clear" w:color="auto" w:fill="FFFFFF"/>
        </w:rPr>
        <w:t xml:space="preserve">. 2025; 10(4):363.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10.3390/jfmk10040363. PMID: 41133553; PMCID: PMC12551086.</w:t>
      </w:r>
    </w:p>
    <w:p w14:paraId="5ED727F2" w14:textId="77777777" w:rsidR="00F7600E" w:rsidRPr="00A53A65" w:rsidRDefault="00F7600E"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Cejudo A, </w:t>
      </w:r>
      <w:proofErr w:type="spellStart"/>
      <w:r w:rsidRPr="00A53A65">
        <w:rPr>
          <w:rFonts w:ascii="Times New Roman" w:hAnsi="Times New Roman" w:cs="Times New Roman"/>
          <w:color w:val="1B1B1B"/>
          <w:sz w:val="24"/>
          <w:szCs w:val="24"/>
          <w:shd w:val="clear" w:color="auto" w:fill="FFFFFF"/>
        </w:rPr>
        <w:t>Centenera-Centenera</w:t>
      </w:r>
      <w:proofErr w:type="spellEnd"/>
      <w:r w:rsidRPr="00A53A65">
        <w:rPr>
          <w:rFonts w:ascii="Times New Roman" w:hAnsi="Times New Roman" w:cs="Times New Roman"/>
          <w:color w:val="1B1B1B"/>
          <w:sz w:val="24"/>
          <w:szCs w:val="24"/>
          <w:shd w:val="clear" w:color="auto" w:fill="FFFFFF"/>
        </w:rPr>
        <w:t xml:space="preserve"> JM, </w:t>
      </w:r>
      <w:proofErr w:type="spellStart"/>
      <w:r w:rsidRPr="00A53A65">
        <w:rPr>
          <w:rFonts w:ascii="Times New Roman" w:hAnsi="Times New Roman" w:cs="Times New Roman"/>
          <w:color w:val="1B1B1B"/>
          <w:sz w:val="24"/>
          <w:szCs w:val="24"/>
          <w:shd w:val="clear" w:color="auto" w:fill="FFFFFF"/>
        </w:rPr>
        <w:t>Santonja</w:t>
      </w:r>
      <w:proofErr w:type="spellEnd"/>
      <w:r w:rsidRPr="00A53A65">
        <w:rPr>
          <w:rFonts w:ascii="Times New Roman" w:hAnsi="Times New Roman" w:cs="Times New Roman"/>
          <w:color w:val="1B1B1B"/>
          <w:sz w:val="24"/>
          <w:szCs w:val="24"/>
          <w:shd w:val="clear" w:color="auto" w:fill="FFFFFF"/>
        </w:rPr>
        <w:t>-Medina F. The Potential Role of Hamstring Extensibility on Sagittal Pelvic Tilt, Sagittal Spinal Curves and Recurrent Low Back Pain in Team Sports Players: A Gender Perspective Analysis. Int J Environ Res Public Health. 2021;</w:t>
      </w:r>
      <w:r w:rsidR="00F7192B" w:rsidRPr="00A53A65">
        <w:rPr>
          <w:rFonts w:ascii="Times New Roman" w:hAnsi="Times New Roman" w:cs="Times New Roman"/>
          <w:color w:val="1B1B1B"/>
          <w:sz w:val="24"/>
          <w:szCs w:val="24"/>
          <w:shd w:val="clear" w:color="auto" w:fill="FFFFFF"/>
        </w:rPr>
        <w:t xml:space="preserve"> </w:t>
      </w:r>
      <w:r w:rsidRPr="00A53A65">
        <w:rPr>
          <w:rFonts w:ascii="Times New Roman" w:hAnsi="Times New Roman" w:cs="Times New Roman"/>
          <w:color w:val="1B1B1B"/>
          <w:sz w:val="24"/>
          <w:szCs w:val="24"/>
          <w:shd w:val="clear" w:color="auto" w:fill="FFFFFF"/>
        </w:rPr>
        <w:t xml:space="preserve">18(16):8654.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10.3390/ijerph18168654. PMID: 34444402; PMCID: PMC8393976.</w:t>
      </w:r>
      <w:r w:rsidRPr="00A53A65">
        <w:rPr>
          <w:rFonts w:ascii="Times New Roman" w:hAnsi="Times New Roman" w:cs="Times New Roman"/>
          <w:color w:val="212121"/>
          <w:sz w:val="24"/>
          <w:szCs w:val="24"/>
          <w:shd w:val="clear" w:color="auto" w:fill="FFFFFF"/>
        </w:rPr>
        <w:t xml:space="preserve"> </w:t>
      </w:r>
    </w:p>
    <w:p w14:paraId="7F24594F" w14:textId="77777777" w:rsidR="00F7192B" w:rsidRPr="00A53A65" w:rsidRDefault="00F7192B"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lastRenderedPageBreak/>
        <w:t xml:space="preserve">Han HI, Choi HS, Shin WS. Effects of hamstring stretch with pelvic control on pain and work ability in standing workers. J Back </w:t>
      </w:r>
      <w:proofErr w:type="spellStart"/>
      <w:r w:rsidRPr="00A53A65">
        <w:rPr>
          <w:rFonts w:ascii="Times New Roman" w:hAnsi="Times New Roman" w:cs="Times New Roman"/>
          <w:color w:val="212121"/>
          <w:sz w:val="24"/>
          <w:szCs w:val="24"/>
          <w:shd w:val="clear" w:color="auto" w:fill="FFFFFF"/>
        </w:rPr>
        <w:t>Musculoskelet</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Rehabil</w:t>
      </w:r>
      <w:proofErr w:type="spellEnd"/>
      <w:r w:rsidRPr="00A53A65">
        <w:rPr>
          <w:rFonts w:ascii="Times New Roman" w:hAnsi="Times New Roman" w:cs="Times New Roman"/>
          <w:color w:val="212121"/>
          <w:sz w:val="24"/>
          <w:szCs w:val="24"/>
          <w:shd w:val="clear" w:color="auto" w:fill="FFFFFF"/>
        </w:rPr>
        <w:t xml:space="preserve">. 2016; 29(4):865-871.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xml:space="preserve">: 10.3233/BMR-160703. PMID: 27197706. </w:t>
      </w:r>
    </w:p>
    <w:p w14:paraId="30832935" w14:textId="77777777" w:rsidR="00BE175A"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Tikhile</w:t>
      </w:r>
      <w:proofErr w:type="spellEnd"/>
      <w:r w:rsidRPr="00A53A65">
        <w:rPr>
          <w:rFonts w:ascii="Times New Roman" w:hAnsi="Times New Roman" w:cs="Times New Roman"/>
          <w:color w:val="212121"/>
          <w:sz w:val="24"/>
          <w:szCs w:val="24"/>
          <w:shd w:val="clear" w:color="auto" w:fill="FFFFFF"/>
        </w:rPr>
        <w:t xml:space="preserve"> P, Patil DS, Jaiswal PR. Management of Low Back Pain With Concurrent Hamstring Tightness: A Case Report Highlighting the Efficacy of Proprioceptive Neuromuscular Facilitation, Mulligan's Two-Leg Rotation Technique, and Exercise Regimen. Cureus. 2024; 16(4):e58705.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10.7759/cureus.58705. PMID: 38779251; PMCID: PMC11109521.</w:t>
      </w:r>
    </w:p>
    <w:p w14:paraId="32D09352" w14:textId="77777777"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Plandowska</w:t>
      </w:r>
      <w:proofErr w:type="spellEnd"/>
      <w:r w:rsidRPr="00A53A65">
        <w:rPr>
          <w:rFonts w:ascii="Times New Roman" w:hAnsi="Times New Roman" w:cs="Times New Roman"/>
          <w:color w:val="212121"/>
          <w:sz w:val="24"/>
          <w:szCs w:val="24"/>
          <w:shd w:val="clear" w:color="auto" w:fill="FFFFFF"/>
        </w:rPr>
        <w:t xml:space="preserve"> M, </w:t>
      </w:r>
      <w:proofErr w:type="spellStart"/>
      <w:r w:rsidRPr="00A53A65">
        <w:rPr>
          <w:rFonts w:ascii="Times New Roman" w:hAnsi="Times New Roman" w:cs="Times New Roman"/>
          <w:color w:val="212121"/>
          <w:sz w:val="24"/>
          <w:szCs w:val="24"/>
          <w:shd w:val="clear" w:color="auto" w:fill="FFFFFF"/>
        </w:rPr>
        <w:t>Labecka</w:t>
      </w:r>
      <w:proofErr w:type="spellEnd"/>
      <w:r w:rsidRPr="00A53A65">
        <w:rPr>
          <w:rFonts w:ascii="Times New Roman" w:hAnsi="Times New Roman" w:cs="Times New Roman"/>
          <w:color w:val="212121"/>
          <w:sz w:val="24"/>
          <w:szCs w:val="24"/>
          <w:shd w:val="clear" w:color="auto" w:fill="FFFFFF"/>
        </w:rPr>
        <w:t xml:space="preserve"> MK, </w:t>
      </w:r>
      <w:proofErr w:type="spellStart"/>
      <w:r w:rsidRPr="00A53A65">
        <w:rPr>
          <w:rFonts w:ascii="Times New Roman" w:hAnsi="Times New Roman" w:cs="Times New Roman"/>
          <w:color w:val="212121"/>
          <w:sz w:val="24"/>
          <w:szCs w:val="24"/>
          <w:shd w:val="clear" w:color="auto" w:fill="FFFFFF"/>
        </w:rPr>
        <w:t>Truszczyńska-Baszak</w:t>
      </w:r>
      <w:proofErr w:type="spellEnd"/>
      <w:r w:rsidRPr="00A53A65">
        <w:rPr>
          <w:rFonts w:ascii="Times New Roman" w:hAnsi="Times New Roman" w:cs="Times New Roman"/>
          <w:color w:val="212121"/>
          <w:sz w:val="24"/>
          <w:szCs w:val="24"/>
          <w:shd w:val="clear" w:color="auto" w:fill="FFFFFF"/>
        </w:rPr>
        <w:t xml:space="preserve"> A, </w:t>
      </w:r>
      <w:proofErr w:type="spellStart"/>
      <w:r w:rsidRPr="00A53A65">
        <w:rPr>
          <w:rFonts w:ascii="Times New Roman" w:hAnsi="Times New Roman" w:cs="Times New Roman"/>
          <w:color w:val="212121"/>
          <w:sz w:val="24"/>
          <w:szCs w:val="24"/>
          <w:shd w:val="clear" w:color="auto" w:fill="FFFFFF"/>
        </w:rPr>
        <w:t>Rajabi</w:t>
      </w:r>
      <w:proofErr w:type="spellEnd"/>
      <w:r w:rsidRPr="00A53A65">
        <w:rPr>
          <w:rFonts w:ascii="Times New Roman" w:hAnsi="Times New Roman" w:cs="Times New Roman"/>
          <w:color w:val="212121"/>
          <w:sz w:val="24"/>
          <w:szCs w:val="24"/>
          <w:shd w:val="clear" w:color="auto" w:fill="FFFFFF"/>
        </w:rPr>
        <w:t xml:space="preserve"> R, </w:t>
      </w:r>
      <w:proofErr w:type="spellStart"/>
      <w:r w:rsidRPr="00A53A65">
        <w:rPr>
          <w:rFonts w:ascii="Times New Roman" w:hAnsi="Times New Roman" w:cs="Times New Roman"/>
          <w:color w:val="212121"/>
          <w:sz w:val="24"/>
          <w:szCs w:val="24"/>
          <w:shd w:val="clear" w:color="auto" w:fill="FFFFFF"/>
        </w:rPr>
        <w:t>Płaszewski</w:t>
      </w:r>
      <w:proofErr w:type="spellEnd"/>
      <w:r w:rsidRPr="00A53A65">
        <w:rPr>
          <w:rFonts w:ascii="Times New Roman" w:hAnsi="Times New Roman" w:cs="Times New Roman"/>
          <w:color w:val="212121"/>
          <w:sz w:val="24"/>
          <w:szCs w:val="24"/>
          <w:shd w:val="clear" w:color="auto" w:fill="FFFFFF"/>
        </w:rPr>
        <w:t xml:space="preserve"> M. A Randomized Controlled Trial of Active Stretching of the Hamstrings and Core Control for Low Back Pain and Musculoskeletal Discomfort during Prolonged Sitting among Young People. J Clin Med. 2024; 13(17):5048.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10.3390/jcm13175048. PMID: 39274261; PMCID: PMC11396236.</w:t>
      </w:r>
    </w:p>
    <w:p w14:paraId="06B08C0E" w14:textId="77777777"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Allam NM, Ebrahim HA, </w:t>
      </w:r>
      <w:proofErr w:type="spellStart"/>
      <w:r w:rsidRPr="00A53A65">
        <w:rPr>
          <w:rFonts w:ascii="Times New Roman" w:hAnsi="Times New Roman" w:cs="Times New Roman"/>
          <w:color w:val="212121"/>
          <w:sz w:val="24"/>
          <w:szCs w:val="24"/>
          <w:shd w:val="clear" w:color="auto" w:fill="FFFFFF"/>
        </w:rPr>
        <w:t>Megahed</w:t>
      </w:r>
      <w:proofErr w:type="spellEnd"/>
      <w:r w:rsidRPr="00A53A65">
        <w:rPr>
          <w:rFonts w:ascii="Times New Roman" w:hAnsi="Times New Roman" w:cs="Times New Roman"/>
          <w:color w:val="212121"/>
          <w:sz w:val="24"/>
          <w:szCs w:val="24"/>
          <w:shd w:val="clear" w:color="auto" w:fill="FFFFFF"/>
        </w:rPr>
        <w:t xml:space="preserve"> Ibrahim A, </w:t>
      </w:r>
      <w:proofErr w:type="spellStart"/>
      <w:r w:rsidRPr="00A53A65">
        <w:rPr>
          <w:rFonts w:ascii="Times New Roman" w:hAnsi="Times New Roman" w:cs="Times New Roman"/>
          <w:color w:val="212121"/>
          <w:sz w:val="24"/>
          <w:szCs w:val="24"/>
          <w:shd w:val="clear" w:color="auto" w:fill="FFFFFF"/>
        </w:rPr>
        <w:t>Elneblawi</w:t>
      </w:r>
      <w:proofErr w:type="spellEnd"/>
      <w:r w:rsidRPr="00A53A65">
        <w:rPr>
          <w:rFonts w:ascii="Times New Roman" w:hAnsi="Times New Roman" w:cs="Times New Roman"/>
          <w:color w:val="212121"/>
          <w:sz w:val="24"/>
          <w:szCs w:val="24"/>
          <w:shd w:val="clear" w:color="auto" w:fill="FFFFFF"/>
        </w:rPr>
        <w:t xml:space="preserve"> NH, El-</w:t>
      </w:r>
      <w:proofErr w:type="spellStart"/>
      <w:r w:rsidRPr="00A53A65">
        <w:rPr>
          <w:rFonts w:ascii="Times New Roman" w:hAnsi="Times New Roman" w:cs="Times New Roman"/>
          <w:color w:val="212121"/>
          <w:sz w:val="24"/>
          <w:szCs w:val="24"/>
          <w:shd w:val="clear" w:color="auto" w:fill="FFFFFF"/>
        </w:rPr>
        <w:t>Sherbiny</w:t>
      </w:r>
      <w:proofErr w:type="spellEnd"/>
      <w:r w:rsidRPr="00A53A65">
        <w:rPr>
          <w:rFonts w:ascii="Times New Roman" w:hAnsi="Times New Roman" w:cs="Times New Roman"/>
          <w:color w:val="212121"/>
          <w:sz w:val="24"/>
          <w:szCs w:val="24"/>
          <w:shd w:val="clear" w:color="auto" w:fill="FFFFFF"/>
        </w:rPr>
        <w:t xml:space="preserve"> M, Fouda KZ. The association of hamstring tightness with lumbar lordosis and trunk flexibility in healthy individuals: gender analysis. Front </w:t>
      </w:r>
      <w:proofErr w:type="spellStart"/>
      <w:r w:rsidRPr="00A53A65">
        <w:rPr>
          <w:rFonts w:ascii="Times New Roman" w:hAnsi="Times New Roman" w:cs="Times New Roman"/>
          <w:color w:val="212121"/>
          <w:sz w:val="24"/>
          <w:szCs w:val="24"/>
          <w:shd w:val="clear" w:color="auto" w:fill="FFFFFF"/>
        </w:rPr>
        <w:t>Bioeng</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Biotechnol</w:t>
      </w:r>
      <w:proofErr w:type="spellEnd"/>
      <w:r w:rsidRPr="00A53A65">
        <w:rPr>
          <w:rFonts w:ascii="Times New Roman" w:hAnsi="Times New Roman" w:cs="Times New Roman"/>
          <w:color w:val="212121"/>
          <w:sz w:val="24"/>
          <w:szCs w:val="24"/>
          <w:shd w:val="clear" w:color="auto" w:fill="FFFFFF"/>
        </w:rPr>
        <w:t xml:space="preserve">. 2023; 11:1225973.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10.3389/fbioe.2023.1225973. PMID: 37781540; PMCID: PMC10538639.</w:t>
      </w:r>
    </w:p>
    <w:p w14:paraId="3DF9B1B4" w14:textId="77777777"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Shaikh AA, Quraishi MF, </w:t>
      </w:r>
      <w:proofErr w:type="spellStart"/>
      <w:r w:rsidRPr="00A53A65">
        <w:rPr>
          <w:rFonts w:ascii="Times New Roman" w:hAnsi="Times New Roman" w:cs="Times New Roman"/>
          <w:color w:val="1B1B1B"/>
          <w:sz w:val="24"/>
          <w:szCs w:val="24"/>
          <w:shd w:val="clear" w:color="auto" w:fill="FFFFFF"/>
        </w:rPr>
        <w:t>Chitapure</w:t>
      </w:r>
      <w:proofErr w:type="spellEnd"/>
      <w:r w:rsidRPr="00A53A65">
        <w:rPr>
          <w:rFonts w:ascii="Times New Roman" w:hAnsi="Times New Roman" w:cs="Times New Roman"/>
          <w:color w:val="1B1B1B"/>
          <w:sz w:val="24"/>
          <w:szCs w:val="24"/>
          <w:shd w:val="clear" w:color="auto" w:fill="FFFFFF"/>
        </w:rPr>
        <w:t xml:space="preserve"> T, Joshi PA, Shaikh SA, </w:t>
      </w:r>
      <w:proofErr w:type="spellStart"/>
      <w:r w:rsidRPr="00A53A65">
        <w:rPr>
          <w:rFonts w:ascii="Times New Roman" w:hAnsi="Times New Roman" w:cs="Times New Roman"/>
          <w:color w:val="1B1B1B"/>
          <w:sz w:val="24"/>
          <w:szCs w:val="24"/>
          <w:shd w:val="clear" w:color="auto" w:fill="FFFFFF"/>
        </w:rPr>
        <w:t>Nandgaonkar</w:t>
      </w:r>
      <w:proofErr w:type="spellEnd"/>
      <w:r w:rsidRPr="00A53A65">
        <w:rPr>
          <w:rFonts w:ascii="Times New Roman" w:hAnsi="Times New Roman" w:cs="Times New Roman"/>
          <w:color w:val="1B1B1B"/>
          <w:sz w:val="24"/>
          <w:szCs w:val="24"/>
          <w:shd w:val="clear" w:color="auto" w:fill="FFFFFF"/>
        </w:rPr>
        <w:t xml:space="preserve"> N, Sable K. A Comparison of the Effectiveness of Neurodynamic Sliding Technique and Self-Myofascial Release Technique for Reducing Hamstring Tightness in Healthy Individuals: A Prospective Study. Cureus. 2023; 15(6):e40613.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10.7759/cureus.40613. PMID: 37476106; PMCID: PMC10354375.</w:t>
      </w:r>
    </w:p>
    <w:p w14:paraId="2F231E35" w14:textId="77777777" w:rsidR="00F7192B" w:rsidRPr="00A53A65" w:rsidRDefault="00F7192B"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Siakaras</w:t>
      </w:r>
      <w:proofErr w:type="spellEnd"/>
      <w:r w:rsidRPr="00A53A65">
        <w:rPr>
          <w:rFonts w:ascii="Times New Roman" w:hAnsi="Times New Roman" w:cs="Times New Roman"/>
          <w:color w:val="1B1B1B"/>
          <w:sz w:val="24"/>
          <w:szCs w:val="24"/>
          <w:shd w:val="clear" w:color="auto" w:fill="FFFFFF"/>
        </w:rPr>
        <w:t xml:space="preserve"> N, </w:t>
      </w:r>
      <w:proofErr w:type="spellStart"/>
      <w:r w:rsidRPr="00A53A65">
        <w:rPr>
          <w:rFonts w:ascii="Times New Roman" w:hAnsi="Times New Roman" w:cs="Times New Roman"/>
          <w:color w:val="1B1B1B"/>
          <w:sz w:val="24"/>
          <w:szCs w:val="24"/>
          <w:shd w:val="clear" w:color="auto" w:fill="FFFFFF"/>
        </w:rPr>
        <w:t>Karatrantou</w:t>
      </w:r>
      <w:proofErr w:type="spellEnd"/>
      <w:r w:rsidRPr="00A53A65">
        <w:rPr>
          <w:rFonts w:ascii="Times New Roman" w:hAnsi="Times New Roman" w:cs="Times New Roman"/>
          <w:color w:val="1B1B1B"/>
          <w:sz w:val="24"/>
          <w:szCs w:val="24"/>
          <w:shd w:val="clear" w:color="auto" w:fill="FFFFFF"/>
        </w:rPr>
        <w:t xml:space="preserve"> K, </w:t>
      </w:r>
      <w:proofErr w:type="spellStart"/>
      <w:r w:rsidRPr="00A53A65">
        <w:rPr>
          <w:rFonts w:ascii="Times New Roman" w:hAnsi="Times New Roman" w:cs="Times New Roman"/>
          <w:color w:val="1B1B1B"/>
          <w:sz w:val="24"/>
          <w:szCs w:val="24"/>
          <w:shd w:val="clear" w:color="auto" w:fill="FFFFFF"/>
        </w:rPr>
        <w:t>Batatolis</w:t>
      </w:r>
      <w:proofErr w:type="spellEnd"/>
      <w:r w:rsidRPr="00A53A65">
        <w:rPr>
          <w:rFonts w:ascii="Times New Roman" w:hAnsi="Times New Roman" w:cs="Times New Roman"/>
          <w:color w:val="1B1B1B"/>
          <w:sz w:val="24"/>
          <w:szCs w:val="24"/>
          <w:shd w:val="clear" w:color="auto" w:fill="FFFFFF"/>
        </w:rPr>
        <w:t xml:space="preserve"> C, </w:t>
      </w:r>
      <w:proofErr w:type="spellStart"/>
      <w:r w:rsidRPr="00A53A65">
        <w:rPr>
          <w:rFonts w:ascii="Times New Roman" w:hAnsi="Times New Roman" w:cs="Times New Roman"/>
          <w:color w:val="1B1B1B"/>
          <w:sz w:val="24"/>
          <w:szCs w:val="24"/>
          <w:shd w:val="clear" w:color="auto" w:fill="FFFFFF"/>
        </w:rPr>
        <w:t>Papavasileiou</w:t>
      </w:r>
      <w:proofErr w:type="spellEnd"/>
      <w:r w:rsidRPr="00A53A65">
        <w:rPr>
          <w:rFonts w:ascii="Times New Roman" w:hAnsi="Times New Roman" w:cs="Times New Roman"/>
          <w:color w:val="1B1B1B"/>
          <w:sz w:val="24"/>
          <w:szCs w:val="24"/>
          <w:shd w:val="clear" w:color="auto" w:fill="FFFFFF"/>
        </w:rPr>
        <w:t xml:space="preserve"> K, </w:t>
      </w:r>
      <w:proofErr w:type="spellStart"/>
      <w:r w:rsidRPr="00A53A65">
        <w:rPr>
          <w:rFonts w:ascii="Times New Roman" w:hAnsi="Times New Roman" w:cs="Times New Roman"/>
          <w:color w:val="1B1B1B"/>
          <w:sz w:val="24"/>
          <w:szCs w:val="24"/>
          <w:shd w:val="clear" w:color="auto" w:fill="FFFFFF"/>
        </w:rPr>
        <w:t>Tzeli</w:t>
      </w:r>
      <w:proofErr w:type="spellEnd"/>
      <w:r w:rsidRPr="00A53A65">
        <w:rPr>
          <w:rFonts w:ascii="Times New Roman" w:hAnsi="Times New Roman" w:cs="Times New Roman"/>
          <w:color w:val="1B1B1B"/>
          <w:sz w:val="24"/>
          <w:szCs w:val="24"/>
          <w:shd w:val="clear" w:color="auto" w:fill="FFFFFF"/>
        </w:rPr>
        <w:t xml:space="preserve"> F, </w:t>
      </w:r>
      <w:proofErr w:type="spellStart"/>
      <w:r w:rsidRPr="00A53A65">
        <w:rPr>
          <w:rFonts w:ascii="Times New Roman" w:hAnsi="Times New Roman" w:cs="Times New Roman"/>
          <w:color w:val="1B1B1B"/>
          <w:sz w:val="24"/>
          <w:szCs w:val="24"/>
          <w:shd w:val="clear" w:color="auto" w:fill="FFFFFF"/>
        </w:rPr>
        <w:t>Gerodimos</w:t>
      </w:r>
      <w:proofErr w:type="spellEnd"/>
      <w:r w:rsidRPr="00A53A65">
        <w:rPr>
          <w:rFonts w:ascii="Times New Roman" w:hAnsi="Times New Roman" w:cs="Times New Roman"/>
          <w:color w:val="1B1B1B"/>
          <w:sz w:val="24"/>
          <w:szCs w:val="24"/>
          <w:shd w:val="clear" w:color="auto" w:fill="FFFFFF"/>
        </w:rPr>
        <w:t xml:space="preserve"> V. Intrasession and Intersession Reliability of Flexibility Tests During Developmental Years: The Effects of Sport, Age, and Sex. Sports (Basel). 2025; 13(8):238.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10.3390/sports13080238. PMID: 40863747; PMCID: PMC12389825.</w:t>
      </w:r>
      <w:r w:rsidRPr="00A53A65">
        <w:rPr>
          <w:rFonts w:ascii="Times New Roman" w:hAnsi="Times New Roman" w:cs="Times New Roman"/>
          <w:color w:val="212121"/>
          <w:sz w:val="24"/>
          <w:szCs w:val="24"/>
          <w:shd w:val="clear" w:color="auto" w:fill="FFFFFF"/>
        </w:rPr>
        <w:t xml:space="preserve"> </w:t>
      </w:r>
    </w:p>
    <w:p w14:paraId="714AAC98" w14:textId="77777777" w:rsidR="00F7192B" w:rsidRPr="00A53A65" w:rsidRDefault="00F7192B"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Shamsi M, Shahsavari S, Safari A, Mirzaei M. A randomized clinical trial for the effect of static stretching and strengthening exercise on pelvic tilt angle in LBP patients. J </w:t>
      </w:r>
      <w:proofErr w:type="spellStart"/>
      <w:r w:rsidRPr="00A53A65">
        <w:rPr>
          <w:rFonts w:ascii="Times New Roman" w:hAnsi="Times New Roman" w:cs="Times New Roman"/>
          <w:color w:val="212121"/>
          <w:sz w:val="24"/>
          <w:szCs w:val="24"/>
          <w:shd w:val="clear" w:color="auto" w:fill="FFFFFF"/>
        </w:rPr>
        <w:t>Bodyw</w:t>
      </w:r>
      <w:proofErr w:type="spellEnd"/>
      <w:r w:rsidRPr="00A53A65">
        <w:rPr>
          <w:rFonts w:ascii="Times New Roman" w:hAnsi="Times New Roman" w:cs="Times New Roman"/>
          <w:color w:val="212121"/>
          <w:sz w:val="24"/>
          <w:szCs w:val="24"/>
          <w:shd w:val="clear" w:color="auto" w:fill="FFFFFF"/>
        </w:rPr>
        <w:t xml:space="preserve"> Mov </w:t>
      </w:r>
      <w:proofErr w:type="spellStart"/>
      <w:r w:rsidRPr="00A53A65">
        <w:rPr>
          <w:rFonts w:ascii="Times New Roman" w:hAnsi="Times New Roman" w:cs="Times New Roman"/>
          <w:color w:val="212121"/>
          <w:sz w:val="24"/>
          <w:szCs w:val="24"/>
          <w:shd w:val="clear" w:color="auto" w:fill="FFFFFF"/>
        </w:rPr>
        <w:t>Ther</w:t>
      </w:r>
      <w:proofErr w:type="spellEnd"/>
      <w:r w:rsidRPr="00A53A65">
        <w:rPr>
          <w:rFonts w:ascii="Times New Roman" w:hAnsi="Times New Roman" w:cs="Times New Roman"/>
          <w:color w:val="212121"/>
          <w:sz w:val="24"/>
          <w:szCs w:val="24"/>
          <w:shd w:val="clear" w:color="auto" w:fill="FFFFFF"/>
        </w:rPr>
        <w:t xml:space="preserve">. 2020; 24(3):15-20.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xml:space="preserve">: 10.1016/j.jbmt.2020.02.001. </w:t>
      </w:r>
      <w:proofErr w:type="spellStart"/>
      <w:r w:rsidRPr="00A53A65">
        <w:rPr>
          <w:rFonts w:ascii="Times New Roman" w:hAnsi="Times New Roman" w:cs="Times New Roman"/>
          <w:color w:val="212121"/>
          <w:sz w:val="24"/>
          <w:szCs w:val="24"/>
          <w:shd w:val="clear" w:color="auto" w:fill="FFFFFF"/>
        </w:rPr>
        <w:t>Epub</w:t>
      </w:r>
      <w:proofErr w:type="spellEnd"/>
      <w:r w:rsidRPr="00A53A65">
        <w:rPr>
          <w:rFonts w:ascii="Times New Roman" w:hAnsi="Times New Roman" w:cs="Times New Roman"/>
          <w:color w:val="212121"/>
          <w:sz w:val="24"/>
          <w:szCs w:val="24"/>
          <w:shd w:val="clear" w:color="auto" w:fill="FFFFFF"/>
        </w:rPr>
        <w:t xml:space="preserve"> 2020 Feb 21. PMID: 32825981. </w:t>
      </w:r>
    </w:p>
    <w:p w14:paraId="58CC3F26" w14:textId="77777777"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Rossi L, Behme N, Breuer C. Physical Activity of Children and Adolescents during the COVID-19 Pandemic-A Scoping Review. Int J Environ Res Public Health. 2021; 18(21):11440.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10.3390/ijerph182111440. PMID: 34769956; PMCID: PMC8583307.</w:t>
      </w:r>
      <w:r w:rsidRPr="00A53A65">
        <w:rPr>
          <w:rFonts w:ascii="Times New Roman" w:hAnsi="Times New Roman" w:cs="Times New Roman"/>
          <w:color w:val="212121"/>
          <w:sz w:val="24"/>
          <w:szCs w:val="24"/>
          <w:shd w:val="clear" w:color="auto" w:fill="FFFFFF"/>
        </w:rPr>
        <w:t xml:space="preserve"> </w:t>
      </w:r>
    </w:p>
    <w:p w14:paraId="2E9F7F6E" w14:textId="77777777"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lastRenderedPageBreak/>
        <w:t xml:space="preserve">Liu H, Shen Y, Xiong Y, Zhou H, Mao Y, Shen Q, et al. Psychometric Properties of Four Common Clinical Tests for Assessing Hamstring Flexibility in Young Adults. Front Physiol. 2022; 13:911240.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10.3389/fphys.2022.911240. PMID: 35784887; PMCID: PMC9240627.</w:t>
      </w:r>
    </w:p>
    <w:p w14:paraId="37E864A5" w14:textId="77777777"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Piercy KL, Troiano RP, Ballard RM, Carlson SA, Fulton JE, Galuska DA, George SM, Olson RD. The Physical Activity Guidelines for Americans. JAMA. 2018; 320(19):2020-2028.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10.1001/jama.2018.14854. PMID: 30418471; PMCID: PMC9582631.</w:t>
      </w:r>
      <w:r w:rsidRPr="00A53A65">
        <w:rPr>
          <w:rFonts w:ascii="Times New Roman" w:hAnsi="Times New Roman" w:cs="Times New Roman"/>
          <w:color w:val="212121"/>
          <w:sz w:val="24"/>
          <w:szCs w:val="24"/>
          <w:shd w:val="clear" w:color="auto" w:fill="FFFFFF"/>
        </w:rPr>
        <w:t xml:space="preserve"> </w:t>
      </w:r>
    </w:p>
    <w:p w14:paraId="6969E4EE" w14:textId="77777777"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Yeom S, Jeong H, Lee H, Jeon K. Effects of Lumbar Stabilization Exercises on Isokinetic Strength and Muscle Tension in Sedentary Men. Bioengineering (Basel). 2023; 10(3):342.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10.3390/bioengineering10030342. PMID: 36978733; PMCID: PMC10045455.</w:t>
      </w:r>
    </w:p>
    <w:p w14:paraId="1E807A3F" w14:textId="77777777"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Suzuki H, Aono S, Inoue S, </w:t>
      </w:r>
      <w:proofErr w:type="spellStart"/>
      <w:r w:rsidRPr="00A53A65">
        <w:rPr>
          <w:rFonts w:ascii="Times New Roman" w:hAnsi="Times New Roman" w:cs="Times New Roman"/>
          <w:color w:val="1B1B1B"/>
          <w:sz w:val="24"/>
          <w:szCs w:val="24"/>
          <w:shd w:val="clear" w:color="auto" w:fill="FFFFFF"/>
        </w:rPr>
        <w:t>Imajo</w:t>
      </w:r>
      <w:proofErr w:type="spellEnd"/>
      <w:r w:rsidRPr="00A53A65">
        <w:rPr>
          <w:rFonts w:ascii="Times New Roman" w:hAnsi="Times New Roman" w:cs="Times New Roman"/>
          <w:color w:val="1B1B1B"/>
          <w:sz w:val="24"/>
          <w:szCs w:val="24"/>
          <w:shd w:val="clear" w:color="auto" w:fill="FFFFFF"/>
        </w:rPr>
        <w:t xml:space="preserve"> Y, Nishida N, </w:t>
      </w:r>
      <w:proofErr w:type="spellStart"/>
      <w:r w:rsidRPr="00A53A65">
        <w:rPr>
          <w:rFonts w:ascii="Times New Roman" w:hAnsi="Times New Roman" w:cs="Times New Roman"/>
          <w:color w:val="1B1B1B"/>
          <w:sz w:val="24"/>
          <w:szCs w:val="24"/>
          <w:shd w:val="clear" w:color="auto" w:fill="FFFFFF"/>
        </w:rPr>
        <w:t>Funaba</w:t>
      </w:r>
      <w:proofErr w:type="spellEnd"/>
      <w:r w:rsidRPr="00A53A65">
        <w:rPr>
          <w:rFonts w:ascii="Times New Roman" w:hAnsi="Times New Roman" w:cs="Times New Roman"/>
          <w:color w:val="1B1B1B"/>
          <w:sz w:val="24"/>
          <w:szCs w:val="24"/>
          <w:shd w:val="clear" w:color="auto" w:fill="FFFFFF"/>
        </w:rPr>
        <w:t xml:space="preserve"> M, </w:t>
      </w:r>
      <w:r w:rsidR="00315D8F" w:rsidRPr="00A53A65">
        <w:rPr>
          <w:rFonts w:ascii="Times New Roman" w:hAnsi="Times New Roman" w:cs="Times New Roman"/>
          <w:color w:val="1B1B1B"/>
          <w:sz w:val="24"/>
          <w:szCs w:val="24"/>
          <w:shd w:val="clear" w:color="auto" w:fill="FFFFFF"/>
        </w:rPr>
        <w:t xml:space="preserve">et al. </w:t>
      </w:r>
      <w:r w:rsidRPr="00A53A65">
        <w:rPr>
          <w:rFonts w:ascii="Times New Roman" w:hAnsi="Times New Roman" w:cs="Times New Roman"/>
          <w:color w:val="1B1B1B"/>
          <w:sz w:val="24"/>
          <w:szCs w:val="24"/>
          <w:shd w:val="clear" w:color="auto" w:fill="FFFFFF"/>
        </w:rPr>
        <w:t>Clinically significant changes in pain along the Pain Intensity Numerical Rating Scale in patients with chronic low</w:t>
      </w:r>
      <w:r w:rsidR="00315D8F" w:rsidRPr="00A53A65">
        <w:rPr>
          <w:rFonts w:ascii="Times New Roman" w:hAnsi="Times New Roman" w:cs="Times New Roman"/>
          <w:color w:val="1B1B1B"/>
          <w:sz w:val="24"/>
          <w:szCs w:val="24"/>
          <w:shd w:val="clear" w:color="auto" w:fill="FFFFFF"/>
        </w:rPr>
        <w:t xml:space="preserve"> back pain. PLoS One. 2020</w:t>
      </w:r>
      <w:r w:rsidRPr="00A53A65">
        <w:rPr>
          <w:rFonts w:ascii="Times New Roman" w:hAnsi="Times New Roman" w:cs="Times New Roman"/>
          <w:color w:val="1B1B1B"/>
          <w:sz w:val="24"/>
          <w:szCs w:val="24"/>
          <w:shd w:val="clear" w:color="auto" w:fill="FFFFFF"/>
        </w:rPr>
        <w:t>;</w:t>
      </w:r>
      <w:r w:rsidR="00315D8F" w:rsidRPr="00A53A65">
        <w:rPr>
          <w:rFonts w:ascii="Times New Roman" w:hAnsi="Times New Roman" w:cs="Times New Roman"/>
          <w:color w:val="1B1B1B"/>
          <w:sz w:val="24"/>
          <w:szCs w:val="24"/>
          <w:shd w:val="clear" w:color="auto" w:fill="FFFFFF"/>
        </w:rPr>
        <w:t xml:space="preserve"> </w:t>
      </w:r>
      <w:r w:rsidRPr="00A53A65">
        <w:rPr>
          <w:rFonts w:ascii="Times New Roman" w:hAnsi="Times New Roman" w:cs="Times New Roman"/>
          <w:color w:val="1B1B1B"/>
          <w:sz w:val="24"/>
          <w:szCs w:val="24"/>
          <w:shd w:val="clear" w:color="auto" w:fill="FFFFFF"/>
        </w:rPr>
        <w:t xml:space="preserve">15(3):e0229228.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10.1371/journal.pone.0229228. PMID: 32126108; PMCID: PMC7053735</w:t>
      </w:r>
      <w:r w:rsidRPr="00A53A65">
        <w:rPr>
          <w:rFonts w:ascii="Consolas" w:hAnsi="Consolas"/>
          <w:color w:val="1B1B1B"/>
          <w:shd w:val="clear" w:color="auto" w:fill="FFFFFF"/>
        </w:rPr>
        <w:t>.</w:t>
      </w:r>
      <w:r w:rsidRPr="00A53A65">
        <w:rPr>
          <w:rFonts w:ascii="Times New Roman" w:hAnsi="Times New Roman" w:cs="Times New Roman"/>
          <w:color w:val="212121"/>
          <w:sz w:val="24"/>
          <w:szCs w:val="24"/>
          <w:shd w:val="clear" w:color="auto" w:fill="FFFFFF"/>
        </w:rPr>
        <w:t xml:space="preserve"> </w:t>
      </w:r>
    </w:p>
    <w:p w14:paraId="41DE790F" w14:textId="77777777" w:rsidR="00315D8F" w:rsidRPr="00A53A65" w:rsidRDefault="00315D8F"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Carpi M. The Pittsburgh Sleep Quality Index: a brief review. </w:t>
      </w:r>
      <w:proofErr w:type="spellStart"/>
      <w:r w:rsidRPr="00A53A65">
        <w:rPr>
          <w:rFonts w:ascii="Times New Roman" w:hAnsi="Times New Roman" w:cs="Times New Roman"/>
          <w:color w:val="1B1B1B"/>
          <w:sz w:val="24"/>
          <w:szCs w:val="24"/>
          <w:shd w:val="clear" w:color="auto" w:fill="FFFFFF"/>
        </w:rPr>
        <w:t>Occup</w:t>
      </w:r>
      <w:proofErr w:type="spellEnd"/>
      <w:r w:rsidRPr="00A53A65">
        <w:rPr>
          <w:rFonts w:ascii="Times New Roman" w:hAnsi="Times New Roman" w:cs="Times New Roman"/>
          <w:color w:val="1B1B1B"/>
          <w:sz w:val="24"/>
          <w:szCs w:val="24"/>
          <w:shd w:val="clear" w:color="auto" w:fill="FFFFFF"/>
        </w:rPr>
        <w:t xml:space="preserve"> Med (</w:t>
      </w:r>
      <w:proofErr w:type="spellStart"/>
      <w:r w:rsidRPr="00A53A65">
        <w:rPr>
          <w:rFonts w:ascii="Times New Roman" w:hAnsi="Times New Roman" w:cs="Times New Roman"/>
          <w:color w:val="1B1B1B"/>
          <w:sz w:val="24"/>
          <w:szCs w:val="24"/>
          <w:shd w:val="clear" w:color="auto" w:fill="FFFFFF"/>
        </w:rPr>
        <w:t>Lond</w:t>
      </w:r>
      <w:proofErr w:type="spellEnd"/>
      <w:r w:rsidRPr="00A53A65">
        <w:rPr>
          <w:rFonts w:ascii="Times New Roman" w:hAnsi="Times New Roman" w:cs="Times New Roman"/>
          <w:color w:val="1B1B1B"/>
          <w:sz w:val="24"/>
          <w:szCs w:val="24"/>
          <w:shd w:val="clear" w:color="auto" w:fill="FFFFFF"/>
        </w:rPr>
        <w:t xml:space="preserve">). 2025; 75(1):14-15.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10.1093/</w:t>
      </w:r>
      <w:proofErr w:type="spellStart"/>
      <w:r w:rsidRPr="00A53A65">
        <w:rPr>
          <w:rFonts w:ascii="Times New Roman" w:hAnsi="Times New Roman" w:cs="Times New Roman"/>
          <w:color w:val="1B1B1B"/>
          <w:sz w:val="24"/>
          <w:szCs w:val="24"/>
          <w:shd w:val="clear" w:color="auto" w:fill="FFFFFF"/>
        </w:rPr>
        <w:t>occmed</w:t>
      </w:r>
      <w:proofErr w:type="spellEnd"/>
      <w:r w:rsidRPr="00A53A65">
        <w:rPr>
          <w:rFonts w:ascii="Times New Roman" w:hAnsi="Times New Roman" w:cs="Times New Roman"/>
          <w:color w:val="1B1B1B"/>
          <w:sz w:val="24"/>
          <w:szCs w:val="24"/>
          <w:shd w:val="clear" w:color="auto" w:fill="FFFFFF"/>
        </w:rPr>
        <w:t>/kqae121. PMID: 40190123; PMCID: PMC11973415.</w:t>
      </w:r>
    </w:p>
    <w:p w14:paraId="0ED71ACE" w14:textId="77777777" w:rsidR="00315D8F" w:rsidRPr="00A53A65" w:rsidRDefault="00315D8F"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Prince SA, </w:t>
      </w:r>
      <w:proofErr w:type="spellStart"/>
      <w:r w:rsidRPr="00A53A65">
        <w:rPr>
          <w:rFonts w:ascii="Times New Roman" w:hAnsi="Times New Roman" w:cs="Times New Roman"/>
          <w:color w:val="212121"/>
          <w:sz w:val="24"/>
          <w:szCs w:val="24"/>
          <w:shd w:val="clear" w:color="auto" w:fill="FFFFFF"/>
        </w:rPr>
        <w:t>Cardilli</w:t>
      </w:r>
      <w:proofErr w:type="spellEnd"/>
      <w:r w:rsidRPr="00A53A65">
        <w:rPr>
          <w:rFonts w:ascii="Times New Roman" w:hAnsi="Times New Roman" w:cs="Times New Roman"/>
          <w:color w:val="212121"/>
          <w:sz w:val="24"/>
          <w:szCs w:val="24"/>
          <w:shd w:val="clear" w:color="auto" w:fill="FFFFFF"/>
        </w:rPr>
        <w:t xml:space="preserve"> L, Reed JL, Saunders TJ, Kite C, </w:t>
      </w:r>
      <w:proofErr w:type="spellStart"/>
      <w:r w:rsidRPr="00A53A65">
        <w:rPr>
          <w:rFonts w:ascii="Times New Roman" w:hAnsi="Times New Roman" w:cs="Times New Roman"/>
          <w:color w:val="212121"/>
          <w:sz w:val="24"/>
          <w:szCs w:val="24"/>
          <w:shd w:val="clear" w:color="auto" w:fill="FFFFFF"/>
        </w:rPr>
        <w:t>Douillette</w:t>
      </w:r>
      <w:proofErr w:type="spellEnd"/>
      <w:r w:rsidRPr="00A53A65">
        <w:rPr>
          <w:rFonts w:ascii="Times New Roman" w:hAnsi="Times New Roman" w:cs="Times New Roman"/>
          <w:color w:val="212121"/>
          <w:sz w:val="24"/>
          <w:szCs w:val="24"/>
          <w:shd w:val="clear" w:color="auto" w:fill="FFFFFF"/>
        </w:rPr>
        <w:t xml:space="preserve"> K, Fournier K, Buckley JP. A comparison of self-reported and device measured sedentary behaviour in adults: a systematic review and meta-analysis. Int J </w:t>
      </w:r>
      <w:proofErr w:type="spellStart"/>
      <w:r w:rsidRPr="00A53A65">
        <w:rPr>
          <w:rFonts w:ascii="Times New Roman" w:hAnsi="Times New Roman" w:cs="Times New Roman"/>
          <w:color w:val="212121"/>
          <w:sz w:val="24"/>
          <w:szCs w:val="24"/>
          <w:shd w:val="clear" w:color="auto" w:fill="FFFFFF"/>
        </w:rPr>
        <w:t>Behav</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Nutr</w:t>
      </w:r>
      <w:proofErr w:type="spellEnd"/>
      <w:r w:rsidRPr="00A53A65">
        <w:rPr>
          <w:rFonts w:ascii="Times New Roman" w:hAnsi="Times New Roman" w:cs="Times New Roman"/>
          <w:color w:val="212121"/>
          <w:sz w:val="24"/>
          <w:szCs w:val="24"/>
          <w:shd w:val="clear" w:color="auto" w:fill="FFFFFF"/>
        </w:rPr>
        <w:t xml:space="preserve"> Phys Act. 2020 Mar 4;17(1):31.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10.1186/s12966-020-00938-3. PMID: 32131845; PMCID: PMC7055033.</w:t>
      </w:r>
    </w:p>
    <w:p w14:paraId="6D2C08F4" w14:textId="77777777" w:rsidR="00315D8F" w:rsidRPr="00A53A65" w:rsidRDefault="00315D8F"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Sember V, Meh K, Sorić M, Starc G, Rocha P, Jurak G. Validity and Reliability of International Physical Activity Questionnaires for Adults across EU Countries: Systematic Review and Meta Analysis. Int J Environ Res Public Health. 2020; 17(19):7161.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10.3390/ijerph17197161. PMID: 33007880; PMCID: PMC7579664</w:t>
      </w:r>
      <w:r w:rsidRPr="00A53A65">
        <w:rPr>
          <w:rFonts w:ascii="Consolas" w:hAnsi="Consolas"/>
          <w:color w:val="1B1B1B"/>
          <w:shd w:val="clear" w:color="auto" w:fill="FFFFFF"/>
        </w:rPr>
        <w:t>.</w:t>
      </w:r>
      <w:r w:rsidRPr="00A53A65">
        <w:rPr>
          <w:rFonts w:ascii="Times New Roman" w:hAnsi="Times New Roman" w:cs="Times New Roman"/>
          <w:color w:val="212121"/>
          <w:sz w:val="24"/>
          <w:szCs w:val="24"/>
          <w:shd w:val="clear" w:color="auto" w:fill="FFFFFF"/>
        </w:rPr>
        <w:t xml:space="preserve"> </w:t>
      </w:r>
    </w:p>
    <w:p w14:paraId="4D607AB7" w14:textId="77777777" w:rsidR="003F78C4" w:rsidRPr="00A53A65" w:rsidRDefault="003F78C4"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Wan X, Li S, Best TM, Liu H, Li H, Yu B. Effects of flexibility and strength training on peak hamstring musculotendinous strains during sprinting. J Sport Health Sci. 2021; 10(2):222-229.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10.1016/j.jshs.2020.08.001. PMID: 32795623; PMCID: PMC7987790.</w:t>
      </w:r>
    </w:p>
    <w:p w14:paraId="0950A4E9" w14:textId="77777777" w:rsidR="003F78C4" w:rsidRPr="00A53A65" w:rsidRDefault="003F78C4"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Alshammari</w:t>
      </w:r>
      <w:proofErr w:type="spellEnd"/>
      <w:r w:rsidRPr="00A53A65">
        <w:rPr>
          <w:rFonts w:ascii="Times New Roman" w:hAnsi="Times New Roman" w:cs="Times New Roman"/>
          <w:color w:val="1B1B1B"/>
          <w:sz w:val="24"/>
          <w:szCs w:val="24"/>
          <w:shd w:val="clear" w:color="auto" w:fill="FFFFFF"/>
        </w:rPr>
        <w:t xml:space="preserve"> F, </w:t>
      </w:r>
      <w:proofErr w:type="spellStart"/>
      <w:r w:rsidRPr="00A53A65">
        <w:rPr>
          <w:rFonts w:ascii="Times New Roman" w:hAnsi="Times New Roman" w:cs="Times New Roman"/>
          <w:color w:val="1B1B1B"/>
          <w:sz w:val="24"/>
          <w:szCs w:val="24"/>
          <w:shd w:val="clear" w:color="auto" w:fill="FFFFFF"/>
        </w:rPr>
        <w:t>Alzoghbieh</w:t>
      </w:r>
      <w:proofErr w:type="spellEnd"/>
      <w:r w:rsidRPr="00A53A65">
        <w:rPr>
          <w:rFonts w:ascii="Times New Roman" w:hAnsi="Times New Roman" w:cs="Times New Roman"/>
          <w:color w:val="1B1B1B"/>
          <w:sz w:val="24"/>
          <w:szCs w:val="24"/>
          <w:shd w:val="clear" w:color="auto" w:fill="FFFFFF"/>
        </w:rPr>
        <w:t xml:space="preserve"> E, Abu </w:t>
      </w:r>
      <w:proofErr w:type="spellStart"/>
      <w:r w:rsidRPr="00A53A65">
        <w:rPr>
          <w:rFonts w:ascii="Times New Roman" w:hAnsi="Times New Roman" w:cs="Times New Roman"/>
          <w:color w:val="1B1B1B"/>
          <w:sz w:val="24"/>
          <w:szCs w:val="24"/>
          <w:shd w:val="clear" w:color="auto" w:fill="FFFFFF"/>
        </w:rPr>
        <w:t>Kabar</w:t>
      </w:r>
      <w:proofErr w:type="spellEnd"/>
      <w:r w:rsidRPr="00A53A65">
        <w:rPr>
          <w:rFonts w:ascii="Times New Roman" w:hAnsi="Times New Roman" w:cs="Times New Roman"/>
          <w:color w:val="1B1B1B"/>
          <w:sz w:val="24"/>
          <w:szCs w:val="24"/>
          <w:shd w:val="clear" w:color="auto" w:fill="FFFFFF"/>
        </w:rPr>
        <w:t xml:space="preserve"> M, </w:t>
      </w:r>
      <w:proofErr w:type="spellStart"/>
      <w:r w:rsidRPr="00A53A65">
        <w:rPr>
          <w:rFonts w:ascii="Times New Roman" w:hAnsi="Times New Roman" w:cs="Times New Roman"/>
          <w:color w:val="1B1B1B"/>
          <w:sz w:val="24"/>
          <w:szCs w:val="24"/>
          <w:shd w:val="clear" w:color="auto" w:fill="FFFFFF"/>
        </w:rPr>
        <w:t>Hawamdeh</w:t>
      </w:r>
      <w:proofErr w:type="spellEnd"/>
      <w:r w:rsidRPr="00A53A65">
        <w:rPr>
          <w:rFonts w:ascii="Times New Roman" w:hAnsi="Times New Roman" w:cs="Times New Roman"/>
          <w:color w:val="1B1B1B"/>
          <w:sz w:val="24"/>
          <w:szCs w:val="24"/>
          <w:shd w:val="clear" w:color="auto" w:fill="FFFFFF"/>
        </w:rPr>
        <w:t xml:space="preserve"> M. A novel approach to improve hamstring flexibility: A single-blinded randomised clinical trial. S </w:t>
      </w:r>
      <w:proofErr w:type="spellStart"/>
      <w:r w:rsidRPr="00A53A65">
        <w:rPr>
          <w:rFonts w:ascii="Times New Roman" w:hAnsi="Times New Roman" w:cs="Times New Roman"/>
          <w:color w:val="1B1B1B"/>
          <w:sz w:val="24"/>
          <w:szCs w:val="24"/>
          <w:shd w:val="clear" w:color="auto" w:fill="FFFFFF"/>
        </w:rPr>
        <w:t>Afr</w:t>
      </w:r>
      <w:proofErr w:type="spellEnd"/>
      <w:r w:rsidRPr="00A53A65">
        <w:rPr>
          <w:rFonts w:ascii="Times New Roman" w:hAnsi="Times New Roman" w:cs="Times New Roman"/>
          <w:color w:val="1B1B1B"/>
          <w:sz w:val="24"/>
          <w:szCs w:val="24"/>
          <w:shd w:val="clear" w:color="auto" w:fill="FFFFFF"/>
        </w:rPr>
        <w:t xml:space="preserve"> J </w:t>
      </w:r>
      <w:proofErr w:type="spellStart"/>
      <w:r w:rsidRPr="00A53A65">
        <w:rPr>
          <w:rFonts w:ascii="Times New Roman" w:hAnsi="Times New Roman" w:cs="Times New Roman"/>
          <w:color w:val="1B1B1B"/>
          <w:sz w:val="24"/>
          <w:szCs w:val="24"/>
          <w:shd w:val="clear" w:color="auto" w:fill="FFFFFF"/>
        </w:rPr>
        <w:lastRenderedPageBreak/>
        <w:t>Physiother</w:t>
      </w:r>
      <w:proofErr w:type="spellEnd"/>
      <w:r w:rsidRPr="00A53A65">
        <w:rPr>
          <w:rFonts w:ascii="Times New Roman" w:hAnsi="Times New Roman" w:cs="Times New Roman"/>
          <w:color w:val="1B1B1B"/>
          <w:sz w:val="24"/>
          <w:szCs w:val="24"/>
          <w:shd w:val="clear" w:color="auto" w:fill="FFFFFF"/>
        </w:rPr>
        <w:t xml:space="preserve">. 2019; 75(1):465.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10.4102/</w:t>
      </w:r>
      <w:proofErr w:type="gramStart"/>
      <w:r w:rsidRPr="00A53A65">
        <w:rPr>
          <w:rFonts w:ascii="Times New Roman" w:hAnsi="Times New Roman" w:cs="Times New Roman"/>
          <w:color w:val="1B1B1B"/>
          <w:sz w:val="24"/>
          <w:szCs w:val="24"/>
          <w:shd w:val="clear" w:color="auto" w:fill="FFFFFF"/>
        </w:rPr>
        <w:t>sajp.v</w:t>
      </w:r>
      <w:proofErr w:type="gramEnd"/>
      <w:r w:rsidRPr="00A53A65">
        <w:rPr>
          <w:rFonts w:ascii="Times New Roman" w:hAnsi="Times New Roman" w:cs="Times New Roman"/>
          <w:color w:val="1B1B1B"/>
          <w:sz w:val="24"/>
          <w:szCs w:val="24"/>
          <w:shd w:val="clear" w:color="auto" w:fill="FFFFFF"/>
        </w:rPr>
        <w:t>75i1.465. PMID: 31061909; PMCID: PMC6495003.</w:t>
      </w:r>
    </w:p>
    <w:sectPr w:rsidR="003F78C4" w:rsidRPr="00A53A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A445" w14:textId="77777777" w:rsidR="00F66A3C" w:rsidRDefault="00F66A3C" w:rsidP="00FC3AEC">
      <w:pPr>
        <w:spacing w:after="0" w:line="240" w:lineRule="auto"/>
      </w:pPr>
      <w:r>
        <w:separator/>
      </w:r>
    </w:p>
  </w:endnote>
  <w:endnote w:type="continuationSeparator" w:id="0">
    <w:p w14:paraId="03176465" w14:textId="77777777" w:rsidR="00F66A3C" w:rsidRDefault="00F66A3C" w:rsidP="00FC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2458" w14:textId="77777777" w:rsidR="00FC3AEC" w:rsidRDefault="00FC3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A54D" w14:textId="77777777" w:rsidR="00FC3AEC" w:rsidRDefault="00FC3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0176" w14:textId="77777777" w:rsidR="00FC3AEC" w:rsidRDefault="00FC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C0D19" w14:textId="77777777" w:rsidR="00F66A3C" w:rsidRDefault="00F66A3C" w:rsidP="00FC3AEC">
      <w:pPr>
        <w:spacing w:after="0" w:line="240" w:lineRule="auto"/>
      </w:pPr>
      <w:r>
        <w:separator/>
      </w:r>
    </w:p>
  </w:footnote>
  <w:footnote w:type="continuationSeparator" w:id="0">
    <w:p w14:paraId="17049430" w14:textId="77777777" w:rsidR="00F66A3C" w:rsidRDefault="00F66A3C" w:rsidP="00FC3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F94B" w14:textId="6F7685C9" w:rsidR="00FC3AEC" w:rsidRDefault="00FC3AEC">
    <w:pPr>
      <w:pStyle w:val="Header"/>
    </w:pPr>
    <w:r>
      <w:rPr>
        <w:noProof/>
      </w:rPr>
      <w:pict w14:anchorId="6940A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2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A8E9" w14:textId="6CC0E29F" w:rsidR="00FC3AEC" w:rsidRDefault="00FC3AEC">
    <w:pPr>
      <w:pStyle w:val="Header"/>
    </w:pPr>
    <w:r>
      <w:rPr>
        <w:noProof/>
      </w:rPr>
      <w:pict w14:anchorId="583B0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2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6033" w14:textId="67852FA3" w:rsidR="00FC3AEC" w:rsidRDefault="00FC3AEC">
    <w:pPr>
      <w:pStyle w:val="Header"/>
    </w:pPr>
    <w:r>
      <w:rPr>
        <w:noProof/>
      </w:rPr>
      <w:pict w14:anchorId="10535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2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A41FB"/>
    <w:multiLevelType w:val="hybridMultilevel"/>
    <w:tmpl w:val="EC6C6DAE"/>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02"/>
    <w:rsid w:val="000408AE"/>
    <w:rsid w:val="00096A0B"/>
    <w:rsid w:val="0013532F"/>
    <w:rsid w:val="001407CE"/>
    <w:rsid w:val="002028DB"/>
    <w:rsid w:val="00212063"/>
    <w:rsid w:val="00243CA8"/>
    <w:rsid w:val="002B45E3"/>
    <w:rsid w:val="00315D8F"/>
    <w:rsid w:val="00353D70"/>
    <w:rsid w:val="0036424A"/>
    <w:rsid w:val="003C23D5"/>
    <w:rsid w:val="003D0033"/>
    <w:rsid w:val="003D1ECC"/>
    <w:rsid w:val="003E253B"/>
    <w:rsid w:val="003F78C4"/>
    <w:rsid w:val="004403D4"/>
    <w:rsid w:val="004915DE"/>
    <w:rsid w:val="004E6689"/>
    <w:rsid w:val="00500053"/>
    <w:rsid w:val="0052377B"/>
    <w:rsid w:val="00531E4A"/>
    <w:rsid w:val="00565D75"/>
    <w:rsid w:val="00574804"/>
    <w:rsid w:val="005A0EF9"/>
    <w:rsid w:val="005A5B96"/>
    <w:rsid w:val="005E185A"/>
    <w:rsid w:val="00631014"/>
    <w:rsid w:val="006379D5"/>
    <w:rsid w:val="00640255"/>
    <w:rsid w:val="006F0A69"/>
    <w:rsid w:val="00763BF5"/>
    <w:rsid w:val="00831BD9"/>
    <w:rsid w:val="00844424"/>
    <w:rsid w:val="008D27EB"/>
    <w:rsid w:val="008D4569"/>
    <w:rsid w:val="008E27E4"/>
    <w:rsid w:val="008F5109"/>
    <w:rsid w:val="00917D02"/>
    <w:rsid w:val="00935686"/>
    <w:rsid w:val="00956EB3"/>
    <w:rsid w:val="00991C4D"/>
    <w:rsid w:val="009B7842"/>
    <w:rsid w:val="00A0517D"/>
    <w:rsid w:val="00A25C0F"/>
    <w:rsid w:val="00A33CF9"/>
    <w:rsid w:val="00A53A65"/>
    <w:rsid w:val="00A6042A"/>
    <w:rsid w:val="00A65509"/>
    <w:rsid w:val="00AB2F02"/>
    <w:rsid w:val="00AC1085"/>
    <w:rsid w:val="00AF5988"/>
    <w:rsid w:val="00B64DBE"/>
    <w:rsid w:val="00B713BA"/>
    <w:rsid w:val="00B7713E"/>
    <w:rsid w:val="00BE175A"/>
    <w:rsid w:val="00C656A1"/>
    <w:rsid w:val="00C80961"/>
    <w:rsid w:val="00D30B55"/>
    <w:rsid w:val="00D92187"/>
    <w:rsid w:val="00DA44A7"/>
    <w:rsid w:val="00E77DA7"/>
    <w:rsid w:val="00E80DC0"/>
    <w:rsid w:val="00F00CF8"/>
    <w:rsid w:val="00F0548F"/>
    <w:rsid w:val="00F66A3C"/>
    <w:rsid w:val="00F7192B"/>
    <w:rsid w:val="00F7600E"/>
    <w:rsid w:val="00F7667C"/>
    <w:rsid w:val="00FC3AEC"/>
    <w:rsid w:val="00FD11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9DD81"/>
  <w15:chartTrackingRefBased/>
  <w15:docId w15:val="{9269DDCF-21A9-4049-B1FA-4CB88AB6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5A0E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aption">
    <w:name w:val="caption"/>
    <w:basedOn w:val="Normal"/>
    <w:next w:val="Normal"/>
    <w:uiPriority w:val="35"/>
    <w:unhideWhenUsed/>
    <w:qFormat/>
    <w:rsid w:val="0013532F"/>
    <w:pPr>
      <w:spacing w:after="200" w:line="240" w:lineRule="auto"/>
    </w:pPr>
    <w:rPr>
      <w:i/>
      <w:iCs/>
      <w:color w:val="44546A" w:themeColor="text2"/>
      <w:sz w:val="18"/>
      <w:szCs w:val="18"/>
    </w:rPr>
  </w:style>
  <w:style w:type="table" w:styleId="GridTable5Dark-Accent2">
    <w:name w:val="Grid Table 5 Dark Accent 2"/>
    <w:basedOn w:val="TableNormal"/>
    <w:uiPriority w:val="50"/>
    <w:rsid w:val="001353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BE175A"/>
    <w:pPr>
      <w:ind w:left="720"/>
      <w:contextualSpacing/>
    </w:pPr>
  </w:style>
  <w:style w:type="character" w:styleId="Hyperlink">
    <w:name w:val="Hyperlink"/>
    <w:basedOn w:val="DefaultParagraphFont"/>
    <w:uiPriority w:val="99"/>
    <w:unhideWhenUsed/>
    <w:rsid w:val="00F0548F"/>
    <w:rPr>
      <w:color w:val="0563C1" w:themeColor="hyperlink"/>
      <w:u w:val="single"/>
    </w:rPr>
  </w:style>
  <w:style w:type="character" w:styleId="UnresolvedMention">
    <w:name w:val="Unresolved Mention"/>
    <w:basedOn w:val="DefaultParagraphFont"/>
    <w:uiPriority w:val="99"/>
    <w:semiHidden/>
    <w:unhideWhenUsed/>
    <w:rsid w:val="00F0548F"/>
    <w:rPr>
      <w:color w:val="605E5C"/>
      <w:shd w:val="clear" w:color="auto" w:fill="E1DFDD"/>
    </w:rPr>
  </w:style>
  <w:style w:type="paragraph" w:styleId="Header">
    <w:name w:val="header"/>
    <w:basedOn w:val="Normal"/>
    <w:link w:val="HeaderChar"/>
    <w:uiPriority w:val="99"/>
    <w:unhideWhenUsed/>
    <w:rsid w:val="00FC3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AEC"/>
  </w:style>
  <w:style w:type="paragraph" w:styleId="Footer">
    <w:name w:val="footer"/>
    <w:basedOn w:val="Normal"/>
    <w:link w:val="FooterChar"/>
    <w:uiPriority w:val="99"/>
    <w:unhideWhenUsed/>
    <w:rsid w:val="00FC3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0302">
      <w:bodyDiv w:val="1"/>
      <w:marLeft w:val="0"/>
      <w:marRight w:val="0"/>
      <w:marTop w:val="0"/>
      <w:marBottom w:val="0"/>
      <w:divBdr>
        <w:top w:val="none" w:sz="0" w:space="0" w:color="auto"/>
        <w:left w:val="none" w:sz="0" w:space="0" w:color="auto"/>
        <w:bottom w:val="none" w:sz="0" w:space="0" w:color="auto"/>
        <w:right w:val="none" w:sz="0" w:space="0" w:color="auto"/>
      </w:divBdr>
    </w:div>
    <w:div w:id="88501592">
      <w:bodyDiv w:val="1"/>
      <w:marLeft w:val="0"/>
      <w:marRight w:val="0"/>
      <w:marTop w:val="0"/>
      <w:marBottom w:val="0"/>
      <w:divBdr>
        <w:top w:val="none" w:sz="0" w:space="0" w:color="auto"/>
        <w:left w:val="none" w:sz="0" w:space="0" w:color="auto"/>
        <w:bottom w:val="none" w:sz="0" w:space="0" w:color="auto"/>
        <w:right w:val="none" w:sz="0" w:space="0" w:color="auto"/>
      </w:divBdr>
    </w:div>
    <w:div w:id="289169204">
      <w:bodyDiv w:val="1"/>
      <w:marLeft w:val="0"/>
      <w:marRight w:val="0"/>
      <w:marTop w:val="0"/>
      <w:marBottom w:val="0"/>
      <w:divBdr>
        <w:top w:val="none" w:sz="0" w:space="0" w:color="auto"/>
        <w:left w:val="none" w:sz="0" w:space="0" w:color="auto"/>
        <w:bottom w:val="none" w:sz="0" w:space="0" w:color="auto"/>
        <w:right w:val="none" w:sz="0" w:space="0" w:color="auto"/>
      </w:divBdr>
    </w:div>
    <w:div w:id="498077794">
      <w:bodyDiv w:val="1"/>
      <w:marLeft w:val="0"/>
      <w:marRight w:val="0"/>
      <w:marTop w:val="0"/>
      <w:marBottom w:val="0"/>
      <w:divBdr>
        <w:top w:val="none" w:sz="0" w:space="0" w:color="auto"/>
        <w:left w:val="none" w:sz="0" w:space="0" w:color="auto"/>
        <w:bottom w:val="none" w:sz="0" w:space="0" w:color="auto"/>
        <w:right w:val="none" w:sz="0" w:space="0" w:color="auto"/>
      </w:divBdr>
    </w:div>
    <w:div w:id="544145513">
      <w:bodyDiv w:val="1"/>
      <w:marLeft w:val="0"/>
      <w:marRight w:val="0"/>
      <w:marTop w:val="0"/>
      <w:marBottom w:val="0"/>
      <w:divBdr>
        <w:top w:val="none" w:sz="0" w:space="0" w:color="auto"/>
        <w:left w:val="none" w:sz="0" w:space="0" w:color="auto"/>
        <w:bottom w:val="none" w:sz="0" w:space="0" w:color="auto"/>
        <w:right w:val="none" w:sz="0" w:space="0" w:color="auto"/>
      </w:divBdr>
    </w:div>
    <w:div w:id="614598746">
      <w:bodyDiv w:val="1"/>
      <w:marLeft w:val="0"/>
      <w:marRight w:val="0"/>
      <w:marTop w:val="0"/>
      <w:marBottom w:val="0"/>
      <w:divBdr>
        <w:top w:val="none" w:sz="0" w:space="0" w:color="auto"/>
        <w:left w:val="none" w:sz="0" w:space="0" w:color="auto"/>
        <w:bottom w:val="none" w:sz="0" w:space="0" w:color="auto"/>
        <w:right w:val="none" w:sz="0" w:space="0" w:color="auto"/>
      </w:divBdr>
    </w:div>
    <w:div w:id="1174954877">
      <w:bodyDiv w:val="1"/>
      <w:marLeft w:val="0"/>
      <w:marRight w:val="0"/>
      <w:marTop w:val="0"/>
      <w:marBottom w:val="0"/>
      <w:divBdr>
        <w:top w:val="none" w:sz="0" w:space="0" w:color="auto"/>
        <w:left w:val="none" w:sz="0" w:space="0" w:color="auto"/>
        <w:bottom w:val="none" w:sz="0" w:space="0" w:color="auto"/>
        <w:right w:val="none" w:sz="0" w:space="0" w:color="auto"/>
      </w:divBdr>
    </w:div>
    <w:div w:id="1639800610">
      <w:bodyDiv w:val="1"/>
      <w:marLeft w:val="0"/>
      <w:marRight w:val="0"/>
      <w:marTop w:val="0"/>
      <w:marBottom w:val="0"/>
      <w:divBdr>
        <w:top w:val="none" w:sz="0" w:space="0" w:color="auto"/>
        <w:left w:val="none" w:sz="0" w:space="0" w:color="auto"/>
        <w:bottom w:val="none" w:sz="0" w:space="0" w:color="auto"/>
        <w:right w:val="none" w:sz="0" w:space="0" w:color="auto"/>
      </w:divBdr>
    </w:div>
    <w:div w:id="1901864760">
      <w:bodyDiv w:val="1"/>
      <w:marLeft w:val="0"/>
      <w:marRight w:val="0"/>
      <w:marTop w:val="0"/>
      <w:marBottom w:val="0"/>
      <w:divBdr>
        <w:top w:val="none" w:sz="0" w:space="0" w:color="auto"/>
        <w:left w:val="none" w:sz="0" w:space="0" w:color="auto"/>
        <w:bottom w:val="none" w:sz="0" w:space="0" w:color="auto"/>
        <w:right w:val="none" w:sz="0" w:space="0" w:color="auto"/>
      </w:divBdr>
    </w:div>
    <w:div w:id="21010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17</Pages>
  <Words>5944</Words>
  <Characters>33886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17</cp:revision>
  <dcterms:created xsi:type="dcterms:W3CDTF">2026-04-01T05:19:00Z</dcterms:created>
  <dcterms:modified xsi:type="dcterms:W3CDTF">2026-04-22T10:10:00Z</dcterms:modified>
</cp:coreProperties>
</file>