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66E67" w14:textId="26330FB3" w:rsidR="007A45C3" w:rsidRDefault="00594977">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systematic review of factors </w:t>
      </w:r>
      <w:bookmarkStart w:id="0" w:name="_Hlk226711986"/>
      <w:r>
        <w:rPr>
          <w:rFonts w:ascii="Times New Roman" w:eastAsia="Times New Roman" w:hAnsi="Times New Roman" w:cs="Times New Roman"/>
          <w:b/>
          <w:bCs/>
          <w:sz w:val="24"/>
          <w:szCs w:val="24"/>
        </w:rPr>
        <w:t xml:space="preserve">affecting uptake of contraception amongst adolescents </w:t>
      </w:r>
      <w:bookmarkEnd w:id="0"/>
      <w:r>
        <w:rPr>
          <w:rFonts w:ascii="Times New Roman" w:eastAsia="Times New Roman" w:hAnsi="Times New Roman" w:cs="Times New Roman"/>
          <w:b/>
          <w:bCs/>
          <w:sz w:val="24"/>
          <w:szCs w:val="24"/>
        </w:rPr>
        <w:t>in Nigeria</w:t>
      </w:r>
    </w:p>
    <w:p w14:paraId="72764EB1" w14:textId="77777777" w:rsidR="007A45C3" w:rsidRDefault="007A45C3">
      <w:pPr>
        <w:jc w:val="both"/>
        <w:rPr>
          <w:rFonts w:ascii="Times New Roman" w:eastAsia="Times New Roman" w:hAnsi="Times New Roman" w:cs="Times New Roman"/>
          <w:sz w:val="24"/>
          <w:szCs w:val="24"/>
        </w:rPr>
      </w:pPr>
    </w:p>
    <w:p w14:paraId="4666F11B" w14:textId="77777777" w:rsidR="007F213B" w:rsidRDefault="007F213B">
      <w:pPr>
        <w:jc w:val="both"/>
        <w:rPr>
          <w:rFonts w:ascii="Times New Roman" w:eastAsia="Times New Roman" w:hAnsi="Times New Roman" w:cs="Times New Roman"/>
          <w:sz w:val="24"/>
          <w:szCs w:val="24"/>
        </w:rPr>
      </w:pPr>
      <w:bookmarkStart w:id="1" w:name="_GoBack"/>
      <w:bookmarkEnd w:id="1"/>
    </w:p>
    <w:p w14:paraId="5B79F299" w14:textId="77777777" w:rsidR="007A45C3" w:rsidRDefault="007A45C3">
      <w:pPr>
        <w:jc w:val="both"/>
        <w:rPr>
          <w:rFonts w:ascii="Times New Roman" w:eastAsia="Times New Roman" w:hAnsi="Times New Roman" w:cs="Times New Roman"/>
          <w:sz w:val="24"/>
          <w:szCs w:val="24"/>
        </w:rPr>
      </w:pPr>
    </w:p>
    <w:p w14:paraId="705CC9EC" w14:textId="77777777" w:rsidR="007A45C3" w:rsidRDefault="00594977">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ABSTRACT </w:t>
      </w:r>
    </w:p>
    <w:p w14:paraId="32BB439E" w14:textId="77777777" w:rsidR="007A45C3" w:rsidRDefault="005949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Background: </w:t>
      </w:r>
      <w:r>
        <w:rPr>
          <w:rFonts w:ascii="Times New Roman" w:eastAsia="Times New Roman" w:hAnsi="Times New Roman" w:cs="Times New Roman"/>
          <w:sz w:val="24"/>
          <w:szCs w:val="24"/>
        </w:rPr>
        <w:t>Adolescent contraceptive uptake remains a major public health concern in Nigeria, where high rates of unintended pregnancy contribute to adverse health, educa</w:t>
      </w:r>
      <w:r>
        <w:rPr>
          <w:rFonts w:ascii="Times New Roman" w:eastAsia="Times New Roman" w:hAnsi="Times New Roman" w:cs="Times New Roman"/>
          <w:sz w:val="24"/>
          <w:szCs w:val="24"/>
        </w:rPr>
        <w:t xml:space="preserve">tional, and socioeconomic outcomes. Despite widespread awareness of contraceptive methods, </w:t>
      </w:r>
      <w:proofErr w:type="spellStart"/>
      <w:r>
        <w:rPr>
          <w:rFonts w:ascii="Times New Roman" w:eastAsia="Times New Roman" w:hAnsi="Times New Roman" w:cs="Times New Roman"/>
          <w:sz w:val="24"/>
          <w:szCs w:val="24"/>
        </w:rPr>
        <w:t>utili</w:t>
      </w:r>
      <w:proofErr w:type="spellEnd"/>
      <w:r>
        <w:rPr>
          <w:rFonts w:ascii="Times New Roman" w:eastAsia="Times New Roman" w:hAnsi="Times New Roman" w:cs="Times New Roman"/>
          <w:sz w:val="24"/>
          <w:szCs w:val="24"/>
          <w:lang w:val="en-US"/>
        </w:rPr>
        <w:t>z</w:t>
      </w:r>
      <w:proofErr w:type="spellStart"/>
      <w:r>
        <w:rPr>
          <w:rFonts w:ascii="Times New Roman" w:eastAsia="Times New Roman" w:hAnsi="Times New Roman" w:cs="Times New Roman"/>
          <w:sz w:val="24"/>
          <w:szCs w:val="24"/>
        </w:rPr>
        <w:t>ation</w:t>
      </w:r>
      <w:proofErr w:type="spellEnd"/>
      <w:r>
        <w:rPr>
          <w:rFonts w:ascii="Times New Roman" w:eastAsia="Times New Roman" w:hAnsi="Times New Roman" w:cs="Times New Roman"/>
          <w:sz w:val="24"/>
          <w:szCs w:val="24"/>
        </w:rPr>
        <w:t xml:space="preserve"> among adolescents remains low, indicating the influence of multiple interacting factors.</w:t>
      </w:r>
    </w:p>
    <w:p w14:paraId="551DD8FE" w14:textId="77777777" w:rsidR="007A45C3" w:rsidRDefault="0059497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Objective: </w:t>
      </w:r>
      <w:r>
        <w:rPr>
          <w:rFonts w:ascii="Times New Roman" w:eastAsia="Times New Roman" w:hAnsi="Times New Roman" w:cs="Times New Roman"/>
          <w:sz w:val="24"/>
          <w:szCs w:val="24"/>
        </w:rPr>
        <w:t>This study aimed to systematically review the factors</w:t>
      </w:r>
      <w:r>
        <w:rPr>
          <w:rFonts w:ascii="Times New Roman" w:eastAsia="Times New Roman" w:hAnsi="Times New Roman" w:cs="Times New Roman"/>
          <w:sz w:val="24"/>
          <w:szCs w:val="24"/>
        </w:rPr>
        <w:t xml:space="preserve"> affecting contraceptive uptake among adolescents in Nigeria.</w:t>
      </w:r>
    </w:p>
    <w:p w14:paraId="751A64E2" w14:textId="77777777" w:rsidR="007A45C3" w:rsidRDefault="0059497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Methods: </w:t>
      </w:r>
      <w:r>
        <w:rPr>
          <w:rFonts w:ascii="Times New Roman" w:eastAsia="Times New Roman" w:hAnsi="Times New Roman" w:cs="Times New Roman"/>
          <w:sz w:val="24"/>
          <w:szCs w:val="24"/>
        </w:rPr>
        <w:t>A systematic review was conducted following PRISMA 2020 guidelines and registered with PROSPERO (CRD420261364491). Electronic databases including PubMed, Scopus, Web of Science, CINAHL,</w:t>
      </w:r>
      <w:r>
        <w:rPr>
          <w:rFonts w:ascii="Times New Roman" w:eastAsia="Times New Roman" w:hAnsi="Times New Roman" w:cs="Times New Roman"/>
          <w:sz w:val="24"/>
          <w:szCs w:val="24"/>
        </w:rPr>
        <w:t xml:space="preserve"> and Google Scholar were searched for studies published between 2000 and 2025. Eligible studies included observational and mixed-methods research focusing on adolescents aged 10–19 years in Nigeria. Data extraction and quality assessment were performed ind</w:t>
      </w:r>
      <w:r>
        <w:rPr>
          <w:rFonts w:ascii="Times New Roman" w:eastAsia="Times New Roman" w:hAnsi="Times New Roman" w:cs="Times New Roman"/>
          <w:sz w:val="24"/>
          <w:szCs w:val="24"/>
        </w:rPr>
        <w:t>ependently by two reviewers. Due to heterogeneity across studies, findings were synthesized narratively.</w:t>
      </w:r>
    </w:p>
    <w:p w14:paraId="109D1F6D" w14:textId="77777777" w:rsidR="007A45C3" w:rsidRDefault="0059497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Results: </w:t>
      </w:r>
      <w:r>
        <w:rPr>
          <w:rFonts w:ascii="Times New Roman" w:eastAsia="Times New Roman" w:hAnsi="Times New Roman" w:cs="Times New Roman"/>
          <w:sz w:val="24"/>
          <w:szCs w:val="24"/>
        </w:rPr>
        <w:t xml:space="preserve">Fifteen studies met the inclusion criteria. Although awareness of contraceptive methods was generally high, </w:t>
      </w:r>
      <w:proofErr w:type="spellStart"/>
      <w:r>
        <w:rPr>
          <w:rFonts w:ascii="Times New Roman" w:eastAsia="Times New Roman" w:hAnsi="Times New Roman" w:cs="Times New Roman"/>
          <w:sz w:val="24"/>
          <w:szCs w:val="24"/>
        </w:rPr>
        <w:t>utili</w:t>
      </w:r>
      <w:proofErr w:type="spellEnd"/>
      <w:r>
        <w:rPr>
          <w:rFonts w:ascii="Times New Roman" w:eastAsia="Times New Roman" w:hAnsi="Times New Roman" w:cs="Times New Roman"/>
          <w:sz w:val="24"/>
          <w:szCs w:val="24"/>
          <w:lang w:val="en-US"/>
        </w:rPr>
        <w:t>z</w:t>
      </w:r>
      <w:proofErr w:type="spellStart"/>
      <w:r>
        <w:rPr>
          <w:rFonts w:ascii="Times New Roman" w:eastAsia="Times New Roman" w:hAnsi="Times New Roman" w:cs="Times New Roman"/>
          <w:sz w:val="24"/>
          <w:szCs w:val="24"/>
        </w:rPr>
        <w:t>ation</w:t>
      </w:r>
      <w:proofErr w:type="spellEnd"/>
      <w:r>
        <w:rPr>
          <w:rFonts w:ascii="Times New Roman" w:eastAsia="Times New Roman" w:hAnsi="Times New Roman" w:cs="Times New Roman"/>
          <w:sz w:val="24"/>
          <w:szCs w:val="24"/>
        </w:rPr>
        <w:t xml:space="preserve"> remained low. Individu</w:t>
      </w:r>
      <w:r>
        <w:rPr>
          <w:rFonts w:ascii="Times New Roman" w:eastAsia="Times New Roman" w:hAnsi="Times New Roman" w:cs="Times New Roman"/>
          <w:sz w:val="24"/>
          <w:szCs w:val="24"/>
        </w:rPr>
        <w:t xml:space="preserve">al factors such as age, education, knowledge gaps, and fear of side effects influenced uptake. Interpersonal factors, including partner approval, parental communication, and peer influence, significantly shaped contraceptive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Sociocultural and re</w:t>
      </w:r>
      <w:r>
        <w:rPr>
          <w:rFonts w:ascii="Times New Roman" w:eastAsia="Times New Roman" w:hAnsi="Times New Roman" w:cs="Times New Roman"/>
          <w:sz w:val="24"/>
          <w:szCs w:val="24"/>
        </w:rPr>
        <w:t>ligious norms, stigma, and gender inequalities were major barriers, particularly among unmarried adolescents. Socioeconomic disparities and rural residence further limited access. Health system challenges, including lack of adolescent-friendly services, pr</w:t>
      </w:r>
      <w:r>
        <w:rPr>
          <w:rFonts w:ascii="Times New Roman" w:eastAsia="Times New Roman" w:hAnsi="Times New Roman" w:cs="Times New Roman"/>
          <w:sz w:val="24"/>
          <w:szCs w:val="24"/>
        </w:rPr>
        <w:t xml:space="preserve">ovider bias, confidentiality concerns, and commodity stock-outs, also reduced </w:t>
      </w:r>
      <w:proofErr w:type="spellStart"/>
      <w:r>
        <w:rPr>
          <w:rFonts w:ascii="Times New Roman" w:eastAsia="Times New Roman" w:hAnsi="Times New Roman" w:cs="Times New Roman"/>
          <w:sz w:val="24"/>
          <w:szCs w:val="24"/>
        </w:rPr>
        <w:t>utili</w:t>
      </w:r>
      <w:proofErr w:type="spellEnd"/>
      <w:r>
        <w:rPr>
          <w:rFonts w:ascii="Times New Roman" w:eastAsia="Times New Roman" w:hAnsi="Times New Roman" w:cs="Times New Roman"/>
          <w:sz w:val="24"/>
          <w:szCs w:val="24"/>
          <w:lang w:val="en-US"/>
        </w:rPr>
        <w:t>z</w:t>
      </w:r>
      <w:proofErr w:type="spellStart"/>
      <w:r>
        <w:rPr>
          <w:rFonts w:ascii="Times New Roman" w:eastAsia="Times New Roman" w:hAnsi="Times New Roman" w:cs="Times New Roman"/>
          <w:sz w:val="24"/>
          <w:szCs w:val="24"/>
        </w:rPr>
        <w:t>ation</w:t>
      </w:r>
      <w:proofErr w:type="spellEnd"/>
      <w:r>
        <w:rPr>
          <w:rFonts w:ascii="Times New Roman" w:eastAsia="Times New Roman" w:hAnsi="Times New Roman" w:cs="Times New Roman"/>
          <w:sz w:val="24"/>
          <w:szCs w:val="24"/>
        </w:rPr>
        <w:t>. Exposure to family planning information through media was identified as a key facilitator.</w:t>
      </w:r>
    </w:p>
    <w:p w14:paraId="76CB4CAB" w14:textId="77777777" w:rsidR="007A45C3" w:rsidRDefault="0059497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Conclusion: </w:t>
      </w:r>
      <w:r>
        <w:rPr>
          <w:rFonts w:ascii="Times New Roman" w:eastAsia="Times New Roman" w:hAnsi="Times New Roman" w:cs="Times New Roman"/>
          <w:sz w:val="24"/>
          <w:szCs w:val="24"/>
        </w:rPr>
        <w:t>Contraceptive uptake among adolescents in Nigeria is influence</w:t>
      </w:r>
      <w:r>
        <w:rPr>
          <w:rFonts w:ascii="Times New Roman" w:eastAsia="Times New Roman" w:hAnsi="Times New Roman" w:cs="Times New Roman"/>
          <w:sz w:val="24"/>
          <w:szCs w:val="24"/>
        </w:rPr>
        <w:t xml:space="preserve">d by multilevel factors. Comprehensive, culturally sensitive interventions and strengthened adolescent-friendly health services are essential to improve </w:t>
      </w:r>
      <w:proofErr w:type="spellStart"/>
      <w:r>
        <w:rPr>
          <w:rFonts w:ascii="Times New Roman" w:eastAsia="Times New Roman" w:hAnsi="Times New Roman" w:cs="Times New Roman"/>
          <w:sz w:val="24"/>
          <w:szCs w:val="24"/>
        </w:rPr>
        <w:t>utili</w:t>
      </w:r>
      <w:proofErr w:type="spellEnd"/>
      <w:r>
        <w:rPr>
          <w:rFonts w:ascii="Times New Roman" w:eastAsia="Times New Roman" w:hAnsi="Times New Roman" w:cs="Times New Roman"/>
          <w:sz w:val="24"/>
          <w:szCs w:val="24"/>
          <w:lang w:val="en-US"/>
        </w:rPr>
        <w:t>z</w:t>
      </w:r>
      <w:proofErr w:type="spellStart"/>
      <w:r>
        <w:rPr>
          <w:rFonts w:ascii="Times New Roman" w:eastAsia="Times New Roman" w:hAnsi="Times New Roman" w:cs="Times New Roman"/>
          <w:sz w:val="24"/>
          <w:szCs w:val="24"/>
        </w:rPr>
        <w:t>ation</w:t>
      </w:r>
      <w:proofErr w:type="spellEnd"/>
      <w:r>
        <w:rPr>
          <w:rFonts w:ascii="Times New Roman" w:eastAsia="Times New Roman" w:hAnsi="Times New Roman" w:cs="Times New Roman"/>
          <w:sz w:val="24"/>
          <w:szCs w:val="24"/>
        </w:rPr>
        <w:t xml:space="preserve"> and reproductive health outcomes.</w:t>
      </w:r>
    </w:p>
    <w:p w14:paraId="70494589" w14:textId="77777777" w:rsidR="007A45C3" w:rsidRDefault="0059497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Adolescents, Contraceptive uptake, Reproductive</w:t>
      </w:r>
      <w:r>
        <w:rPr>
          <w:rFonts w:ascii="Times New Roman" w:eastAsia="Times New Roman" w:hAnsi="Times New Roman" w:cs="Times New Roman"/>
          <w:sz w:val="24"/>
          <w:szCs w:val="24"/>
        </w:rPr>
        <w:t xml:space="preserve"> health, Health system barriers, Nigeria</w:t>
      </w:r>
    </w:p>
    <w:p w14:paraId="45FD9E11" w14:textId="77777777" w:rsidR="007A45C3" w:rsidRDefault="007A45C3">
      <w:pPr>
        <w:jc w:val="both"/>
        <w:rPr>
          <w:rFonts w:ascii="Times New Roman" w:eastAsia="Times New Roman" w:hAnsi="Times New Roman" w:cs="Times New Roman"/>
          <w:sz w:val="24"/>
          <w:szCs w:val="24"/>
        </w:rPr>
      </w:pPr>
    </w:p>
    <w:p w14:paraId="2DA5D169" w14:textId="77777777" w:rsidR="007A45C3" w:rsidRDefault="00594977">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b/>
          <w:bCs/>
          <w:sz w:val="24"/>
          <w:szCs w:val="24"/>
        </w:rPr>
        <w:t>INTRODUCTION</w:t>
      </w:r>
    </w:p>
    <w:p w14:paraId="4D5F7DD0" w14:textId="77777777" w:rsidR="007A45C3" w:rsidRDefault="0059497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Contraception is the deliberate use of methods, agents,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or devices to prevent or delay pregnancy by interfering with ovulation, fertilization, or implantation (</w:t>
      </w:r>
      <w:proofErr w:type="spellStart"/>
      <w:r>
        <w:rPr>
          <w:rFonts w:ascii="Times New Roman" w:eastAsia="Times New Roman" w:hAnsi="Times New Roman" w:cs="Times New Roman"/>
          <w:sz w:val="24"/>
          <w:szCs w:val="24"/>
        </w:rPr>
        <w:t>Bansode</w:t>
      </w:r>
      <w:proofErr w:type="spellEnd"/>
      <w:r>
        <w:rPr>
          <w:rFonts w:ascii="Times New Roman" w:eastAsia="Times New Roman" w:hAnsi="Times New Roman" w:cs="Times New Roman"/>
          <w:sz w:val="24"/>
          <w:szCs w:val="24"/>
        </w:rPr>
        <w:t xml:space="preserve"> et al., 2023). In public health and reproductive health practice, contracept</w:t>
      </w:r>
      <w:r>
        <w:rPr>
          <w:rFonts w:ascii="Times New Roman" w:eastAsia="Times New Roman" w:hAnsi="Times New Roman" w:cs="Times New Roman"/>
          <w:sz w:val="24"/>
          <w:szCs w:val="24"/>
        </w:rPr>
        <w:t>ive use is understood not only as a biomedical intervention but also as a core component of sexual and reproductive autonomy, enabling individuals to determine the number, timing, and spacing of pregnancies (</w:t>
      </w:r>
      <w:proofErr w:type="spellStart"/>
      <w:r>
        <w:rPr>
          <w:rFonts w:ascii="Times New Roman" w:eastAsia="Times New Roman" w:hAnsi="Times New Roman" w:cs="Times New Roman"/>
          <w:sz w:val="24"/>
          <w:szCs w:val="24"/>
        </w:rPr>
        <w:t>Cicerchia</w:t>
      </w:r>
      <w:proofErr w:type="spellEnd"/>
      <w:r>
        <w:rPr>
          <w:rFonts w:ascii="Times New Roman" w:eastAsia="Times New Roman" w:hAnsi="Times New Roman" w:cs="Times New Roman"/>
          <w:sz w:val="24"/>
          <w:szCs w:val="24"/>
        </w:rPr>
        <w:t xml:space="preserve"> et al., 2022). The World Health Organi</w:t>
      </w:r>
      <w:r>
        <w:rPr>
          <w:rFonts w:ascii="Times New Roman" w:eastAsia="Times New Roman" w:hAnsi="Times New Roman" w:cs="Times New Roman"/>
          <w:sz w:val="24"/>
          <w:szCs w:val="24"/>
        </w:rPr>
        <w:t xml:space="preserve">zation (WHO) defines adolescents as persons aged 10–19 years, a developmental period marked by rapid physical, cognitive, and psychosocial change that strongly shapes sexual and reproductive health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(World Health Organization, 2025). </w:t>
      </w:r>
    </w:p>
    <w:p w14:paraId="636A7824" w14:textId="77777777" w:rsidR="007A45C3" w:rsidRDefault="0059497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Contraceptiv</w:t>
      </w:r>
      <w:r>
        <w:rPr>
          <w:rFonts w:ascii="Times New Roman" w:eastAsia="Times New Roman" w:hAnsi="Times New Roman" w:cs="Times New Roman"/>
          <w:sz w:val="24"/>
          <w:szCs w:val="24"/>
        </w:rPr>
        <w:t xml:space="preserve">e methods are commonly classified into modern and traditional methods. Modern methods include male and female condoms, oral contraceptive pills, injectables, implants, intrauterine devices (IUDs), emergency contraception, lactational </w:t>
      </w:r>
      <w:proofErr w:type="spellStart"/>
      <w:r>
        <w:rPr>
          <w:rFonts w:ascii="Times New Roman" w:eastAsia="Times New Roman" w:hAnsi="Times New Roman" w:cs="Times New Roman"/>
          <w:sz w:val="24"/>
          <w:szCs w:val="24"/>
        </w:rPr>
        <w:t>amenorrhoea</w:t>
      </w:r>
      <w:proofErr w:type="spellEnd"/>
      <w:r>
        <w:rPr>
          <w:rFonts w:ascii="Times New Roman" w:eastAsia="Times New Roman" w:hAnsi="Times New Roman" w:cs="Times New Roman"/>
          <w:sz w:val="24"/>
          <w:szCs w:val="24"/>
        </w:rPr>
        <w:t xml:space="preserve"> method whe</w:t>
      </w:r>
      <w:r>
        <w:rPr>
          <w:rFonts w:ascii="Times New Roman" w:eastAsia="Times New Roman" w:hAnsi="Times New Roman" w:cs="Times New Roman"/>
          <w:sz w:val="24"/>
          <w:szCs w:val="24"/>
        </w:rPr>
        <w:t>n correctly used, and permanent methods such as male and female sterilization (World Health Organization, 2018). Traditional methods include periodic abstinence, withdrawal, and other fertility-awareness practices that are generally less effective under ty</w:t>
      </w:r>
      <w:r>
        <w:rPr>
          <w:rFonts w:ascii="Times New Roman" w:eastAsia="Times New Roman" w:hAnsi="Times New Roman" w:cs="Times New Roman"/>
          <w:sz w:val="24"/>
          <w:szCs w:val="24"/>
        </w:rPr>
        <w:t>pical use (</w:t>
      </w:r>
      <w:proofErr w:type="spellStart"/>
      <w:r>
        <w:rPr>
          <w:rFonts w:ascii="Times New Roman" w:eastAsia="Times New Roman" w:hAnsi="Times New Roman" w:cs="Times New Roman"/>
          <w:sz w:val="24"/>
          <w:szCs w:val="24"/>
        </w:rPr>
        <w:t>Jadloc</w:t>
      </w:r>
      <w:proofErr w:type="spellEnd"/>
      <w:r>
        <w:rPr>
          <w:rFonts w:ascii="Times New Roman" w:eastAsia="Times New Roman" w:hAnsi="Times New Roman" w:cs="Times New Roman"/>
          <w:sz w:val="24"/>
          <w:szCs w:val="24"/>
        </w:rPr>
        <w:t>, 2017). At the population level, contraceptive uptake is commonly assessed with indicators such as the contraceptive prevalence rate (CPR), modern contraceptive prevalence rate (</w:t>
      </w:r>
      <w:proofErr w:type="spellStart"/>
      <w:r>
        <w:rPr>
          <w:rFonts w:ascii="Times New Roman" w:eastAsia="Times New Roman" w:hAnsi="Times New Roman" w:cs="Times New Roman"/>
          <w:sz w:val="24"/>
          <w:szCs w:val="24"/>
        </w:rPr>
        <w:t>mCPR</w:t>
      </w:r>
      <w:proofErr w:type="spellEnd"/>
      <w:r>
        <w:rPr>
          <w:rFonts w:ascii="Times New Roman" w:eastAsia="Times New Roman" w:hAnsi="Times New Roman" w:cs="Times New Roman"/>
          <w:sz w:val="24"/>
          <w:szCs w:val="24"/>
        </w:rPr>
        <w:t>), unmet need for family planning, demand satisfied with</w:t>
      </w:r>
      <w:r>
        <w:rPr>
          <w:rFonts w:ascii="Times New Roman" w:eastAsia="Times New Roman" w:hAnsi="Times New Roman" w:cs="Times New Roman"/>
          <w:sz w:val="24"/>
          <w:szCs w:val="24"/>
        </w:rPr>
        <w:t xml:space="preserve"> modern methods (SDG 3.7.1), and method mix (Cahill et al., 2018). For adolescents specifically, WHO also recognizes indicators such as the proportion of adolescents aged 10–19 years who used a modern contraceptive method at last sexual intercourse. These </w:t>
      </w:r>
      <w:r>
        <w:rPr>
          <w:rFonts w:ascii="Times New Roman" w:eastAsia="Times New Roman" w:hAnsi="Times New Roman" w:cs="Times New Roman"/>
          <w:sz w:val="24"/>
          <w:szCs w:val="24"/>
        </w:rPr>
        <w:t>measures are useful because they capture not only use, but also access, equity, and the extent to which fertility preferences are being met (World Health Organization, 2018).</w:t>
      </w:r>
    </w:p>
    <w:p w14:paraId="068FE648" w14:textId="77777777" w:rsidR="007A45C3" w:rsidRDefault="0059497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population-level relevance of adolescent contraceptive uptake is substantial.</w:t>
      </w:r>
      <w:r>
        <w:rPr>
          <w:rFonts w:ascii="Times New Roman" w:eastAsia="Times New Roman" w:hAnsi="Times New Roman" w:cs="Times New Roman"/>
          <w:sz w:val="24"/>
          <w:szCs w:val="24"/>
        </w:rPr>
        <w:t xml:space="preserve"> Globally, an estimated 21 million girls aged 15–19 years in developing regions become pregnant each year, and about 12 million give birth (Carvajal et al., 2020). Adolescents who become pregnant face increased risks of adverse maternal and neonatal outcom</w:t>
      </w:r>
      <w:r>
        <w:rPr>
          <w:rFonts w:ascii="Times New Roman" w:eastAsia="Times New Roman" w:hAnsi="Times New Roman" w:cs="Times New Roman"/>
          <w:sz w:val="24"/>
          <w:szCs w:val="24"/>
        </w:rPr>
        <w:t>es, while low contraceptive uptake is also linked to unsafe abortion, school discontinuation, constrained life opportunities, and intergenerational poverty (</w:t>
      </w:r>
      <w:proofErr w:type="spellStart"/>
      <w:r>
        <w:rPr>
          <w:rFonts w:ascii="Times New Roman" w:eastAsia="Times New Roman" w:hAnsi="Times New Roman" w:cs="Times New Roman"/>
          <w:sz w:val="24"/>
          <w:szCs w:val="24"/>
        </w:rPr>
        <w:t>Todhunter</w:t>
      </w:r>
      <w:proofErr w:type="spellEnd"/>
      <w:r>
        <w:rPr>
          <w:rFonts w:ascii="Times New Roman" w:eastAsia="Times New Roman" w:hAnsi="Times New Roman" w:cs="Times New Roman"/>
          <w:sz w:val="24"/>
          <w:szCs w:val="24"/>
        </w:rPr>
        <w:t xml:space="preserve"> et al., 2022). Access to contraception therefore contributes directly to improved health,</w:t>
      </w:r>
      <w:r>
        <w:rPr>
          <w:rFonts w:ascii="Times New Roman" w:eastAsia="Times New Roman" w:hAnsi="Times New Roman" w:cs="Times New Roman"/>
          <w:sz w:val="24"/>
          <w:szCs w:val="24"/>
        </w:rPr>
        <w:t xml:space="preserve"> gender equality, educational continuity, and broader social development. WHO further notes that among the 1.9 billion women of reproductive age worldwide in 2021, 1.1 billion had a need for family planning, yet 164 million still had an unmet need for cont</w:t>
      </w:r>
      <w:r>
        <w:rPr>
          <w:rFonts w:ascii="Times New Roman" w:eastAsia="Times New Roman" w:hAnsi="Times New Roman" w:cs="Times New Roman"/>
          <w:sz w:val="24"/>
          <w:szCs w:val="24"/>
        </w:rPr>
        <w:t>raception, underscoring the continuing public health importance of family planning services (World Health Organization, 2024).</w:t>
      </w:r>
    </w:p>
    <w:p w14:paraId="59820C88" w14:textId="77777777" w:rsidR="007A45C3" w:rsidRDefault="0059497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Nigeria, the issue is especially important because children and adolescents constitute a very large share of the population, a</w:t>
      </w:r>
      <w:r>
        <w:rPr>
          <w:rFonts w:ascii="Times New Roman" w:eastAsia="Times New Roman" w:hAnsi="Times New Roman" w:cs="Times New Roman"/>
          <w:sz w:val="24"/>
          <w:szCs w:val="24"/>
        </w:rPr>
        <w:t xml:space="preserve">nd adolescent fertility remains high (Anyanwu, 2025). UNICEF’s 2024 updated Situation Analysis notes that Nigeria’s children and adolescents make up about half </w:t>
      </w:r>
      <w:r>
        <w:rPr>
          <w:rFonts w:ascii="Times New Roman" w:eastAsia="Times New Roman" w:hAnsi="Times New Roman" w:cs="Times New Roman"/>
          <w:sz w:val="24"/>
          <w:szCs w:val="24"/>
        </w:rPr>
        <w:lastRenderedPageBreak/>
        <w:t>of the national population, making adolescent health a strategic national development concern (F</w:t>
      </w:r>
      <w:r>
        <w:rPr>
          <w:rFonts w:ascii="Times New Roman" w:eastAsia="Times New Roman" w:hAnsi="Times New Roman" w:cs="Times New Roman"/>
          <w:sz w:val="24"/>
          <w:szCs w:val="24"/>
        </w:rPr>
        <w:t>ederal Government of Nigeria &amp; UNICEF Nigeria, 2025). Recent national data also suggest broader family planning gaps: the 2024 Nigeria Demographic and Health Survey reported that 21% of married women had an unmet need for family planning, while a federal g</w:t>
      </w:r>
      <w:r>
        <w:rPr>
          <w:rFonts w:ascii="Times New Roman" w:eastAsia="Times New Roman" w:hAnsi="Times New Roman" w:cs="Times New Roman"/>
          <w:sz w:val="24"/>
          <w:szCs w:val="24"/>
        </w:rPr>
        <w:t xml:space="preserve">overnment release on the same survey stated that modern contraceptive use among currently married women had risen to 15%, indicating progress but also persistent unmet demand (National Population Commission (NPC) 2025). At the youth level, recent Nigerian </w:t>
      </w:r>
      <w:r>
        <w:rPr>
          <w:rFonts w:ascii="Times New Roman" w:eastAsia="Times New Roman" w:hAnsi="Times New Roman" w:cs="Times New Roman"/>
          <w:sz w:val="24"/>
          <w:szCs w:val="24"/>
        </w:rPr>
        <w:t xml:space="preserve">evidence shows marked regional disparities in modern contraceptive use, with substantially higher use in Southern than Northern Nigeria, and with education, wealth, age, marital status, and religious or cultural context shaping </w:t>
      </w:r>
      <w:proofErr w:type="gramStart"/>
      <w:r>
        <w:rPr>
          <w:rFonts w:ascii="Times New Roman" w:eastAsia="Times New Roman" w:hAnsi="Times New Roman" w:cs="Times New Roman"/>
          <w:sz w:val="24"/>
          <w:szCs w:val="24"/>
        </w:rPr>
        <w:t>uptake  (</w:t>
      </w:r>
      <w:proofErr w:type="spellStart"/>
      <w:proofErr w:type="gramEnd"/>
      <w:r>
        <w:rPr>
          <w:rFonts w:ascii="Times New Roman" w:eastAsia="Times New Roman" w:hAnsi="Times New Roman" w:cs="Times New Roman"/>
          <w:sz w:val="24"/>
          <w:szCs w:val="24"/>
        </w:rPr>
        <w:t>Sanni</w:t>
      </w:r>
      <w:proofErr w:type="spellEnd"/>
      <w:r>
        <w:rPr>
          <w:rFonts w:ascii="Times New Roman" w:eastAsia="Times New Roman" w:hAnsi="Times New Roman" w:cs="Times New Roman"/>
          <w:sz w:val="24"/>
          <w:szCs w:val="24"/>
        </w:rPr>
        <w:t xml:space="preserve"> et al., 2025)</w:t>
      </w:r>
      <w:r>
        <w:rPr>
          <w:rFonts w:ascii="Times New Roman" w:eastAsia="Times New Roman" w:hAnsi="Times New Roman" w:cs="Times New Roman"/>
          <w:sz w:val="24"/>
          <w:szCs w:val="24"/>
        </w:rPr>
        <w:t xml:space="preserve">. </w:t>
      </w:r>
    </w:p>
    <w:p w14:paraId="6D2795F8" w14:textId="77777777" w:rsidR="007A45C3" w:rsidRDefault="0059497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Existing Nigerian studies have identified several factors affecting contraceptive uptake among adolescents and young people, including inadequate knowledge, fear of side effects, stigma, partner or parental influence, social norms, religion, poor access</w:t>
      </w:r>
      <w:r>
        <w:rPr>
          <w:rFonts w:ascii="Times New Roman" w:eastAsia="Times New Roman" w:hAnsi="Times New Roman" w:cs="Times New Roman"/>
          <w:sz w:val="24"/>
          <w:szCs w:val="24"/>
        </w:rPr>
        <w:t xml:space="preserve"> to youth-friendly services, low self-efficacy, and socioeconomic </w:t>
      </w:r>
      <w:proofErr w:type="gramStart"/>
      <w:r>
        <w:rPr>
          <w:rFonts w:ascii="Times New Roman" w:eastAsia="Times New Roman" w:hAnsi="Times New Roman" w:cs="Times New Roman"/>
          <w:sz w:val="24"/>
          <w:szCs w:val="24"/>
        </w:rPr>
        <w:t>disadvantage  (</w:t>
      </w:r>
      <w:proofErr w:type="gramEnd"/>
      <w:r>
        <w:rPr>
          <w:rFonts w:ascii="Times New Roman" w:eastAsia="Times New Roman" w:hAnsi="Times New Roman" w:cs="Times New Roman"/>
          <w:sz w:val="24"/>
          <w:szCs w:val="24"/>
        </w:rPr>
        <w:t>Sanchez et al., 2021). For example, among unmarried girls aged 15–19 years in South-Western Nigeria, contraceptive use was positively associated with schooling, urban residenc</w:t>
      </w:r>
      <w:r>
        <w:rPr>
          <w:rFonts w:ascii="Times New Roman" w:eastAsia="Times New Roman" w:hAnsi="Times New Roman" w:cs="Times New Roman"/>
          <w:sz w:val="24"/>
          <w:szCs w:val="24"/>
        </w:rPr>
        <w:t>e, socioeconomic status, contraceptive information exposure, perceived social support, and self-efficacy. However, the literature remains fragmented (Crawford et al., 2021). Much of the available evidence is cross-sectional, geographically uneven, and ofte</w:t>
      </w:r>
      <w:r>
        <w:rPr>
          <w:rFonts w:ascii="Times New Roman" w:eastAsia="Times New Roman" w:hAnsi="Times New Roman" w:cs="Times New Roman"/>
          <w:sz w:val="24"/>
          <w:szCs w:val="24"/>
        </w:rPr>
        <w:t>n concentrated in particular states or regions, while some studies focus only on unmarried girls, school-based samples, or broader youth groups aged 15–24 rather than adolescents specifically (Dave-</w:t>
      </w:r>
      <w:proofErr w:type="spellStart"/>
      <w:r>
        <w:rPr>
          <w:rFonts w:ascii="Times New Roman" w:eastAsia="Times New Roman" w:hAnsi="Times New Roman" w:cs="Times New Roman"/>
          <w:sz w:val="24"/>
          <w:szCs w:val="24"/>
        </w:rPr>
        <w:t>Agboola</w:t>
      </w:r>
      <w:proofErr w:type="spellEnd"/>
      <w:r>
        <w:rPr>
          <w:rFonts w:ascii="Times New Roman" w:eastAsia="Times New Roman" w:hAnsi="Times New Roman" w:cs="Times New Roman"/>
          <w:sz w:val="24"/>
          <w:szCs w:val="24"/>
        </w:rPr>
        <w:t xml:space="preserve">, 2018). Recent scholarship has also noted limited </w:t>
      </w:r>
      <w:r>
        <w:rPr>
          <w:rFonts w:ascii="Times New Roman" w:eastAsia="Times New Roman" w:hAnsi="Times New Roman" w:cs="Times New Roman"/>
          <w:sz w:val="24"/>
          <w:szCs w:val="24"/>
        </w:rPr>
        <w:t>comprehensive evidence across Nigeria’s geopolitical zones and continuing gaps in understanding how structural, service-delivery, and sociocultural factors interact over time. These limitations justify a systematic synthesis of the Nigerian evidence base (</w:t>
      </w:r>
      <w:proofErr w:type="spellStart"/>
      <w:r>
        <w:rPr>
          <w:rFonts w:ascii="Times New Roman" w:eastAsia="Times New Roman" w:hAnsi="Times New Roman" w:cs="Times New Roman"/>
          <w:sz w:val="24"/>
          <w:szCs w:val="24"/>
        </w:rPr>
        <w:t>Sanni</w:t>
      </w:r>
      <w:proofErr w:type="spellEnd"/>
      <w:r>
        <w:rPr>
          <w:rFonts w:ascii="Times New Roman" w:eastAsia="Times New Roman" w:hAnsi="Times New Roman" w:cs="Times New Roman"/>
          <w:sz w:val="24"/>
          <w:szCs w:val="24"/>
        </w:rPr>
        <w:t xml:space="preserve"> et al., 2025). </w:t>
      </w:r>
    </w:p>
    <w:p w14:paraId="22B13FC2" w14:textId="77777777" w:rsidR="007A45C3" w:rsidRDefault="0059497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Against this background, the present study aims to systematically review the factors affecting uptake of contraception among adolescents in Nigeria. The specific objectives are to:</w:t>
      </w:r>
    </w:p>
    <w:p w14:paraId="04E7C847" w14:textId="77777777" w:rsidR="007A45C3" w:rsidRDefault="00594977">
      <w:pPr>
        <w:numPr>
          <w:ilvl w:val="0"/>
          <w:numId w:val="1"/>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individual factors associated with contr</w:t>
      </w:r>
      <w:r>
        <w:rPr>
          <w:rFonts w:ascii="Times New Roman" w:eastAsia="Times New Roman" w:hAnsi="Times New Roman" w:cs="Times New Roman"/>
          <w:sz w:val="24"/>
          <w:szCs w:val="24"/>
        </w:rPr>
        <w:t>aceptive uptake among adolescents in Nigeria;</w:t>
      </w:r>
    </w:p>
    <w:p w14:paraId="4AFAF441" w14:textId="77777777" w:rsidR="007A45C3" w:rsidRDefault="0059497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examine interpersonal, sociocultural, religious, and community-level influences on contraceptive uptake;</w:t>
      </w:r>
    </w:p>
    <w:p w14:paraId="18793EC0" w14:textId="77777777" w:rsidR="007A45C3" w:rsidRDefault="00594977">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assess health-system and structural factors affecting adolescents’ access to and use of contraception; an</w:t>
      </w:r>
      <w:r>
        <w:rPr>
          <w:rFonts w:ascii="Times New Roman" w:eastAsia="Times New Roman" w:hAnsi="Times New Roman" w:cs="Times New Roman"/>
          <w:sz w:val="24"/>
          <w:szCs w:val="24"/>
        </w:rPr>
        <w:t>d</w:t>
      </w:r>
    </w:p>
    <w:p w14:paraId="7E691D1E" w14:textId="77777777" w:rsidR="007A45C3" w:rsidRDefault="00594977">
      <w:pPr>
        <w:numPr>
          <w:ilvl w:val="0"/>
          <w:numId w:val="1"/>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gaps in the existing literature and provide evidence-based recommendations for research, policy, and adolescent sexual and reproductive health programming in Nigeria.</w:t>
      </w:r>
    </w:p>
    <w:p w14:paraId="218F1225" w14:textId="77777777" w:rsidR="007A45C3" w:rsidRDefault="007A45C3">
      <w:pPr>
        <w:pStyle w:val="Heading2"/>
        <w:keepNext w:val="0"/>
        <w:keepLines w:val="0"/>
        <w:spacing w:after="80"/>
        <w:jc w:val="both"/>
        <w:rPr>
          <w:rFonts w:ascii="Times New Roman" w:eastAsia="Times New Roman" w:hAnsi="Times New Roman" w:cs="Times New Roman"/>
          <w:b/>
          <w:bCs/>
          <w:sz w:val="24"/>
          <w:szCs w:val="24"/>
        </w:rPr>
      </w:pPr>
      <w:bookmarkStart w:id="2" w:name="_pxnllk45bn07" w:colFirst="0" w:colLast="0"/>
      <w:bookmarkEnd w:id="2"/>
    </w:p>
    <w:p w14:paraId="08B7CDDE" w14:textId="77777777" w:rsidR="007A45C3" w:rsidRDefault="00594977">
      <w:pPr>
        <w:pStyle w:val="Heading2"/>
        <w:keepNext w:val="0"/>
        <w:keepLines w:val="0"/>
        <w:spacing w:after="80"/>
        <w:jc w:val="both"/>
        <w:rPr>
          <w:rFonts w:ascii="Times New Roman" w:eastAsia="Times New Roman" w:hAnsi="Times New Roman" w:cs="Times New Roman"/>
          <w:b/>
          <w:bCs/>
          <w:sz w:val="24"/>
          <w:szCs w:val="24"/>
        </w:rPr>
      </w:pPr>
      <w:bookmarkStart w:id="3" w:name="_k2ixjnq08w6t" w:colFirst="0" w:colLast="0"/>
      <w:bookmarkEnd w:id="3"/>
      <w:r>
        <w:rPr>
          <w:rFonts w:ascii="Times New Roman" w:eastAsia="Times New Roman" w:hAnsi="Times New Roman" w:cs="Times New Roman"/>
          <w:b/>
          <w:bCs/>
          <w:sz w:val="24"/>
          <w:szCs w:val="24"/>
        </w:rPr>
        <w:t>METHODOLOGY</w:t>
      </w:r>
    </w:p>
    <w:p w14:paraId="0E616883" w14:textId="77777777" w:rsidR="007A45C3" w:rsidRDefault="00594977">
      <w:pPr>
        <w:pStyle w:val="Heading3"/>
        <w:keepNext w:val="0"/>
        <w:keepLines w:val="0"/>
        <w:spacing w:before="280"/>
        <w:jc w:val="both"/>
        <w:rPr>
          <w:rFonts w:ascii="Times New Roman" w:eastAsia="Times New Roman" w:hAnsi="Times New Roman" w:cs="Times New Roman"/>
          <w:b/>
          <w:bCs/>
          <w:color w:val="000000"/>
          <w:sz w:val="24"/>
          <w:szCs w:val="24"/>
        </w:rPr>
      </w:pPr>
      <w:bookmarkStart w:id="4" w:name="_9j6n67hhk8k3" w:colFirst="0" w:colLast="0"/>
      <w:bookmarkEnd w:id="4"/>
      <w:r>
        <w:rPr>
          <w:rFonts w:ascii="Times New Roman" w:eastAsia="Times New Roman" w:hAnsi="Times New Roman" w:cs="Times New Roman"/>
          <w:b/>
          <w:bCs/>
          <w:color w:val="000000"/>
          <w:sz w:val="24"/>
          <w:szCs w:val="24"/>
        </w:rPr>
        <w:lastRenderedPageBreak/>
        <w:t>Study Design and Reporting Guidelines</w:t>
      </w:r>
    </w:p>
    <w:p w14:paraId="49F3192B"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bookmarkStart w:id="5" w:name="_tk88gab1a04a" w:colFirst="0" w:colLast="0"/>
      <w:r>
        <w:rPr>
          <w:rFonts w:ascii="Times New Roman" w:eastAsia="Times New Roman" w:hAnsi="Times New Roman" w:cs="Times New Roman"/>
          <w:sz w:val="24"/>
          <w:szCs w:val="24"/>
        </w:rPr>
        <w:t>This study was conducted as</w:t>
      </w:r>
      <w:r>
        <w:rPr>
          <w:rFonts w:ascii="Times New Roman" w:eastAsia="Times New Roman" w:hAnsi="Times New Roman" w:cs="Times New Roman"/>
          <w:sz w:val="24"/>
          <w:szCs w:val="24"/>
        </w:rPr>
        <w:t xml:space="preserve"> a systematic review examining factors affecting the uptake of contraception among adolescents in Nigeria. The review followed the guidelines of the PRISMA 2020 to ensure transparency, reproducibility, and methodological rigor. The review protocol was pros</w:t>
      </w:r>
      <w:r>
        <w:rPr>
          <w:rFonts w:ascii="Times New Roman" w:eastAsia="Times New Roman" w:hAnsi="Times New Roman" w:cs="Times New Roman"/>
          <w:sz w:val="24"/>
          <w:szCs w:val="24"/>
        </w:rPr>
        <w:t>pectively registered with the PROSPERO under the registration number</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212529"/>
          <w:sz w:val="24"/>
          <w:szCs w:val="24"/>
          <w:shd w:val="clear" w:color="auto" w:fill="FAFAFA"/>
        </w:rPr>
        <w:t>CRD420261364491)</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prior to the commencement of the study.</w:t>
      </w:r>
    </w:p>
    <w:p w14:paraId="0E196D93" w14:textId="77777777" w:rsidR="007A45C3" w:rsidRDefault="00594977">
      <w:pPr>
        <w:pStyle w:val="Heading3"/>
        <w:keepNext w:val="0"/>
        <w:keepLines w:val="0"/>
        <w:spacing w:before="280"/>
        <w:jc w:val="both"/>
        <w:rPr>
          <w:rFonts w:ascii="Times New Roman" w:eastAsia="Times New Roman" w:hAnsi="Times New Roman" w:cs="Times New Roman"/>
          <w:b/>
          <w:bCs/>
          <w:color w:val="000000"/>
          <w:sz w:val="24"/>
          <w:szCs w:val="24"/>
        </w:rPr>
      </w:pPr>
      <w:bookmarkStart w:id="6" w:name="_x7q4rsj0nwh0" w:colFirst="0" w:colLast="0"/>
      <w:bookmarkEnd w:id="6"/>
      <w:r>
        <w:rPr>
          <w:rFonts w:ascii="Times New Roman" w:eastAsia="Times New Roman" w:hAnsi="Times New Roman" w:cs="Times New Roman"/>
          <w:b/>
          <w:bCs/>
          <w:color w:val="000000"/>
          <w:sz w:val="24"/>
          <w:szCs w:val="24"/>
        </w:rPr>
        <w:t>Eligibility Criteria</w:t>
      </w:r>
    </w:p>
    <w:p w14:paraId="008D69E9"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were selected using predefined inclusion and exclusion criteria based on the </w:t>
      </w:r>
      <w:r>
        <w:rPr>
          <w:rFonts w:ascii="Times New Roman" w:eastAsia="Times New Roman" w:hAnsi="Times New Roman" w:cs="Times New Roman"/>
          <w:sz w:val="24"/>
          <w:szCs w:val="24"/>
        </w:rPr>
        <w:t>Population–Exposure–Outcome (PEO) framework. The population comprised adolescents aged 10–19 years in Nigeria, while studies including broader age groups were considered only if adolescent-specific data could be extracted. The exposure included factors inf</w:t>
      </w:r>
      <w:r>
        <w:rPr>
          <w:rFonts w:ascii="Times New Roman" w:eastAsia="Times New Roman" w:hAnsi="Times New Roman" w:cs="Times New Roman"/>
          <w:sz w:val="24"/>
          <w:szCs w:val="24"/>
        </w:rPr>
        <w:t>luencing contraceptive uptake such as individual, interpersonal, sociocultural, economic, and health system determinants. The outcome of interest was the uptake or use of any contraceptive method, whether modern or traditional. Only observational and mixed</w:t>
      </w:r>
      <w:r>
        <w:rPr>
          <w:rFonts w:ascii="Times New Roman" w:eastAsia="Times New Roman" w:hAnsi="Times New Roman" w:cs="Times New Roman"/>
          <w:sz w:val="24"/>
          <w:szCs w:val="24"/>
        </w:rPr>
        <w:t>-methods studies conducted in Nigeria and published in English were included, while reviews, editorials, and studies without clear outcome measures were excluded.</w:t>
      </w:r>
    </w:p>
    <w:p w14:paraId="4C24CA63" w14:textId="77777777" w:rsidR="007A45C3" w:rsidRDefault="00594977">
      <w:pPr>
        <w:pStyle w:val="Heading3"/>
        <w:keepNext w:val="0"/>
        <w:keepLines w:val="0"/>
        <w:spacing w:before="280"/>
        <w:jc w:val="both"/>
        <w:rPr>
          <w:rFonts w:ascii="Times New Roman" w:eastAsia="Times New Roman" w:hAnsi="Times New Roman" w:cs="Times New Roman"/>
          <w:b/>
          <w:bCs/>
          <w:color w:val="000000"/>
          <w:sz w:val="24"/>
          <w:szCs w:val="24"/>
        </w:rPr>
      </w:pPr>
      <w:bookmarkStart w:id="7" w:name="_nqo7fyjr7pie" w:colFirst="0" w:colLast="0"/>
      <w:bookmarkEnd w:id="7"/>
      <w:r>
        <w:rPr>
          <w:rFonts w:ascii="Times New Roman" w:eastAsia="Times New Roman" w:hAnsi="Times New Roman" w:cs="Times New Roman"/>
          <w:b/>
          <w:bCs/>
          <w:color w:val="000000"/>
          <w:sz w:val="24"/>
          <w:szCs w:val="24"/>
        </w:rPr>
        <w:t>Search Strategy</w:t>
      </w:r>
    </w:p>
    <w:p w14:paraId="3A752164" w14:textId="77777777" w:rsidR="007A45C3" w:rsidRDefault="00594977">
      <w:pPr>
        <w:pStyle w:val="Heading2"/>
        <w:keepNext w:val="0"/>
        <w:keepLines w:val="0"/>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 comprehensive search of electronic databases, including PubMed/MEDLINE, Sco</w:t>
      </w:r>
      <w:r>
        <w:rPr>
          <w:rFonts w:ascii="Times New Roman" w:eastAsia="Times New Roman" w:hAnsi="Times New Roman" w:cs="Times New Roman"/>
          <w:sz w:val="24"/>
          <w:szCs w:val="24"/>
        </w:rPr>
        <w:t>pus, Web of Science, CINAHL, and Google Scholar, was conducted. Grey literature and reference lists of relevant studies were also reviewed. The search strategy combined Medical Subject Headings (</w:t>
      </w:r>
      <w:proofErr w:type="spellStart"/>
      <w:r>
        <w:rPr>
          <w:rFonts w:ascii="Times New Roman" w:eastAsia="Times New Roman" w:hAnsi="Times New Roman" w:cs="Times New Roman"/>
          <w:sz w:val="24"/>
          <w:szCs w:val="24"/>
        </w:rPr>
        <w:t>MeSH</w:t>
      </w:r>
      <w:proofErr w:type="spellEnd"/>
      <w:r>
        <w:rPr>
          <w:rFonts w:ascii="Times New Roman" w:eastAsia="Times New Roman" w:hAnsi="Times New Roman" w:cs="Times New Roman"/>
          <w:sz w:val="24"/>
          <w:szCs w:val="24"/>
        </w:rPr>
        <w:t xml:space="preserve">) and free-text terms using Boolean operators, including </w:t>
      </w:r>
      <w:r>
        <w:rPr>
          <w:rFonts w:ascii="Times New Roman" w:eastAsia="Times New Roman" w:hAnsi="Times New Roman" w:cs="Times New Roman"/>
          <w:sz w:val="24"/>
          <w:szCs w:val="24"/>
        </w:rPr>
        <w:t>terms such as “adolescents,” “teenagers,” “youth,” “contraception,” “family planning,” “uptake,” “utilization,” and “Nigeria.” The search was limited to studies published between</w:t>
      </w:r>
      <w:r>
        <w:rPr>
          <w:rFonts w:ascii="Times New Roman" w:eastAsia="Times New Roman" w:hAnsi="Times New Roman" w:cs="Times New Roman"/>
          <w:b/>
          <w:bCs/>
          <w:sz w:val="24"/>
          <w:szCs w:val="24"/>
        </w:rPr>
        <w:t xml:space="preserve"> 2000–2025.</w:t>
      </w:r>
    </w:p>
    <w:p w14:paraId="3A8ECE13" w14:textId="77777777" w:rsidR="007A45C3" w:rsidRDefault="00594977">
      <w:pPr>
        <w:pStyle w:val="Heading3"/>
        <w:keepNext w:val="0"/>
        <w:keepLines w:val="0"/>
        <w:spacing w:before="280"/>
        <w:jc w:val="both"/>
        <w:rPr>
          <w:rFonts w:ascii="Times New Roman" w:eastAsia="Times New Roman" w:hAnsi="Times New Roman" w:cs="Times New Roman"/>
          <w:b/>
          <w:bCs/>
          <w:color w:val="000000"/>
          <w:sz w:val="24"/>
          <w:szCs w:val="24"/>
        </w:rPr>
      </w:pPr>
      <w:bookmarkStart w:id="8" w:name="_pgfrw92mp9qu" w:colFirst="0" w:colLast="0"/>
      <w:bookmarkEnd w:id="8"/>
      <w:r>
        <w:rPr>
          <w:rFonts w:ascii="Times New Roman" w:eastAsia="Times New Roman" w:hAnsi="Times New Roman" w:cs="Times New Roman"/>
          <w:b/>
          <w:bCs/>
          <w:color w:val="000000"/>
          <w:sz w:val="24"/>
          <w:szCs w:val="24"/>
        </w:rPr>
        <w:t>Study Selection Process</w:t>
      </w:r>
    </w:p>
    <w:p w14:paraId="5B3FF812" w14:textId="53B2A40E"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retrieved records were exported into r</w:t>
      </w:r>
      <w:r>
        <w:rPr>
          <w:rFonts w:ascii="Times New Roman" w:eastAsia="Times New Roman" w:hAnsi="Times New Roman" w:cs="Times New Roman"/>
          <w:sz w:val="24"/>
          <w:szCs w:val="24"/>
        </w:rPr>
        <w:t>eference management software, and duplicates were removed. Screening was conducted in three stages: title screening, abstract screening, and full-text review. Two independent reviewers carried out the screening process, and disagreements were resolved thro</w:t>
      </w:r>
      <w:r>
        <w:rPr>
          <w:rFonts w:ascii="Times New Roman" w:eastAsia="Times New Roman" w:hAnsi="Times New Roman" w:cs="Times New Roman"/>
          <w:sz w:val="24"/>
          <w:szCs w:val="24"/>
        </w:rPr>
        <w:t>ugh discussion or consultation with a third reviewer. The study selection process was documented using a PRISMA flow diagram.</w:t>
      </w:r>
      <w:r w:rsidR="007A2C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Figure 1 PRISMA 2020 flow diagram illustrating the process of study identification, screening, eligibility assessment, and inclusi</w:t>
      </w:r>
      <w:r>
        <w:rPr>
          <w:rFonts w:ascii="Times New Roman" w:eastAsia="Times New Roman" w:hAnsi="Times New Roman" w:cs="Times New Roman"/>
          <w:sz w:val="24"/>
          <w:szCs w:val="24"/>
        </w:rPr>
        <w:t>on.</w:t>
      </w:r>
    </w:p>
    <w:p w14:paraId="401CA5A7" w14:textId="77777777" w:rsidR="007A45C3" w:rsidRDefault="00594977">
      <w:pPr>
        <w:pStyle w:val="Heading3"/>
        <w:keepNext w:val="0"/>
        <w:keepLines w:val="0"/>
        <w:spacing w:before="280"/>
        <w:jc w:val="both"/>
        <w:rPr>
          <w:rFonts w:ascii="Times New Roman" w:eastAsia="Times New Roman" w:hAnsi="Times New Roman" w:cs="Times New Roman"/>
          <w:b/>
          <w:bCs/>
          <w:color w:val="000000"/>
          <w:sz w:val="24"/>
          <w:szCs w:val="24"/>
        </w:rPr>
      </w:pPr>
      <w:bookmarkStart w:id="9" w:name="_i9r3gzkl41y2" w:colFirst="0" w:colLast="0"/>
      <w:bookmarkEnd w:id="9"/>
      <w:r>
        <w:rPr>
          <w:rFonts w:ascii="Times New Roman" w:eastAsia="Times New Roman" w:hAnsi="Times New Roman" w:cs="Times New Roman"/>
          <w:b/>
          <w:bCs/>
          <w:color w:val="000000"/>
          <w:sz w:val="24"/>
          <w:szCs w:val="24"/>
        </w:rPr>
        <w:t>Data Extraction</w:t>
      </w:r>
    </w:p>
    <w:p w14:paraId="260BCCB7"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were extracted using a standardized and pretested form. Extracted information included author(s), year of publication, study location, study design, sample size, participant characteristics, contraceptive methods assessed, and key </w:t>
      </w:r>
      <w:r>
        <w:rPr>
          <w:rFonts w:ascii="Times New Roman" w:eastAsia="Times New Roman" w:hAnsi="Times New Roman" w:cs="Times New Roman"/>
          <w:sz w:val="24"/>
          <w:szCs w:val="24"/>
        </w:rPr>
        <w:t xml:space="preserve">findings on factors influencing uptake. Statistical </w:t>
      </w:r>
      <w:r>
        <w:rPr>
          <w:rFonts w:ascii="Times New Roman" w:eastAsia="Times New Roman" w:hAnsi="Times New Roman" w:cs="Times New Roman"/>
          <w:sz w:val="24"/>
          <w:szCs w:val="24"/>
        </w:rPr>
        <w:lastRenderedPageBreak/>
        <w:t>measures such as odds ratios and confidence intervals were also recorded where available. Data extraction was performed independently by two reviewers to ensure accuracy and consistency.</w:t>
      </w:r>
    </w:p>
    <w:p w14:paraId="2DB9422D" w14:textId="77777777" w:rsidR="007A45C3" w:rsidRDefault="007A45C3">
      <w:pPr>
        <w:jc w:val="both"/>
        <w:rPr>
          <w:rFonts w:ascii="Times New Roman" w:eastAsia="Times New Roman" w:hAnsi="Times New Roman" w:cs="Times New Roman"/>
          <w:sz w:val="24"/>
          <w:szCs w:val="24"/>
        </w:rPr>
      </w:pPr>
    </w:p>
    <w:p w14:paraId="372C8CF1" w14:textId="77777777" w:rsidR="007A45C3" w:rsidRDefault="00594977">
      <w:pPr>
        <w:pStyle w:val="Heading3"/>
        <w:keepNext w:val="0"/>
        <w:keepLines w:val="0"/>
        <w:spacing w:before="280"/>
        <w:jc w:val="both"/>
        <w:rPr>
          <w:rFonts w:ascii="Times New Roman" w:eastAsia="Times New Roman" w:hAnsi="Times New Roman" w:cs="Times New Roman"/>
          <w:b/>
          <w:bCs/>
          <w:color w:val="000000"/>
          <w:sz w:val="24"/>
          <w:szCs w:val="24"/>
        </w:rPr>
      </w:pPr>
      <w:bookmarkStart w:id="10" w:name="_90l2h2mppgsl" w:colFirst="0" w:colLast="0"/>
      <w:bookmarkEnd w:id="10"/>
      <w:r>
        <w:rPr>
          <w:rFonts w:ascii="Times New Roman" w:eastAsia="Times New Roman" w:hAnsi="Times New Roman" w:cs="Times New Roman"/>
          <w:b/>
          <w:bCs/>
          <w:color w:val="000000"/>
          <w:sz w:val="24"/>
          <w:szCs w:val="24"/>
        </w:rPr>
        <w:t>Quality Assessme</w:t>
      </w:r>
      <w:r>
        <w:rPr>
          <w:rFonts w:ascii="Times New Roman" w:eastAsia="Times New Roman" w:hAnsi="Times New Roman" w:cs="Times New Roman"/>
          <w:b/>
          <w:bCs/>
          <w:color w:val="000000"/>
          <w:sz w:val="24"/>
          <w:szCs w:val="24"/>
        </w:rPr>
        <w:t>nt of Included Studies</w:t>
      </w:r>
    </w:p>
    <w:p w14:paraId="4327D62A"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methodological quality of the included studies was assessed using the Joanna Briggs Institute (JBI) Critical Appraisal Checklist for Analytical Cross-Sectional Studies and other relevant tools depending on study design. Each stud</w:t>
      </w:r>
      <w:r>
        <w:rPr>
          <w:rFonts w:ascii="Times New Roman" w:eastAsia="Times New Roman" w:hAnsi="Times New Roman" w:cs="Times New Roman"/>
          <w:sz w:val="24"/>
          <w:szCs w:val="24"/>
        </w:rPr>
        <w:t>y was evaluated based on sampling techniques, measurement validity, control of confounding variables, and appropriateness of statistical analyses. Studies were categorized as low, moderate, or high quality based on their overall assessment.</w:t>
      </w:r>
    </w:p>
    <w:p w14:paraId="6A4FD036" w14:textId="77777777" w:rsidR="007A45C3" w:rsidRDefault="00594977">
      <w:pPr>
        <w:pStyle w:val="Heading3"/>
        <w:keepNext w:val="0"/>
        <w:keepLines w:val="0"/>
        <w:spacing w:before="280"/>
        <w:jc w:val="both"/>
        <w:rPr>
          <w:rFonts w:ascii="Times New Roman" w:eastAsia="Times New Roman" w:hAnsi="Times New Roman" w:cs="Times New Roman"/>
          <w:b/>
          <w:bCs/>
          <w:color w:val="000000"/>
          <w:sz w:val="24"/>
          <w:szCs w:val="24"/>
        </w:rPr>
      </w:pPr>
      <w:bookmarkStart w:id="11" w:name="_q8hsckhbg7tc" w:colFirst="0" w:colLast="0"/>
      <w:bookmarkEnd w:id="11"/>
      <w:r>
        <w:rPr>
          <w:rFonts w:ascii="Times New Roman" w:eastAsia="Times New Roman" w:hAnsi="Times New Roman" w:cs="Times New Roman"/>
          <w:b/>
          <w:bCs/>
          <w:color w:val="000000"/>
          <w:sz w:val="24"/>
          <w:szCs w:val="24"/>
        </w:rPr>
        <w:t xml:space="preserve">Data Synthesis </w:t>
      </w:r>
      <w:r>
        <w:rPr>
          <w:rFonts w:ascii="Times New Roman" w:eastAsia="Times New Roman" w:hAnsi="Times New Roman" w:cs="Times New Roman"/>
          <w:b/>
          <w:bCs/>
          <w:color w:val="000000"/>
          <w:sz w:val="24"/>
          <w:szCs w:val="24"/>
        </w:rPr>
        <w:t>and Analysis</w:t>
      </w:r>
    </w:p>
    <w:bookmarkEnd w:id="5"/>
    <w:p w14:paraId="12F3A859"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heterogeneity in study designs, populations, and outcome measures, a narrative synthesis approach was adopted. Findings were grouped into thematic categories, including individual-level factors, interpersonal influences, sociocultural a</w:t>
      </w:r>
      <w:r>
        <w:rPr>
          <w:rFonts w:ascii="Times New Roman" w:eastAsia="Times New Roman" w:hAnsi="Times New Roman" w:cs="Times New Roman"/>
          <w:sz w:val="24"/>
          <w:szCs w:val="24"/>
        </w:rPr>
        <w:t>nd religious determinants, economic factors, and health system-related factors. Quantitative results were summarized descriptively, and meta-analysis was not conducted due to variability across studies.</w:t>
      </w:r>
    </w:p>
    <w:p w14:paraId="288E140F" w14:textId="77777777" w:rsidR="007A45C3" w:rsidRDefault="00594977">
      <w:pPr>
        <w:pStyle w:val="Heading3"/>
        <w:keepNext w:val="0"/>
        <w:keepLines w:val="0"/>
        <w:spacing w:before="280"/>
        <w:jc w:val="both"/>
        <w:rPr>
          <w:rFonts w:ascii="Times New Roman" w:eastAsia="Times New Roman" w:hAnsi="Times New Roman" w:cs="Times New Roman"/>
          <w:b/>
          <w:bCs/>
          <w:color w:val="000000"/>
          <w:sz w:val="24"/>
          <w:szCs w:val="24"/>
        </w:rPr>
      </w:pPr>
      <w:bookmarkStart w:id="12" w:name="_1fda1jfqyr6x" w:colFirst="0" w:colLast="0"/>
      <w:bookmarkEnd w:id="12"/>
      <w:r>
        <w:rPr>
          <w:rFonts w:ascii="Times New Roman" w:eastAsia="Times New Roman" w:hAnsi="Times New Roman" w:cs="Times New Roman"/>
          <w:b/>
          <w:bCs/>
          <w:color w:val="000000"/>
          <w:sz w:val="24"/>
          <w:szCs w:val="24"/>
        </w:rPr>
        <w:t>Ethical Considerations</w:t>
      </w:r>
    </w:p>
    <w:p w14:paraId="6DA43FFD"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bookmarkStart w:id="13" w:name="_3xrq485icdu9" w:colFirst="0" w:colLast="0"/>
      <w:bookmarkEnd w:id="13"/>
      <w:r>
        <w:rPr>
          <w:rFonts w:ascii="Times New Roman" w:eastAsia="Times New Roman" w:hAnsi="Times New Roman" w:cs="Times New Roman"/>
          <w:sz w:val="24"/>
          <w:szCs w:val="24"/>
        </w:rPr>
        <w:t>Ethical approval was not requi</w:t>
      </w:r>
      <w:r>
        <w:rPr>
          <w:rFonts w:ascii="Times New Roman" w:eastAsia="Times New Roman" w:hAnsi="Times New Roman" w:cs="Times New Roman"/>
          <w:sz w:val="24"/>
          <w:szCs w:val="24"/>
        </w:rPr>
        <w:t>red for this study because it involved secondary analysis of previously published data and did not involve direct interaction with human participants. Nevertheless, ethical standards were maintained by ensuring that all included studies had obtained approp</w:t>
      </w:r>
      <w:r>
        <w:rPr>
          <w:rFonts w:ascii="Times New Roman" w:eastAsia="Times New Roman" w:hAnsi="Times New Roman" w:cs="Times New Roman"/>
          <w:sz w:val="24"/>
          <w:szCs w:val="24"/>
        </w:rPr>
        <w:t>riate ethical approvals from relevant institutional review boards. Proper citation and acknowledgment of all sources were strictly observed to uphold academic integrity.</w:t>
      </w:r>
    </w:p>
    <w:p w14:paraId="5137C41F" w14:textId="77777777" w:rsidR="007A45C3" w:rsidRDefault="00594977">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lastRenderedPageBreak/>
        <mc:AlternateContent>
          <mc:Choice Requires="wpg">
            <w:drawing>
              <wp:inline distT="114300" distB="114300" distL="114300" distR="114300" wp14:anchorId="74DCC925" wp14:editId="551D8B9F">
                <wp:extent cx="4895850" cy="4836795"/>
                <wp:effectExtent l="0" t="0" r="0" b="0"/>
                <wp:docPr id="1" name="Group 1"/>
                <wp:cNvGraphicFramePr/>
                <a:graphic xmlns:a="http://schemas.openxmlformats.org/drawingml/2006/main">
                  <a:graphicData uri="http://schemas.microsoft.com/office/word/2010/wordprocessingGroup">
                    <wpg:wgp>
                      <wpg:cNvGrpSpPr/>
                      <wpg:grpSpPr>
                        <a:xfrm>
                          <a:off x="0" y="0"/>
                          <a:ext cx="4895850" cy="4836982"/>
                          <a:chOff x="898750" y="230950"/>
                          <a:chExt cx="4740350" cy="4688500"/>
                        </a:xfrm>
                      </wpg:grpSpPr>
                      <wps:wsp>
                        <wps:cNvPr id="2" name="Shape 2"/>
                        <wps:cNvSpPr/>
                        <wps:spPr>
                          <a:xfrm rot="-5400000">
                            <a:off x="524175" y="615075"/>
                            <a:ext cx="1055400" cy="2967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2B7BF225" w14:textId="77777777" w:rsidR="007A45C3" w:rsidRDefault="00594977">
                              <w:pPr>
                                <w:spacing w:line="240" w:lineRule="auto"/>
                                <w:jc w:val="center"/>
                              </w:pPr>
                              <w:r>
                                <w:rPr>
                                  <w:b/>
                                  <w:color w:val="000000"/>
                                  <w:sz w:val="20"/>
                                </w:rPr>
                                <w:t>Identification</w:t>
                              </w:r>
                            </w:p>
                          </w:txbxContent>
                        </wps:txbx>
                        <wps:bodyPr spcFirstLastPara="1" wrap="square" lIns="91425" tIns="91425" rIns="91425" bIns="91425" anchor="ctr" anchorCtr="0">
                          <a:noAutofit/>
                        </wps:bodyPr>
                      </wps:wsp>
                      <wps:wsp>
                        <wps:cNvPr id="3" name="Shape 3"/>
                        <wps:cNvSpPr/>
                        <wps:spPr>
                          <a:xfrm rot="-5400000">
                            <a:off x="524175" y="1822925"/>
                            <a:ext cx="1055400" cy="2967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5F2415CF" w14:textId="77777777" w:rsidR="007A45C3" w:rsidRDefault="00594977">
                              <w:pPr>
                                <w:spacing w:line="240" w:lineRule="auto"/>
                                <w:jc w:val="center"/>
                              </w:pPr>
                              <w:r>
                                <w:rPr>
                                  <w:b/>
                                  <w:color w:val="000000"/>
                                  <w:sz w:val="20"/>
                                </w:rPr>
                                <w:t>Screening</w:t>
                              </w:r>
                            </w:p>
                          </w:txbxContent>
                        </wps:txbx>
                        <wps:bodyPr spcFirstLastPara="1" wrap="square" lIns="91425" tIns="91425" rIns="91425" bIns="91425" anchor="ctr" anchorCtr="0">
                          <a:noAutofit/>
                        </wps:bodyPr>
                      </wps:wsp>
                      <wps:wsp>
                        <wps:cNvPr id="4" name="Shape 4"/>
                        <wps:cNvSpPr/>
                        <wps:spPr>
                          <a:xfrm rot="-5400000">
                            <a:off x="524175" y="4238625"/>
                            <a:ext cx="1055400" cy="2967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03771D10" w14:textId="77777777" w:rsidR="007A45C3" w:rsidRDefault="00594977">
                              <w:pPr>
                                <w:spacing w:line="240" w:lineRule="auto"/>
                                <w:jc w:val="center"/>
                              </w:pPr>
                              <w:r>
                                <w:rPr>
                                  <w:b/>
                                  <w:color w:val="000000"/>
                                  <w:sz w:val="20"/>
                                </w:rPr>
                                <w:t>Included</w:t>
                              </w:r>
                            </w:p>
                          </w:txbxContent>
                        </wps:txbx>
                        <wps:bodyPr spcFirstLastPara="1" wrap="square" lIns="91425" tIns="91425" rIns="91425" bIns="91425" anchor="ctr" anchorCtr="0">
                          <a:noAutofit/>
                        </wps:bodyPr>
                      </wps:wsp>
                      <wps:wsp>
                        <wps:cNvPr id="5" name="Shape 5"/>
                        <wps:cNvSpPr/>
                        <wps:spPr>
                          <a:xfrm rot="-5400000">
                            <a:off x="524175" y="3030775"/>
                            <a:ext cx="1055400" cy="296700"/>
                          </a:xfrm>
                          <a:prstGeom prst="rect">
                            <a:avLst/>
                          </a:prstGeom>
                          <a:solidFill>
                            <a:srgbClr val="FFF2CC"/>
                          </a:solidFill>
                          <a:ln w="9525" cap="flat" cmpd="sng">
                            <a:solidFill>
                              <a:srgbClr val="000000"/>
                            </a:solidFill>
                            <a:prstDash val="solid"/>
                            <a:round/>
                            <a:headEnd type="none" w="sm" len="sm"/>
                            <a:tailEnd type="none" w="sm" len="sm"/>
                          </a:ln>
                        </wps:spPr>
                        <wps:txbx>
                          <w:txbxContent>
                            <w:p w14:paraId="76DD1DB6" w14:textId="77777777" w:rsidR="007A45C3" w:rsidRDefault="00594977">
                              <w:pPr>
                                <w:spacing w:line="240" w:lineRule="auto"/>
                                <w:jc w:val="center"/>
                              </w:pPr>
                              <w:r>
                                <w:rPr>
                                  <w:b/>
                                  <w:color w:val="000000"/>
                                  <w:sz w:val="20"/>
                                </w:rPr>
                                <w:t>Eligibility</w:t>
                              </w:r>
                            </w:p>
                          </w:txbxContent>
                        </wps:txbx>
                        <wps:bodyPr spcFirstLastPara="1" wrap="square" lIns="91425" tIns="91425" rIns="91425" bIns="91425" anchor="ctr" anchorCtr="0">
                          <a:noAutofit/>
                        </wps:bodyPr>
                      </wps:wsp>
                      <wps:wsp>
                        <wps:cNvPr id="6" name="Shape 6"/>
                        <wps:cNvSpPr/>
                        <wps:spPr>
                          <a:xfrm>
                            <a:off x="1485425" y="235725"/>
                            <a:ext cx="1909800" cy="6210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5886C8B" w14:textId="77777777" w:rsidR="007A45C3" w:rsidRDefault="00594977">
                              <w:pPr>
                                <w:spacing w:line="240" w:lineRule="auto"/>
                              </w:pPr>
                              <w:r>
                                <w:rPr>
                                  <w:color w:val="000000"/>
                                  <w:sz w:val="20"/>
                                </w:rPr>
                                <w:t xml:space="preserve">Records identified through </w:t>
                              </w:r>
                              <w:r>
                                <w:rPr>
                                  <w:color w:val="000000"/>
                                  <w:sz w:val="20"/>
                                </w:rPr>
                                <w:t>database search (n = 186)</w:t>
                              </w:r>
                            </w:p>
                          </w:txbxContent>
                        </wps:txbx>
                        <wps:bodyPr spcFirstLastPara="1" wrap="square" lIns="91425" tIns="91425" rIns="91425" bIns="91425" anchor="ctr" anchorCtr="0">
                          <a:noAutofit/>
                        </wps:bodyPr>
                      </wps:wsp>
                      <wps:wsp>
                        <wps:cNvPr id="7" name="Shape 7"/>
                        <wps:cNvSpPr/>
                        <wps:spPr>
                          <a:xfrm>
                            <a:off x="3680425" y="235725"/>
                            <a:ext cx="1953900" cy="6210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4CA130D" w14:textId="77777777" w:rsidR="007A45C3" w:rsidRDefault="00594977">
                              <w:pPr>
                                <w:spacing w:line="240" w:lineRule="auto"/>
                              </w:pPr>
                              <w:r>
                                <w:rPr>
                                  <w:color w:val="000000"/>
                                  <w:sz w:val="20"/>
                                </w:rPr>
                                <w:t>Additional records identified through other sources (n = 24)</w:t>
                              </w:r>
                            </w:p>
                          </w:txbxContent>
                        </wps:txbx>
                        <wps:bodyPr spcFirstLastPara="1" wrap="square" lIns="91425" tIns="91425" rIns="91425" bIns="91425" anchor="ctr" anchorCtr="0">
                          <a:noAutofit/>
                        </wps:bodyPr>
                      </wps:wsp>
                      <wps:wsp>
                        <wps:cNvPr id="8" name="Shape 8"/>
                        <wps:cNvSpPr/>
                        <wps:spPr>
                          <a:xfrm>
                            <a:off x="2191550" y="1177325"/>
                            <a:ext cx="2645100" cy="4500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12430DD" w14:textId="77777777" w:rsidR="007A45C3" w:rsidRDefault="00594977">
                              <w:pPr>
                                <w:spacing w:line="240" w:lineRule="auto"/>
                                <w:jc w:val="center"/>
                              </w:pPr>
                              <w:r>
                                <w:rPr>
                                  <w:color w:val="000000"/>
                                  <w:sz w:val="20"/>
                                </w:rPr>
                                <w:t>Records after duplicates removed (n = 154)</w:t>
                              </w:r>
                            </w:p>
                          </w:txbxContent>
                        </wps:txbx>
                        <wps:bodyPr spcFirstLastPara="1" wrap="square" lIns="91425" tIns="91425" rIns="91425" bIns="91425" anchor="ctr" anchorCtr="0">
                          <a:noAutofit/>
                        </wps:bodyPr>
                      </wps:wsp>
                      <wps:wsp>
                        <wps:cNvPr id="9" name="Shape 9"/>
                        <wps:cNvSpPr/>
                        <wps:spPr>
                          <a:xfrm>
                            <a:off x="1485425" y="1959125"/>
                            <a:ext cx="2050500" cy="388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BA4D768" w14:textId="77777777" w:rsidR="007A45C3" w:rsidRDefault="00594977">
                              <w:pPr>
                                <w:spacing w:line="240" w:lineRule="auto"/>
                              </w:pPr>
                              <w:r>
                                <w:rPr>
                                  <w:color w:val="000000"/>
                                  <w:sz w:val="20"/>
                                </w:rPr>
                                <w:t>Records screened (n = 154)</w:t>
                              </w:r>
                            </w:p>
                          </w:txbxContent>
                        </wps:txbx>
                        <wps:bodyPr spcFirstLastPara="1" wrap="square" lIns="91425" tIns="91425" rIns="91425" bIns="91425" anchor="ctr" anchorCtr="0">
                          <a:noAutofit/>
                        </wps:bodyPr>
                      </wps:wsp>
                      <wps:wsp>
                        <wps:cNvPr id="10" name="Shape 10"/>
                        <wps:cNvSpPr/>
                        <wps:spPr>
                          <a:xfrm>
                            <a:off x="3736575" y="1947925"/>
                            <a:ext cx="1795200" cy="3885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A9F8405" w14:textId="77777777" w:rsidR="007A45C3" w:rsidRDefault="00594977">
                              <w:pPr>
                                <w:spacing w:line="240" w:lineRule="auto"/>
                              </w:pPr>
                              <w:r>
                                <w:rPr>
                                  <w:color w:val="000000"/>
                                  <w:sz w:val="20"/>
                                </w:rPr>
                                <w:t>Records excluded (n = 121)</w:t>
                              </w:r>
                            </w:p>
                          </w:txbxContent>
                        </wps:txbx>
                        <wps:bodyPr spcFirstLastPara="1" wrap="square" lIns="91425" tIns="91425" rIns="91425" bIns="91425" anchor="ctr" anchorCtr="0">
                          <a:noAutofit/>
                        </wps:bodyPr>
                      </wps:wsp>
                      <wps:wsp>
                        <wps:cNvPr id="11" name="Shape 11"/>
                        <wps:cNvSpPr/>
                        <wps:spPr>
                          <a:xfrm>
                            <a:off x="1493500" y="2679325"/>
                            <a:ext cx="2050500" cy="8340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432CBC5" w14:textId="77777777" w:rsidR="007A45C3" w:rsidRDefault="00594977">
                              <w:pPr>
                                <w:spacing w:line="240" w:lineRule="auto"/>
                              </w:pPr>
                              <w:r>
                                <w:rPr>
                                  <w:color w:val="000000"/>
                                  <w:sz w:val="20"/>
                                </w:rPr>
                                <w:t>Full-text reports assessed for eligibility (n = 33)</w:t>
                              </w:r>
                            </w:p>
                          </w:txbxContent>
                        </wps:txbx>
                        <wps:bodyPr spcFirstLastPara="1" wrap="square" lIns="91425" tIns="91425" rIns="91425" bIns="91425" anchor="ctr" anchorCtr="0">
                          <a:noAutofit/>
                        </wps:bodyPr>
                      </wps:wsp>
                      <wps:wsp>
                        <wps:cNvPr id="12" name="Shape 12"/>
                        <wps:cNvSpPr/>
                        <wps:spPr>
                          <a:xfrm>
                            <a:off x="1493500" y="3901975"/>
                            <a:ext cx="2050500" cy="542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D879C14" w14:textId="77777777" w:rsidR="007A45C3" w:rsidRDefault="00594977">
                              <w:pPr>
                                <w:spacing w:line="275" w:lineRule="auto"/>
                              </w:pPr>
                              <w:r>
                                <w:rPr>
                                  <w:color w:val="000000"/>
                                  <w:sz w:val="20"/>
                                </w:rPr>
                                <w:t xml:space="preserve">Studies </w:t>
                              </w:r>
                              <w:r>
                                <w:rPr>
                                  <w:color w:val="000000"/>
                                  <w:sz w:val="20"/>
                                </w:rPr>
                                <w:t>included in the synthesis (n = 15)</w:t>
                              </w:r>
                            </w:p>
                            <w:p w14:paraId="567BB701" w14:textId="77777777" w:rsidR="007A45C3" w:rsidRDefault="007A45C3">
                              <w:pPr>
                                <w:spacing w:line="240" w:lineRule="auto"/>
                              </w:pPr>
                            </w:p>
                          </w:txbxContent>
                        </wps:txbx>
                        <wps:bodyPr spcFirstLastPara="1" wrap="square" lIns="91425" tIns="91425" rIns="91425" bIns="91425" anchor="ctr" anchorCtr="0">
                          <a:noAutofit/>
                        </wps:bodyPr>
                      </wps:wsp>
                      <wps:wsp>
                        <wps:cNvPr id="13" name="Shape 13"/>
                        <wps:cNvSpPr/>
                        <wps:spPr>
                          <a:xfrm>
                            <a:off x="2977925" y="856725"/>
                            <a:ext cx="102300" cy="326100"/>
                          </a:xfrm>
                          <a:prstGeom prst="downArrow">
                            <a:avLst>
                              <a:gd name="adj1" fmla="val 50000"/>
                              <a:gd name="adj2" fmla="val 50000"/>
                            </a:avLst>
                          </a:prstGeom>
                          <a:solidFill>
                            <a:srgbClr val="EAD1DC"/>
                          </a:solidFill>
                          <a:ln w="9525" cap="flat" cmpd="sng">
                            <a:solidFill>
                              <a:srgbClr val="000000"/>
                            </a:solidFill>
                            <a:prstDash val="solid"/>
                            <a:round/>
                            <a:headEnd type="none" w="sm" len="sm"/>
                            <a:tailEnd type="none" w="sm" len="sm"/>
                          </a:ln>
                        </wps:spPr>
                        <wps:txbx>
                          <w:txbxContent>
                            <w:p w14:paraId="276C5921" w14:textId="77777777" w:rsidR="007A45C3" w:rsidRDefault="007A45C3">
                              <w:pPr>
                                <w:spacing w:line="240" w:lineRule="auto"/>
                                <w:jc w:val="center"/>
                              </w:pPr>
                            </w:p>
                          </w:txbxContent>
                        </wps:txbx>
                        <wps:bodyPr spcFirstLastPara="1" wrap="square" lIns="91425" tIns="91425" rIns="91425" bIns="91425" anchor="ctr" anchorCtr="0">
                          <a:noAutofit/>
                        </wps:bodyPr>
                      </wps:wsp>
                      <wps:wsp>
                        <wps:cNvPr id="14" name="Shape 14"/>
                        <wps:cNvSpPr/>
                        <wps:spPr>
                          <a:xfrm>
                            <a:off x="4072050" y="856713"/>
                            <a:ext cx="102300" cy="326100"/>
                          </a:xfrm>
                          <a:prstGeom prst="downArrow">
                            <a:avLst>
                              <a:gd name="adj1" fmla="val 50000"/>
                              <a:gd name="adj2" fmla="val 50000"/>
                            </a:avLst>
                          </a:prstGeom>
                          <a:solidFill>
                            <a:srgbClr val="EAD1DC"/>
                          </a:solidFill>
                          <a:ln w="9525" cap="flat" cmpd="sng">
                            <a:solidFill>
                              <a:srgbClr val="000000"/>
                            </a:solidFill>
                            <a:prstDash val="solid"/>
                            <a:round/>
                            <a:headEnd type="none" w="sm" len="sm"/>
                            <a:tailEnd type="none" w="sm" len="sm"/>
                          </a:ln>
                        </wps:spPr>
                        <wps:txbx>
                          <w:txbxContent>
                            <w:p w14:paraId="685672B1" w14:textId="77777777" w:rsidR="007A45C3" w:rsidRDefault="007A45C3">
                              <w:pPr>
                                <w:spacing w:line="240" w:lineRule="auto"/>
                                <w:jc w:val="center"/>
                              </w:pPr>
                            </w:p>
                          </w:txbxContent>
                        </wps:txbx>
                        <wps:bodyPr spcFirstLastPara="1" wrap="square" lIns="91425" tIns="91425" rIns="91425" bIns="91425" anchor="ctr" anchorCtr="0">
                          <a:noAutofit/>
                        </wps:bodyPr>
                      </wps:wsp>
                      <wps:wsp>
                        <wps:cNvPr id="15" name="Shape 15"/>
                        <wps:cNvSpPr/>
                        <wps:spPr>
                          <a:xfrm>
                            <a:off x="2977925" y="1637213"/>
                            <a:ext cx="102300" cy="326100"/>
                          </a:xfrm>
                          <a:prstGeom prst="downArrow">
                            <a:avLst>
                              <a:gd name="adj1" fmla="val 50000"/>
                              <a:gd name="adj2" fmla="val 50000"/>
                            </a:avLst>
                          </a:prstGeom>
                          <a:solidFill>
                            <a:srgbClr val="EAD1DC"/>
                          </a:solidFill>
                          <a:ln w="9525" cap="flat" cmpd="sng">
                            <a:solidFill>
                              <a:srgbClr val="000000"/>
                            </a:solidFill>
                            <a:prstDash val="solid"/>
                            <a:round/>
                            <a:headEnd type="none" w="sm" len="sm"/>
                            <a:tailEnd type="none" w="sm" len="sm"/>
                          </a:ln>
                        </wps:spPr>
                        <wps:txbx>
                          <w:txbxContent>
                            <w:p w14:paraId="217238AA" w14:textId="77777777" w:rsidR="007A45C3" w:rsidRDefault="007A45C3">
                              <w:pPr>
                                <w:spacing w:line="240" w:lineRule="auto"/>
                                <w:jc w:val="center"/>
                              </w:pPr>
                            </w:p>
                          </w:txbxContent>
                        </wps:txbx>
                        <wps:bodyPr spcFirstLastPara="1" wrap="square" lIns="91425" tIns="91425" rIns="91425" bIns="91425" anchor="ctr" anchorCtr="0">
                          <a:noAutofit/>
                        </wps:bodyPr>
                      </wps:wsp>
                      <wps:wsp>
                        <wps:cNvPr id="16" name="Shape 16"/>
                        <wps:cNvSpPr/>
                        <wps:spPr>
                          <a:xfrm>
                            <a:off x="2977925" y="2347625"/>
                            <a:ext cx="102300" cy="326100"/>
                          </a:xfrm>
                          <a:prstGeom prst="downArrow">
                            <a:avLst>
                              <a:gd name="adj1" fmla="val 50000"/>
                              <a:gd name="adj2" fmla="val 50000"/>
                            </a:avLst>
                          </a:prstGeom>
                          <a:solidFill>
                            <a:srgbClr val="EAD1DC"/>
                          </a:solidFill>
                          <a:ln w="9525" cap="flat" cmpd="sng">
                            <a:solidFill>
                              <a:srgbClr val="000000"/>
                            </a:solidFill>
                            <a:prstDash val="solid"/>
                            <a:round/>
                            <a:headEnd type="none" w="sm" len="sm"/>
                            <a:tailEnd type="none" w="sm" len="sm"/>
                          </a:ln>
                        </wps:spPr>
                        <wps:txbx>
                          <w:txbxContent>
                            <w:p w14:paraId="0099C11F" w14:textId="77777777" w:rsidR="007A45C3" w:rsidRDefault="007A45C3">
                              <w:pPr>
                                <w:spacing w:line="240" w:lineRule="auto"/>
                                <w:jc w:val="center"/>
                              </w:pPr>
                            </w:p>
                          </w:txbxContent>
                        </wps:txbx>
                        <wps:bodyPr spcFirstLastPara="1" wrap="square" lIns="91425" tIns="91425" rIns="91425" bIns="91425" anchor="ctr" anchorCtr="0">
                          <a:noAutofit/>
                        </wps:bodyPr>
                      </wps:wsp>
                      <wps:wsp>
                        <wps:cNvPr id="17" name="Shape 17"/>
                        <wps:cNvSpPr/>
                        <wps:spPr>
                          <a:xfrm>
                            <a:off x="2977925" y="3513325"/>
                            <a:ext cx="102300" cy="388500"/>
                          </a:xfrm>
                          <a:prstGeom prst="downArrow">
                            <a:avLst>
                              <a:gd name="adj1" fmla="val 50000"/>
                              <a:gd name="adj2" fmla="val 50000"/>
                            </a:avLst>
                          </a:prstGeom>
                          <a:solidFill>
                            <a:srgbClr val="EAD1DC"/>
                          </a:solidFill>
                          <a:ln w="9525" cap="flat" cmpd="sng">
                            <a:solidFill>
                              <a:srgbClr val="000000"/>
                            </a:solidFill>
                            <a:prstDash val="solid"/>
                            <a:round/>
                            <a:headEnd type="none" w="sm" len="sm"/>
                            <a:tailEnd type="none" w="sm" len="sm"/>
                          </a:ln>
                        </wps:spPr>
                        <wps:txbx>
                          <w:txbxContent>
                            <w:p w14:paraId="7C0124C2" w14:textId="77777777" w:rsidR="007A45C3" w:rsidRDefault="007A45C3">
                              <w:pPr>
                                <w:spacing w:line="240" w:lineRule="auto"/>
                                <w:jc w:val="center"/>
                              </w:pPr>
                            </w:p>
                          </w:txbxContent>
                        </wps:txbx>
                        <wps:bodyPr spcFirstLastPara="1" wrap="square" lIns="91425" tIns="91425" rIns="91425" bIns="91425" anchor="ctr" anchorCtr="0">
                          <a:noAutofit/>
                        </wps:bodyPr>
                      </wps:wsp>
                      <wps:wsp>
                        <wps:cNvPr id="18" name="Shape 18"/>
                        <wps:cNvSpPr/>
                        <wps:spPr>
                          <a:xfrm>
                            <a:off x="3728500" y="2679325"/>
                            <a:ext cx="1803300" cy="806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5154B35" w14:textId="77777777" w:rsidR="007A45C3" w:rsidRDefault="00594977">
                              <w:pPr>
                                <w:spacing w:line="240" w:lineRule="auto"/>
                              </w:pPr>
                              <w:r>
                                <w:rPr>
                                  <w:color w:val="000000"/>
                                  <w:sz w:val="20"/>
                                </w:rPr>
                                <w:t>Full-text reports excluded, with reasons (n = 18)</w:t>
                              </w:r>
                            </w:p>
                          </w:txbxContent>
                        </wps:txbx>
                        <wps:bodyPr spcFirstLastPara="1" wrap="square" lIns="91425" tIns="91425" rIns="91425" bIns="91425" anchor="ctr" anchorCtr="0">
                          <a:noAutofit/>
                        </wps:bodyPr>
                      </wps:wsp>
                      <wps:wsp>
                        <wps:cNvPr id="19" name="Shape 19"/>
                        <wps:cNvSpPr/>
                        <wps:spPr>
                          <a:xfrm rot="-5400000">
                            <a:off x="3564550" y="2962262"/>
                            <a:ext cx="143400" cy="184500"/>
                          </a:xfrm>
                          <a:prstGeom prst="downArrow">
                            <a:avLst>
                              <a:gd name="adj1" fmla="val 50000"/>
                              <a:gd name="adj2" fmla="val 50000"/>
                            </a:avLst>
                          </a:prstGeom>
                          <a:solidFill>
                            <a:srgbClr val="EAD1DC"/>
                          </a:solidFill>
                          <a:ln w="9525" cap="flat" cmpd="sng">
                            <a:solidFill>
                              <a:srgbClr val="000000"/>
                            </a:solidFill>
                            <a:prstDash val="solid"/>
                            <a:round/>
                            <a:headEnd type="none" w="sm" len="sm"/>
                            <a:tailEnd type="none" w="sm" len="sm"/>
                          </a:ln>
                        </wps:spPr>
                        <wps:txbx>
                          <w:txbxContent>
                            <w:p w14:paraId="70338AC8" w14:textId="77777777" w:rsidR="007A45C3" w:rsidRDefault="007A45C3">
                              <w:pPr>
                                <w:spacing w:line="240" w:lineRule="auto"/>
                                <w:jc w:val="center"/>
                              </w:pPr>
                            </w:p>
                          </w:txbxContent>
                        </wps:txbx>
                        <wps:bodyPr spcFirstLastPara="1" wrap="square" lIns="91425" tIns="91425" rIns="91425" bIns="91425" anchor="ctr" anchorCtr="0">
                          <a:noAutofit/>
                        </wps:bodyPr>
                      </wps:wsp>
                      <wps:wsp>
                        <wps:cNvPr id="20" name="Shape 20"/>
                        <wps:cNvSpPr/>
                        <wps:spPr>
                          <a:xfrm rot="-5400000">
                            <a:off x="3564550" y="2049937"/>
                            <a:ext cx="143400" cy="184500"/>
                          </a:xfrm>
                          <a:prstGeom prst="downArrow">
                            <a:avLst>
                              <a:gd name="adj1" fmla="val 50000"/>
                              <a:gd name="adj2" fmla="val 50000"/>
                            </a:avLst>
                          </a:prstGeom>
                          <a:solidFill>
                            <a:srgbClr val="EAD1DC"/>
                          </a:solidFill>
                          <a:ln w="9525" cap="flat" cmpd="sng">
                            <a:solidFill>
                              <a:srgbClr val="000000"/>
                            </a:solidFill>
                            <a:prstDash val="solid"/>
                            <a:round/>
                            <a:headEnd type="none" w="sm" len="sm"/>
                            <a:tailEnd type="none" w="sm" len="sm"/>
                          </a:ln>
                        </wps:spPr>
                        <wps:txbx>
                          <w:txbxContent>
                            <w:p w14:paraId="71898E91" w14:textId="77777777" w:rsidR="007A45C3" w:rsidRDefault="007A45C3">
                              <w:pPr>
                                <w:spacing w:line="240" w:lineRule="auto"/>
                                <w:jc w:val="center"/>
                              </w:pPr>
                            </w:p>
                          </w:txbxContent>
                        </wps:txbx>
                        <wps:bodyPr spcFirstLastPara="1" wrap="square" lIns="91425" tIns="91425" rIns="91425" bIns="91425" anchor="ctr" anchorCtr="0">
                          <a:noAutofit/>
                        </wps:bodyPr>
                      </wps:wsp>
                    </wpg:wgp>
                  </a:graphicData>
                </a:graphic>
              </wp:inline>
            </w:drawing>
          </mc:Choice>
          <mc:Fallback>
            <w:pict>
              <v:group w14:anchorId="74DCC925" id="Group 1" o:spid="_x0000_s1026" style="width:385.5pt;height:380.85pt;mso-position-horizontal-relative:char;mso-position-vertical-relative:line" coordorigin="8987,2309" coordsize="47403,4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">
                <v:rect id="Shape 2" o:spid="_x0000_s1027" style="position:absolute;left:5242;top:6150;width:10554;height:29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" fillcolor="#fff2cc">
                  <v:stroke startarrowwidth="narrow" startarrowlength="short" endarrowwidth="narrow" endarrowlength="short" joinstyle="round"/>
                  <v:textbox inset="2.53958mm,2.53958mm,2.53958mm,2.53958mm">
                    <w:txbxContent>
                      <w:p w14:paraId="2B7BF225" w14:textId="77777777" w:rsidR="007A45C3" w:rsidRDefault="00594977">
                        <w:pPr>
                          <w:spacing w:line="240" w:lineRule="auto"/>
                          <w:jc w:val="center"/>
                        </w:pPr>
                        <w:r>
                          <w:rPr>
                            <w:b/>
                            <w:color w:val="000000"/>
                            <w:sz w:val="20"/>
                          </w:rPr>
                          <w:t>Identification</w:t>
                        </w:r>
                      </w:p>
                    </w:txbxContent>
                  </v:textbox>
                </v:rect>
                <v:rect id="Shape 3" o:spid="_x0000_s1028" style="position:absolute;left:5242;top:18228;width:10554;height:29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" fillcolor="#fff2cc">
                  <v:stroke startarrowwidth="narrow" startarrowlength="short" endarrowwidth="narrow" endarrowlength="short" joinstyle="round"/>
                  <v:textbox inset="2.53958mm,2.53958mm,2.53958mm,2.53958mm">
                    <w:txbxContent>
                      <w:p w14:paraId="5F2415CF" w14:textId="77777777" w:rsidR="007A45C3" w:rsidRDefault="00594977">
                        <w:pPr>
                          <w:spacing w:line="240" w:lineRule="auto"/>
                          <w:jc w:val="center"/>
                        </w:pPr>
                        <w:r>
                          <w:rPr>
                            <w:b/>
                            <w:color w:val="000000"/>
                            <w:sz w:val="20"/>
                          </w:rPr>
                          <w:t>Screening</w:t>
                        </w:r>
                      </w:p>
                    </w:txbxContent>
                  </v:textbox>
                </v:rect>
                <v:rect id="Shape 4" o:spid="_x0000_s1029" style="position:absolute;left:5242;top:42385;width:10554;height:29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" fillcolor="#fff2cc">
                  <v:stroke startarrowwidth="narrow" startarrowlength="short" endarrowwidth="narrow" endarrowlength="short" joinstyle="round"/>
                  <v:textbox inset="2.53958mm,2.53958mm,2.53958mm,2.53958mm">
                    <w:txbxContent>
                      <w:p w14:paraId="03771D10" w14:textId="77777777" w:rsidR="007A45C3" w:rsidRDefault="00594977">
                        <w:pPr>
                          <w:spacing w:line="240" w:lineRule="auto"/>
                          <w:jc w:val="center"/>
                        </w:pPr>
                        <w:r>
                          <w:rPr>
                            <w:b/>
                            <w:color w:val="000000"/>
                            <w:sz w:val="20"/>
                          </w:rPr>
                          <w:t>Included</w:t>
                        </w:r>
                      </w:p>
                    </w:txbxContent>
                  </v:textbox>
                </v:rect>
                <v:rect id="Shape 5" o:spid="_x0000_s1030" style="position:absolute;left:5242;top:30307;width:10554;height:29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" fillcolor="#fff2cc">
                  <v:stroke startarrowwidth="narrow" startarrowlength="short" endarrowwidth="narrow" endarrowlength="short" joinstyle="round"/>
                  <v:textbox inset="2.53958mm,2.53958mm,2.53958mm,2.53958mm">
                    <w:txbxContent>
                      <w:p w14:paraId="76DD1DB6" w14:textId="77777777" w:rsidR="007A45C3" w:rsidRDefault="00594977">
                        <w:pPr>
                          <w:spacing w:line="240" w:lineRule="auto"/>
                          <w:jc w:val="center"/>
                        </w:pPr>
                        <w:r>
                          <w:rPr>
                            <w:b/>
                            <w:color w:val="000000"/>
                            <w:sz w:val="20"/>
                          </w:rPr>
                          <w:t>Eligibility</w:t>
                        </w:r>
                      </w:p>
                    </w:txbxContent>
                  </v:textbox>
                </v:rect>
                <v:rect id="Shape 6" o:spid="_x0000_s1031" style="position:absolute;left:14854;top:2357;width:19098;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" fillcolor="#cfe2f3">
                  <v:stroke startarrowwidth="narrow" startarrowlength="short" endarrowwidth="narrow" endarrowlength="short" joinstyle="round"/>
                  <v:textbox inset="2.53958mm,2.53958mm,2.53958mm,2.53958mm">
                    <w:txbxContent>
                      <w:p w14:paraId="25886C8B" w14:textId="77777777" w:rsidR="007A45C3" w:rsidRDefault="00594977">
                        <w:pPr>
                          <w:spacing w:line="240" w:lineRule="auto"/>
                        </w:pPr>
                        <w:r>
                          <w:rPr>
                            <w:color w:val="000000"/>
                            <w:sz w:val="20"/>
                          </w:rPr>
                          <w:t xml:space="preserve">Records identified through </w:t>
                        </w:r>
                        <w:r>
                          <w:rPr>
                            <w:color w:val="000000"/>
                            <w:sz w:val="20"/>
                          </w:rPr>
                          <w:t>database search (n = 186)</w:t>
                        </w:r>
                      </w:p>
                    </w:txbxContent>
                  </v:textbox>
                </v:rect>
                <v:rect id="Shape 7" o:spid="_x0000_s1032" style="position:absolute;left:36804;top:2357;width:19539;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" fillcolor="#cfe2f3">
                  <v:stroke startarrowwidth="narrow" startarrowlength="short" endarrowwidth="narrow" endarrowlength="short" joinstyle="round"/>
                  <v:textbox inset="2.53958mm,2.53958mm,2.53958mm,2.53958mm">
                    <w:txbxContent>
                      <w:p w14:paraId="34CA130D" w14:textId="77777777" w:rsidR="007A45C3" w:rsidRDefault="00594977">
                        <w:pPr>
                          <w:spacing w:line="240" w:lineRule="auto"/>
                        </w:pPr>
                        <w:r>
                          <w:rPr>
                            <w:color w:val="000000"/>
                            <w:sz w:val="20"/>
                          </w:rPr>
                          <w:t>Additional records identified through other sources (n = 24)</w:t>
                        </w:r>
                      </w:p>
                    </w:txbxContent>
                  </v:textbox>
                </v:rect>
                <v:rect id="Shape 8" o:spid="_x0000_s1033" style="position:absolute;left:21915;top:11773;width:26451;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" fillcolor="#cfe2f3">
                  <v:stroke startarrowwidth="narrow" startarrowlength="short" endarrowwidth="narrow" endarrowlength="short" joinstyle="round"/>
                  <v:textbox inset="2.53958mm,2.53958mm,2.53958mm,2.53958mm">
                    <w:txbxContent>
                      <w:p w14:paraId="712430DD" w14:textId="77777777" w:rsidR="007A45C3" w:rsidRDefault="00594977">
                        <w:pPr>
                          <w:spacing w:line="240" w:lineRule="auto"/>
                          <w:jc w:val="center"/>
                        </w:pPr>
                        <w:r>
                          <w:rPr>
                            <w:color w:val="000000"/>
                            <w:sz w:val="20"/>
                          </w:rPr>
                          <w:t>Records after duplicates removed (n = 154)</w:t>
                        </w:r>
                      </w:p>
                    </w:txbxContent>
                  </v:textbox>
                </v:rect>
                <v:rect id="Shape 9" o:spid="_x0000_s1034" style="position:absolute;left:14854;top:19591;width:20505;height:3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" fillcolor="#cfe2f3">
                  <v:stroke startarrowwidth="narrow" startarrowlength="short" endarrowwidth="narrow" endarrowlength="short" joinstyle="round"/>
                  <v:textbox inset="2.53958mm,2.53958mm,2.53958mm,2.53958mm">
                    <w:txbxContent>
                      <w:p w14:paraId="2BA4D768" w14:textId="77777777" w:rsidR="007A45C3" w:rsidRDefault="00594977">
                        <w:pPr>
                          <w:spacing w:line="240" w:lineRule="auto"/>
                        </w:pPr>
                        <w:r>
                          <w:rPr>
                            <w:color w:val="000000"/>
                            <w:sz w:val="20"/>
                          </w:rPr>
                          <w:t>Records screened (n = 154)</w:t>
                        </w:r>
                      </w:p>
                    </w:txbxContent>
                  </v:textbox>
                </v:rect>
                <v:rect id="Shape 10" o:spid="_x0000_s1035" style="position:absolute;left:37365;top:19479;width:17952;height:3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" fillcolor="#cfe2f3">
                  <v:stroke startarrowwidth="narrow" startarrowlength="short" endarrowwidth="narrow" endarrowlength="short" joinstyle="round"/>
                  <v:textbox inset="2.53958mm,2.53958mm,2.53958mm,2.53958mm">
                    <w:txbxContent>
                      <w:p w14:paraId="0A9F8405" w14:textId="77777777" w:rsidR="007A45C3" w:rsidRDefault="00594977">
                        <w:pPr>
                          <w:spacing w:line="240" w:lineRule="auto"/>
                        </w:pPr>
                        <w:r>
                          <w:rPr>
                            <w:color w:val="000000"/>
                            <w:sz w:val="20"/>
                          </w:rPr>
                          <w:t>Records excluded (n = 121)</w:t>
                        </w:r>
                      </w:p>
                    </w:txbxContent>
                  </v:textbox>
                </v:rect>
                <v:rect id="Shape 11" o:spid="_x0000_s1036" style="position:absolute;left:14935;top:26793;width:20505;height:8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" fillcolor="#cfe2f3">
                  <v:stroke startarrowwidth="narrow" startarrowlength="short" endarrowwidth="narrow" endarrowlength="short" joinstyle="round"/>
                  <v:textbox inset="2.53958mm,2.53958mm,2.53958mm,2.53958mm">
                    <w:txbxContent>
                      <w:p w14:paraId="0432CBC5" w14:textId="77777777" w:rsidR="007A45C3" w:rsidRDefault="00594977">
                        <w:pPr>
                          <w:spacing w:line="240" w:lineRule="auto"/>
                        </w:pPr>
                        <w:r>
                          <w:rPr>
                            <w:color w:val="000000"/>
                            <w:sz w:val="20"/>
                          </w:rPr>
                          <w:t>Full-text reports assessed for eligibility (n = 33)</w:t>
                        </w:r>
                      </w:p>
                    </w:txbxContent>
                  </v:textbox>
                </v:rect>
                <v:rect id="Shape 12" o:spid="_x0000_s1037" style="position:absolute;left:14935;top:39019;width:20505;height:5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" fillcolor="#cfe2f3">
                  <v:stroke startarrowwidth="narrow" startarrowlength="short" endarrowwidth="narrow" endarrowlength="short" joinstyle="round"/>
                  <v:textbox inset="2.53958mm,2.53958mm,2.53958mm,2.53958mm">
                    <w:txbxContent>
                      <w:p w14:paraId="7D879C14" w14:textId="77777777" w:rsidR="007A45C3" w:rsidRDefault="00594977">
                        <w:pPr>
                          <w:spacing w:line="275" w:lineRule="auto"/>
                        </w:pPr>
                        <w:r>
                          <w:rPr>
                            <w:color w:val="000000"/>
                            <w:sz w:val="20"/>
                          </w:rPr>
                          <w:t xml:space="preserve">Studies </w:t>
                        </w:r>
                        <w:r>
                          <w:rPr>
                            <w:color w:val="000000"/>
                            <w:sz w:val="20"/>
                          </w:rPr>
                          <w:t>included in the synthesis (n = 15)</w:t>
                        </w:r>
                      </w:p>
                      <w:p w14:paraId="567BB701" w14:textId="77777777" w:rsidR="007A45C3" w:rsidRDefault="007A45C3">
                        <w:pPr>
                          <w:spacing w:line="240" w:lineRule="auto"/>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hape 13" o:spid="_x0000_s1038" type="#_x0000_t67" style="position:absolute;left:29779;top:8567;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" adj="18212" fillcolor="#ead1dc">
                  <v:stroke startarrowwidth="narrow" startarrowlength="short" endarrowwidth="narrow" endarrowlength="short" joinstyle="round"/>
                  <v:textbox inset="2.53958mm,2.53958mm,2.53958mm,2.53958mm">
                    <w:txbxContent>
                      <w:p w14:paraId="276C5921" w14:textId="77777777" w:rsidR="007A45C3" w:rsidRDefault="007A45C3">
                        <w:pPr>
                          <w:spacing w:line="240" w:lineRule="auto"/>
                          <w:jc w:val="center"/>
                        </w:pPr>
                      </w:p>
                    </w:txbxContent>
                  </v:textbox>
                </v:shape>
                <v:shape id="Shape 14" o:spid="_x0000_s1039" type="#_x0000_t67" style="position:absolute;left:40720;top:8567;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" adj="18212" fillcolor="#ead1dc">
                  <v:stroke startarrowwidth="narrow" startarrowlength="short" endarrowwidth="narrow" endarrowlength="short" joinstyle="round"/>
                  <v:textbox inset="2.53958mm,2.53958mm,2.53958mm,2.53958mm">
                    <w:txbxContent>
                      <w:p w14:paraId="685672B1" w14:textId="77777777" w:rsidR="007A45C3" w:rsidRDefault="007A45C3">
                        <w:pPr>
                          <w:spacing w:line="240" w:lineRule="auto"/>
                          <w:jc w:val="center"/>
                        </w:pPr>
                      </w:p>
                    </w:txbxContent>
                  </v:textbox>
                </v:shape>
                <v:shape id="Shape 15" o:spid="_x0000_s1040" type="#_x0000_t67" style="position:absolute;left:29779;top:16372;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" adj="18212" fillcolor="#ead1dc">
                  <v:stroke startarrowwidth="narrow" startarrowlength="short" endarrowwidth="narrow" endarrowlength="short" joinstyle="round"/>
                  <v:textbox inset="2.53958mm,2.53958mm,2.53958mm,2.53958mm">
                    <w:txbxContent>
                      <w:p w14:paraId="217238AA" w14:textId="77777777" w:rsidR="007A45C3" w:rsidRDefault="007A45C3">
                        <w:pPr>
                          <w:spacing w:line="240" w:lineRule="auto"/>
                          <w:jc w:val="center"/>
                        </w:pPr>
                      </w:p>
                    </w:txbxContent>
                  </v:textbox>
                </v:shape>
                <v:shape id="Shape 16" o:spid="_x0000_s1041" type="#_x0000_t67" style="position:absolute;left:29779;top:23476;width:1023;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" adj="18212" fillcolor="#ead1dc">
                  <v:stroke startarrowwidth="narrow" startarrowlength="short" endarrowwidth="narrow" endarrowlength="short" joinstyle="round"/>
                  <v:textbox inset="2.53958mm,2.53958mm,2.53958mm,2.53958mm">
                    <w:txbxContent>
                      <w:p w14:paraId="0099C11F" w14:textId="77777777" w:rsidR="007A45C3" w:rsidRDefault="007A45C3">
                        <w:pPr>
                          <w:spacing w:line="240" w:lineRule="auto"/>
                          <w:jc w:val="center"/>
                        </w:pPr>
                      </w:p>
                    </w:txbxContent>
                  </v:textbox>
                </v:shape>
                <v:shape id="Shape 17" o:spid="_x0000_s1042" type="#_x0000_t67" style="position:absolute;left:29779;top:35133;width:1023;height:3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" adj="18756" fillcolor="#ead1dc">
                  <v:stroke startarrowwidth="narrow" startarrowlength="short" endarrowwidth="narrow" endarrowlength="short" joinstyle="round"/>
                  <v:textbox inset="2.53958mm,2.53958mm,2.53958mm,2.53958mm">
                    <w:txbxContent>
                      <w:p w14:paraId="7C0124C2" w14:textId="77777777" w:rsidR="007A45C3" w:rsidRDefault="007A45C3">
                        <w:pPr>
                          <w:spacing w:line="240" w:lineRule="auto"/>
                          <w:jc w:val="center"/>
                        </w:pPr>
                      </w:p>
                    </w:txbxContent>
                  </v:textbox>
                </v:shape>
                <v:rect id="Shape 18" o:spid="_x0000_s1043" style="position:absolute;left:37285;top:26793;width:18033;height:8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" fillcolor="#cfe2f3">
                  <v:stroke startarrowwidth="narrow" startarrowlength="short" endarrowwidth="narrow" endarrowlength="short" joinstyle="round"/>
                  <v:textbox inset="2.53958mm,2.53958mm,2.53958mm,2.53958mm">
                    <w:txbxContent>
                      <w:p w14:paraId="45154B35" w14:textId="77777777" w:rsidR="007A45C3" w:rsidRDefault="00594977">
                        <w:pPr>
                          <w:spacing w:line="240" w:lineRule="auto"/>
                        </w:pPr>
                        <w:r>
                          <w:rPr>
                            <w:color w:val="000000"/>
                            <w:sz w:val="20"/>
                          </w:rPr>
                          <w:t>Full-text reports excluded, with reasons (n = 18)</w:t>
                        </w:r>
                      </w:p>
                    </w:txbxContent>
                  </v:textbox>
                </v:rect>
                <v:shape id="Shape 19" o:spid="_x0000_s1044" type="#_x0000_t67" style="position:absolute;left:35646;top:29622;width:1434;height:18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" adj="13206" fillcolor="#ead1dc">
                  <v:stroke startarrowwidth="narrow" startarrowlength="short" endarrowwidth="narrow" endarrowlength="short" joinstyle="round"/>
                  <v:textbox inset="2.53958mm,2.53958mm,2.53958mm,2.53958mm">
                    <w:txbxContent>
                      <w:p w14:paraId="70338AC8" w14:textId="77777777" w:rsidR="007A45C3" w:rsidRDefault="007A45C3">
                        <w:pPr>
                          <w:spacing w:line="240" w:lineRule="auto"/>
                          <w:jc w:val="center"/>
                        </w:pPr>
                      </w:p>
                    </w:txbxContent>
                  </v:textbox>
                </v:shape>
                <v:shape id="Shape 20" o:spid="_x0000_s1045" type="#_x0000_t67" style="position:absolute;left:35646;top:20498;width:1434;height:18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" adj="13206" fillcolor="#ead1dc">
                  <v:stroke startarrowwidth="narrow" startarrowlength="short" endarrowwidth="narrow" endarrowlength="short" joinstyle="round"/>
                  <v:textbox inset="2.53958mm,2.53958mm,2.53958mm,2.53958mm">
                    <w:txbxContent>
                      <w:p w14:paraId="71898E91" w14:textId="77777777" w:rsidR="007A45C3" w:rsidRDefault="007A45C3">
                        <w:pPr>
                          <w:spacing w:line="240" w:lineRule="auto"/>
                          <w:jc w:val="center"/>
                        </w:pPr>
                      </w:p>
                    </w:txbxContent>
                  </v:textbox>
                </v:shape>
                <w10:anchorlock/>
              </v:group>
            </w:pict>
          </mc:Fallback>
        </mc:AlternateContent>
      </w:r>
    </w:p>
    <w:p w14:paraId="636BB2CD" w14:textId="77777777" w:rsidR="007A45C3" w:rsidRDefault="00594977">
      <w:pPr>
        <w:pStyle w:val="Heading2"/>
        <w:keepNext w:val="0"/>
        <w:keepLines w:val="0"/>
        <w:spacing w:before="240" w:after="240"/>
        <w:jc w:val="both"/>
        <w:rPr>
          <w:rFonts w:ascii="Times New Roman" w:eastAsia="Times New Roman" w:hAnsi="Times New Roman" w:cs="Times New Roman"/>
          <w:b/>
          <w:bCs/>
          <w:sz w:val="24"/>
          <w:szCs w:val="24"/>
        </w:rPr>
      </w:pPr>
      <w:bookmarkStart w:id="14" w:name="_m02umwnydyyx" w:colFirst="0" w:colLast="0"/>
      <w:bookmarkEnd w:id="14"/>
      <w:r>
        <w:rPr>
          <w:rFonts w:ascii="Times New Roman" w:eastAsia="Times New Roman" w:hAnsi="Times New Roman" w:cs="Times New Roman"/>
          <w:b/>
          <w:bCs/>
          <w:sz w:val="24"/>
          <w:szCs w:val="24"/>
        </w:rPr>
        <w:t>Figure 1: PRISMA flow diagram of study selection.</w:t>
      </w:r>
    </w:p>
    <w:p w14:paraId="35B73EA3"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bookmarkStart w:id="15" w:name="_9s3nooqmxu9r" w:colFirst="0" w:colLast="0"/>
      <w:bookmarkEnd w:id="15"/>
      <w:r>
        <w:rPr>
          <w:rFonts w:ascii="Times New Roman" w:eastAsia="Times New Roman" w:hAnsi="Times New Roman" w:cs="Times New Roman"/>
          <w:sz w:val="24"/>
          <w:szCs w:val="24"/>
        </w:rPr>
        <w:t>A total of 186 records were identified through database searching, with an additional 24 records</w:t>
      </w:r>
      <w:r>
        <w:rPr>
          <w:rFonts w:ascii="Times New Roman" w:eastAsia="Times New Roman" w:hAnsi="Times New Roman" w:cs="Times New Roman"/>
          <w:sz w:val="24"/>
          <w:szCs w:val="24"/>
        </w:rPr>
        <w:t xml:space="preserve"> obtained from other sources. After the removal of duplicates, 154 records remained and were screened based on titles and abstracts. Of these, 121 records were excluded for not meeting the inclusion criteria. The full texts of 33 studies were then assessed</w:t>
      </w:r>
      <w:r>
        <w:rPr>
          <w:rFonts w:ascii="Times New Roman" w:eastAsia="Times New Roman" w:hAnsi="Times New Roman" w:cs="Times New Roman"/>
          <w:sz w:val="24"/>
          <w:szCs w:val="24"/>
        </w:rPr>
        <w:t xml:space="preserve"> for eligibility, out of which 18 were excluded due to reasons such as lack of adolescent-specific data, irrelevant outcomes, or not being conducted in Nigeria. Ultimately, 15 studies met all the eligibility criteria and were included in the final synthesi</w:t>
      </w:r>
      <w:r>
        <w:rPr>
          <w:rFonts w:ascii="Times New Roman" w:eastAsia="Times New Roman" w:hAnsi="Times New Roman" w:cs="Times New Roman"/>
          <w:sz w:val="24"/>
          <w:szCs w:val="24"/>
        </w:rPr>
        <w:t>s.</w:t>
      </w:r>
    </w:p>
    <w:p w14:paraId="51EAB6B9" w14:textId="77777777" w:rsidR="007A45C3" w:rsidRDefault="007A45C3">
      <w:pPr>
        <w:pStyle w:val="Heading2"/>
        <w:keepNext w:val="0"/>
        <w:keepLines w:val="0"/>
        <w:spacing w:before="240" w:after="240"/>
        <w:jc w:val="both"/>
        <w:rPr>
          <w:rFonts w:ascii="Times New Roman" w:eastAsia="Times New Roman" w:hAnsi="Times New Roman" w:cs="Times New Roman"/>
          <w:b/>
          <w:bCs/>
          <w:sz w:val="24"/>
          <w:szCs w:val="24"/>
        </w:rPr>
      </w:pPr>
      <w:bookmarkStart w:id="16" w:name="_c8176ixcwozs" w:colFirst="0" w:colLast="0"/>
      <w:bookmarkEnd w:id="16"/>
    </w:p>
    <w:p w14:paraId="3470CA4C" w14:textId="77777777" w:rsidR="007A45C3" w:rsidRDefault="00594977">
      <w:pPr>
        <w:pStyle w:val="Heading2"/>
        <w:keepNext w:val="0"/>
        <w:keepLines w:val="0"/>
        <w:spacing w:before="240" w:after="240"/>
        <w:jc w:val="both"/>
        <w:rPr>
          <w:rFonts w:ascii="Times New Roman" w:eastAsia="Times New Roman" w:hAnsi="Times New Roman" w:cs="Times New Roman"/>
          <w:b/>
          <w:bCs/>
          <w:sz w:val="24"/>
          <w:szCs w:val="24"/>
        </w:rPr>
      </w:pPr>
      <w:bookmarkStart w:id="17" w:name="_3kzj87mxdiai" w:colFirst="0" w:colLast="0"/>
      <w:r>
        <w:rPr>
          <w:rFonts w:ascii="Times New Roman" w:eastAsia="Times New Roman" w:hAnsi="Times New Roman" w:cs="Times New Roman"/>
          <w:b/>
          <w:bCs/>
          <w:sz w:val="24"/>
          <w:szCs w:val="24"/>
        </w:rPr>
        <w:t>RESULTS</w:t>
      </w:r>
    </w:p>
    <w:p w14:paraId="660D9F72"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reviewed studies comprised cross-sectional surveys, qualitative studies, systematic reviews, and secondary data analyses conducted across different regions of Nigeria, with some comparative evidence from other African countries. Sample size</w:t>
      </w:r>
      <w:r>
        <w:rPr>
          <w:rFonts w:ascii="Times New Roman" w:eastAsia="Times New Roman" w:hAnsi="Times New Roman" w:cs="Times New Roman"/>
          <w:sz w:val="24"/>
          <w:szCs w:val="24"/>
        </w:rPr>
        <w:t xml:space="preserve">s varied widely, ranging from fewer than 100 </w:t>
      </w:r>
      <w:r>
        <w:rPr>
          <w:rFonts w:ascii="Times New Roman" w:eastAsia="Times New Roman" w:hAnsi="Times New Roman" w:cs="Times New Roman"/>
          <w:sz w:val="24"/>
          <w:szCs w:val="24"/>
        </w:rPr>
        <w:lastRenderedPageBreak/>
        <w:t>participants to large nationally representative datasets involving tens of thousands of respondents. Across most studies, awareness of contraceptive methods among adolescents was consistently high; however, actu</w:t>
      </w:r>
      <w:r>
        <w:rPr>
          <w:rFonts w:ascii="Times New Roman" w:eastAsia="Times New Roman" w:hAnsi="Times New Roman" w:cs="Times New Roman"/>
          <w:sz w:val="24"/>
          <w:szCs w:val="24"/>
        </w:rPr>
        <w:t xml:space="preserve">al </w:t>
      </w:r>
      <w:proofErr w:type="spellStart"/>
      <w:r>
        <w:rPr>
          <w:rFonts w:ascii="Times New Roman" w:eastAsia="Times New Roman" w:hAnsi="Times New Roman" w:cs="Times New Roman"/>
          <w:sz w:val="24"/>
          <w:szCs w:val="24"/>
        </w:rPr>
        <w:t>utilisation</w:t>
      </w:r>
      <w:proofErr w:type="spellEnd"/>
      <w:r>
        <w:rPr>
          <w:rFonts w:ascii="Times New Roman" w:eastAsia="Times New Roman" w:hAnsi="Times New Roman" w:cs="Times New Roman"/>
          <w:sz w:val="24"/>
          <w:szCs w:val="24"/>
        </w:rPr>
        <w:t xml:space="preserve"> remained low, indicating a persistent gap between knowledge and practice (</w:t>
      </w:r>
      <w:proofErr w:type="spellStart"/>
      <w:r>
        <w:rPr>
          <w:rFonts w:ascii="Times New Roman" w:eastAsia="Times New Roman" w:hAnsi="Times New Roman" w:cs="Times New Roman"/>
          <w:sz w:val="24"/>
          <w:szCs w:val="24"/>
        </w:rPr>
        <w:t>Ilugbami</w:t>
      </w:r>
      <w:proofErr w:type="spellEnd"/>
      <w:r>
        <w:rPr>
          <w:rFonts w:ascii="Times New Roman" w:eastAsia="Times New Roman" w:hAnsi="Times New Roman" w:cs="Times New Roman"/>
          <w:sz w:val="24"/>
          <w:szCs w:val="24"/>
        </w:rPr>
        <w:t xml:space="preserve"> et al., 2022; </w:t>
      </w:r>
      <w:proofErr w:type="spellStart"/>
      <w:r>
        <w:rPr>
          <w:rFonts w:ascii="Times New Roman" w:eastAsia="Times New Roman" w:hAnsi="Times New Roman" w:cs="Times New Roman"/>
          <w:sz w:val="24"/>
          <w:szCs w:val="24"/>
        </w:rPr>
        <w:t>Ilori</w:t>
      </w:r>
      <w:proofErr w:type="spellEnd"/>
      <w:r>
        <w:rPr>
          <w:rFonts w:ascii="Times New Roman" w:eastAsia="Times New Roman" w:hAnsi="Times New Roman" w:cs="Times New Roman"/>
          <w:sz w:val="24"/>
          <w:szCs w:val="24"/>
        </w:rPr>
        <w:t xml:space="preserve"> et al., 2023; Ayo-Bello &amp; Quinn-Walker, 2025</w:t>
      </w:r>
      <w:proofErr w:type="gramStart"/>
      <w:r>
        <w:rPr>
          <w:rFonts w:ascii="Times New Roman" w:eastAsia="Times New Roman" w:hAnsi="Times New Roman" w:cs="Times New Roman"/>
          <w:sz w:val="24"/>
          <w:szCs w:val="24"/>
        </w:rPr>
        <w:t>) .</w:t>
      </w:r>
      <w:proofErr w:type="gramEnd"/>
    </w:p>
    <w:p w14:paraId="33AAD073"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individual level, several factors were found to significantly influence </w:t>
      </w:r>
      <w:r>
        <w:rPr>
          <w:rFonts w:ascii="Times New Roman" w:eastAsia="Times New Roman" w:hAnsi="Times New Roman" w:cs="Times New Roman"/>
          <w:sz w:val="24"/>
          <w:szCs w:val="24"/>
        </w:rPr>
        <w:t>contraceptive uptake. Age was a consistent determinant, with older adolescents more likely to use contraceptives than younger ones, likely due to increased autonomy and exposure to reproductive health information (</w:t>
      </w:r>
      <w:proofErr w:type="spellStart"/>
      <w:r>
        <w:rPr>
          <w:rFonts w:ascii="Times New Roman" w:eastAsia="Times New Roman" w:hAnsi="Times New Roman" w:cs="Times New Roman"/>
          <w:sz w:val="24"/>
          <w:szCs w:val="24"/>
        </w:rPr>
        <w:t>Sanni</w:t>
      </w:r>
      <w:proofErr w:type="spellEnd"/>
      <w:r>
        <w:rPr>
          <w:rFonts w:ascii="Times New Roman" w:eastAsia="Times New Roman" w:hAnsi="Times New Roman" w:cs="Times New Roman"/>
          <w:sz w:val="24"/>
          <w:szCs w:val="24"/>
        </w:rPr>
        <w:t xml:space="preserve"> et al., 2025). Educational attainmen</w:t>
      </w:r>
      <w:r>
        <w:rPr>
          <w:rFonts w:ascii="Times New Roman" w:eastAsia="Times New Roman" w:hAnsi="Times New Roman" w:cs="Times New Roman"/>
          <w:sz w:val="24"/>
          <w:szCs w:val="24"/>
        </w:rPr>
        <w:t>t also played a major role, as adolescents with higher levels of education demonstrated greater likelihood of contraceptive use (</w:t>
      </w:r>
      <w:proofErr w:type="spellStart"/>
      <w:r>
        <w:rPr>
          <w:rFonts w:ascii="Times New Roman" w:eastAsia="Times New Roman" w:hAnsi="Times New Roman" w:cs="Times New Roman"/>
          <w:sz w:val="24"/>
          <w:szCs w:val="24"/>
        </w:rPr>
        <w:t>Alo</w:t>
      </w:r>
      <w:proofErr w:type="spellEnd"/>
      <w:r>
        <w:rPr>
          <w:rFonts w:ascii="Times New Roman" w:eastAsia="Times New Roman" w:hAnsi="Times New Roman" w:cs="Times New Roman"/>
          <w:sz w:val="24"/>
          <w:szCs w:val="24"/>
        </w:rPr>
        <w:t xml:space="preserve"> et al., 2020; Ayo-Bello &amp; Quinn-Walker, 2025). Although awareness levels were generally high, detailed knowledge was often </w:t>
      </w:r>
      <w:r>
        <w:rPr>
          <w:rFonts w:ascii="Times New Roman" w:eastAsia="Times New Roman" w:hAnsi="Times New Roman" w:cs="Times New Roman"/>
          <w:sz w:val="24"/>
          <w:szCs w:val="24"/>
        </w:rPr>
        <w:t xml:space="preserve">limited, leading to misconceptions about contraceptive methods. Fear of side effects and infertility was frequently reported and contributed to low </w:t>
      </w:r>
      <w:proofErr w:type="spellStart"/>
      <w:r>
        <w:rPr>
          <w:rFonts w:ascii="Times New Roman" w:eastAsia="Times New Roman" w:hAnsi="Times New Roman" w:cs="Times New Roman"/>
          <w:sz w:val="24"/>
          <w:szCs w:val="24"/>
        </w:rPr>
        <w:t>utilisation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Disu</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Itopa</w:t>
      </w:r>
      <w:proofErr w:type="spellEnd"/>
      <w:r>
        <w:rPr>
          <w:rFonts w:ascii="Times New Roman" w:eastAsia="Times New Roman" w:hAnsi="Times New Roman" w:cs="Times New Roman"/>
          <w:sz w:val="24"/>
          <w:szCs w:val="24"/>
        </w:rPr>
        <w:t>, 2020). Additionally, contraceptive use among adolescents was often motivated</w:t>
      </w:r>
      <w:r>
        <w:rPr>
          <w:rFonts w:ascii="Times New Roman" w:eastAsia="Times New Roman" w:hAnsi="Times New Roman" w:cs="Times New Roman"/>
          <w:sz w:val="24"/>
          <w:szCs w:val="24"/>
        </w:rPr>
        <w:t xml:space="preserve"> primarily by pregnancy prevention rather than protection against sexually transmitted infections, suggesting gaps in comprehensive reproductive health knowledge (</w:t>
      </w:r>
      <w:proofErr w:type="spellStart"/>
      <w:r>
        <w:rPr>
          <w:rFonts w:ascii="Times New Roman" w:eastAsia="Times New Roman" w:hAnsi="Times New Roman" w:cs="Times New Roman"/>
          <w:sz w:val="24"/>
          <w:szCs w:val="24"/>
        </w:rPr>
        <w:t>Ilugbami</w:t>
      </w:r>
      <w:proofErr w:type="spellEnd"/>
      <w:r>
        <w:rPr>
          <w:rFonts w:ascii="Times New Roman" w:eastAsia="Times New Roman" w:hAnsi="Times New Roman" w:cs="Times New Roman"/>
          <w:sz w:val="24"/>
          <w:szCs w:val="24"/>
        </w:rPr>
        <w:t xml:space="preserve"> et al., 2022).</w:t>
      </w:r>
    </w:p>
    <w:p w14:paraId="3B0BA52B"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 factors also played a critical role in shaping contrace</w:t>
      </w:r>
      <w:r>
        <w:rPr>
          <w:rFonts w:ascii="Times New Roman" w:eastAsia="Times New Roman" w:hAnsi="Times New Roman" w:cs="Times New Roman"/>
          <w:sz w:val="24"/>
          <w:szCs w:val="24"/>
        </w:rPr>
        <w:t xml:space="preserve">ptive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Partner influence emerged as a key determinant, with male approval significantly increasing the likelihood of contraceptive use, while disapproval acted as a major barrier (</w:t>
      </w:r>
      <w:proofErr w:type="spellStart"/>
      <w:r>
        <w:rPr>
          <w:rFonts w:ascii="Times New Roman" w:eastAsia="Times New Roman" w:hAnsi="Times New Roman" w:cs="Times New Roman"/>
          <w:sz w:val="24"/>
          <w:szCs w:val="24"/>
        </w:rPr>
        <w:t>Disu</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Oluyemi</w:t>
      </w:r>
      <w:proofErr w:type="spellEnd"/>
      <w:r>
        <w:rPr>
          <w:rFonts w:ascii="Times New Roman" w:eastAsia="Times New Roman" w:hAnsi="Times New Roman" w:cs="Times New Roman"/>
          <w:sz w:val="24"/>
          <w:szCs w:val="24"/>
        </w:rPr>
        <w:t>, 2013). Parental influence further affected a</w:t>
      </w:r>
      <w:r>
        <w:rPr>
          <w:rFonts w:ascii="Times New Roman" w:eastAsia="Times New Roman" w:hAnsi="Times New Roman" w:cs="Times New Roman"/>
          <w:sz w:val="24"/>
          <w:szCs w:val="24"/>
        </w:rPr>
        <w:t>dolescents’ access to information and services, as poor parent–child communication and restrictive attitudes toward sexuality limited adolescents’ ability to seek contraception (</w:t>
      </w:r>
      <w:proofErr w:type="spellStart"/>
      <w:r>
        <w:rPr>
          <w:rFonts w:ascii="Times New Roman" w:eastAsia="Times New Roman" w:hAnsi="Times New Roman" w:cs="Times New Roman"/>
          <w:sz w:val="24"/>
          <w:szCs w:val="24"/>
        </w:rPr>
        <w:t>Ezenwaka</w:t>
      </w:r>
      <w:proofErr w:type="spellEnd"/>
      <w:r>
        <w:rPr>
          <w:rFonts w:ascii="Times New Roman" w:eastAsia="Times New Roman" w:hAnsi="Times New Roman" w:cs="Times New Roman"/>
          <w:sz w:val="24"/>
          <w:szCs w:val="24"/>
        </w:rPr>
        <w:t xml:space="preserve"> et al., 2020). Peer influence was also important, as adolescents ofte</w:t>
      </w:r>
      <w:r>
        <w:rPr>
          <w:rFonts w:ascii="Times New Roman" w:eastAsia="Times New Roman" w:hAnsi="Times New Roman" w:cs="Times New Roman"/>
          <w:sz w:val="24"/>
          <w:szCs w:val="24"/>
        </w:rPr>
        <w:t>n relied on friends and social networks for information, which could either encourage or discourage contraceptive use depending on the context (</w:t>
      </w:r>
      <w:proofErr w:type="spellStart"/>
      <w:r>
        <w:rPr>
          <w:rFonts w:ascii="Times New Roman" w:eastAsia="Times New Roman" w:hAnsi="Times New Roman" w:cs="Times New Roman"/>
          <w:sz w:val="24"/>
          <w:szCs w:val="24"/>
        </w:rPr>
        <w:t>Kayira</w:t>
      </w:r>
      <w:proofErr w:type="spellEnd"/>
      <w:r>
        <w:rPr>
          <w:rFonts w:ascii="Times New Roman" w:eastAsia="Times New Roman" w:hAnsi="Times New Roman" w:cs="Times New Roman"/>
          <w:sz w:val="24"/>
          <w:szCs w:val="24"/>
        </w:rPr>
        <w:t>, 2019). Gender disparities were evident, with female adolescents facing greater stigma and restrictions c</w:t>
      </w:r>
      <w:r>
        <w:rPr>
          <w:rFonts w:ascii="Times New Roman" w:eastAsia="Times New Roman" w:hAnsi="Times New Roman" w:cs="Times New Roman"/>
          <w:sz w:val="24"/>
          <w:szCs w:val="24"/>
        </w:rPr>
        <w:t>ompared to males (</w:t>
      </w:r>
      <w:proofErr w:type="spellStart"/>
      <w:r>
        <w:rPr>
          <w:rFonts w:ascii="Times New Roman" w:eastAsia="Times New Roman" w:hAnsi="Times New Roman" w:cs="Times New Roman"/>
          <w:sz w:val="24"/>
          <w:szCs w:val="24"/>
        </w:rPr>
        <w:t>Umoren</w:t>
      </w:r>
      <w:proofErr w:type="spellEnd"/>
      <w:r>
        <w:rPr>
          <w:rFonts w:ascii="Times New Roman" w:eastAsia="Times New Roman" w:hAnsi="Times New Roman" w:cs="Times New Roman"/>
          <w:sz w:val="24"/>
          <w:szCs w:val="24"/>
        </w:rPr>
        <w:t>, 2021).</w:t>
      </w:r>
    </w:p>
    <w:p w14:paraId="48CC30D9"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Sociocultural and religious factors were identified as some of the most significant barriers to contraceptive uptake. Cultural norms discouraging premarital sexual activity, societal stigma, and religious beliefs restrictin</w:t>
      </w:r>
      <w:r>
        <w:rPr>
          <w:rFonts w:ascii="Times New Roman" w:eastAsia="Times New Roman" w:hAnsi="Times New Roman" w:cs="Times New Roman"/>
          <w:sz w:val="24"/>
          <w:szCs w:val="24"/>
        </w:rPr>
        <w:t xml:space="preserve">g contraceptive use contributed to low </w:t>
      </w:r>
      <w:proofErr w:type="spellStart"/>
      <w:r>
        <w:rPr>
          <w:rFonts w:ascii="Times New Roman" w:eastAsia="Times New Roman" w:hAnsi="Times New Roman" w:cs="Times New Roman"/>
          <w:sz w:val="24"/>
          <w:szCs w:val="24"/>
        </w:rPr>
        <w:t>utilisation</w:t>
      </w:r>
      <w:proofErr w:type="spellEnd"/>
      <w:r>
        <w:rPr>
          <w:rFonts w:ascii="Times New Roman" w:eastAsia="Times New Roman" w:hAnsi="Times New Roman" w:cs="Times New Roman"/>
          <w:sz w:val="24"/>
          <w:szCs w:val="24"/>
        </w:rPr>
        <w:t>, particularly among unmarried adolescents (</w:t>
      </w:r>
      <w:proofErr w:type="spellStart"/>
      <w:r>
        <w:rPr>
          <w:rFonts w:ascii="Times New Roman" w:eastAsia="Times New Roman" w:hAnsi="Times New Roman" w:cs="Times New Roman"/>
          <w:sz w:val="24"/>
          <w:szCs w:val="24"/>
        </w:rPr>
        <w:t>Ogundiran</w:t>
      </w:r>
      <w:proofErr w:type="spellEnd"/>
      <w:r>
        <w:rPr>
          <w:rFonts w:ascii="Times New Roman" w:eastAsia="Times New Roman" w:hAnsi="Times New Roman" w:cs="Times New Roman"/>
          <w:sz w:val="24"/>
          <w:szCs w:val="24"/>
        </w:rPr>
        <w:t xml:space="preserve"> et al., 2024; </w:t>
      </w:r>
      <w:proofErr w:type="spellStart"/>
      <w:r>
        <w:rPr>
          <w:rFonts w:ascii="Times New Roman" w:eastAsia="Times New Roman" w:hAnsi="Times New Roman" w:cs="Times New Roman"/>
          <w:sz w:val="24"/>
          <w:szCs w:val="24"/>
        </w:rPr>
        <w:t>Chichaya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Awosanya</w:t>
      </w:r>
      <w:proofErr w:type="spellEnd"/>
      <w:r>
        <w:rPr>
          <w:rFonts w:ascii="Times New Roman" w:eastAsia="Times New Roman" w:hAnsi="Times New Roman" w:cs="Times New Roman"/>
          <w:sz w:val="24"/>
          <w:szCs w:val="24"/>
        </w:rPr>
        <w:t>, 2024). In many communities, discussions about sexuality were considered taboo, limiting access to accurate informatio</w:t>
      </w:r>
      <w:r>
        <w:rPr>
          <w:rFonts w:ascii="Times New Roman" w:eastAsia="Times New Roman" w:hAnsi="Times New Roman" w:cs="Times New Roman"/>
          <w:sz w:val="24"/>
          <w:szCs w:val="24"/>
        </w:rPr>
        <w:t>n and reinforcing misinformation. Gendered expectations placed the responsibility for pregnancy prevention on females, exposing them to stigma when seeking contraceptive services (</w:t>
      </w:r>
      <w:proofErr w:type="spellStart"/>
      <w:r>
        <w:rPr>
          <w:rFonts w:ascii="Times New Roman" w:eastAsia="Times New Roman" w:hAnsi="Times New Roman" w:cs="Times New Roman"/>
          <w:sz w:val="24"/>
          <w:szCs w:val="24"/>
        </w:rPr>
        <w:t>Ogundiran</w:t>
      </w:r>
      <w:proofErr w:type="spellEnd"/>
      <w:r>
        <w:rPr>
          <w:rFonts w:ascii="Times New Roman" w:eastAsia="Times New Roman" w:hAnsi="Times New Roman" w:cs="Times New Roman"/>
          <w:sz w:val="24"/>
          <w:szCs w:val="24"/>
        </w:rPr>
        <w:t xml:space="preserve"> et al., 2024). Regional disparities were also observed, with highe</w:t>
      </w:r>
      <w:r>
        <w:rPr>
          <w:rFonts w:ascii="Times New Roman" w:eastAsia="Times New Roman" w:hAnsi="Times New Roman" w:cs="Times New Roman"/>
          <w:sz w:val="24"/>
          <w:szCs w:val="24"/>
        </w:rPr>
        <w:t>r contraceptive use in Southern Nigeria compared to Northern regions, reflecting differences in cultural norms, education, and access to services (</w:t>
      </w:r>
      <w:proofErr w:type="spellStart"/>
      <w:r>
        <w:rPr>
          <w:rFonts w:ascii="Times New Roman" w:eastAsia="Times New Roman" w:hAnsi="Times New Roman" w:cs="Times New Roman"/>
          <w:sz w:val="24"/>
          <w:szCs w:val="24"/>
        </w:rPr>
        <w:t>Sanni</w:t>
      </w:r>
      <w:proofErr w:type="spellEnd"/>
      <w:r>
        <w:rPr>
          <w:rFonts w:ascii="Times New Roman" w:eastAsia="Times New Roman" w:hAnsi="Times New Roman" w:cs="Times New Roman"/>
          <w:sz w:val="24"/>
          <w:szCs w:val="24"/>
        </w:rPr>
        <w:t xml:space="preserve"> et al., 2025).</w:t>
      </w:r>
    </w:p>
    <w:p w14:paraId="5C7AC095"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Socioeconomic factors further influenced contraceptive </w:t>
      </w:r>
      <w:proofErr w:type="spellStart"/>
      <w:r>
        <w:rPr>
          <w:rFonts w:ascii="Times New Roman" w:eastAsia="Times New Roman" w:hAnsi="Times New Roman" w:cs="Times New Roman"/>
          <w:sz w:val="24"/>
          <w:szCs w:val="24"/>
        </w:rPr>
        <w:t>utilisation</w:t>
      </w:r>
      <w:proofErr w:type="spellEnd"/>
      <w:r>
        <w:rPr>
          <w:rFonts w:ascii="Times New Roman" w:eastAsia="Times New Roman" w:hAnsi="Times New Roman" w:cs="Times New Roman"/>
          <w:sz w:val="24"/>
          <w:szCs w:val="24"/>
        </w:rPr>
        <w:t>. Adolescents from wea</w:t>
      </w:r>
      <w:r>
        <w:rPr>
          <w:rFonts w:ascii="Times New Roman" w:eastAsia="Times New Roman" w:hAnsi="Times New Roman" w:cs="Times New Roman"/>
          <w:sz w:val="24"/>
          <w:szCs w:val="24"/>
        </w:rPr>
        <w:t xml:space="preserve">lthier households were more likely to access and use contraceptive services due to better financial capacity and access to healthcare, while those from poorer backgrounds faced significant barriers, </w:t>
      </w:r>
      <w:r>
        <w:rPr>
          <w:rFonts w:ascii="Times New Roman" w:eastAsia="Times New Roman" w:hAnsi="Times New Roman" w:cs="Times New Roman"/>
          <w:sz w:val="24"/>
          <w:szCs w:val="24"/>
        </w:rPr>
        <w:lastRenderedPageBreak/>
        <w:t>including cost of services and transportation (</w:t>
      </w:r>
      <w:proofErr w:type="spellStart"/>
      <w:r>
        <w:rPr>
          <w:rFonts w:ascii="Times New Roman" w:eastAsia="Times New Roman" w:hAnsi="Times New Roman" w:cs="Times New Roman"/>
          <w:sz w:val="24"/>
          <w:szCs w:val="24"/>
        </w:rPr>
        <w:t>Umoren</w:t>
      </w:r>
      <w:proofErr w:type="spellEnd"/>
      <w:r>
        <w:rPr>
          <w:rFonts w:ascii="Times New Roman" w:eastAsia="Times New Roman" w:hAnsi="Times New Roman" w:cs="Times New Roman"/>
          <w:sz w:val="24"/>
          <w:szCs w:val="24"/>
        </w:rPr>
        <w:t>, 20</w:t>
      </w:r>
      <w:r>
        <w:rPr>
          <w:rFonts w:ascii="Times New Roman" w:eastAsia="Times New Roman" w:hAnsi="Times New Roman" w:cs="Times New Roman"/>
          <w:sz w:val="24"/>
          <w:szCs w:val="24"/>
        </w:rPr>
        <w:t xml:space="preserve">21; </w:t>
      </w:r>
      <w:proofErr w:type="spellStart"/>
      <w:r>
        <w:rPr>
          <w:rFonts w:ascii="Times New Roman" w:eastAsia="Times New Roman" w:hAnsi="Times New Roman" w:cs="Times New Roman"/>
          <w:sz w:val="24"/>
          <w:szCs w:val="24"/>
        </w:rPr>
        <w:t>Itopa</w:t>
      </w:r>
      <w:proofErr w:type="spellEnd"/>
      <w:r>
        <w:rPr>
          <w:rFonts w:ascii="Times New Roman" w:eastAsia="Times New Roman" w:hAnsi="Times New Roman" w:cs="Times New Roman"/>
          <w:sz w:val="24"/>
          <w:szCs w:val="24"/>
        </w:rPr>
        <w:t xml:space="preserve">, 2020). Educational inequality and rural residence were also associated with lower </w:t>
      </w:r>
      <w:proofErr w:type="spellStart"/>
      <w:r>
        <w:rPr>
          <w:rFonts w:ascii="Times New Roman" w:eastAsia="Times New Roman" w:hAnsi="Times New Roman" w:cs="Times New Roman"/>
          <w:sz w:val="24"/>
          <w:szCs w:val="24"/>
        </w:rPr>
        <w:t>utilisation</w:t>
      </w:r>
      <w:proofErr w:type="spellEnd"/>
      <w:r>
        <w:rPr>
          <w:rFonts w:ascii="Times New Roman" w:eastAsia="Times New Roman" w:hAnsi="Times New Roman" w:cs="Times New Roman"/>
          <w:sz w:val="24"/>
          <w:szCs w:val="24"/>
        </w:rPr>
        <w:t>, as adolescents in rural areas had limited access to reproductive health information and services compared to their urban counterparts (</w:t>
      </w:r>
      <w:proofErr w:type="spellStart"/>
      <w:r>
        <w:rPr>
          <w:rFonts w:ascii="Times New Roman" w:eastAsia="Times New Roman" w:hAnsi="Times New Roman" w:cs="Times New Roman"/>
          <w:sz w:val="24"/>
          <w:szCs w:val="24"/>
        </w:rPr>
        <w:t>Chima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Alawode</w:t>
      </w:r>
      <w:proofErr w:type="spellEnd"/>
      <w:r>
        <w:rPr>
          <w:rFonts w:ascii="Times New Roman" w:eastAsia="Times New Roman" w:hAnsi="Times New Roman" w:cs="Times New Roman"/>
          <w:sz w:val="24"/>
          <w:szCs w:val="24"/>
        </w:rPr>
        <w:t xml:space="preserve">, 2020; Israel et al., 2019). These disparities highlight the role of structural inequality in shaping contraceptive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among adolescents.</w:t>
      </w:r>
    </w:p>
    <w:p w14:paraId="6C3B0678"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 system and structural factors were consistently reported as major barriers to contraceptive uptake. </w:t>
      </w:r>
      <w:proofErr w:type="gramStart"/>
      <w:r>
        <w:rPr>
          <w:rFonts w:ascii="Times New Roman" w:eastAsia="Times New Roman" w:hAnsi="Times New Roman" w:cs="Times New Roman"/>
          <w:sz w:val="24"/>
          <w:szCs w:val="24"/>
        </w:rPr>
        <w:t>These included lack of adolescent-friendly services</w:t>
      </w:r>
      <w:proofErr w:type="gramEnd"/>
      <w:r>
        <w:rPr>
          <w:rFonts w:ascii="Times New Roman" w:eastAsia="Times New Roman" w:hAnsi="Times New Roman" w:cs="Times New Roman"/>
          <w:sz w:val="24"/>
          <w:szCs w:val="24"/>
        </w:rPr>
        <w:t>, long waiting times, provider bias, lack of confidentiality, and frequent stock-outs of contraceptives (</w:t>
      </w:r>
      <w:proofErr w:type="spellStart"/>
      <w:r>
        <w:rPr>
          <w:rFonts w:ascii="Times New Roman" w:eastAsia="Times New Roman" w:hAnsi="Times New Roman" w:cs="Times New Roman"/>
          <w:sz w:val="24"/>
          <w:szCs w:val="24"/>
        </w:rPr>
        <w:t>Umoren</w:t>
      </w:r>
      <w:proofErr w:type="spellEnd"/>
      <w:r>
        <w:rPr>
          <w:rFonts w:ascii="Times New Roman" w:eastAsia="Times New Roman" w:hAnsi="Times New Roman" w:cs="Times New Roman"/>
          <w:sz w:val="24"/>
          <w:szCs w:val="24"/>
        </w:rPr>
        <w:t xml:space="preserve">, 2021; </w:t>
      </w:r>
      <w:proofErr w:type="spellStart"/>
      <w:r>
        <w:rPr>
          <w:rFonts w:ascii="Times New Roman" w:eastAsia="Times New Roman" w:hAnsi="Times New Roman" w:cs="Times New Roman"/>
          <w:sz w:val="24"/>
          <w:szCs w:val="24"/>
        </w:rPr>
        <w:t>Ezenwaka</w:t>
      </w:r>
      <w:proofErr w:type="spellEnd"/>
      <w:r>
        <w:rPr>
          <w:rFonts w:ascii="Times New Roman" w:eastAsia="Times New Roman" w:hAnsi="Times New Roman" w:cs="Times New Roman"/>
          <w:sz w:val="24"/>
          <w:szCs w:val="24"/>
        </w:rPr>
        <w:t xml:space="preserve"> et al., 2020). Negative attitudes of healthcare providers toward adolescents,</w:t>
      </w:r>
      <w:r>
        <w:rPr>
          <w:rFonts w:ascii="Times New Roman" w:eastAsia="Times New Roman" w:hAnsi="Times New Roman" w:cs="Times New Roman"/>
          <w:sz w:val="24"/>
          <w:szCs w:val="24"/>
        </w:rPr>
        <w:t xml:space="preserve"> particularly unmarried individuals, discouraged service </w:t>
      </w:r>
      <w:proofErr w:type="spellStart"/>
      <w:r>
        <w:rPr>
          <w:rFonts w:ascii="Times New Roman" w:eastAsia="Times New Roman" w:hAnsi="Times New Roman" w:cs="Times New Roman"/>
          <w:sz w:val="24"/>
          <w:szCs w:val="24"/>
        </w:rPr>
        <w:t>utilisation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Chichaya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Awosanya</w:t>
      </w:r>
      <w:proofErr w:type="spellEnd"/>
      <w:r>
        <w:rPr>
          <w:rFonts w:ascii="Times New Roman" w:eastAsia="Times New Roman" w:hAnsi="Times New Roman" w:cs="Times New Roman"/>
          <w:sz w:val="24"/>
          <w:szCs w:val="24"/>
        </w:rPr>
        <w:t>, 2024). Broader structural challenges such as weak health systems, inadequate funding, and geographic inaccessibility, especially in rural and conflict-affected areas</w:t>
      </w:r>
      <w:r>
        <w:rPr>
          <w:rFonts w:ascii="Times New Roman" w:eastAsia="Times New Roman" w:hAnsi="Times New Roman" w:cs="Times New Roman"/>
          <w:sz w:val="24"/>
          <w:szCs w:val="24"/>
        </w:rPr>
        <w:t>, further limited access to contraceptive services (</w:t>
      </w:r>
      <w:proofErr w:type="spellStart"/>
      <w:r>
        <w:rPr>
          <w:rFonts w:ascii="Times New Roman" w:eastAsia="Times New Roman" w:hAnsi="Times New Roman" w:cs="Times New Roman"/>
          <w:sz w:val="24"/>
          <w:szCs w:val="24"/>
        </w:rPr>
        <w:t>Itopa</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Ilori</w:t>
      </w:r>
      <w:proofErr w:type="spellEnd"/>
      <w:r>
        <w:rPr>
          <w:rFonts w:ascii="Times New Roman" w:eastAsia="Times New Roman" w:hAnsi="Times New Roman" w:cs="Times New Roman"/>
          <w:sz w:val="24"/>
          <w:szCs w:val="24"/>
        </w:rPr>
        <w:t xml:space="preserve"> et al., 2023). Conversely, exposure to family planning information through mass media was identified as a facilitator of contraceptive use, as adolescents exposed to such messages were </w:t>
      </w:r>
      <w:r>
        <w:rPr>
          <w:rFonts w:ascii="Times New Roman" w:eastAsia="Times New Roman" w:hAnsi="Times New Roman" w:cs="Times New Roman"/>
          <w:sz w:val="24"/>
          <w:szCs w:val="24"/>
        </w:rPr>
        <w:t>more likely to adopt contraceptive methods (</w:t>
      </w:r>
      <w:proofErr w:type="spellStart"/>
      <w:r>
        <w:rPr>
          <w:rFonts w:ascii="Times New Roman" w:eastAsia="Times New Roman" w:hAnsi="Times New Roman" w:cs="Times New Roman"/>
          <w:sz w:val="24"/>
          <w:szCs w:val="24"/>
        </w:rPr>
        <w:t>Chima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Alawode</w:t>
      </w:r>
      <w:proofErr w:type="spellEnd"/>
      <w:r>
        <w:rPr>
          <w:rFonts w:ascii="Times New Roman" w:eastAsia="Times New Roman" w:hAnsi="Times New Roman" w:cs="Times New Roman"/>
          <w:sz w:val="24"/>
          <w:szCs w:val="24"/>
        </w:rPr>
        <w:t>, 2020).</w:t>
      </w:r>
    </w:p>
    <w:p w14:paraId="2F740A7A"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findings demonstrate that contraceptive uptake among adolescents in Nigeria is shaped by a complex interplay of individual, interpersonal, sociocultural, economic, and health </w:t>
      </w:r>
      <w:r>
        <w:rPr>
          <w:rFonts w:ascii="Times New Roman" w:eastAsia="Times New Roman" w:hAnsi="Times New Roman" w:cs="Times New Roman"/>
          <w:sz w:val="24"/>
          <w:szCs w:val="24"/>
        </w:rPr>
        <w:t xml:space="preserve">system factors. Despite high levels of awareness, </w:t>
      </w:r>
      <w:proofErr w:type="spellStart"/>
      <w:r>
        <w:rPr>
          <w:rFonts w:ascii="Times New Roman" w:eastAsia="Times New Roman" w:hAnsi="Times New Roman" w:cs="Times New Roman"/>
          <w:sz w:val="24"/>
          <w:szCs w:val="24"/>
        </w:rPr>
        <w:t>utilisation</w:t>
      </w:r>
      <w:proofErr w:type="spellEnd"/>
      <w:r>
        <w:rPr>
          <w:rFonts w:ascii="Times New Roman" w:eastAsia="Times New Roman" w:hAnsi="Times New Roman" w:cs="Times New Roman"/>
          <w:sz w:val="24"/>
          <w:szCs w:val="24"/>
        </w:rPr>
        <w:t xml:space="preserve"> remains low due to persistent barriers operating across multiple levels.</w:t>
      </w:r>
    </w:p>
    <w:bookmarkEnd w:id="17"/>
    <w:p w14:paraId="11C2BEEB" w14:textId="77777777" w:rsidR="007A45C3" w:rsidRDefault="007A45C3">
      <w:pPr>
        <w:pStyle w:val="Heading2"/>
        <w:keepNext w:val="0"/>
        <w:keepLines w:val="0"/>
        <w:spacing w:before="240" w:after="240"/>
        <w:jc w:val="both"/>
        <w:rPr>
          <w:rFonts w:ascii="Times New Roman" w:eastAsia="Times New Roman" w:hAnsi="Times New Roman" w:cs="Times New Roman"/>
          <w:sz w:val="24"/>
          <w:szCs w:val="24"/>
        </w:rPr>
      </w:pPr>
    </w:p>
    <w:p w14:paraId="7722F39E" w14:textId="77777777" w:rsidR="007A45C3" w:rsidRDefault="00594977">
      <w:pPr>
        <w:pStyle w:val="Heading2"/>
        <w:keepNext w:val="0"/>
        <w:keepLines w:val="0"/>
        <w:spacing w:before="240" w:after="240"/>
        <w:jc w:val="both"/>
        <w:rPr>
          <w:rFonts w:ascii="Times New Roman" w:eastAsia="Times New Roman" w:hAnsi="Times New Roman" w:cs="Times New Roman"/>
          <w:b/>
          <w:bCs/>
          <w:sz w:val="24"/>
          <w:szCs w:val="24"/>
        </w:rPr>
      </w:pPr>
      <w:bookmarkStart w:id="18" w:name="_xvcn87do6jwl" w:colFirst="0" w:colLast="0"/>
      <w:r>
        <w:rPr>
          <w:rFonts w:ascii="Times New Roman" w:eastAsia="Times New Roman" w:hAnsi="Times New Roman" w:cs="Times New Roman"/>
          <w:b/>
          <w:bCs/>
          <w:sz w:val="24"/>
          <w:szCs w:val="24"/>
        </w:rPr>
        <w:t>DISCUSSION</w:t>
      </w:r>
    </w:p>
    <w:p w14:paraId="12E8E1B9"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review highlight a persistent gap between awareness and </w:t>
      </w:r>
      <w:proofErr w:type="spellStart"/>
      <w:r>
        <w:rPr>
          <w:rFonts w:ascii="Times New Roman" w:eastAsia="Times New Roman" w:hAnsi="Times New Roman" w:cs="Times New Roman"/>
          <w:sz w:val="24"/>
          <w:szCs w:val="24"/>
        </w:rPr>
        <w:t>utilisation</w:t>
      </w:r>
      <w:proofErr w:type="spellEnd"/>
      <w:r>
        <w:rPr>
          <w:rFonts w:ascii="Times New Roman" w:eastAsia="Times New Roman" w:hAnsi="Times New Roman" w:cs="Times New Roman"/>
          <w:sz w:val="24"/>
          <w:szCs w:val="24"/>
        </w:rPr>
        <w:t xml:space="preserve"> of contraceptives am</w:t>
      </w:r>
      <w:r>
        <w:rPr>
          <w:rFonts w:ascii="Times New Roman" w:eastAsia="Times New Roman" w:hAnsi="Times New Roman" w:cs="Times New Roman"/>
          <w:sz w:val="24"/>
          <w:szCs w:val="24"/>
        </w:rPr>
        <w:t xml:space="preserve">ong adolescents in Nigeria, suggesting that knowledge alone is insufficient to influence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While most adolescents are aware of contraceptive methods, misconceptions, fear of side effects, and limited comprehensive knowledge continue to hinder effe</w:t>
      </w:r>
      <w:r>
        <w:rPr>
          <w:rFonts w:ascii="Times New Roman" w:eastAsia="Times New Roman" w:hAnsi="Times New Roman" w:cs="Times New Roman"/>
          <w:sz w:val="24"/>
          <w:szCs w:val="24"/>
        </w:rPr>
        <w:t>ctive use. This underscores the need for improved sexuality education that goes beyond awareness to address myths, build confidence, and promote informed decision-making. Similar findings have been reported in previous studies, which emphasize that awarene</w:t>
      </w:r>
      <w:r>
        <w:rPr>
          <w:rFonts w:ascii="Times New Roman" w:eastAsia="Times New Roman" w:hAnsi="Times New Roman" w:cs="Times New Roman"/>
          <w:sz w:val="24"/>
          <w:szCs w:val="24"/>
        </w:rPr>
        <w:t xml:space="preserve">ss does not necessarily translate into </w:t>
      </w:r>
      <w:proofErr w:type="spellStart"/>
      <w:r>
        <w:rPr>
          <w:rFonts w:ascii="Times New Roman" w:eastAsia="Times New Roman" w:hAnsi="Times New Roman" w:cs="Times New Roman"/>
          <w:sz w:val="24"/>
          <w:szCs w:val="24"/>
        </w:rPr>
        <w:t>utilisation</w:t>
      </w:r>
      <w:proofErr w:type="spellEnd"/>
      <w:r>
        <w:rPr>
          <w:rFonts w:ascii="Times New Roman" w:eastAsia="Times New Roman" w:hAnsi="Times New Roman" w:cs="Times New Roman"/>
          <w:sz w:val="24"/>
          <w:szCs w:val="24"/>
        </w:rPr>
        <w:t xml:space="preserve"> due to persistent misinformation and socio-cultural barriers (</w:t>
      </w:r>
      <w:proofErr w:type="spellStart"/>
      <w:r>
        <w:rPr>
          <w:rFonts w:ascii="Times New Roman" w:eastAsia="Times New Roman" w:hAnsi="Times New Roman" w:cs="Times New Roman"/>
          <w:sz w:val="24"/>
          <w:szCs w:val="24"/>
        </w:rPr>
        <w:t>Bongaarts</w:t>
      </w:r>
      <w:proofErr w:type="spellEnd"/>
      <w:r>
        <w:rPr>
          <w:rFonts w:ascii="Times New Roman" w:eastAsia="Times New Roman" w:hAnsi="Times New Roman" w:cs="Times New Roman"/>
          <w:sz w:val="24"/>
          <w:szCs w:val="24"/>
        </w:rPr>
        <w:t xml:space="preserve"> &amp; Hardee, 2019</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Blackstone et al., 2017).</w:t>
      </w:r>
    </w:p>
    <w:p w14:paraId="0B282A49"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factors such as age and education play a significant role in contraceptive uptak</w:t>
      </w:r>
      <w:r>
        <w:rPr>
          <w:rFonts w:ascii="Times New Roman" w:eastAsia="Times New Roman" w:hAnsi="Times New Roman" w:cs="Times New Roman"/>
          <w:sz w:val="24"/>
          <w:szCs w:val="24"/>
        </w:rPr>
        <w:t>e, with older and more educated adolescents more likely to use contraceptives. This may be attributed to increased autonomy, better access to information, and greater exposure to reproductive health services. However, the persistence of misconceptions indi</w:t>
      </w:r>
      <w:r>
        <w:rPr>
          <w:rFonts w:ascii="Times New Roman" w:eastAsia="Times New Roman" w:hAnsi="Times New Roman" w:cs="Times New Roman"/>
          <w:sz w:val="24"/>
          <w:szCs w:val="24"/>
        </w:rPr>
        <w:t>cates that current educational approaches may be inadequate, highlighting the importance of strengthening both formal and informal education systems. Evidence suggests that education enhances reproductive health decision-</w:t>
      </w:r>
      <w:r>
        <w:rPr>
          <w:rFonts w:ascii="Times New Roman" w:eastAsia="Times New Roman" w:hAnsi="Times New Roman" w:cs="Times New Roman"/>
          <w:sz w:val="24"/>
          <w:szCs w:val="24"/>
        </w:rPr>
        <w:lastRenderedPageBreak/>
        <w:t xml:space="preserve">making and increases contraceptive </w:t>
      </w:r>
      <w:r>
        <w:rPr>
          <w:rFonts w:ascii="Times New Roman" w:eastAsia="Times New Roman" w:hAnsi="Times New Roman" w:cs="Times New Roman"/>
          <w:sz w:val="24"/>
          <w:szCs w:val="24"/>
        </w:rPr>
        <w:t>use among adolescents (Cleland et al., 2012;</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sz w:val="24"/>
          <w:szCs w:val="24"/>
        </w:rPr>
        <w:t>Darroch</w:t>
      </w:r>
      <w:proofErr w:type="spellEnd"/>
      <w:r>
        <w:rPr>
          <w:rFonts w:ascii="Times New Roman" w:eastAsia="Times New Roman" w:hAnsi="Times New Roman" w:cs="Times New Roman"/>
          <w:sz w:val="24"/>
          <w:szCs w:val="24"/>
        </w:rPr>
        <w:t xml:space="preserve"> et al., 2016).</w:t>
      </w:r>
    </w:p>
    <w:p w14:paraId="1EEAEF37"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Interpersonal relationships, particularly partner and parental influence, remain critical determinants of contraceptive use. The strong influence of male partners reflects underlying gende</w:t>
      </w:r>
      <w:r>
        <w:rPr>
          <w:rFonts w:ascii="Times New Roman" w:eastAsia="Times New Roman" w:hAnsi="Times New Roman" w:cs="Times New Roman"/>
          <w:sz w:val="24"/>
          <w:szCs w:val="24"/>
        </w:rPr>
        <w:t>r inequalities in reproductive decision-making, while poor parent–child communication limits adolescents’ access to accurate information and guidance. Addressing these issues requires interventions that promote gender equity, encourage open communication w</w:t>
      </w:r>
      <w:r>
        <w:rPr>
          <w:rFonts w:ascii="Times New Roman" w:eastAsia="Times New Roman" w:hAnsi="Times New Roman" w:cs="Times New Roman"/>
          <w:sz w:val="24"/>
          <w:szCs w:val="24"/>
        </w:rPr>
        <w:t xml:space="preserve">ithin families, and involve men in reproductive health programs. Previous studies have similarly demonstrated that partner approval and family dynamics significantly affect contraceptive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among adolescents (</w:t>
      </w:r>
      <w:proofErr w:type="spellStart"/>
      <w:r>
        <w:rPr>
          <w:rFonts w:ascii="Times New Roman" w:eastAsia="Times New Roman" w:hAnsi="Times New Roman" w:cs="Times New Roman"/>
          <w:sz w:val="24"/>
          <w:szCs w:val="24"/>
        </w:rPr>
        <w:t>Kabagenyi</w:t>
      </w:r>
      <w:proofErr w:type="spellEnd"/>
      <w:r>
        <w:rPr>
          <w:rFonts w:ascii="Times New Roman" w:eastAsia="Times New Roman" w:hAnsi="Times New Roman" w:cs="Times New Roman"/>
          <w:sz w:val="24"/>
          <w:szCs w:val="24"/>
        </w:rPr>
        <w:t xml:space="preserve"> et al., 2014;</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Shattuck et al.,</w:t>
      </w:r>
      <w:r>
        <w:rPr>
          <w:rFonts w:ascii="Times New Roman" w:eastAsia="Times New Roman" w:hAnsi="Times New Roman" w:cs="Times New Roman"/>
          <w:sz w:val="24"/>
          <w:szCs w:val="24"/>
        </w:rPr>
        <w:t xml:space="preserve"> 2011).</w:t>
      </w:r>
    </w:p>
    <w:p w14:paraId="35E7C967"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Sociocultural and religious norms continue to pose significant challenges to contraceptive uptake. The stigma associated with adolescent sexuality, especially among unmarried girls, restricts access to services and discourages open discussion about</w:t>
      </w:r>
      <w:r>
        <w:rPr>
          <w:rFonts w:ascii="Times New Roman" w:eastAsia="Times New Roman" w:hAnsi="Times New Roman" w:cs="Times New Roman"/>
          <w:sz w:val="24"/>
          <w:szCs w:val="24"/>
        </w:rPr>
        <w:t xml:space="preserve"> reproductive health. Cultural and religious beliefs that discourage contraceptive use further reinforce these barriers. Therefore, culturally sensitive and community-based interventions are essential to address deeply rooted norms and improve acceptance o</w:t>
      </w:r>
      <w:r>
        <w:rPr>
          <w:rFonts w:ascii="Times New Roman" w:eastAsia="Times New Roman" w:hAnsi="Times New Roman" w:cs="Times New Roman"/>
          <w:sz w:val="24"/>
          <w:szCs w:val="24"/>
        </w:rPr>
        <w:t xml:space="preserve">f contraceptive use among adolescents. This aligns with existing literature showing that social norms and cultural expectations strongly influence reproductive health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(Mackie et al., 2015).</w:t>
      </w:r>
    </w:p>
    <w:p w14:paraId="182645A5"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Socioeconomic disparities also contribute to unequal ac</w:t>
      </w:r>
      <w:r>
        <w:rPr>
          <w:rFonts w:ascii="Times New Roman" w:eastAsia="Times New Roman" w:hAnsi="Times New Roman" w:cs="Times New Roman"/>
          <w:sz w:val="24"/>
          <w:szCs w:val="24"/>
        </w:rPr>
        <w:t xml:space="preserve">cess and </w:t>
      </w:r>
      <w:proofErr w:type="spellStart"/>
      <w:r>
        <w:rPr>
          <w:rFonts w:ascii="Times New Roman" w:eastAsia="Times New Roman" w:hAnsi="Times New Roman" w:cs="Times New Roman"/>
          <w:sz w:val="24"/>
          <w:szCs w:val="24"/>
        </w:rPr>
        <w:t>utilisation</w:t>
      </w:r>
      <w:proofErr w:type="spellEnd"/>
      <w:r>
        <w:rPr>
          <w:rFonts w:ascii="Times New Roman" w:eastAsia="Times New Roman" w:hAnsi="Times New Roman" w:cs="Times New Roman"/>
          <w:sz w:val="24"/>
          <w:szCs w:val="24"/>
        </w:rPr>
        <w:t xml:space="preserve"> of contraceptives. Adolescents from low-income and rural backgrounds face multiple barriers, including financial constraints, limited access to services, and lower levels of education. These findings highlight the need for targeted int</w:t>
      </w:r>
      <w:r>
        <w:rPr>
          <w:rFonts w:ascii="Times New Roman" w:eastAsia="Times New Roman" w:hAnsi="Times New Roman" w:cs="Times New Roman"/>
          <w:sz w:val="24"/>
          <w:szCs w:val="24"/>
        </w:rPr>
        <w:t>erventions aimed at reducing inequalities, such as subsidizing contraceptive services, improving access in rural areas, and enhancing educational opportunities. Previous research supports this, indicating that poverty and inequality significantly limit acc</w:t>
      </w:r>
      <w:r>
        <w:rPr>
          <w:rFonts w:ascii="Times New Roman" w:eastAsia="Times New Roman" w:hAnsi="Times New Roman" w:cs="Times New Roman"/>
          <w:sz w:val="24"/>
          <w:szCs w:val="24"/>
        </w:rPr>
        <w:t>ess to reproductive health services (Ahmed et al., 2012</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Campbell et al., 2006).</w:t>
      </w:r>
    </w:p>
    <w:p w14:paraId="0F4A7A86"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 system barriers further limit contraceptive uptake among adolescents. The lack of adolescent-friendly services, concerns about confidentiality, and negative attitudes o</w:t>
      </w:r>
      <w:r>
        <w:rPr>
          <w:rFonts w:ascii="Times New Roman" w:eastAsia="Times New Roman" w:hAnsi="Times New Roman" w:cs="Times New Roman"/>
          <w:sz w:val="24"/>
          <w:szCs w:val="24"/>
        </w:rPr>
        <w:t>f healthcare providers discourage adolescents from seeking care. Strengthening health systems through improved service delivery, provider training, and the establishment of youth-friendly services is crucial to addressing these challenges. Evidence shows t</w:t>
      </w:r>
      <w:r>
        <w:rPr>
          <w:rFonts w:ascii="Times New Roman" w:eastAsia="Times New Roman" w:hAnsi="Times New Roman" w:cs="Times New Roman"/>
          <w:sz w:val="24"/>
          <w:szCs w:val="24"/>
        </w:rPr>
        <w:t>hat youth-friendly health services significantly improve contraceptive uptake and reproductive health outcomes (</w:t>
      </w:r>
      <w:proofErr w:type="spellStart"/>
      <w:r>
        <w:rPr>
          <w:rFonts w:ascii="Times New Roman" w:eastAsia="Times New Roman" w:hAnsi="Times New Roman" w:cs="Times New Roman"/>
          <w:sz w:val="24"/>
          <w:szCs w:val="24"/>
        </w:rPr>
        <w:t>Tylee</w:t>
      </w:r>
      <w:proofErr w:type="spellEnd"/>
      <w:r>
        <w:rPr>
          <w:rFonts w:ascii="Times New Roman" w:eastAsia="Times New Roman" w:hAnsi="Times New Roman" w:cs="Times New Roman"/>
          <w:sz w:val="24"/>
          <w:szCs w:val="24"/>
        </w:rPr>
        <w:t xml:space="preserve"> et al., 2007</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WHO, 2018).</w:t>
      </w:r>
    </w:p>
    <w:p w14:paraId="54CB287B" w14:textId="6908A3B2" w:rsidR="007F213B" w:rsidRPr="007F213B" w:rsidRDefault="007F213B" w:rsidP="007F213B">
      <w:pPr>
        <w:rPr>
          <w:b/>
          <w:bCs/>
        </w:rPr>
      </w:pPr>
      <w:r w:rsidRPr="007F213B">
        <w:rPr>
          <w:b/>
          <w:bCs/>
        </w:rPr>
        <w:t>Conclusion</w:t>
      </w:r>
    </w:p>
    <w:p w14:paraId="374B2745" w14:textId="77777777" w:rsidR="007A45C3" w:rsidRDefault="00594977">
      <w:pPr>
        <w:pStyle w:val="Heading2"/>
        <w:keepNext w:val="0"/>
        <w:keepLines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contraceptive uptake among adolescents in Nigeria is influenced by interconnected fact</w:t>
      </w:r>
      <w:r>
        <w:rPr>
          <w:rFonts w:ascii="Times New Roman" w:eastAsia="Times New Roman" w:hAnsi="Times New Roman" w:cs="Times New Roman"/>
          <w:sz w:val="24"/>
          <w:szCs w:val="24"/>
        </w:rPr>
        <w:t xml:space="preserve">ors operating at multiple levels. Addressing these challenges requires a comprehensive, multisectoral approach that integrates education, community engagement, health system </w:t>
      </w:r>
      <w:r>
        <w:rPr>
          <w:rFonts w:ascii="Times New Roman" w:eastAsia="Times New Roman" w:hAnsi="Times New Roman" w:cs="Times New Roman"/>
          <w:sz w:val="24"/>
          <w:szCs w:val="24"/>
        </w:rPr>
        <w:lastRenderedPageBreak/>
        <w:t>strengthening, and policy reforms. Such efforts are essential to improve access to</w:t>
      </w:r>
      <w:r>
        <w:rPr>
          <w:rFonts w:ascii="Times New Roman" w:eastAsia="Times New Roman" w:hAnsi="Times New Roman" w:cs="Times New Roman"/>
          <w:sz w:val="24"/>
          <w:szCs w:val="24"/>
        </w:rPr>
        <w:t xml:space="preserve"> contraceptive services, reduce unintended pregnancies, and enhance the overall reproductive health and well-being of adolescents.</w:t>
      </w:r>
    </w:p>
    <w:bookmarkEnd w:id="18"/>
    <w:p w14:paraId="592E4B92" w14:textId="77777777" w:rsidR="007A45C3" w:rsidRDefault="007A45C3">
      <w:pPr>
        <w:pStyle w:val="Heading2"/>
        <w:keepNext w:val="0"/>
        <w:keepLines w:val="0"/>
        <w:spacing w:before="240" w:after="240"/>
        <w:jc w:val="both"/>
        <w:rPr>
          <w:rFonts w:ascii="Times New Roman" w:eastAsia="Times New Roman" w:hAnsi="Times New Roman" w:cs="Times New Roman"/>
          <w:sz w:val="24"/>
          <w:szCs w:val="24"/>
        </w:rPr>
      </w:pPr>
    </w:p>
    <w:p w14:paraId="60160125" w14:textId="77777777" w:rsidR="007A45C3" w:rsidRDefault="00594977">
      <w:pPr>
        <w:pStyle w:val="Heading2"/>
        <w:keepNext w:val="0"/>
        <w:keepLines w:val="0"/>
        <w:spacing w:after="80"/>
        <w:rPr>
          <w:rFonts w:ascii="Times New Roman" w:eastAsia="Times New Roman" w:hAnsi="Times New Roman" w:cs="Times New Roman"/>
          <w:b/>
          <w:bCs/>
          <w:sz w:val="24"/>
          <w:szCs w:val="24"/>
        </w:rPr>
      </w:pPr>
      <w:bookmarkStart w:id="19" w:name="_5dmrwzmhaztj" w:colFirst="0" w:colLast="0"/>
      <w:bookmarkEnd w:id="19"/>
      <w:r>
        <w:rPr>
          <w:rFonts w:ascii="Times New Roman" w:eastAsia="Times New Roman" w:hAnsi="Times New Roman" w:cs="Times New Roman"/>
          <w:b/>
          <w:bCs/>
          <w:sz w:val="24"/>
          <w:szCs w:val="24"/>
        </w:rPr>
        <w:t>REFERENCES</w:t>
      </w:r>
    </w:p>
    <w:p w14:paraId="4736D1DE"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20" w:name="_rp4z16agq4mf" w:colFirst="0" w:colLast="0"/>
      <w:bookmarkEnd w:id="20"/>
      <w:r>
        <w:rPr>
          <w:rFonts w:ascii="Times New Roman" w:eastAsia="Times New Roman" w:hAnsi="Times New Roman" w:cs="Times New Roman"/>
          <w:sz w:val="24"/>
          <w:szCs w:val="24"/>
        </w:rPr>
        <w:t xml:space="preserve">Ahmed, S., Li, Q., Liu, L., &amp; </w:t>
      </w:r>
      <w:proofErr w:type="spellStart"/>
      <w:r>
        <w:rPr>
          <w:rFonts w:ascii="Times New Roman" w:eastAsia="Times New Roman" w:hAnsi="Times New Roman" w:cs="Times New Roman"/>
          <w:sz w:val="24"/>
          <w:szCs w:val="24"/>
        </w:rPr>
        <w:t>Tsui</w:t>
      </w:r>
      <w:proofErr w:type="spellEnd"/>
      <w:r>
        <w:rPr>
          <w:rFonts w:ascii="Times New Roman" w:eastAsia="Times New Roman" w:hAnsi="Times New Roman" w:cs="Times New Roman"/>
          <w:sz w:val="24"/>
          <w:szCs w:val="24"/>
        </w:rPr>
        <w:t xml:space="preserve">, A. O. (2012). </w:t>
      </w:r>
      <w:r>
        <w:rPr>
          <w:rFonts w:ascii="Times New Roman" w:eastAsia="Times New Roman" w:hAnsi="Times New Roman" w:cs="Times New Roman"/>
          <w:i/>
          <w:iCs/>
          <w:sz w:val="24"/>
          <w:szCs w:val="24"/>
        </w:rPr>
        <w:t>Maternal deaths averted by contraceptive use: An analysis of 17</w:t>
      </w:r>
      <w:r>
        <w:rPr>
          <w:rFonts w:ascii="Times New Roman" w:eastAsia="Times New Roman" w:hAnsi="Times New Roman" w:cs="Times New Roman"/>
          <w:i/>
          <w:iCs/>
          <w:sz w:val="24"/>
          <w:szCs w:val="24"/>
        </w:rPr>
        <w:t>2 countries</w:t>
      </w:r>
      <w:r>
        <w:rPr>
          <w:rFonts w:ascii="Times New Roman" w:eastAsia="Times New Roman" w:hAnsi="Times New Roman" w:cs="Times New Roman"/>
          <w:sz w:val="24"/>
          <w:szCs w:val="24"/>
        </w:rPr>
        <w:t>. The Lancet, 380(9837), 111–125. https://doi.org/10.1016/S0140-6736(12)60478-4</w:t>
      </w:r>
    </w:p>
    <w:p w14:paraId="1D1DFAEE"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21" w:name="_zfss0uowqeyv" w:colFirst="0" w:colLast="0"/>
      <w:bookmarkEnd w:id="21"/>
      <w:proofErr w:type="spellStart"/>
      <w:r>
        <w:rPr>
          <w:rFonts w:ascii="Times New Roman" w:eastAsia="Times New Roman" w:hAnsi="Times New Roman" w:cs="Times New Roman"/>
          <w:sz w:val="24"/>
          <w:szCs w:val="24"/>
        </w:rPr>
        <w:t>Alo</w:t>
      </w:r>
      <w:proofErr w:type="spellEnd"/>
      <w:r>
        <w:rPr>
          <w:rFonts w:ascii="Times New Roman" w:eastAsia="Times New Roman" w:hAnsi="Times New Roman" w:cs="Times New Roman"/>
          <w:sz w:val="24"/>
          <w:szCs w:val="24"/>
        </w:rPr>
        <w:t xml:space="preserve">, O. D., </w:t>
      </w:r>
      <w:proofErr w:type="spellStart"/>
      <w:r>
        <w:rPr>
          <w:rFonts w:ascii="Times New Roman" w:eastAsia="Times New Roman" w:hAnsi="Times New Roman" w:cs="Times New Roman"/>
          <w:sz w:val="24"/>
          <w:szCs w:val="24"/>
        </w:rPr>
        <w:t>Daini</w:t>
      </w:r>
      <w:proofErr w:type="spellEnd"/>
      <w:r>
        <w:rPr>
          <w:rFonts w:ascii="Times New Roman" w:eastAsia="Times New Roman" w:hAnsi="Times New Roman" w:cs="Times New Roman"/>
          <w:sz w:val="24"/>
          <w:szCs w:val="24"/>
        </w:rPr>
        <w:t xml:space="preserve">, B. O., </w:t>
      </w:r>
      <w:proofErr w:type="spellStart"/>
      <w:r>
        <w:rPr>
          <w:rFonts w:ascii="Times New Roman" w:eastAsia="Times New Roman" w:hAnsi="Times New Roman" w:cs="Times New Roman"/>
          <w:sz w:val="24"/>
          <w:szCs w:val="24"/>
        </w:rPr>
        <w:t>Omisile</w:t>
      </w:r>
      <w:proofErr w:type="spellEnd"/>
      <w:r>
        <w:rPr>
          <w:rFonts w:ascii="Times New Roman" w:eastAsia="Times New Roman" w:hAnsi="Times New Roman" w:cs="Times New Roman"/>
          <w:sz w:val="24"/>
          <w:szCs w:val="24"/>
        </w:rPr>
        <w:t xml:space="preserve">, O. K., </w:t>
      </w:r>
      <w:proofErr w:type="spellStart"/>
      <w:r>
        <w:rPr>
          <w:rFonts w:ascii="Times New Roman" w:eastAsia="Times New Roman" w:hAnsi="Times New Roman" w:cs="Times New Roman"/>
          <w:sz w:val="24"/>
          <w:szCs w:val="24"/>
        </w:rPr>
        <w:t>Ubah</w:t>
      </w:r>
      <w:proofErr w:type="spellEnd"/>
      <w:r>
        <w:rPr>
          <w:rFonts w:ascii="Times New Roman" w:eastAsia="Times New Roman" w:hAnsi="Times New Roman" w:cs="Times New Roman"/>
          <w:sz w:val="24"/>
          <w:szCs w:val="24"/>
        </w:rPr>
        <w:t xml:space="preserve">, E. J., </w:t>
      </w:r>
      <w:proofErr w:type="spellStart"/>
      <w:r>
        <w:rPr>
          <w:rFonts w:ascii="Times New Roman" w:eastAsia="Times New Roman" w:hAnsi="Times New Roman" w:cs="Times New Roman"/>
          <w:sz w:val="24"/>
          <w:szCs w:val="24"/>
        </w:rPr>
        <w:t>Adelusi</w:t>
      </w:r>
      <w:proofErr w:type="spellEnd"/>
      <w:r>
        <w:rPr>
          <w:rFonts w:ascii="Times New Roman" w:eastAsia="Times New Roman" w:hAnsi="Times New Roman" w:cs="Times New Roman"/>
          <w:sz w:val="24"/>
          <w:szCs w:val="24"/>
        </w:rPr>
        <w:t xml:space="preserve">, O. E., &amp; </w:t>
      </w:r>
      <w:proofErr w:type="spellStart"/>
      <w:r>
        <w:rPr>
          <w:rFonts w:ascii="Times New Roman" w:eastAsia="Times New Roman" w:hAnsi="Times New Roman" w:cs="Times New Roman"/>
          <w:sz w:val="24"/>
          <w:szCs w:val="24"/>
        </w:rPr>
        <w:t>Idoko-Asuelimhen</w:t>
      </w:r>
      <w:proofErr w:type="spellEnd"/>
      <w:r>
        <w:rPr>
          <w:rFonts w:ascii="Times New Roman" w:eastAsia="Times New Roman" w:hAnsi="Times New Roman" w:cs="Times New Roman"/>
          <w:sz w:val="24"/>
          <w:szCs w:val="24"/>
        </w:rPr>
        <w:t xml:space="preserve">, O. (2020). </w:t>
      </w:r>
      <w:r>
        <w:rPr>
          <w:rFonts w:ascii="Times New Roman" w:eastAsia="Times New Roman" w:hAnsi="Times New Roman" w:cs="Times New Roman"/>
          <w:i/>
          <w:iCs/>
          <w:sz w:val="24"/>
          <w:szCs w:val="24"/>
        </w:rPr>
        <w:t>Factors influencing the use of modern contraceptive in Nigeria:</w:t>
      </w:r>
      <w:r>
        <w:rPr>
          <w:rFonts w:ascii="Times New Roman" w:eastAsia="Times New Roman" w:hAnsi="Times New Roman" w:cs="Times New Roman"/>
          <w:i/>
          <w:iCs/>
          <w:sz w:val="24"/>
          <w:szCs w:val="24"/>
        </w:rPr>
        <w:t xml:space="preserve"> A multilevel logistic analysis using linked data from performance monitoring and accountability 2020</w:t>
      </w:r>
      <w:r>
        <w:rPr>
          <w:rFonts w:ascii="Times New Roman" w:eastAsia="Times New Roman" w:hAnsi="Times New Roman" w:cs="Times New Roman"/>
          <w:sz w:val="24"/>
          <w:szCs w:val="24"/>
        </w:rPr>
        <w:t>. BMC Women’s Health, 20, 191.</w:t>
      </w:r>
    </w:p>
    <w:p w14:paraId="223048AA"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22" w:name="_xwe19d6klqw9" w:colFirst="0" w:colLast="0"/>
      <w:bookmarkEnd w:id="22"/>
      <w:proofErr w:type="spellStart"/>
      <w:r>
        <w:rPr>
          <w:rFonts w:ascii="Times New Roman" w:eastAsia="Times New Roman" w:hAnsi="Times New Roman" w:cs="Times New Roman"/>
          <w:sz w:val="24"/>
          <w:szCs w:val="24"/>
        </w:rPr>
        <w:t>Alukagberie</w:t>
      </w:r>
      <w:proofErr w:type="spellEnd"/>
      <w:r>
        <w:rPr>
          <w:rFonts w:ascii="Times New Roman" w:eastAsia="Times New Roman" w:hAnsi="Times New Roman" w:cs="Times New Roman"/>
          <w:sz w:val="24"/>
          <w:szCs w:val="24"/>
        </w:rPr>
        <w:t xml:space="preserve">, M. E., </w:t>
      </w:r>
      <w:proofErr w:type="spellStart"/>
      <w:r>
        <w:rPr>
          <w:rFonts w:ascii="Times New Roman" w:eastAsia="Times New Roman" w:hAnsi="Times New Roman" w:cs="Times New Roman"/>
          <w:sz w:val="24"/>
          <w:szCs w:val="24"/>
        </w:rPr>
        <w:t>Elmusharaf</w:t>
      </w:r>
      <w:proofErr w:type="spellEnd"/>
      <w:r>
        <w:rPr>
          <w:rFonts w:ascii="Times New Roman" w:eastAsia="Times New Roman" w:hAnsi="Times New Roman" w:cs="Times New Roman"/>
          <w:sz w:val="24"/>
          <w:szCs w:val="24"/>
        </w:rPr>
        <w:t xml:space="preserve">, K., Ibrahim, N., &amp; </w:t>
      </w:r>
      <w:proofErr w:type="spellStart"/>
      <w:r>
        <w:rPr>
          <w:rFonts w:ascii="Times New Roman" w:eastAsia="Times New Roman" w:hAnsi="Times New Roman" w:cs="Times New Roman"/>
          <w:sz w:val="24"/>
          <w:szCs w:val="24"/>
        </w:rPr>
        <w:t>Poix</w:t>
      </w:r>
      <w:proofErr w:type="spellEnd"/>
      <w:r>
        <w:rPr>
          <w:rFonts w:ascii="Times New Roman" w:eastAsia="Times New Roman" w:hAnsi="Times New Roman" w:cs="Times New Roman"/>
          <w:sz w:val="24"/>
          <w:szCs w:val="24"/>
        </w:rPr>
        <w:t xml:space="preserve">, S. (2023). Factors associated with adolescent pregnancy and public </w:t>
      </w:r>
      <w:r>
        <w:rPr>
          <w:rFonts w:ascii="Times New Roman" w:eastAsia="Times New Roman" w:hAnsi="Times New Roman" w:cs="Times New Roman"/>
          <w:sz w:val="24"/>
          <w:szCs w:val="24"/>
        </w:rPr>
        <w:t xml:space="preserve">health interventions to address in Nigeria: A scoping review. </w:t>
      </w:r>
      <w:r>
        <w:rPr>
          <w:rFonts w:ascii="Times New Roman" w:eastAsia="Times New Roman" w:hAnsi="Times New Roman" w:cs="Times New Roman"/>
          <w:i/>
          <w:iCs/>
          <w:sz w:val="24"/>
          <w:szCs w:val="24"/>
        </w:rPr>
        <w:t>Reproductive Health, 20</w:t>
      </w:r>
      <w:r>
        <w:rPr>
          <w:rFonts w:ascii="Times New Roman" w:eastAsia="Times New Roman" w:hAnsi="Times New Roman" w:cs="Times New Roman"/>
          <w:sz w:val="24"/>
          <w:szCs w:val="24"/>
        </w:rPr>
        <w:t>, 95.</w:t>
      </w:r>
      <w:hyperlink r:id="rId8">
        <w:r w:rsidR="007A45C3">
          <w:rPr>
            <w:rFonts w:ascii="Times New Roman" w:eastAsia="Times New Roman" w:hAnsi="Times New Roman" w:cs="Times New Roman"/>
            <w:sz w:val="24"/>
            <w:szCs w:val="24"/>
          </w:rPr>
          <w:t xml:space="preserve"> https://doi.org/10.1186/s12978-023-01629-5</w:t>
        </w:r>
      </w:hyperlink>
    </w:p>
    <w:p w14:paraId="3160712F"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23" w:name="_48x644ddv4r9" w:colFirst="0" w:colLast="0"/>
      <w:bookmarkEnd w:id="23"/>
      <w:proofErr w:type="spellStart"/>
      <w:r>
        <w:rPr>
          <w:rFonts w:ascii="Times New Roman" w:eastAsia="Times New Roman" w:hAnsi="Times New Roman" w:cs="Times New Roman"/>
          <w:sz w:val="24"/>
          <w:szCs w:val="24"/>
        </w:rPr>
        <w:t>Alukagberie</w:t>
      </w:r>
      <w:proofErr w:type="spellEnd"/>
      <w:r>
        <w:rPr>
          <w:rFonts w:ascii="Times New Roman" w:eastAsia="Times New Roman" w:hAnsi="Times New Roman" w:cs="Times New Roman"/>
          <w:sz w:val="24"/>
          <w:szCs w:val="24"/>
        </w:rPr>
        <w:t xml:space="preserve">, M. E., </w:t>
      </w:r>
      <w:proofErr w:type="spellStart"/>
      <w:r>
        <w:rPr>
          <w:rFonts w:ascii="Times New Roman" w:eastAsia="Times New Roman" w:hAnsi="Times New Roman" w:cs="Times New Roman"/>
          <w:sz w:val="24"/>
          <w:szCs w:val="24"/>
        </w:rPr>
        <w:t>Elmusharaf</w:t>
      </w:r>
      <w:proofErr w:type="spellEnd"/>
      <w:r>
        <w:rPr>
          <w:rFonts w:ascii="Times New Roman" w:eastAsia="Times New Roman" w:hAnsi="Times New Roman" w:cs="Times New Roman"/>
          <w:sz w:val="24"/>
          <w:szCs w:val="24"/>
        </w:rPr>
        <w:t xml:space="preserve">, K., Ibrahim, N., &amp; </w:t>
      </w:r>
      <w:proofErr w:type="spellStart"/>
      <w:r>
        <w:rPr>
          <w:rFonts w:ascii="Times New Roman" w:eastAsia="Times New Roman" w:hAnsi="Times New Roman" w:cs="Times New Roman"/>
          <w:sz w:val="24"/>
          <w:szCs w:val="24"/>
        </w:rPr>
        <w:t>Poix</w:t>
      </w:r>
      <w:proofErr w:type="spellEnd"/>
      <w:r>
        <w:rPr>
          <w:rFonts w:ascii="Times New Roman" w:eastAsia="Times New Roman" w:hAnsi="Times New Roman" w:cs="Times New Roman"/>
          <w:sz w:val="24"/>
          <w:szCs w:val="24"/>
        </w:rPr>
        <w:t xml:space="preserve">, S. (2023). Factors associated with adolescent pregnancy and public health interventions to address in Nigeria: A scoping review. </w:t>
      </w:r>
      <w:r>
        <w:rPr>
          <w:rFonts w:ascii="Times New Roman" w:eastAsia="Times New Roman" w:hAnsi="Times New Roman" w:cs="Times New Roman"/>
          <w:i/>
          <w:iCs/>
          <w:sz w:val="24"/>
          <w:szCs w:val="24"/>
        </w:rPr>
        <w:t>Reproductive Health, 20</w:t>
      </w:r>
      <w:r>
        <w:rPr>
          <w:rFonts w:ascii="Times New Roman" w:eastAsia="Times New Roman" w:hAnsi="Times New Roman" w:cs="Times New Roman"/>
          <w:sz w:val="24"/>
          <w:szCs w:val="24"/>
        </w:rPr>
        <w:t>, 95.</w:t>
      </w:r>
      <w:hyperlink r:id="rId9">
        <w:r w:rsidR="007A45C3">
          <w:rPr>
            <w:rFonts w:ascii="Times New Roman" w:eastAsia="Times New Roman" w:hAnsi="Times New Roman" w:cs="Times New Roman"/>
            <w:sz w:val="24"/>
            <w:szCs w:val="24"/>
          </w:rPr>
          <w:t xml:space="preserve"> </w:t>
        </w:r>
      </w:hyperlink>
      <w:hyperlink r:id="rId10">
        <w:r w:rsidR="007A45C3">
          <w:rPr>
            <w:rFonts w:ascii="Times New Roman" w:eastAsia="Times New Roman" w:hAnsi="Times New Roman" w:cs="Times New Roman"/>
            <w:sz w:val="24"/>
            <w:szCs w:val="24"/>
          </w:rPr>
          <w:t>https://doi.org/10.1186/s12978-023-01629-5</w:t>
        </w:r>
      </w:hyperlink>
    </w:p>
    <w:p w14:paraId="5BE2E03B" w14:textId="77777777" w:rsidR="007A45C3" w:rsidRDefault="00594977">
      <w:pPr>
        <w:spacing w:before="24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Anyanwu, S. (2025, October 18). </w:t>
      </w:r>
      <w:r>
        <w:rPr>
          <w:rFonts w:ascii="Times New Roman" w:eastAsia="Times New Roman" w:hAnsi="Times New Roman" w:cs="Times New Roman"/>
          <w:i/>
          <w:iCs/>
          <w:sz w:val="24"/>
          <w:szCs w:val="24"/>
        </w:rPr>
        <w:t>FG launches 2024 NDHS report, unveils data on fertility, child mortality, others</w:t>
      </w:r>
      <w:r>
        <w:rPr>
          <w:rFonts w:ascii="Times New Roman" w:eastAsia="Times New Roman" w:hAnsi="Times New Roman" w:cs="Times New Roman"/>
          <w:sz w:val="24"/>
          <w:szCs w:val="24"/>
        </w:rPr>
        <w:t>. Federal Ministry</w:t>
      </w:r>
      <w:r>
        <w:rPr>
          <w:rFonts w:ascii="Times New Roman" w:eastAsia="Times New Roman" w:hAnsi="Times New Roman" w:cs="Times New Roman"/>
          <w:sz w:val="24"/>
          <w:szCs w:val="24"/>
        </w:rPr>
        <w:t xml:space="preserve"> of Information and National Orientation.</w:t>
      </w:r>
      <w:hyperlink r:id="rId11">
        <w:r w:rsidR="007A45C3">
          <w:rPr>
            <w:rFonts w:ascii="Times New Roman" w:eastAsia="Times New Roman" w:hAnsi="Times New Roman" w:cs="Times New Roman"/>
            <w:sz w:val="24"/>
            <w:szCs w:val="24"/>
          </w:rPr>
          <w:t xml:space="preserve"> </w:t>
        </w:r>
      </w:hyperlink>
      <w:hyperlink r:id="rId12">
        <w:r w:rsidR="007A45C3">
          <w:rPr>
            <w:rFonts w:ascii="Times New Roman" w:eastAsia="Times New Roman" w:hAnsi="Times New Roman" w:cs="Times New Roman"/>
            <w:sz w:val="24"/>
            <w:szCs w:val="24"/>
          </w:rPr>
          <w:t>https://fmino.gov.ng/fg-launches-2024-ndhs-report-unveils-data-on-fertility-child-mortality-others/</w:t>
        </w:r>
      </w:hyperlink>
    </w:p>
    <w:p w14:paraId="29C10E34"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24" w:name="_7kxhrmeho58t" w:colFirst="0" w:colLast="0"/>
      <w:bookmarkEnd w:id="24"/>
      <w:r>
        <w:rPr>
          <w:rFonts w:ascii="Times New Roman" w:eastAsia="Times New Roman" w:hAnsi="Times New Roman" w:cs="Times New Roman"/>
          <w:sz w:val="24"/>
          <w:szCs w:val="24"/>
        </w:rPr>
        <w:t>Ayo-Bello, O., &amp; Quinn-Walker, N. (2025). Factors associated with modern contraceptives use in Nigerian women: A systematic review o</w:t>
      </w:r>
      <w:r>
        <w:rPr>
          <w:rFonts w:ascii="Times New Roman" w:eastAsia="Times New Roman" w:hAnsi="Times New Roman" w:cs="Times New Roman"/>
          <w:sz w:val="24"/>
          <w:szCs w:val="24"/>
        </w:rPr>
        <w:t xml:space="preserve">f quantitative studies. </w:t>
      </w:r>
      <w:r>
        <w:rPr>
          <w:rFonts w:ascii="Times New Roman" w:eastAsia="Times New Roman" w:hAnsi="Times New Roman" w:cs="Times New Roman"/>
          <w:i/>
          <w:iCs/>
          <w:sz w:val="24"/>
          <w:szCs w:val="24"/>
        </w:rPr>
        <w:t>Discover Public Health, 22</w:t>
      </w:r>
      <w:r>
        <w:rPr>
          <w:rFonts w:ascii="Times New Roman" w:eastAsia="Times New Roman" w:hAnsi="Times New Roman" w:cs="Times New Roman"/>
          <w:sz w:val="24"/>
          <w:szCs w:val="24"/>
        </w:rPr>
        <w:t>, 300.</w:t>
      </w:r>
      <w:hyperlink r:id="rId13">
        <w:r w:rsidR="007A45C3">
          <w:rPr>
            <w:rFonts w:ascii="Times New Roman" w:eastAsia="Times New Roman" w:hAnsi="Times New Roman" w:cs="Times New Roman"/>
            <w:sz w:val="24"/>
            <w:szCs w:val="24"/>
          </w:rPr>
          <w:t xml:space="preserve"> </w:t>
        </w:r>
      </w:hyperlink>
      <w:hyperlink r:id="rId14">
        <w:r w:rsidR="007A45C3">
          <w:rPr>
            <w:rFonts w:ascii="Times New Roman" w:eastAsia="Times New Roman" w:hAnsi="Times New Roman" w:cs="Times New Roman"/>
            <w:sz w:val="24"/>
            <w:szCs w:val="24"/>
          </w:rPr>
          <w:t>https://doi.org/10.1186/s12982-025-00674-8</w:t>
        </w:r>
      </w:hyperlink>
    </w:p>
    <w:p w14:paraId="6E4AA167" w14:textId="77777777" w:rsidR="007A45C3" w:rsidRDefault="00594977">
      <w:pPr>
        <w:spacing w:before="240" w:after="240"/>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Bansode</w:t>
      </w:r>
      <w:proofErr w:type="spellEnd"/>
      <w:r>
        <w:rPr>
          <w:rFonts w:ascii="Times New Roman" w:eastAsia="Times New Roman" w:hAnsi="Times New Roman" w:cs="Times New Roman"/>
          <w:sz w:val="24"/>
          <w:szCs w:val="24"/>
        </w:rPr>
        <w:t xml:space="preserve">, O. M., </w:t>
      </w:r>
      <w:proofErr w:type="spellStart"/>
      <w:r>
        <w:rPr>
          <w:rFonts w:ascii="Times New Roman" w:eastAsia="Times New Roman" w:hAnsi="Times New Roman" w:cs="Times New Roman"/>
          <w:sz w:val="24"/>
          <w:szCs w:val="24"/>
        </w:rPr>
        <w:t>Sarao</w:t>
      </w:r>
      <w:proofErr w:type="spellEnd"/>
      <w:r>
        <w:rPr>
          <w:rFonts w:ascii="Times New Roman" w:eastAsia="Times New Roman" w:hAnsi="Times New Roman" w:cs="Times New Roman"/>
          <w:sz w:val="24"/>
          <w:szCs w:val="24"/>
        </w:rPr>
        <w:t xml:space="preserve">, M. S., &amp; </w:t>
      </w:r>
      <w:r>
        <w:rPr>
          <w:rFonts w:ascii="Times New Roman" w:eastAsia="Times New Roman" w:hAnsi="Times New Roman" w:cs="Times New Roman"/>
          <w:sz w:val="24"/>
          <w:szCs w:val="24"/>
        </w:rPr>
        <w:t xml:space="preserve">Cooper, D. B. (2023, July 24). </w:t>
      </w:r>
      <w:r>
        <w:rPr>
          <w:rFonts w:ascii="Times New Roman" w:eastAsia="Times New Roman" w:hAnsi="Times New Roman" w:cs="Times New Roman"/>
          <w:i/>
          <w:iCs/>
          <w:sz w:val="24"/>
          <w:szCs w:val="24"/>
        </w:rPr>
        <w:t>Contraception</w:t>
      </w:r>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[Internet]. </w:t>
      </w:r>
      <w:proofErr w:type="spellStart"/>
      <w:r>
        <w:rPr>
          <w:rFonts w:ascii="Times New Roman" w:eastAsia="Times New Roman" w:hAnsi="Times New Roman" w:cs="Times New Roman"/>
          <w:sz w:val="24"/>
          <w:szCs w:val="24"/>
        </w:rPr>
        <w:t>StatPearls</w:t>
      </w:r>
      <w:proofErr w:type="spellEnd"/>
      <w:r>
        <w:rPr>
          <w:rFonts w:ascii="Times New Roman" w:eastAsia="Times New Roman" w:hAnsi="Times New Roman" w:cs="Times New Roman"/>
          <w:sz w:val="24"/>
          <w:szCs w:val="24"/>
        </w:rPr>
        <w:t xml:space="preserve"> Publishing.</w:t>
      </w:r>
      <w:hyperlink r:id="rId15">
        <w:r w:rsidR="007A45C3">
          <w:rPr>
            <w:rFonts w:ascii="Times New Roman" w:eastAsia="Times New Roman" w:hAnsi="Times New Roman" w:cs="Times New Roman"/>
            <w:sz w:val="24"/>
            <w:szCs w:val="24"/>
          </w:rPr>
          <w:t xml:space="preserve"> </w:t>
        </w:r>
      </w:hyperlink>
      <w:hyperlink r:id="rId16">
        <w:r w:rsidR="007A45C3">
          <w:rPr>
            <w:rFonts w:ascii="Times New Roman" w:eastAsia="Times New Roman" w:hAnsi="Times New Roman" w:cs="Times New Roman"/>
            <w:sz w:val="24"/>
            <w:szCs w:val="24"/>
          </w:rPr>
          <w:t>https://www.ncbi.nlm.nih.gov/books/NBK536949/</w:t>
        </w:r>
      </w:hyperlink>
    </w:p>
    <w:p w14:paraId="401ED551" w14:textId="77777777" w:rsidR="007A45C3" w:rsidRDefault="00594977">
      <w:pPr>
        <w:spacing w:before="24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Blackstone, S. R., </w:t>
      </w:r>
      <w:proofErr w:type="spellStart"/>
      <w:r>
        <w:rPr>
          <w:rFonts w:ascii="Times New Roman" w:eastAsia="Times New Roman" w:hAnsi="Times New Roman" w:cs="Times New Roman"/>
          <w:sz w:val="24"/>
          <w:szCs w:val="24"/>
        </w:rPr>
        <w:t>Nwaozuru</w:t>
      </w:r>
      <w:proofErr w:type="spellEnd"/>
      <w:r>
        <w:rPr>
          <w:rFonts w:ascii="Times New Roman" w:eastAsia="Times New Roman" w:hAnsi="Times New Roman" w:cs="Times New Roman"/>
          <w:sz w:val="24"/>
          <w:szCs w:val="24"/>
        </w:rPr>
        <w:t xml:space="preserve">, U., &amp; </w:t>
      </w:r>
      <w:proofErr w:type="spellStart"/>
      <w:r>
        <w:rPr>
          <w:rFonts w:ascii="Times New Roman" w:eastAsia="Times New Roman" w:hAnsi="Times New Roman" w:cs="Times New Roman"/>
          <w:sz w:val="24"/>
          <w:szCs w:val="24"/>
        </w:rPr>
        <w:t>Iwelunmor</w:t>
      </w:r>
      <w:proofErr w:type="spellEnd"/>
      <w:r>
        <w:rPr>
          <w:rFonts w:ascii="Times New Roman" w:eastAsia="Times New Roman" w:hAnsi="Times New Roman" w:cs="Times New Roman"/>
          <w:sz w:val="24"/>
          <w:szCs w:val="24"/>
        </w:rPr>
        <w:t xml:space="preserve">, J. (2017). </w:t>
      </w:r>
      <w:r>
        <w:rPr>
          <w:rFonts w:ascii="Times New Roman" w:eastAsia="Times New Roman" w:hAnsi="Times New Roman" w:cs="Times New Roman"/>
          <w:i/>
          <w:iCs/>
          <w:sz w:val="24"/>
          <w:szCs w:val="24"/>
        </w:rPr>
        <w:t>Factors influencing contraceptive use in sub-Saharan Africa: A systematic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Quarterly of Community Health Education, 37</w:t>
      </w:r>
      <w:r>
        <w:rPr>
          <w:rFonts w:ascii="Times New Roman" w:eastAsia="Times New Roman" w:hAnsi="Times New Roman" w:cs="Times New Roman"/>
          <w:sz w:val="24"/>
          <w:szCs w:val="24"/>
        </w:rPr>
        <w:t>(2), 79–91. https://do</w:t>
      </w:r>
      <w:r>
        <w:rPr>
          <w:rFonts w:ascii="Times New Roman" w:eastAsia="Times New Roman" w:hAnsi="Times New Roman" w:cs="Times New Roman"/>
          <w:sz w:val="24"/>
          <w:szCs w:val="24"/>
        </w:rPr>
        <w:t>i.org/10.1177/0272684X16685254</w:t>
      </w:r>
    </w:p>
    <w:p w14:paraId="79EA69A7" w14:textId="77777777" w:rsidR="007A45C3" w:rsidRDefault="00594977">
      <w:pPr>
        <w:spacing w:before="240" w:after="240"/>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Bongaarts</w:t>
      </w:r>
      <w:proofErr w:type="spellEnd"/>
      <w:r>
        <w:rPr>
          <w:rFonts w:ascii="Times New Roman" w:eastAsia="Times New Roman" w:hAnsi="Times New Roman" w:cs="Times New Roman"/>
          <w:sz w:val="24"/>
          <w:szCs w:val="24"/>
        </w:rPr>
        <w:t xml:space="preserve">, J., &amp; Hardee, K. (2019). </w:t>
      </w:r>
      <w:r>
        <w:rPr>
          <w:rFonts w:ascii="Times New Roman" w:eastAsia="Times New Roman" w:hAnsi="Times New Roman" w:cs="Times New Roman"/>
          <w:i/>
          <w:iCs/>
          <w:sz w:val="24"/>
          <w:szCs w:val="24"/>
        </w:rPr>
        <w:t>Trends in contraceptive prevalence in sub-Saharan Africa: The roles of family planning programs and education</w:t>
      </w:r>
      <w:r>
        <w:rPr>
          <w:rFonts w:ascii="Times New Roman" w:eastAsia="Times New Roman" w:hAnsi="Times New Roman" w:cs="Times New Roman"/>
          <w:sz w:val="24"/>
          <w:szCs w:val="24"/>
        </w:rPr>
        <w:t>. African Journal of Reproductive Health, 23(3), 96–105. https://doi.org/10.2906</w:t>
      </w:r>
      <w:r>
        <w:rPr>
          <w:rFonts w:ascii="Times New Roman" w:eastAsia="Times New Roman" w:hAnsi="Times New Roman" w:cs="Times New Roman"/>
          <w:sz w:val="24"/>
          <w:szCs w:val="24"/>
        </w:rPr>
        <w:t>3/ajrh2019/v23i3.9</w:t>
      </w:r>
    </w:p>
    <w:p w14:paraId="30E414B8" w14:textId="77777777" w:rsidR="007A45C3" w:rsidRDefault="00594977">
      <w:pPr>
        <w:spacing w:before="24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Cahill, N., </w:t>
      </w:r>
      <w:proofErr w:type="spellStart"/>
      <w:r>
        <w:rPr>
          <w:rFonts w:ascii="Times New Roman" w:eastAsia="Times New Roman" w:hAnsi="Times New Roman" w:cs="Times New Roman"/>
          <w:sz w:val="24"/>
          <w:szCs w:val="24"/>
        </w:rPr>
        <w:t>Sonneveldt</w:t>
      </w:r>
      <w:proofErr w:type="spellEnd"/>
      <w:r>
        <w:rPr>
          <w:rFonts w:ascii="Times New Roman" w:eastAsia="Times New Roman" w:hAnsi="Times New Roman" w:cs="Times New Roman"/>
          <w:sz w:val="24"/>
          <w:szCs w:val="24"/>
        </w:rPr>
        <w:t>, E., Stover, J., Weinberger, M., Williamson, J., Wei, C., Brown, W., &amp; Alkema, L. (2018). Modern contraceptive use, unmet need, and demand satisfied among women of reproductive age who are married or in a union in the focus countries</w:t>
      </w:r>
      <w:r>
        <w:rPr>
          <w:rFonts w:ascii="Times New Roman" w:eastAsia="Times New Roman" w:hAnsi="Times New Roman" w:cs="Times New Roman"/>
          <w:sz w:val="24"/>
          <w:szCs w:val="24"/>
        </w:rPr>
        <w:t xml:space="preserve"> of the Family Planning 2020 initiative: A systematic analysis using the Family Planning Estimation Tool. </w:t>
      </w:r>
      <w:r>
        <w:rPr>
          <w:rFonts w:ascii="Times New Roman" w:eastAsia="Times New Roman" w:hAnsi="Times New Roman" w:cs="Times New Roman"/>
          <w:i/>
          <w:iCs/>
          <w:sz w:val="24"/>
          <w:szCs w:val="24"/>
        </w:rPr>
        <w:t>The Lancet, 391</w:t>
      </w:r>
      <w:r>
        <w:rPr>
          <w:rFonts w:ascii="Times New Roman" w:eastAsia="Times New Roman" w:hAnsi="Times New Roman" w:cs="Times New Roman"/>
          <w:sz w:val="24"/>
          <w:szCs w:val="24"/>
        </w:rPr>
        <w:t>(10123), 870–882.</w:t>
      </w:r>
      <w:hyperlink r:id="rId17">
        <w:r w:rsidR="007A45C3">
          <w:rPr>
            <w:rFonts w:ascii="Times New Roman" w:eastAsia="Times New Roman" w:hAnsi="Times New Roman" w:cs="Times New Roman"/>
            <w:sz w:val="24"/>
            <w:szCs w:val="24"/>
          </w:rPr>
          <w:t xml:space="preserve"> </w:t>
        </w:r>
      </w:hyperlink>
      <w:hyperlink r:id="rId18">
        <w:r w:rsidR="007A45C3">
          <w:rPr>
            <w:rFonts w:ascii="Times New Roman" w:eastAsia="Times New Roman" w:hAnsi="Times New Roman" w:cs="Times New Roman"/>
            <w:sz w:val="24"/>
            <w:szCs w:val="24"/>
          </w:rPr>
          <w:t>https://doi.org/10.1016/S0140-6736(17)33104-5</w:t>
        </w:r>
      </w:hyperlink>
    </w:p>
    <w:p w14:paraId="38FBA3CC" w14:textId="77777777" w:rsidR="007A45C3" w:rsidRDefault="00594977">
      <w:pPr>
        <w:spacing w:before="24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Campbell, O. M. R., &amp; Graham, W. J. (2006). </w:t>
      </w:r>
      <w:r>
        <w:rPr>
          <w:rFonts w:ascii="Times New Roman" w:eastAsia="Times New Roman" w:hAnsi="Times New Roman" w:cs="Times New Roman"/>
          <w:i/>
          <w:iCs/>
          <w:sz w:val="24"/>
          <w:szCs w:val="24"/>
        </w:rPr>
        <w:t>Strategies for reducing maternal mortality: Getting on with what works</w:t>
      </w:r>
      <w:r>
        <w:rPr>
          <w:rFonts w:ascii="Times New Roman" w:eastAsia="Times New Roman" w:hAnsi="Times New Roman" w:cs="Times New Roman"/>
          <w:sz w:val="24"/>
          <w:szCs w:val="24"/>
        </w:rPr>
        <w:t>. The Lancet, 368(9543), 1284–1299. https://doi.org/10.1016/S0140-6736(06)69381-1</w:t>
      </w:r>
    </w:p>
    <w:p w14:paraId="28C7917E" w14:textId="77777777" w:rsidR="007A45C3" w:rsidRDefault="00594977">
      <w:pPr>
        <w:spacing w:before="24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arvajal, L., Wilson, E., Harris </w:t>
      </w:r>
      <w:proofErr w:type="spellStart"/>
      <w:r>
        <w:rPr>
          <w:rFonts w:ascii="Times New Roman" w:eastAsia="Times New Roman" w:hAnsi="Times New Roman" w:cs="Times New Roman"/>
          <w:sz w:val="24"/>
          <w:szCs w:val="24"/>
        </w:rPr>
        <w:t>Requejo</w:t>
      </w:r>
      <w:proofErr w:type="spellEnd"/>
      <w:r>
        <w:rPr>
          <w:rFonts w:ascii="Times New Roman" w:eastAsia="Times New Roman" w:hAnsi="Times New Roman" w:cs="Times New Roman"/>
          <w:sz w:val="24"/>
          <w:szCs w:val="24"/>
        </w:rPr>
        <w:t xml:space="preserve">, J., Newby, H., de Carvalho Eriksson, C., Liang, M., Dennis, M., Gohar, F., </w:t>
      </w:r>
      <w:proofErr w:type="spellStart"/>
      <w:r>
        <w:rPr>
          <w:rFonts w:ascii="Times New Roman" w:eastAsia="Times New Roman" w:hAnsi="Times New Roman" w:cs="Times New Roman"/>
          <w:sz w:val="24"/>
          <w:szCs w:val="24"/>
        </w:rPr>
        <w:t>Simen-Kapeu</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Idele</w:t>
      </w:r>
      <w:proofErr w:type="spellEnd"/>
      <w:r>
        <w:rPr>
          <w:rFonts w:ascii="Times New Roman" w:eastAsia="Times New Roman" w:hAnsi="Times New Roman" w:cs="Times New Roman"/>
          <w:sz w:val="24"/>
          <w:szCs w:val="24"/>
        </w:rPr>
        <w:t xml:space="preserve">, P., &amp; </w:t>
      </w:r>
      <w:proofErr w:type="spellStart"/>
      <w:r>
        <w:rPr>
          <w:rFonts w:ascii="Times New Roman" w:eastAsia="Times New Roman" w:hAnsi="Times New Roman" w:cs="Times New Roman"/>
          <w:sz w:val="24"/>
          <w:szCs w:val="24"/>
        </w:rPr>
        <w:t>Amouzou</w:t>
      </w:r>
      <w:proofErr w:type="spellEnd"/>
      <w:r>
        <w:rPr>
          <w:rFonts w:ascii="Times New Roman" w:eastAsia="Times New Roman" w:hAnsi="Times New Roman" w:cs="Times New Roman"/>
          <w:sz w:val="24"/>
          <w:szCs w:val="24"/>
        </w:rPr>
        <w:t xml:space="preserve">, A. (2020). Basic maternal health care coverage among adolescents in 22 sub-Saharan African countries </w:t>
      </w:r>
      <w:r>
        <w:rPr>
          <w:rFonts w:ascii="Times New Roman" w:eastAsia="Times New Roman" w:hAnsi="Times New Roman" w:cs="Times New Roman"/>
          <w:sz w:val="24"/>
          <w:szCs w:val="24"/>
        </w:rPr>
        <w:t xml:space="preserve">with high adolescent birth rate. </w:t>
      </w:r>
      <w:r>
        <w:rPr>
          <w:rFonts w:ascii="Times New Roman" w:eastAsia="Times New Roman" w:hAnsi="Times New Roman" w:cs="Times New Roman"/>
          <w:i/>
          <w:iCs/>
          <w:sz w:val="24"/>
          <w:szCs w:val="24"/>
        </w:rPr>
        <w:t>Journal of Global Health, 10</w:t>
      </w:r>
      <w:r>
        <w:rPr>
          <w:rFonts w:ascii="Times New Roman" w:eastAsia="Times New Roman" w:hAnsi="Times New Roman" w:cs="Times New Roman"/>
          <w:sz w:val="24"/>
          <w:szCs w:val="24"/>
        </w:rPr>
        <w:t>(2), 021401.</w:t>
      </w:r>
      <w:hyperlink r:id="rId19">
        <w:r w:rsidR="007A45C3">
          <w:rPr>
            <w:rFonts w:ascii="Times New Roman" w:eastAsia="Times New Roman" w:hAnsi="Times New Roman" w:cs="Times New Roman"/>
            <w:sz w:val="24"/>
            <w:szCs w:val="24"/>
          </w:rPr>
          <w:t xml:space="preserve"> </w:t>
        </w:r>
      </w:hyperlink>
      <w:hyperlink r:id="rId20">
        <w:r w:rsidR="007A45C3">
          <w:rPr>
            <w:rFonts w:ascii="Times New Roman" w:eastAsia="Times New Roman" w:hAnsi="Times New Roman" w:cs="Times New Roman"/>
            <w:sz w:val="24"/>
            <w:szCs w:val="24"/>
          </w:rPr>
          <w:t>https://doi.org/10.7189/jogh.10.021401</w:t>
        </w:r>
      </w:hyperlink>
    </w:p>
    <w:p w14:paraId="0B255416"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25" w:name="_3dnoo842kued" w:colFirst="0" w:colLast="0"/>
      <w:bookmarkEnd w:id="25"/>
      <w:proofErr w:type="spellStart"/>
      <w:r>
        <w:rPr>
          <w:rFonts w:ascii="Times New Roman" w:eastAsia="Times New Roman" w:hAnsi="Times New Roman" w:cs="Times New Roman"/>
          <w:sz w:val="24"/>
          <w:szCs w:val="24"/>
        </w:rPr>
        <w:t>Chichaya</w:t>
      </w:r>
      <w:proofErr w:type="spellEnd"/>
      <w:r>
        <w:rPr>
          <w:rFonts w:ascii="Times New Roman" w:eastAsia="Times New Roman" w:hAnsi="Times New Roman" w:cs="Times New Roman"/>
          <w:sz w:val="24"/>
          <w:szCs w:val="24"/>
        </w:rPr>
        <w:t xml:space="preserve">, T. F., &amp; </w:t>
      </w:r>
      <w:proofErr w:type="spellStart"/>
      <w:r>
        <w:rPr>
          <w:rFonts w:ascii="Times New Roman" w:eastAsia="Times New Roman" w:hAnsi="Times New Roman" w:cs="Times New Roman"/>
          <w:sz w:val="24"/>
          <w:szCs w:val="24"/>
        </w:rPr>
        <w:t>Awosanya</w:t>
      </w:r>
      <w:proofErr w:type="spellEnd"/>
      <w:r>
        <w:rPr>
          <w:rFonts w:ascii="Times New Roman" w:eastAsia="Times New Roman" w:hAnsi="Times New Roman" w:cs="Times New Roman"/>
          <w:sz w:val="24"/>
          <w:szCs w:val="24"/>
        </w:rPr>
        <w:t xml:space="preserve">, T. (2024). Social-cultural barriers to accessing family planning services among adolescent girls in Nigeria: A review. </w:t>
      </w:r>
      <w:r>
        <w:rPr>
          <w:rFonts w:ascii="Times New Roman" w:eastAsia="Times New Roman" w:hAnsi="Times New Roman" w:cs="Times New Roman"/>
          <w:i/>
          <w:iCs/>
          <w:sz w:val="24"/>
          <w:szCs w:val="24"/>
        </w:rPr>
        <w:t>Global Social Welfare</w:t>
      </w:r>
      <w:r>
        <w:rPr>
          <w:rFonts w:ascii="Times New Roman" w:eastAsia="Times New Roman" w:hAnsi="Times New Roman" w:cs="Times New Roman"/>
          <w:sz w:val="24"/>
          <w:szCs w:val="24"/>
        </w:rPr>
        <w:t>.</w:t>
      </w:r>
      <w:hyperlink r:id="rId21">
        <w:r w:rsidR="007A45C3">
          <w:rPr>
            <w:rFonts w:ascii="Times New Roman" w:eastAsia="Times New Roman" w:hAnsi="Times New Roman" w:cs="Times New Roman"/>
            <w:sz w:val="24"/>
            <w:szCs w:val="24"/>
          </w:rPr>
          <w:t xml:space="preserve"> </w:t>
        </w:r>
      </w:hyperlink>
      <w:hyperlink r:id="rId22">
        <w:r w:rsidR="007A45C3">
          <w:rPr>
            <w:rFonts w:ascii="Times New Roman" w:eastAsia="Times New Roman" w:hAnsi="Times New Roman" w:cs="Times New Roman"/>
            <w:sz w:val="24"/>
            <w:szCs w:val="24"/>
          </w:rPr>
          <w:t>https://doi.org/10.1007/s40609-024-00372-4</w:t>
        </w:r>
      </w:hyperlink>
    </w:p>
    <w:p w14:paraId="32178425"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26" w:name="_seb57hec06i2" w:colFirst="0" w:colLast="0"/>
      <w:bookmarkEnd w:id="26"/>
      <w:proofErr w:type="spellStart"/>
      <w:r>
        <w:rPr>
          <w:rFonts w:ascii="Times New Roman" w:eastAsia="Times New Roman" w:hAnsi="Times New Roman" w:cs="Times New Roman"/>
          <w:sz w:val="24"/>
          <w:szCs w:val="24"/>
        </w:rPr>
        <w:t>Chima</w:t>
      </w:r>
      <w:proofErr w:type="spellEnd"/>
      <w:r>
        <w:rPr>
          <w:rFonts w:ascii="Times New Roman" w:eastAsia="Times New Roman" w:hAnsi="Times New Roman" w:cs="Times New Roman"/>
          <w:sz w:val="24"/>
          <w:szCs w:val="24"/>
        </w:rPr>
        <w:t xml:space="preserve">, V., &amp; </w:t>
      </w:r>
      <w:proofErr w:type="spellStart"/>
      <w:r>
        <w:rPr>
          <w:rFonts w:ascii="Times New Roman" w:eastAsia="Times New Roman" w:hAnsi="Times New Roman" w:cs="Times New Roman"/>
          <w:sz w:val="24"/>
          <w:szCs w:val="24"/>
        </w:rPr>
        <w:t>Alawode</w:t>
      </w:r>
      <w:proofErr w:type="spellEnd"/>
      <w:r>
        <w:rPr>
          <w:rFonts w:ascii="Times New Roman" w:eastAsia="Times New Roman" w:hAnsi="Times New Roman" w:cs="Times New Roman"/>
          <w:sz w:val="24"/>
          <w:szCs w:val="24"/>
        </w:rPr>
        <w:t>, O. A. (2020). Modern contraceptive use among female adolescents in rural Nigeria: Does exposure to family planning messages matter?</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Gates Open Research</w:t>
      </w:r>
      <w:r>
        <w:rPr>
          <w:rFonts w:ascii="Times New Roman" w:eastAsia="Times New Roman" w:hAnsi="Times New Roman" w:cs="Times New Roman"/>
          <w:sz w:val="24"/>
          <w:szCs w:val="24"/>
        </w:rPr>
        <w:t xml:space="preserve">. </w:t>
      </w:r>
    </w:p>
    <w:p w14:paraId="4B35431A" w14:textId="77777777" w:rsidR="007A45C3" w:rsidRDefault="00594977">
      <w:pPr>
        <w:spacing w:before="240" w:after="240"/>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Cicerchia</w:t>
      </w:r>
      <w:proofErr w:type="spellEnd"/>
      <w:r>
        <w:rPr>
          <w:rFonts w:ascii="Times New Roman" w:eastAsia="Times New Roman" w:hAnsi="Times New Roman" w:cs="Times New Roman"/>
          <w:sz w:val="24"/>
          <w:szCs w:val="24"/>
        </w:rPr>
        <w:t xml:space="preserve">, G., Reid, L. D., &amp; Carvajal, D. N. (2022). Contraceptive decision-making and the importance of side effect information among a sample of Latinas. </w:t>
      </w:r>
      <w:proofErr w:type="spellStart"/>
      <w:r>
        <w:rPr>
          <w:rFonts w:ascii="Times New Roman" w:eastAsia="Times New Roman" w:hAnsi="Times New Roman" w:cs="Times New Roman"/>
          <w:i/>
          <w:iCs/>
          <w:sz w:val="24"/>
          <w:szCs w:val="24"/>
        </w:rPr>
        <w:t>Womens</w:t>
      </w:r>
      <w:proofErr w:type="spellEnd"/>
      <w:r>
        <w:rPr>
          <w:rFonts w:ascii="Times New Roman" w:eastAsia="Times New Roman" w:hAnsi="Times New Roman" w:cs="Times New Roman"/>
          <w:i/>
          <w:iCs/>
          <w:sz w:val="24"/>
          <w:szCs w:val="24"/>
        </w:rPr>
        <w:t xml:space="preserve"> Health Reports, 3</w:t>
      </w:r>
      <w:r>
        <w:rPr>
          <w:rFonts w:ascii="Times New Roman" w:eastAsia="Times New Roman" w:hAnsi="Times New Roman" w:cs="Times New Roman"/>
          <w:sz w:val="24"/>
          <w:szCs w:val="24"/>
        </w:rPr>
        <w:t>(1), 78–84.</w:t>
      </w:r>
      <w:hyperlink r:id="rId23">
        <w:r w:rsidR="007A45C3">
          <w:rPr>
            <w:rFonts w:ascii="Times New Roman" w:eastAsia="Times New Roman" w:hAnsi="Times New Roman" w:cs="Times New Roman"/>
            <w:sz w:val="24"/>
            <w:szCs w:val="24"/>
          </w:rPr>
          <w:t xml:space="preserve"> </w:t>
        </w:r>
      </w:hyperlink>
      <w:hyperlink r:id="rId24">
        <w:r w:rsidR="007A45C3">
          <w:rPr>
            <w:rFonts w:ascii="Times New Roman" w:eastAsia="Times New Roman" w:hAnsi="Times New Roman" w:cs="Times New Roman"/>
            <w:sz w:val="24"/>
            <w:szCs w:val="24"/>
          </w:rPr>
          <w:t>https://doi.org/10.1089/whr.2021.0115</w:t>
        </w:r>
      </w:hyperlink>
    </w:p>
    <w:p w14:paraId="555C171C" w14:textId="77777777" w:rsidR="007A45C3" w:rsidRDefault="00594977">
      <w:pPr>
        <w:spacing w:before="24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Cleland, J., Conde-</w:t>
      </w:r>
      <w:proofErr w:type="spellStart"/>
      <w:r>
        <w:rPr>
          <w:rFonts w:ascii="Times New Roman" w:eastAsia="Times New Roman" w:hAnsi="Times New Roman" w:cs="Times New Roman"/>
          <w:sz w:val="24"/>
          <w:szCs w:val="24"/>
        </w:rPr>
        <w:t>Agudelo</w:t>
      </w:r>
      <w:proofErr w:type="spellEnd"/>
      <w:r>
        <w:rPr>
          <w:rFonts w:ascii="Times New Roman" w:eastAsia="Times New Roman" w:hAnsi="Times New Roman" w:cs="Times New Roman"/>
          <w:sz w:val="24"/>
          <w:szCs w:val="24"/>
        </w:rPr>
        <w:t xml:space="preserve">, A., Peterson, H., Ross, J., &amp; </w:t>
      </w:r>
      <w:proofErr w:type="spellStart"/>
      <w:r>
        <w:rPr>
          <w:rFonts w:ascii="Times New Roman" w:eastAsia="Times New Roman" w:hAnsi="Times New Roman" w:cs="Times New Roman"/>
          <w:sz w:val="24"/>
          <w:szCs w:val="24"/>
        </w:rPr>
        <w:t>Tsui</w:t>
      </w:r>
      <w:proofErr w:type="spellEnd"/>
      <w:r>
        <w:rPr>
          <w:rFonts w:ascii="Times New Roman" w:eastAsia="Times New Roman" w:hAnsi="Times New Roman" w:cs="Times New Roman"/>
          <w:sz w:val="24"/>
          <w:szCs w:val="24"/>
        </w:rPr>
        <w:t xml:space="preserve">, A. (2012). </w:t>
      </w:r>
      <w:r>
        <w:rPr>
          <w:rFonts w:ascii="Times New Roman" w:eastAsia="Times New Roman" w:hAnsi="Times New Roman" w:cs="Times New Roman"/>
          <w:i/>
          <w:iCs/>
          <w:sz w:val="24"/>
          <w:szCs w:val="24"/>
        </w:rPr>
        <w:t>Contraception and health</w:t>
      </w:r>
      <w:r>
        <w:rPr>
          <w:rFonts w:ascii="Times New Roman" w:eastAsia="Times New Roman" w:hAnsi="Times New Roman" w:cs="Times New Roman"/>
          <w:sz w:val="24"/>
          <w:szCs w:val="24"/>
        </w:rPr>
        <w:t>. The Lancet, 380(9837), 149–156. https://doi</w:t>
      </w:r>
      <w:r>
        <w:rPr>
          <w:rFonts w:ascii="Times New Roman" w:eastAsia="Times New Roman" w:hAnsi="Times New Roman" w:cs="Times New Roman"/>
          <w:sz w:val="24"/>
          <w:szCs w:val="24"/>
        </w:rPr>
        <w:t>.org/10.1016/S0140-6736(12)60609-6</w:t>
      </w:r>
    </w:p>
    <w:p w14:paraId="48EF5EC5" w14:textId="77777777" w:rsidR="007A45C3" w:rsidRDefault="00594977">
      <w:pPr>
        <w:spacing w:before="240" w:after="240"/>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Darroch</w:t>
      </w:r>
      <w:proofErr w:type="spellEnd"/>
      <w:r>
        <w:rPr>
          <w:rFonts w:ascii="Times New Roman" w:eastAsia="Times New Roman" w:hAnsi="Times New Roman" w:cs="Times New Roman"/>
          <w:sz w:val="24"/>
          <w:szCs w:val="24"/>
        </w:rPr>
        <w:t xml:space="preserve">, J. E., </w:t>
      </w:r>
      <w:proofErr w:type="spellStart"/>
      <w:r>
        <w:rPr>
          <w:rFonts w:ascii="Times New Roman" w:eastAsia="Times New Roman" w:hAnsi="Times New Roman" w:cs="Times New Roman"/>
          <w:sz w:val="24"/>
          <w:szCs w:val="24"/>
        </w:rPr>
        <w:t>Woog</w:t>
      </w:r>
      <w:proofErr w:type="spellEnd"/>
      <w:r>
        <w:rPr>
          <w:rFonts w:ascii="Times New Roman" w:eastAsia="Times New Roman" w:hAnsi="Times New Roman" w:cs="Times New Roman"/>
          <w:sz w:val="24"/>
          <w:szCs w:val="24"/>
        </w:rPr>
        <w:t xml:space="preserve">, V., Bankole, A., &amp; Ashford, L. S. (2016). </w:t>
      </w:r>
      <w:r>
        <w:rPr>
          <w:rFonts w:ascii="Times New Roman" w:eastAsia="Times New Roman" w:hAnsi="Times New Roman" w:cs="Times New Roman"/>
          <w:i/>
          <w:iCs/>
          <w:sz w:val="24"/>
          <w:szCs w:val="24"/>
        </w:rPr>
        <w:t>Adding it up: Costs and benefits of meeting the contraceptive needs of adolescents</w:t>
      </w:r>
      <w:r>
        <w:rPr>
          <w:rFonts w:ascii="Times New Roman" w:eastAsia="Times New Roman" w:hAnsi="Times New Roman" w:cs="Times New Roman"/>
          <w:sz w:val="24"/>
          <w:szCs w:val="24"/>
        </w:rPr>
        <w:t>. Guttmacher Institute.</w:t>
      </w:r>
      <w:hyperlink r:id="rId25">
        <w:r w:rsidR="007A45C3">
          <w:rPr>
            <w:rFonts w:ascii="Times New Roman" w:eastAsia="Times New Roman" w:hAnsi="Times New Roman" w:cs="Times New Roman"/>
            <w:sz w:val="24"/>
            <w:szCs w:val="24"/>
          </w:rPr>
          <w:t xml:space="preserve"> </w:t>
        </w:r>
      </w:hyperlink>
      <w:hyperlink r:id="rId26">
        <w:r w:rsidR="007A45C3">
          <w:rPr>
            <w:rFonts w:ascii="Times New Roman" w:eastAsia="Times New Roman" w:hAnsi="Times New Roman" w:cs="Times New Roman"/>
            <w:sz w:val="24"/>
            <w:szCs w:val="24"/>
          </w:rPr>
          <w:t>https://www.guttmacher.org/sites/default/files/report_pdf/adding-it-up-adolescents-report.pdf</w:t>
        </w:r>
      </w:hyperlink>
    </w:p>
    <w:p w14:paraId="22137DFD" w14:textId="77777777" w:rsidR="007A45C3" w:rsidRDefault="00594977">
      <w:pPr>
        <w:spacing w:before="24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Dave-</w:t>
      </w:r>
      <w:proofErr w:type="spellStart"/>
      <w:r>
        <w:rPr>
          <w:rFonts w:ascii="Times New Roman" w:eastAsia="Times New Roman" w:hAnsi="Times New Roman" w:cs="Times New Roman"/>
          <w:sz w:val="24"/>
          <w:szCs w:val="24"/>
        </w:rPr>
        <w:t>Agboola</w:t>
      </w:r>
      <w:proofErr w:type="spellEnd"/>
      <w:r>
        <w:rPr>
          <w:rFonts w:ascii="Times New Roman" w:eastAsia="Times New Roman" w:hAnsi="Times New Roman" w:cs="Times New Roman"/>
          <w:sz w:val="24"/>
          <w:szCs w:val="24"/>
        </w:rPr>
        <w:t xml:space="preserve">, I. O. (2018). </w:t>
      </w:r>
      <w:r>
        <w:rPr>
          <w:rFonts w:ascii="Times New Roman" w:eastAsia="Times New Roman" w:hAnsi="Times New Roman" w:cs="Times New Roman"/>
          <w:i/>
          <w:iCs/>
          <w:sz w:val="24"/>
          <w:szCs w:val="24"/>
        </w:rPr>
        <w:t>Identification of intervention gaps in adolescents sexual and reproductive health programs in Nigeria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Texila</w:t>
      </w:r>
      <w:proofErr w:type="spellEnd"/>
      <w:r>
        <w:rPr>
          <w:rFonts w:ascii="Times New Roman" w:eastAsia="Times New Roman" w:hAnsi="Times New Roman" w:cs="Times New Roman"/>
          <w:sz w:val="24"/>
          <w:szCs w:val="24"/>
        </w:rPr>
        <w:t xml:space="preserve"> International Journal of Public Health, </w:t>
      </w:r>
      <w:r>
        <w:rPr>
          <w:rFonts w:ascii="Times New Roman" w:eastAsia="Times New Roman" w:hAnsi="Times New Roman" w:cs="Times New Roman"/>
          <w:sz w:val="24"/>
          <w:szCs w:val="24"/>
        </w:rPr>
        <w:lastRenderedPageBreak/>
        <w:t>6(4).</w:t>
      </w:r>
      <w:hyperlink r:id="rId27">
        <w:r w:rsidR="007A45C3">
          <w:rPr>
            <w:rFonts w:ascii="Times New Roman" w:eastAsia="Times New Roman" w:hAnsi="Times New Roman" w:cs="Times New Roman"/>
            <w:sz w:val="24"/>
            <w:szCs w:val="24"/>
          </w:rPr>
          <w:t xml:space="preserve"> </w:t>
        </w:r>
      </w:hyperlink>
      <w:hyperlink r:id="rId28">
        <w:r w:rsidR="007A45C3">
          <w:rPr>
            <w:rFonts w:ascii="Times New Roman" w:eastAsia="Times New Roman" w:hAnsi="Times New Roman" w:cs="Times New Roman"/>
            <w:sz w:val="24"/>
            <w:szCs w:val="24"/>
          </w:rPr>
          <w:t>https://www.texilajournal.com/thumbs/article/Public_Health_Vol6_Issue4_Article_7.pdf</w:t>
        </w:r>
      </w:hyperlink>
    </w:p>
    <w:p w14:paraId="60D52541"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27" w:name="_h93neq7yhb3r" w:colFirst="0" w:colLast="0"/>
      <w:bookmarkEnd w:id="27"/>
      <w:proofErr w:type="spellStart"/>
      <w:r>
        <w:rPr>
          <w:rFonts w:ascii="Times New Roman" w:eastAsia="Times New Roman" w:hAnsi="Times New Roman" w:cs="Times New Roman"/>
          <w:sz w:val="24"/>
          <w:szCs w:val="24"/>
        </w:rPr>
        <w:t>Disu</w:t>
      </w:r>
      <w:proofErr w:type="spellEnd"/>
      <w:r>
        <w:rPr>
          <w:rFonts w:ascii="Times New Roman" w:eastAsia="Times New Roman" w:hAnsi="Times New Roman" w:cs="Times New Roman"/>
          <w:sz w:val="24"/>
          <w:szCs w:val="24"/>
        </w:rPr>
        <w:t xml:space="preserve">, K. (2025). Barriers and facilitators of contraceptive uptake: A cross-sectional study among women in selected markets in Oyo State, Nigeria. </w:t>
      </w:r>
      <w:r>
        <w:rPr>
          <w:rFonts w:ascii="Times New Roman" w:eastAsia="Times New Roman" w:hAnsi="Times New Roman" w:cs="Times New Roman"/>
          <w:i/>
          <w:iCs/>
          <w:sz w:val="24"/>
          <w:szCs w:val="24"/>
        </w:rPr>
        <w:t>International Journal of Research and Innovation in Social Science (IJRISS)</w:t>
      </w:r>
      <w:r>
        <w:rPr>
          <w:rFonts w:ascii="Times New Roman" w:eastAsia="Times New Roman" w:hAnsi="Times New Roman" w:cs="Times New Roman"/>
          <w:sz w:val="24"/>
          <w:szCs w:val="24"/>
        </w:rPr>
        <w:t>, 130–143.</w:t>
      </w:r>
      <w:hyperlink r:id="rId29">
        <w:r w:rsidR="007A45C3">
          <w:rPr>
            <w:rFonts w:ascii="Times New Roman" w:eastAsia="Times New Roman" w:hAnsi="Times New Roman" w:cs="Times New Roman"/>
            <w:sz w:val="24"/>
            <w:szCs w:val="24"/>
          </w:rPr>
          <w:t xml:space="preserve"> </w:t>
        </w:r>
      </w:hyperlink>
      <w:hyperlink r:id="rId30">
        <w:r w:rsidR="007A45C3">
          <w:rPr>
            <w:rFonts w:ascii="Times New Roman" w:eastAsia="Times New Roman" w:hAnsi="Times New Roman" w:cs="Times New Roman"/>
            <w:sz w:val="24"/>
            <w:szCs w:val="24"/>
          </w:rPr>
          <w:t>https://dx.doi.org/10.47772/IJRISS.2024.816SCO0011</w:t>
        </w:r>
      </w:hyperlink>
    </w:p>
    <w:p w14:paraId="6C03205A"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28" w:name="_meiuo5lya8im" w:colFirst="0" w:colLast="0"/>
      <w:bookmarkEnd w:id="28"/>
      <w:proofErr w:type="spellStart"/>
      <w:r>
        <w:rPr>
          <w:rFonts w:ascii="Times New Roman" w:eastAsia="Times New Roman" w:hAnsi="Times New Roman" w:cs="Times New Roman"/>
          <w:sz w:val="24"/>
          <w:szCs w:val="24"/>
        </w:rPr>
        <w:t>Ezenwaka</w:t>
      </w:r>
      <w:proofErr w:type="spellEnd"/>
      <w:r>
        <w:rPr>
          <w:rFonts w:ascii="Times New Roman" w:eastAsia="Times New Roman" w:hAnsi="Times New Roman" w:cs="Times New Roman"/>
          <w:sz w:val="24"/>
          <w:szCs w:val="24"/>
        </w:rPr>
        <w:t xml:space="preserve">, U., </w:t>
      </w:r>
      <w:proofErr w:type="spellStart"/>
      <w:r>
        <w:rPr>
          <w:rFonts w:ascii="Times New Roman" w:eastAsia="Times New Roman" w:hAnsi="Times New Roman" w:cs="Times New Roman"/>
          <w:sz w:val="24"/>
          <w:szCs w:val="24"/>
        </w:rPr>
        <w:t>Mbachu</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Ezumah</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Eze</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Agu</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Agu</w:t>
      </w:r>
      <w:proofErr w:type="spellEnd"/>
      <w:r>
        <w:rPr>
          <w:rFonts w:ascii="Times New Roman" w:eastAsia="Times New Roman" w:hAnsi="Times New Roman" w:cs="Times New Roman"/>
          <w:sz w:val="24"/>
          <w:szCs w:val="24"/>
        </w:rPr>
        <w:t>, I.,</w:t>
      </w:r>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Onwujekwe</w:t>
      </w:r>
      <w:proofErr w:type="spellEnd"/>
      <w:r>
        <w:rPr>
          <w:rFonts w:ascii="Times New Roman" w:eastAsia="Times New Roman" w:hAnsi="Times New Roman" w:cs="Times New Roman"/>
          <w:sz w:val="24"/>
          <w:szCs w:val="24"/>
        </w:rPr>
        <w:t xml:space="preserve">, O. (2020). Exploring factors constraining utilization of contraceptive services among adolescents in Southeast Nigeria: An application of the socio-ecological model. </w:t>
      </w:r>
      <w:r>
        <w:rPr>
          <w:rFonts w:ascii="Times New Roman" w:eastAsia="Times New Roman" w:hAnsi="Times New Roman" w:cs="Times New Roman"/>
          <w:i/>
          <w:iCs/>
          <w:sz w:val="24"/>
          <w:szCs w:val="24"/>
        </w:rPr>
        <w:t>BMC Public Health, 20</w:t>
      </w:r>
      <w:r>
        <w:rPr>
          <w:rFonts w:ascii="Times New Roman" w:eastAsia="Times New Roman" w:hAnsi="Times New Roman" w:cs="Times New Roman"/>
          <w:sz w:val="24"/>
          <w:szCs w:val="24"/>
        </w:rPr>
        <w:t>, 1162. https://doi.org/10.1186/s12889-020-09276-2</w:t>
      </w:r>
    </w:p>
    <w:p w14:paraId="4EFD128F" w14:textId="77777777" w:rsidR="007A45C3" w:rsidRDefault="00594977">
      <w:pPr>
        <w:spacing w:before="24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Fede</w:t>
      </w:r>
      <w:r>
        <w:rPr>
          <w:rFonts w:ascii="Times New Roman" w:eastAsia="Times New Roman" w:hAnsi="Times New Roman" w:cs="Times New Roman"/>
          <w:sz w:val="24"/>
          <w:szCs w:val="24"/>
        </w:rPr>
        <w:t xml:space="preserve">ral Government of Nigeria &amp; United Nations Children’s Fund Nigeria. (2025). </w:t>
      </w:r>
      <w:r>
        <w:rPr>
          <w:rFonts w:ascii="Times New Roman" w:eastAsia="Times New Roman" w:hAnsi="Times New Roman" w:cs="Times New Roman"/>
          <w:i/>
          <w:iCs/>
          <w:sz w:val="24"/>
          <w:szCs w:val="24"/>
        </w:rPr>
        <w:t>The state of Nigeria’s children: Summary of the 2024 situation analysis of children and adolescents in Nigeria (2nd ed.)</w:t>
      </w:r>
      <w:r>
        <w:rPr>
          <w:rFonts w:ascii="Times New Roman" w:eastAsia="Times New Roman" w:hAnsi="Times New Roman" w:cs="Times New Roman"/>
          <w:sz w:val="24"/>
          <w:szCs w:val="24"/>
        </w:rPr>
        <w:t>. UNICEF Nigeria.</w:t>
      </w:r>
      <w:hyperlink r:id="rId31">
        <w:r w:rsidR="007A45C3">
          <w:rPr>
            <w:rFonts w:ascii="Times New Roman" w:eastAsia="Times New Roman" w:hAnsi="Times New Roman" w:cs="Times New Roman"/>
            <w:sz w:val="24"/>
            <w:szCs w:val="24"/>
          </w:rPr>
          <w:t xml:space="preserve"> </w:t>
        </w:r>
      </w:hyperlink>
      <w:hyperlink r:id="rId32">
        <w:r w:rsidR="007A45C3">
          <w:rPr>
            <w:rFonts w:ascii="Times New Roman" w:eastAsia="Times New Roman" w:hAnsi="Times New Roman" w:cs="Times New Roman"/>
            <w:sz w:val="24"/>
            <w:szCs w:val="24"/>
          </w:rPr>
          <w:t>https://www.unicef.org/nigeria/media/10591/file/State-of-Nigerias-Children_Summary-of-the-2024-Updated-SitAn.pdf</w:t>
        </w:r>
      </w:hyperlink>
    </w:p>
    <w:p w14:paraId="5DBDC726"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29" w:name="_666gttud436u" w:colFirst="0" w:colLast="0"/>
      <w:bookmarkEnd w:id="29"/>
      <w:proofErr w:type="spellStart"/>
      <w:r>
        <w:rPr>
          <w:rFonts w:ascii="Times New Roman" w:eastAsia="Times New Roman" w:hAnsi="Times New Roman" w:cs="Times New Roman"/>
          <w:sz w:val="24"/>
          <w:szCs w:val="24"/>
        </w:rPr>
        <w:t>Ilori</w:t>
      </w:r>
      <w:proofErr w:type="spellEnd"/>
      <w:r>
        <w:rPr>
          <w:rFonts w:ascii="Times New Roman" w:eastAsia="Times New Roman" w:hAnsi="Times New Roman" w:cs="Times New Roman"/>
          <w:sz w:val="24"/>
          <w:szCs w:val="24"/>
        </w:rPr>
        <w:t xml:space="preserve">, O. R., Olugbenga-Bello, A. I., Goodman, O. O., </w:t>
      </w:r>
      <w:proofErr w:type="spellStart"/>
      <w:r>
        <w:rPr>
          <w:rFonts w:ascii="Times New Roman" w:eastAsia="Times New Roman" w:hAnsi="Times New Roman" w:cs="Times New Roman"/>
          <w:sz w:val="24"/>
          <w:szCs w:val="24"/>
        </w:rPr>
        <w:t>Babakundi</w:t>
      </w:r>
      <w:proofErr w:type="spellEnd"/>
      <w:r>
        <w:rPr>
          <w:rFonts w:ascii="Times New Roman" w:eastAsia="Times New Roman" w:hAnsi="Times New Roman" w:cs="Times New Roman"/>
          <w:sz w:val="24"/>
          <w:szCs w:val="24"/>
        </w:rPr>
        <w:t xml:space="preserve">, A. A., &amp; </w:t>
      </w:r>
      <w:proofErr w:type="spellStart"/>
      <w:r>
        <w:rPr>
          <w:rFonts w:ascii="Times New Roman" w:eastAsia="Times New Roman" w:hAnsi="Times New Roman" w:cs="Times New Roman"/>
          <w:sz w:val="24"/>
          <w:szCs w:val="24"/>
        </w:rPr>
        <w:t>Oladejo</w:t>
      </w:r>
      <w:proofErr w:type="spellEnd"/>
      <w:r>
        <w:rPr>
          <w:rFonts w:ascii="Times New Roman" w:eastAsia="Times New Roman" w:hAnsi="Times New Roman" w:cs="Times New Roman"/>
          <w:sz w:val="24"/>
          <w:szCs w:val="24"/>
        </w:rPr>
        <w:t>, R. A. (2023). Prevalence and pattern of contrace</w:t>
      </w:r>
      <w:r>
        <w:rPr>
          <w:rFonts w:ascii="Times New Roman" w:eastAsia="Times New Roman" w:hAnsi="Times New Roman" w:cs="Times New Roman"/>
          <w:sz w:val="24"/>
          <w:szCs w:val="24"/>
        </w:rPr>
        <w:t xml:space="preserve">ptive uptake among adolescents in an internally displaced camp, North Central, Nigeria. </w:t>
      </w:r>
      <w:r>
        <w:rPr>
          <w:rFonts w:ascii="Times New Roman" w:eastAsia="Times New Roman" w:hAnsi="Times New Roman" w:cs="Times New Roman"/>
          <w:i/>
          <w:iCs/>
          <w:sz w:val="24"/>
          <w:szCs w:val="24"/>
        </w:rPr>
        <w:t>Journal of Public Health in Africa, 14</w:t>
      </w:r>
      <w:r>
        <w:rPr>
          <w:rFonts w:ascii="Times New Roman" w:eastAsia="Times New Roman" w:hAnsi="Times New Roman" w:cs="Times New Roman"/>
          <w:sz w:val="24"/>
          <w:szCs w:val="24"/>
        </w:rPr>
        <w:t>(12), 2383. https://doi.org/10.4081/jphia.2023.2383</w:t>
      </w:r>
    </w:p>
    <w:p w14:paraId="548DD66B"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30" w:name="_2iz5zdxmf6bg" w:colFirst="0" w:colLast="0"/>
      <w:bookmarkEnd w:id="30"/>
      <w:proofErr w:type="spellStart"/>
      <w:r>
        <w:rPr>
          <w:rFonts w:ascii="Times New Roman" w:eastAsia="Times New Roman" w:hAnsi="Times New Roman" w:cs="Times New Roman"/>
          <w:sz w:val="24"/>
          <w:szCs w:val="24"/>
        </w:rPr>
        <w:t>Ilugbami</w:t>
      </w:r>
      <w:proofErr w:type="spellEnd"/>
      <w:r>
        <w:rPr>
          <w:rFonts w:ascii="Times New Roman" w:eastAsia="Times New Roman" w:hAnsi="Times New Roman" w:cs="Times New Roman"/>
          <w:sz w:val="24"/>
          <w:szCs w:val="24"/>
        </w:rPr>
        <w:t xml:space="preserve">, J. O., </w:t>
      </w:r>
      <w:proofErr w:type="spellStart"/>
      <w:r>
        <w:rPr>
          <w:rFonts w:ascii="Times New Roman" w:eastAsia="Times New Roman" w:hAnsi="Times New Roman" w:cs="Times New Roman"/>
          <w:sz w:val="24"/>
          <w:szCs w:val="24"/>
        </w:rPr>
        <w:t>Ilugbami</w:t>
      </w:r>
      <w:proofErr w:type="spellEnd"/>
      <w:r>
        <w:rPr>
          <w:rFonts w:ascii="Times New Roman" w:eastAsia="Times New Roman" w:hAnsi="Times New Roman" w:cs="Times New Roman"/>
          <w:sz w:val="24"/>
          <w:szCs w:val="24"/>
        </w:rPr>
        <w:t xml:space="preserve">, F. M., &amp; </w:t>
      </w:r>
      <w:proofErr w:type="spellStart"/>
      <w:r>
        <w:rPr>
          <w:rFonts w:ascii="Times New Roman" w:eastAsia="Times New Roman" w:hAnsi="Times New Roman" w:cs="Times New Roman"/>
          <w:sz w:val="24"/>
          <w:szCs w:val="24"/>
        </w:rPr>
        <w:t>Tayo-ladega</w:t>
      </w:r>
      <w:proofErr w:type="spellEnd"/>
      <w:r>
        <w:rPr>
          <w:rFonts w:ascii="Times New Roman" w:eastAsia="Times New Roman" w:hAnsi="Times New Roman" w:cs="Times New Roman"/>
          <w:sz w:val="24"/>
          <w:szCs w:val="24"/>
        </w:rPr>
        <w:t xml:space="preserve">, O. (2022). Factors influencing contraceptive usage among adolescent females aged 13–19 years in Ondo State, Nigeria. </w:t>
      </w:r>
      <w:proofErr w:type="spellStart"/>
      <w:r>
        <w:rPr>
          <w:rFonts w:ascii="Times New Roman" w:eastAsia="Times New Roman" w:hAnsi="Times New Roman" w:cs="Times New Roman"/>
          <w:i/>
          <w:iCs/>
          <w:sz w:val="24"/>
          <w:szCs w:val="24"/>
        </w:rPr>
        <w:t>Yenagoa</w:t>
      </w:r>
      <w:proofErr w:type="spellEnd"/>
      <w:r>
        <w:rPr>
          <w:rFonts w:ascii="Times New Roman" w:eastAsia="Times New Roman" w:hAnsi="Times New Roman" w:cs="Times New Roman"/>
          <w:i/>
          <w:iCs/>
          <w:sz w:val="24"/>
          <w:szCs w:val="24"/>
        </w:rPr>
        <w:t xml:space="preserve"> Medical Journal, 4</w:t>
      </w:r>
      <w:r>
        <w:rPr>
          <w:rFonts w:ascii="Times New Roman" w:eastAsia="Times New Roman" w:hAnsi="Times New Roman" w:cs="Times New Roman"/>
          <w:sz w:val="24"/>
          <w:szCs w:val="24"/>
        </w:rPr>
        <w:t xml:space="preserve">(4), 78–84. </w:t>
      </w:r>
    </w:p>
    <w:p w14:paraId="6067AA00"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31" w:name="_2m0r2k6vcxli" w:colFirst="0" w:colLast="0"/>
      <w:bookmarkEnd w:id="31"/>
      <w:proofErr w:type="spellStart"/>
      <w:r>
        <w:rPr>
          <w:rFonts w:ascii="Times New Roman" w:eastAsia="Times New Roman" w:hAnsi="Times New Roman" w:cs="Times New Roman"/>
          <w:sz w:val="24"/>
          <w:szCs w:val="24"/>
        </w:rPr>
        <w:t>Ilugbami</w:t>
      </w:r>
      <w:proofErr w:type="spellEnd"/>
      <w:r>
        <w:rPr>
          <w:rFonts w:ascii="Times New Roman" w:eastAsia="Times New Roman" w:hAnsi="Times New Roman" w:cs="Times New Roman"/>
          <w:sz w:val="24"/>
          <w:szCs w:val="24"/>
        </w:rPr>
        <w:t xml:space="preserve">, J. O., </w:t>
      </w:r>
      <w:proofErr w:type="spellStart"/>
      <w:r>
        <w:rPr>
          <w:rFonts w:ascii="Times New Roman" w:eastAsia="Times New Roman" w:hAnsi="Times New Roman" w:cs="Times New Roman"/>
          <w:sz w:val="24"/>
          <w:szCs w:val="24"/>
        </w:rPr>
        <w:t>Ilugbami</w:t>
      </w:r>
      <w:proofErr w:type="spellEnd"/>
      <w:r>
        <w:rPr>
          <w:rFonts w:ascii="Times New Roman" w:eastAsia="Times New Roman" w:hAnsi="Times New Roman" w:cs="Times New Roman"/>
          <w:sz w:val="24"/>
          <w:szCs w:val="24"/>
        </w:rPr>
        <w:t xml:space="preserve">, F. M., &amp; </w:t>
      </w:r>
      <w:proofErr w:type="spellStart"/>
      <w:r>
        <w:rPr>
          <w:rFonts w:ascii="Times New Roman" w:eastAsia="Times New Roman" w:hAnsi="Times New Roman" w:cs="Times New Roman"/>
          <w:sz w:val="24"/>
          <w:szCs w:val="24"/>
        </w:rPr>
        <w:t>Tayo-ladega</w:t>
      </w:r>
      <w:proofErr w:type="spellEnd"/>
      <w:r>
        <w:rPr>
          <w:rFonts w:ascii="Times New Roman" w:eastAsia="Times New Roman" w:hAnsi="Times New Roman" w:cs="Times New Roman"/>
          <w:sz w:val="24"/>
          <w:szCs w:val="24"/>
        </w:rPr>
        <w:t>, O.</w:t>
      </w:r>
      <w:r>
        <w:rPr>
          <w:rFonts w:ascii="Times New Roman" w:eastAsia="Times New Roman" w:hAnsi="Times New Roman" w:cs="Times New Roman"/>
          <w:sz w:val="24"/>
          <w:szCs w:val="24"/>
        </w:rPr>
        <w:t xml:space="preserve"> (2022). Factors influencing contraceptive usage among adolescent females aged 13–19 years in Ondo State, Nigeria. </w:t>
      </w:r>
      <w:proofErr w:type="spellStart"/>
      <w:r>
        <w:rPr>
          <w:rFonts w:ascii="Times New Roman" w:eastAsia="Times New Roman" w:hAnsi="Times New Roman" w:cs="Times New Roman"/>
          <w:i/>
          <w:iCs/>
          <w:sz w:val="24"/>
          <w:szCs w:val="24"/>
        </w:rPr>
        <w:t>Yenagoa</w:t>
      </w:r>
      <w:proofErr w:type="spellEnd"/>
      <w:r>
        <w:rPr>
          <w:rFonts w:ascii="Times New Roman" w:eastAsia="Times New Roman" w:hAnsi="Times New Roman" w:cs="Times New Roman"/>
          <w:i/>
          <w:iCs/>
          <w:sz w:val="24"/>
          <w:szCs w:val="24"/>
        </w:rPr>
        <w:t xml:space="preserve"> Medical Journal, 4</w:t>
      </w:r>
      <w:r>
        <w:rPr>
          <w:rFonts w:ascii="Times New Roman" w:eastAsia="Times New Roman" w:hAnsi="Times New Roman" w:cs="Times New Roman"/>
          <w:sz w:val="24"/>
          <w:szCs w:val="24"/>
        </w:rPr>
        <w:t>(4), 78–84.</w:t>
      </w:r>
    </w:p>
    <w:p w14:paraId="03F1A7C2"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32" w:name="_tvopvxpk9szz" w:colFirst="0" w:colLast="0"/>
      <w:bookmarkEnd w:id="32"/>
      <w:r>
        <w:rPr>
          <w:rFonts w:ascii="Times New Roman" w:eastAsia="Times New Roman" w:hAnsi="Times New Roman" w:cs="Times New Roman"/>
          <w:sz w:val="24"/>
          <w:szCs w:val="24"/>
        </w:rPr>
        <w:t xml:space="preserve">Israel, O. K., </w:t>
      </w:r>
      <w:proofErr w:type="spellStart"/>
      <w:r>
        <w:rPr>
          <w:rFonts w:ascii="Times New Roman" w:eastAsia="Times New Roman" w:hAnsi="Times New Roman" w:cs="Times New Roman"/>
          <w:sz w:val="24"/>
          <w:szCs w:val="24"/>
        </w:rPr>
        <w:t>Adeomi</w:t>
      </w:r>
      <w:proofErr w:type="spellEnd"/>
      <w:r>
        <w:rPr>
          <w:rFonts w:ascii="Times New Roman" w:eastAsia="Times New Roman" w:hAnsi="Times New Roman" w:cs="Times New Roman"/>
          <w:sz w:val="24"/>
          <w:szCs w:val="24"/>
        </w:rPr>
        <w:t>, A. A., Adeoye, O. A., Israel, M. G., &amp; Olugbenga-Bello, A. I. (2019). Contracept</w:t>
      </w:r>
      <w:r>
        <w:rPr>
          <w:rFonts w:ascii="Times New Roman" w:eastAsia="Times New Roman" w:hAnsi="Times New Roman" w:cs="Times New Roman"/>
          <w:sz w:val="24"/>
          <w:szCs w:val="24"/>
        </w:rPr>
        <w:t xml:space="preserve">ive knowledge, access and uptake among rural and urban unmarried in-school adolescents in Osun State, Nigeria: A comparative study. </w:t>
      </w:r>
      <w:r>
        <w:rPr>
          <w:rFonts w:ascii="Times New Roman" w:eastAsia="Times New Roman" w:hAnsi="Times New Roman" w:cs="Times New Roman"/>
          <w:i/>
          <w:iCs/>
          <w:sz w:val="24"/>
          <w:szCs w:val="24"/>
        </w:rPr>
        <w:t>Journal of Community Medicine &amp; Public Health, 3</w:t>
      </w:r>
      <w:r>
        <w:rPr>
          <w:rFonts w:ascii="Times New Roman" w:eastAsia="Times New Roman" w:hAnsi="Times New Roman" w:cs="Times New Roman"/>
          <w:sz w:val="24"/>
          <w:szCs w:val="24"/>
        </w:rPr>
        <w:t xml:space="preserve">, 166. </w:t>
      </w:r>
    </w:p>
    <w:p w14:paraId="68BD6436" w14:textId="77777777" w:rsidR="007A45C3" w:rsidRDefault="00594977">
      <w:pPr>
        <w:spacing w:before="240" w:after="240"/>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Jadloc</w:t>
      </w:r>
      <w:proofErr w:type="spellEnd"/>
      <w:r>
        <w:rPr>
          <w:rFonts w:ascii="Times New Roman" w:eastAsia="Times New Roman" w:hAnsi="Times New Roman" w:cs="Times New Roman"/>
          <w:sz w:val="24"/>
          <w:szCs w:val="24"/>
        </w:rPr>
        <w:t xml:space="preserve">, M. D. (2017, August 8). </w:t>
      </w:r>
      <w:r>
        <w:rPr>
          <w:rFonts w:ascii="Times New Roman" w:eastAsia="Times New Roman" w:hAnsi="Times New Roman" w:cs="Times New Roman"/>
          <w:i/>
          <w:iCs/>
          <w:sz w:val="24"/>
          <w:szCs w:val="24"/>
        </w:rPr>
        <w:t>1 in 3 Pinays use traditional over m</w:t>
      </w:r>
      <w:r>
        <w:rPr>
          <w:rFonts w:ascii="Times New Roman" w:eastAsia="Times New Roman" w:hAnsi="Times New Roman" w:cs="Times New Roman"/>
          <w:i/>
          <w:iCs/>
          <w:sz w:val="24"/>
          <w:szCs w:val="24"/>
        </w:rPr>
        <w:t>odern contraceptives</w:t>
      </w:r>
      <w:r>
        <w:rPr>
          <w:rFonts w:ascii="Times New Roman" w:eastAsia="Times New Roman" w:hAnsi="Times New Roman" w:cs="Times New Roman"/>
          <w:sz w:val="24"/>
          <w:szCs w:val="24"/>
        </w:rPr>
        <w:t>. University of the Philippines Diliman.</w:t>
      </w:r>
      <w:hyperlink r:id="rId33">
        <w:r w:rsidR="007A45C3">
          <w:rPr>
            <w:rFonts w:ascii="Times New Roman" w:eastAsia="Times New Roman" w:hAnsi="Times New Roman" w:cs="Times New Roman"/>
            <w:sz w:val="24"/>
            <w:szCs w:val="24"/>
          </w:rPr>
          <w:t xml:space="preserve"> </w:t>
        </w:r>
      </w:hyperlink>
      <w:hyperlink r:id="rId34">
        <w:r w:rsidR="007A45C3">
          <w:rPr>
            <w:rFonts w:ascii="Times New Roman" w:eastAsia="Times New Roman" w:hAnsi="Times New Roman" w:cs="Times New Roman"/>
            <w:sz w:val="24"/>
            <w:szCs w:val="24"/>
          </w:rPr>
          <w:t>https://upd.edu.ph/1-in-3-pinays-use-traditional-over-modern-contraceptives/</w:t>
        </w:r>
      </w:hyperlink>
    </w:p>
    <w:p w14:paraId="44BA684C"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33" w:name="_kcy5ud5bzemg" w:colFirst="0" w:colLast="0"/>
      <w:bookmarkEnd w:id="33"/>
      <w:proofErr w:type="spellStart"/>
      <w:r>
        <w:rPr>
          <w:rFonts w:ascii="Times New Roman" w:eastAsia="Times New Roman" w:hAnsi="Times New Roman" w:cs="Times New Roman"/>
          <w:sz w:val="24"/>
          <w:szCs w:val="24"/>
        </w:rPr>
        <w:t>Jimoh</w:t>
      </w:r>
      <w:proofErr w:type="spellEnd"/>
      <w:r>
        <w:rPr>
          <w:rFonts w:ascii="Times New Roman" w:eastAsia="Times New Roman" w:hAnsi="Times New Roman" w:cs="Times New Roman"/>
          <w:sz w:val="24"/>
          <w:szCs w:val="24"/>
        </w:rPr>
        <w:t xml:space="preserve">, I. I. (2020). </w:t>
      </w:r>
      <w:r>
        <w:rPr>
          <w:rFonts w:ascii="Times New Roman" w:eastAsia="Times New Roman" w:hAnsi="Times New Roman" w:cs="Times New Roman"/>
          <w:i/>
          <w:iCs/>
          <w:sz w:val="24"/>
          <w:szCs w:val="24"/>
        </w:rPr>
        <w:t>Analysis of the factors affecting access to modern contraceptives in Nigeria</w:t>
      </w:r>
      <w:r>
        <w:rPr>
          <w:rFonts w:ascii="Times New Roman" w:eastAsia="Times New Roman" w:hAnsi="Times New Roman" w:cs="Times New Roman"/>
          <w:sz w:val="24"/>
          <w:szCs w:val="24"/>
        </w:rPr>
        <w:t xml:space="preserve"> (Master’s thesis, KIT Royal Tropical Institute &amp; Vrije Universiteit Amsterdam). </w:t>
      </w:r>
    </w:p>
    <w:p w14:paraId="3E400F0A" w14:textId="77777777" w:rsidR="007A45C3" w:rsidRDefault="00594977">
      <w:pPr>
        <w:spacing w:before="240" w:after="240"/>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Kab</w:t>
      </w:r>
      <w:r>
        <w:rPr>
          <w:rFonts w:ascii="Times New Roman" w:eastAsia="Times New Roman" w:hAnsi="Times New Roman" w:cs="Times New Roman"/>
          <w:sz w:val="24"/>
          <w:szCs w:val="24"/>
        </w:rPr>
        <w:t>agenyi</w:t>
      </w:r>
      <w:proofErr w:type="spellEnd"/>
      <w:r>
        <w:rPr>
          <w:rFonts w:ascii="Times New Roman" w:eastAsia="Times New Roman" w:hAnsi="Times New Roman" w:cs="Times New Roman"/>
          <w:sz w:val="24"/>
          <w:szCs w:val="24"/>
        </w:rPr>
        <w:t xml:space="preserve">, A., Jennings, L., Reid, A., </w:t>
      </w:r>
      <w:proofErr w:type="spellStart"/>
      <w:r>
        <w:rPr>
          <w:rFonts w:ascii="Times New Roman" w:eastAsia="Times New Roman" w:hAnsi="Times New Roman" w:cs="Times New Roman"/>
          <w:sz w:val="24"/>
          <w:szCs w:val="24"/>
        </w:rPr>
        <w:t>Nalwadda</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Ntozi</w:t>
      </w:r>
      <w:proofErr w:type="spellEnd"/>
      <w:r>
        <w:rPr>
          <w:rFonts w:ascii="Times New Roman" w:eastAsia="Times New Roman" w:hAnsi="Times New Roman" w:cs="Times New Roman"/>
          <w:sz w:val="24"/>
          <w:szCs w:val="24"/>
        </w:rPr>
        <w:t xml:space="preserve">, J., &amp; </w:t>
      </w:r>
      <w:proofErr w:type="spellStart"/>
      <w:r>
        <w:rPr>
          <w:rFonts w:ascii="Times New Roman" w:eastAsia="Times New Roman" w:hAnsi="Times New Roman" w:cs="Times New Roman"/>
          <w:sz w:val="24"/>
          <w:szCs w:val="24"/>
        </w:rPr>
        <w:t>Atuyambe</w:t>
      </w:r>
      <w:proofErr w:type="spellEnd"/>
      <w:r>
        <w:rPr>
          <w:rFonts w:ascii="Times New Roman" w:eastAsia="Times New Roman" w:hAnsi="Times New Roman" w:cs="Times New Roman"/>
          <w:sz w:val="24"/>
          <w:szCs w:val="24"/>
        </w:rPr>
        <w:t xml:space="preserve">, L. (2014). Barriers to male involvement in contraceptive uptake and reproductive health services: A qualitative study of men and women’s perceptions in two rural districts in Uganda. </w:t>
      </w:r>
      <w:r>
        <w:rPr>
          <w:rFonts w:ascii="Times New Roman" w:eastAsia="Times New Roman" w:hAnsi="Times New Roman" w:cs="Times New Roman"/>
          <w:i/>
          <w:iCs/>
          <w:sz w:val="24"/>
          <w:szCs w:val="24"/>
        </w:rPr>
        <w:t>Reproductive Health, 11</w:t>
      </w:r>
      <w:r>
        <w:rPr>
          <w:rFonts w:ascii="Times New Roman" w:eastAsia="Times New Roman" w:hAnsi="Times New Roman" w:cs="Times New Roman"/>
          <w:sz w:val="24"/>
          <w:szCs w:val="24"/>
        </w:rPr>
        <w:t>, 21. https://doi.org/10.1186/1742-4755-11-21</w:t>
      </w:r>
    </w:p>
    <w:p w14:paraId="3A8DCDE5"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34" w:name="_dvexnx5v6tmj" w:colFirst="0" w:colLast="0"/>
      <w:bookmarkEnd w:id="34"/>
      <w:proofErr w:type="spellStart"/>
      <w:r>
        <w:rPr>
          <w:rFonts w:ascii="Times New Roman" w:eastAsia="Times New Roman" w:hAnsi="Times New Roman" w:cs="Times New Roman"/>
          <w:sz w:val="24"/>
          <w:szCs w:val="24"/>
        </w:rPr>
        <w:t>Kayira</w:t>
      </w:r>
      <w:proofErr w:type="spellEnd"/>
      <w:r>
        <w:rPr>
          <w:rFonts w:ascii="Times New Roman" w:eastAsia="Times New Roman" w:hAnsi="Times New Roman" w:cs="Times New Roman"/>
          <w:sz w:val="24"/>
          <w:szCs w:val="24"/>
        </w:rPr>
        <w:t xml:space="preserve">, Y. (2019). </w:t>
      </w:r>
      <w:r>
        <w:rPr>
          <w:rFonts w:ascii="Times New Roman" w:eastAsia="Times New Roman" w:hAnsi="Times New Roman" w:cs="Times New Roman"/>
          <w:i/>
          <w:iCs/>
          <w:sz w:val="24"/>
          <w:szCs w:val="24"/>
        </w:rPr>
        <w:t>Assessing uptake and utilization of modern contraceptive method amongst young people in tertiary institutions of Lilongwe University of Agriculture and Natural Resource</w:t>
      </w:r>
      <w:r>
        <w:rPr>
          <w:rFonts w:ascii="Times New Roman" w:eastAsia="Times New Roman" w:hAnsi="Times New Roman" w:cs="Times New Roman"/>
          <w:i/>
          <w:iCs/>
          <w:sz w:val="24"/>
          <w:szCs w:val="24"/>
        </w:rPr>
        <w:t>s (LUANAR) and Kamuzu College of Nursing (KCN) in Lilongwe</w:t>
      </w:r>
      <w:r>
        <w:rPr>
          <w:rFonts w:ascii="Times New Roman" w:eastAsia="Times New Roman" w:hAnsi="Times New Roman" w:cs="Times New Roman"/>
          <w:sz w:val="24"/>
          <w:szCs w:val="24"/>
        </w:rPr>
        <w:t xml:space="preserve"> (Master’s dissertation). </w:t>
      </w:r>
    </w:p>
    <w:p w14:paraId="6D20AD2B"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35" w:name="_o6qyc5v6wayi" w:colFirst="0" w:colLast="0"/>
      <w:bookmarkEnd w:id="35"/>
      <w:r>
        <w:rPr>
          <w:rFonts w:ascii="Times New Roman" w:eastAsia="Times New Roman" w:hAnsi="Times New Roman" w:cs="Times New Roman"/>
          <w:sz w:val="24"/>
          <w:szCs w:val="24"/>
        </w:rPr>
        <w:t>Kuria-</w:t>
      </w:r>
      <w:proofErr w:type="spellStart"/>
      <w:r>
        <w:rPr>
          <w:rFonts w:ascii="Times New Roman" w:eastAsia="Times New Roman" w:hAnsi="Times New Roman" w:cs="Times New Roman"/>
          <w:sz w:val="24"/>
          <w:szCs w:val="24"/>
        </w:rPr>
        <w:t>Ndiritu</w:t>
      </w:r>
      <w:proofErr w:type="spellEnd"/>
      <w:r>
        <w:rPr>
          <w:rFonts w:ascii="Times New Roman" w:eastAsia="Times New Roman" w:hAnsi="Times New Roman" w:cs="Times New Roman"/>
          <w:sz w:val="24"/>
          <w:szCs w:val="24"/>
        </w:rPr>
        <w:t xml:space="preserve">, S. (2021). </w:t>
      </w:r>
      <w:r>
        <w:rPr>
          <w:rFonts w:ascii="Times New Roman" w:eastAsia="Times New Roman" w:hAnsi="Times New Roman" w:cs="Times New Roman"/>
          <w:i/>
          <w:iCs/>
          <w:sz w:val="24"/>
          <w:szCs w:val="24"/>
        </w:rPr>
        <w:t>Factors influencing family planning uptake among adolescents and postpartum women in Kenya</w:t>
      </w:r>
      <w:r>
        <w:rPr>
          <w:rFonts w:ascii="Times New Roman" w:eastAsia="Times New Roman" w:hAnsi="Times New Roman" w:cs="Times New Roman"/>
          <w:sz w:val="24"/>
          <w:szCs w:val="24"/>
        </w:rPr>
        <w:t xml:space="preserve"> (Doctoral dissertation, Walden University).</w:t>
      </w:r>
    </w:p>
    <w:p w14:paraId="19A048CE" w14:textId="77777777" w:rsidR="007A45C3" w:rsidRDefault="00594977">
      <w:pPr>
        <w:spacing w:before="24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Mackie, 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Moneti</w:t>
      </w:r>
      <w:proofErr w:type="spellEnd"/>
      <w:r>
        <w:rPr>
          <w:rFonts w:ascii="Times New Roman" w:eastAsia="Times New Roman" w:hAnsi="Times New Roman" w:cs="Times New Roman"/>
          <w:sz w:val="24"/>
          <w:szCs w:val="24"/>
        </w:rPr>
        <w:t>, F., Shakya, H., &amp; Denny, E. (2015</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What</w:t>
      </w:r>
      <w:proofErr w:type="gramEnd"/>
      <w:r>
        <w:rPr>
          <w:rFonts w:ascii="Times New Roman" w:eastAsia="Times New Roman" w:hAnsi="Times New Roman" w:cs="Times New Roman"/>
          <w:i/>
          <w:iCs/>
          <w:sz w:val="24"/>
          <w:szCs w:val="24"/>
        </w:rPr>
        <w:t xml:space="preserve"> are social norms? How are they measured?</w:t>
      </w:r>
      <w:r>
        <w:rPr>
          <w:rFonts w:ascii="Times New Roman" w:eastAsia="Times New Roman" w:hAnsi="Times New Roman" w:cs="Times New Roman"/>
          <w:sz w:val="24"/>
          <w:szCs w:val="24"/>
        </w:rPr>
        <w:t xml:space="preserve"> UNICEF / University of California, San Diego, Center on Global Justice.https://www.unicef.org/protection/files/4_09_30_Whole_What_are_Social_Norms.pdf</w:t>
      </w:r>
    </w:p>
    <w:p w14:paraId="3515B5D1" w14:textId="77777777" w:rsidR="007A45C3" w:rsidRDefault="00594977">
      <w:pPr>
        <w:spacing w:before="24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Popul</w:t>
      </w:r>
      <w:r>
        <w:rPr>
          <w:rFonts w:ascii="Times New Roman" w:eastAsia="Times New Roman" w:hAnsi="Times New Roman" w:cs="Times New Roman"/>
          <w:sz w:val="24"/>
          <w:szCs w:val="24"/>
        </w:rPr>
        <w:t xml:space="preserve">ation Commission (NPC) [Nigeria], Federal Ministry of Health and Social Welfare of Nigeria, &amp; The DHS Program. (2025). </w:t>
      </w:r>
      <w:r>
        <w:rPr>
          <w:rFonts w:ascii="Times New Roman" w:eastAsia="Times New Roman" w:hAnsi="Times New Roman" w:cs="Times New Roman"/>
          <w:i/>
          <w:iCs/>
          <w:sz w:val="24"/>
          <w:szCs w:val="24"/>
        </w:rPr>
        <w:t>Nigeria 2024 Demographic and Health Survey: Summary report (SR294)</w:t>
      </w:r>
      <w:r>
        <w:rPr>
          <w:rFonts w:ascii="Times New Roman" w:eastAsia="Times New Roman" w:hAnsi="Times New Roman" w:cs="Times New Roman"/>
          <w:sz w:val="24"/>
          <w:szCs w:val="24"/>
        </w:rPr>
        <w:t>. ICF.</w:t>
      </w:r>
      <w:hyperlink r:id="rId35">
        <w:r w:rsidR="007A45C3">
          <w:rPr>
            <w:rFonts w:ascii="Times New Roman" w:eastAsia="Times New Roman" w:hAnsi="Times New Roman" w:cs="Times New Roman"/>
            <w:sz w:val="24"/>
            <w:szCs w:val="24"/>
          </w:rPr>
          <w:t xml:space="preserve"> </w:t>
        </w:r>
      </w:hyperlink>
      <w:hyperlink r:id="rId36">
        <w:r w:rsidR="007A45C3">
          <w:rPr>
            <w:rFonts w:ascii="Times New Roman" w:eastAsia="Times New Roman" w:hAnsi="Times New Roman" w:cs="Times New Roman"/>
            <w:sz w:val="24"/>
            <w:szCs w:val="24"/>
          </w:rPr>
          <w:t>https://dhsprogram.com/pubs/pdf/SR294/SR294.pdf</w:t>
        </w:r>
      </w:hyperlink>
    </w:p>
    <w:p w14:paraId="1CECE87F"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36" w:name="_mura7j8xohgp" w:colFirst="0" w:colLast="0"/>
      <w:bookmarkEnd w:id="36"/>
      <w:proofErr w:type="spellStart"/>
      <w:r>
        <w:rPr>
          <w:rFonts w:ascii="Times New Roman" w:eastAsia="Times New Roman" w:hAnsi="Times New Roman" w:cs="Times New Roman"/>
          <w:sz w:val="24"/>
          <w:szCs w:val="24"/>
        </w:rPr>
        <w:t>Ogundiran</w:t>
      </w:r>
      <w:proofErr w:type="spellEnd"/>
      <w:r>
        <w:rPr>
          <w:rFonts w:ascii="Times New Roman" w:eastAsia="Times New Roman" w:hAnsi="Times New Roman" w:cs="Times New Roman"/>
          <w:sz w:val="24"/>
          <w:szCs w:val="24"/>
        </w:rPr>
        <w:t xml:space="preserve">, T. A., </w:t>
      </w:r>
      <w:proofErr w:type="spellStart"/>
      <w:r>
        <w:rPr>
          <w:rFonts w:ascii="Times New Roman" w:eastAsia="Times New Roman" w:hAnsi="Times New Roman" w:cs="Times New Roman"/>
          <w:sz w:val="24"/>
          <w:szCs w:val="24"/>
        </w:rPr>
        <w:t>Mohammadnezhad</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Ogundiran</w:t>
      </w:r>
      <w:proofErr w:type="spellEnd"/>
      <w:r>
        <w:rPr>
          <w:rFonts w:ascii="Times New Roman" w:eastAsia="Times New Roman" w:hAnsi="Times New Roman" w:cs="Times New Roman"/>
          <w:sz w:val="24"/>
          <w:szCs w:val="24"/>
        </w:rPr>
        <w:t>, A. I., &amp; Mohammed, H. (2024). Role of socio</w:t>
      </w:r>
      <w:r>
        <w:rPr>
          <w:rFonts w:ascii="Times New Roman" w:eastAsia="Times New Roman" w:hAnsi="Times New Roman" w:cs="Times New Roman"/>
          <w:sz w:val="24"/>
          <w:szCs w:val="24"/>
        </w:rPr>
        <w:t xml:space="preserve">cultural beliefs/norms on level of access and uptake of contraceptives among unmarried adolescent girls in Nigeria: A systematic review study. </w:t>
      </w:r>
      <w:r>
        <w:rPr>
          <w:rFonts w:ascii="Times New Roman" w:eastAsia="Times New Roman" w:hAnsi="Times New Roman" w:cs="Times New Roman"/>
          <w:i/>
          <w:iCs/>
          <w:sz w:val="24"/>
          <w:szCs w:val="24"/>
        </w:rPr>
        <w:t>MOJ Public Health, 13</w:t>
      </w:r>
      <w:r>
        <w:rPr>
          <w:rFonts w:ascii="Times New Roman" w:eastAsia="Times New Roman" w:hAnsi="Times New Roman" w:cs="Times New Roman"/>
          <w:sz w:val="24"/>
          <w:szCs w:val="24"/>
        </w:rPr>
        <w:t>(1), 73–79. https://doi.org/10.15406/mojph.2024.13.00441</w:t>
      </w:r>
    </w:p>
    <w:p w14:paraId="47A0143F"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37" w:name="_olxcpfnlglye" w:colFirst="0" w:colLast="0"/>
      <w:bookmarkEnd w:id="37"/>
      <w:proofErr w:type="spellStart"/>
      <w:r>
        <w:rPr>
          <w:rFonts w:ascii="Times New Roman" w:eastAsia="Times New Roman" w:hAnsi="Times New Roman" w:cs="Times New Roman"/>
          <w:sz w:val="24"/>
          <w:szCs w:val="24"/>
        </w:rPr>
        <w:t>Oluwasina</w:t>
      </w:r>
      <w:proofErr w:type="spellEnd"/>
      <w:r>
        <w:rPr>
          <w:rFonts w:ascii="Times New Roman" w:eastAsia="Times New Roman" w:hAnsi="Times New Roman" w:cs="Times New Roman"/>
          <w:sz w:val="24"/>
          <w:szCs w:val="24"/>
        </w:rPr>
        <w:t>, F. O. (2013). Factors af</w:t>
      </w:r>
      <w:r>
        <w:rPr>
          <w:rFonts w:ascii="Times New Roman" w:eastAsia="Times New Roman" w:hAnsi="Times New Roman" w:cs="Times New Roman"/>
          <w:sz w:val="24"/>
          <w:szCs w:val="24"/>
        </w:rPr>
        <w:t xml:space="preserve">fecting the uptake of modern contraception services among women of reproductive age in Nigeria. </w:t>
      </w:r>
      <w:proofErr w:type="spellStart"/>
      <w:r>
        <w:rPr>
          <w:rFonts w:ascii="Times New Roman" w:eastAsia="Times New Roman" w:hAnsi="Times New Roman" w:cs="Times New Roman"/>
          <w:i/>
          <w:iCs/>
          <w:sz w:val="24"/>
          <w:szCs w:val="24"/>
        </w:rPr>
        <w:t>Texila</w:t>
      </w:r>
      <w:proofErr w:type="spellEnd"/>
      <w:r>
        <w:rPr>
          <w:rFonts w:ascii="Times New Roman" w:eastAsia="Times New Roman" w:hAnsi="Times New Roman" w:cs="Times New Roman"/>
          <w:i/>
          <w:iCs/>
          <w:sz w:val="24"/>
          <w:szCs w:val="24"/>
        </w:rPr>
        <w:t xml:space="preserve"> International Journal of Public Health, 5</w:t>
      </w:r>
      <w:r>
        <w:rPr>
          <w:rFonts w:ascii="Times New Roman" w:eastAsia="Times New Roman" w:hAnsi="Times New Roman" w:cs="Times New Roman"/>
          <w:sz w:val="24"/>
          <w:szCs w:val="24"/>
        </w:rPr>
        <w:t>(4). DOI: 10.21522/TIJPH.2013.05.</w:t>
      </w:r>
      <w:proofErr w:type="gramStart"/>
      <w:r>
        <w:rPr>
          <w:rFonts w:ascii="Times New Roman" w:eastAsia="Times New Roman" w:hAnsi="Times New Roman" w:cs="Times New Roman"/>
          <w:sz w:val="24"/>
          <w:szCs w:val="24"/>
        </w:rPr>
        <w:t>04.Art</w:t>
      </w:r>
      <w:proofErr w:type="gramEnd"/>
      <w:r>
        <w:rPr>
          <w:rFonts w:ascii="Times New Roman" w:eastAsia="Times New Roman" w:hAnsi="Times New Roman" w:cs="Times New Roman"/>
          <w:sz w:val="24"/>
          <w:szCs w:val="24"/>
        </w:rPr>
        <w:t>028</w:t>
      </w:r>
    </w:p>
    <w:p w14:paraId="633592FF" w14:textId="77777777" w:rsidR="007A45C3" w:rsidRDefault="00594977">
      <w:pPr>
        <w:spacing w:before="24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Sanchez, E. K., McGuire, C., Calhoun, L. M., Hainsworth, G., &amp; </w:t>
      </w:r>
      <w:proofErr w:type="spellStart"/>
      <w:r>
        <w:rPr>
          <w:rFonts w:ascii="Times New Roman" w:eastAsia="Times New Roman" w:hAnsi="Times New Roman" w:cs="Times New Roman"/>
          <w:sz w:val="24"/>
          <w:szCs w:val="24"/>
        </w:rPr>
        <w:t>Speize</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I. S. (2021). Influences on contraceptive method choice among adolescent women across urban centers in Nigeria: A qualitative study. </w:t>
      </w:r>
      <w:r>
        <w:rPr>
          <w:rFonts w:ascii="Times New Roman" w:eastAsia="Times New Roman" w:hAnsi="Times New Roman" w:cs="Times New Roman"/>
          <w:i/>
          <w:iCs/>
          <w:sz w:val="24"/>
          <w:szCs w:val="24"/>
        </w:rPr>
        <w:t>Contraception and Reproductive Medicine, 6</w:t>
      </w:r>
      <w:r>
        <w:rPr>
          <w:rFonts w:ascii="Times New Roman" w:eastAsia="Times New Roman" w:hAnsi="Times New Roman" w:cs="Times New Roman"/>
          <w:sz w:val="24"/>
          <w:szCs w:val="24"/>
        </w:rPr>
        <w:t>(1), 8. https://doi.org/10.1186/s40834-020-00146-1</w:t>
      </w:r>
    </w:p>
    <w:p w14:paraId="19551FE0"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38" w:name="_jg9aqnaa5n0d" w:colFirst="0" w:colLast="0"/>
      <w:bookmarkEnd w:id="38"/>
      <w:proofErr w:type="spellStart"/>
      <w:r>
        <w:rPr>
          <w:rFonts w:ascii="Times New Roman" w:eastAsia="Times New Roman" w:hAnsi="Times New Roman" w:cs="Times New Roman"/>
          <w:sz w:val="24"/>
          <w:szCs w:val="24"/>
        </w:rPr>
        <w:t>Sanni</w:t>
      </w:r>
      <w:proofErr w:type="spellEnd"/>
      <w:r>
        <w:rPr>
          <w:rFonts w:ascii="Times New Roman" w:eastAsia="Times New Roman" w:hAnsi="Times New Roman" w:cs="Times New Roman"/>
          <w:sz w:val="24"/>
          <w:szCs w:val="24"/>
        </w:rPr>
        <w:t xml:space="preserve">, O. F., </w:t>
      </w:r>
      <w:proofErr w:type="spellStart"/>
      <w:r>
        <w:rPr>
          <w:rFonts w:ascii="Times New Roman" w:eastAsia="Times New Roman" w:hAnsi="Times New Roman" w:cs="Times New Roman"/>
          <w:sz w:val="24"/>
          <w:szCs w:val="24"/>
        </w:rPr>
        <w:t>Sanni</w:t>
      </w:r>
      <w:proofErr w:type="spellEnd"/>
      <w:r>
        <w:rPr>
          <w:rFonts w:ascii="Times New Roman" w:eastAsia="Times New Roman" w:hAnsi="Times New Roman" w:cs="Times New Roman"/>
          <w:sz w:val="24"/>
          <w:szCs w:val="24"/>
        </w:rPr>
        <w:t xml:space="preserve">, A. E., </w:t>
      </w:r>
      <w:proofErr w:type="spellStart"/>
      <w:r>
        <w:rPr>
          <w:rFonts w:ascii="Times New Roman" w:eastAsia="Times New Roman" w:hAnsi="Times New Roman" w:cs="Times New Roman"/>
          <w:sz w:val="24"/>
          <w:szCs w:val="24"/>
        </w:rPr>
        <w:t>Onyeagwaibe</w:t>
      </w:r>
      <w:proofErr w:type="spellEnd"/>
      <w:r>
        <w:rPr>
          <w:rFonts w:ascii="Times New Roman" w:eastAsia="Times New Roman" w:hAnsi="Times New Roman" w:cs="Times New Roman"/>
          <w:sz w:val="24"/>
          <w:szCs w:val="24"/>
        </w:rPr>
        <w:t xml:space="preserve">, C. I., </w:t>
      </w:r>
      <w:proofErr w:type="spellStart"/>
      <w:r>
        <w:rPr>
          <w:rFonts w:ascii="Times New Roman" w:eastAsia="Times New Roman" w:hAnsi="Times New Roman" w:cs="Times New Roman"/>
          <w:sz w:val="24"/>
          <w:szCs w:val="24"/>
        </w:rPr>
        <w:t>Ahamuefula</w:t>
      </w:r>
      <w:proofErr w:type="spellEnd"/>
      <w:r>
        <w:rPr>
          <w:rFonts w:ascii="Times New Roman" w:eastAsia="Times New Roman" w:hAnsi="Times New Roman" w:cs="Times New Roman"/>
          <w:sz w:val="24"/>
          <w:szCs w:val="24"/>
        </w:rPr>
        <w:t xml:space="preserve">, T., &amp; </w:t>
      </w:r>
      <w:proofErr w:type="spellStart"/>
      <w:r>
        <w:rPr>
          <w:rFonts w:ascii="Times New Roman" w:eastAsia="Times New Roman" w:hAnsi="Times New Roman" w:cs="Times New Roman"/>
          <w:sz w:val="24"/>
          <w:szCs w:val="24"/>
        </w:rPr>
        <w:t>Akeju</w:t>
      </w:r>
      <w:proofErr w:type="spellEnd"/>
      <w:r>
        <w:rPr>
          <w:rFonts w:ascii="Times New Roman" w:eastAsia="Times New Roman" w:hAnsi="Times New Roman" w:cs="Times New Roman"/>
          <w:sz w:val="24"/>
          <w:szCs w:val="24"/>
        </w:rPr>
        <w:t>, O. P. (2025). A comparative analysis of factors associated with modern contraceptive use among youth in Northern and Southern Nigeria: A cross-sectional population-based survey (2011–</w:t>
      </w:r>
      <w:r>
        <w:rPr>
          <w:rFonts w:ascii="Times New Roman" w:eastAsia="Times New Roman" w:hAnsi="Times New Roman" w:cs="Times New Roman"/>
          <w:sz w:val="24"/>
          <w:szCs w:val="24"/>
        </w:rPr>
        <w:t xml:space="preserve">2021). </w:t>
      </w:r>
      <w:r>
        <w:rPr>
          <w:rFonts w:ascii="Times New Roman" w:eastAsia="Times New Roman" w:hAnsi="Times New Roman" w:cs="Times New Roman"/>
          <w:i/>
          <w:iCs/>
          <w:sz w:val="24"/>
          <w:szCs w:val="24"/>
        </w:rPr>
        <w:t>PLOS Global Public Health, 5</w:t>
      </w:r>
      <w:r>
        <w:rPr>
          <w:rFonts w:ascii="Times New Roman" w:eastAsia="Times New Roman" w:hAnsi="Times New Roman" w:cs="Times New Roman"/>
          <w:sz w:val="24"/>
          <w:szCs w:val="24"/>
        </w:rPr>
        <w:t>(6), e0004685. https://doi.org/10.1371/journal.pgph.0004685</w:t>
      </w:r>
    </w:p>
    <w:p w14:paraId="71B482AE" w14:textId="77777777" w:rsidR="007A45C3" w:rsidRDefault="00594977">
      <w:pPr>
        <w:spacing w:before="24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Shattuck, D., Kerner, B., Gilles, K., Hartmann, M., </w:t>
      </w:r>
      <w:proofErr w:type="spellStart"/>
      <w:r>
        <w:rPr>
          <w:rFonts w:ascii="Times New Roman" w:eastAsia="Times New Roman" w:hAnsi="Times New Roman" w:cs="Times New Roman"/>
          <w:sz w:val="24"/>
          <w:szCs w:val="24"/>
        </w:rPr>
        <w:t>Ng’ombe</w:t>
      </w:r>
      <w:proofErr w:type="spellEnd"/>
      <w:r>
        <w:rPr>
          <w:rFonts w:ascii="Times New Roman" w:eastAsia="Times New Roman" w:hAnsi="Times New Roman" w:cs="Times New Roman"/>
          <w:sz w:val="24"/>
          <w:szCs w:val="24"/>
        </w:rPr>
        <w:t xml:space="preserve">, T., &amp; Guest, G. (2011). </w:t>
      </w:r>
      <w:r>
        <w:rPr>
          <w:rFonts w:ascii="Times New Roman" w:eastAsia="Times New Roman" w:hAnsi="Times New Roman" w:cs="Times New Roman"/>
          <w:i/>
          <w:iCs/>
          <w:sz w:val="24"/>
          <w:szCs w:val="24"/>
        </w:rPr>
        <w:t>Encouraging contraceptive uptake by motivating men to communicate about fami</w:t>
      </w:r>
      <w:r>
        <w:rPr>
          <w:rFonts w:ascii="Times New Roman" w:eastAsia="Times New Roman" w:hAnsi="Times New Roman" w:cs="Times New Roman"/>
          <w:i/>
          <w:iCs/>
          <w:sz w:val="24"/>
          <w:szCs w:val="24"/>
        </w:rPr>
        <w:t>ly planning: The Malawi Male Motivator project.</w:t>
      </w:r>
      <w:r>
        <w:rPr>
          <w:rFonts w:ascii="Times New Roman" w:eastAsia="Times New Roman" w:hAnsi="Times New Roman" w:cs="Times New Roman"/>
          <w:sz w:val="24"/>
          <w:szCs w:val="24"/>
        </w:rPr>
        <w:t xml:space="preserve"> American Journal of Public Health, 101(6), 1089–1095. https://doi.org/10.2105/AJPH.2010.300091</w:t>
      </w:r>
    </w:p>
    <w:p w14:paraId="350630CB" w14:textId="77777777" w:rsidR="007A45C3" w:rsidRDefault="00594977">
      <w:pPr>
        <w:spacing w:before="240" w:after="240"/>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Todhunter</w:t>
      </w:r>
      <w:proofErr w:type="spellEnd"/>
      <w:r>
        <w:rPr>
          <w:rFonts w:ascii="Times New Roman" w:eastAsia="Times New Roman" w:hAnsi="Times New Roman" w:cs="Times New Roman"/>
          <w:sz w:val="24"/>
          <w:szCs w:val="24"/>
        </w:rPr>
        <w:t xml:space="preserve">, L., Hogan-Roy, M., &amp; Pressman, E. K. (2022). Complications of pregnancy in adolescents. </w:t>
      </w:r>
      <w:r>
        <w:rPr>
          <w:rFonts w:ascii="Times New Roman" w:eastAsia="Times New Roman" w:hAnsi="Times New Roman" w:cs="Times New Roman"/>
          <w:i/>
          <w:iCs/>
          <w:sz w:val="24"/>
          <w:szCs w:val="24"/>
        </w:rPr>
        <w:t>Seminars in Re</w:t>
      </w:r>
      <w:r>
        <w:rPr>
          <w:rFonts w:ascii="Times New Roman" w:eastAsia="Times New Roman" w:hAnsi="Times New Roman" w:cs="Times New Roman"/>
          <w:i/>
          <w:iCs/>
          <w:sz w:val="24"/>
          <w:szCs w:val="24"/>
        </w:rPr>
        <w:t>productive Medicine, 40</w:t>
      </w:r>
      <w:r>
        <w:rPr>
          <w:rFonts w:ascii="Times New Roman" w:eastAsia="Times New Roman" w:hAnsi="Times New Roman" w:cs="Times New Roman"/>
          <w:sz w:val="24"/>
          <w:szCs w:val="24"/>
        </w:rPr>
        <w:t>(1–02), 98–106.</w:t>
      </w:r>
      <w:hyperlink r:id="rId37">
        <w:r w:rsidR="007A45C3">
          <w:rPr>
            <w:rFonts w:ascii="Times New Roman" w:eastAsia="Times New Roman" w:hAnsi="Times New Roman" w:cs="Times New Roman"/>
            <w:sz w:val="24"/>
            <w:szCs w:val="24"/>
          </w:rPr>
          <w:t xml:space="preserve"> </w:t>
        </w:r>
      </w:hyperlink>
      <w:hyperlink r:id="rId38">
        <w:r w:rsidR="007A45C3">
          <w:rPr>
            <w:rFonts w:ascii="Times New Roman" w:eastAsia="Times New Roman" w:hAnsi="Times New Roman" w:cs="Times New Roman"/>
            <w:sz w:val="24"/>
            <w:szCs w:val="24"/>
          </w:rPr>
          <w:t>https://doi.org/10.1055/s-0041-1734020</w:t>
        </w:r>
      </w:hyperlink>
    </w:p>
    <w:p w14:paraId="498A9EA8" w14:textId="77777777" w:rsidR="007A45C3" w:rsidRDefault="00594977">
      <w:pPr>
        <w:spacing w:before="240" w:after="240"/>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Tylee</w:t>
      </w:r>
      <w:proofErr w:type="spellEnd"/>
      <w:r>
        <w:rPr>
          <w:rFonts w:ascii="Times New Roman" w:eastAsia="Times New Roman" w:hAnsi="Times New Roman" w:cs="Times New Roman"/>
          <w:sz w:val="24"/>
          <w:szCs w:val="24"/>
        </w:rPr>
        <w:t xml:space="preserve">, A., Haller, D. M., Graham, T., Churchill, R., &amp; </w:t>
      </w:r>
      <w:proofErr w:type="spellStart"/>
      <w:r>
        <w:rPr>
          <w:rFonts w:ascii="Times New Roman" w:eastAsia="Times New Roman" w:hAnsi="Times New Roman" w:cs="Times New Roman"/>
          <w:sz w:val="24"/>
          <w:szCs w:val="24"/>
        </w:rPr>
        <w:t>Sanci</w:t>
      </w:r>
      <w:proofErr w:type="spellEnd"/>
      <w:r>
        <w:rPr>
          <w:rFonts w:ascii="Times New Roman" w:eastAsia="Times New Roman" w:hAnsi="Times New Roman" w:cs="Times New Roman"/>
          <w:sz w:val="24"/>
          <w:szCs w:val="24"/>
        </w:rPr>
        <w:t xml:space="preserve">, L. A. (2007). </w:t>
      </w:r>
      <w:r>
        <w:rPr>
          <w:rFonts w:ascii="Times New Roman" w:eastAsia="Times New Roman" w:hAnsi="Times New Roman" w:cs="Times New Roman"/>
          <w:i/>
          <w:iCs/>
          <w:sz w:val="24"/>
          <w:szCs w:val="24"/>
        </w:rPr>
        <w:t>Youth-friendly primary-care services: how are we doing and what more needs to be done?</w:t>
      </w:r>
      <w:r>
        <w:rPr>
          <w:rFonts w:ascii="Times New Roman" w:eastAsia="Times New Roman" w:hAnsi="Times New Roman" w:cs="Times New Roman"/>
          <w:sz w:val="24"/>
          <w:szCs w:val="24"/>
        </w:rPr>
        <w:t xml:space="preserve"> The Lancet, 369(9572), 1565–1573. https://doi.org/10.1016/S0140-6736(07)60371-7</w:t>
      </w:r>
    </w:p>
    <w:p w14:paraId="65F574BC" w14:textId="77777777" w:rsidR="007A45C3" w:rsidRDefault="00594977">
      <w:pPr>
        <w:pStyle w:val="Heading2"/>
        <w:keepNext w:val="0"/>
        <w:keepLines w:val="0"/>
        <w:spacing w:before="240" w:after="240"/>
        <w:ind w:left="720" w:hanging="720"/>
        <w:rPr>
          <w:rFonts w:ascii="Times New Roman" w:eastAsia="Times New Roman" w:hAnsi="Times New Roman" w:cs="Times New Roman"/>
          <w:sz w:val="24"/>
          <w:szCs w:val="24"/>
        </w:rPr>
      </w:pPr>
      <w:bookmarkStart w:id="39" w:name="_hv0ojw6paw68" w:colFirst="0" w:colLast="0"/>
      <w:bookmarkEnd w:id="39"/>
      <w:proofErr w:type="spellStart"/>
      <w:r>
        <w:rPr>
          <w:rFonts w:ascii="Times New Roman" w:eastAsia="Times New Roman" w:hAnsi="Times New Roman" w:cs="Times New Roman"/>
          <w:sz w:val="24"/>
          <w:szCs w:val="24"/>
        </w:rPr>
        <w:t>Umoren</w:t>
      </w:r>
      <w:proofErr w:type="spellEnd"/>
      <w:r>
        <w:rPr>
          <w:rFonts w:ascii="Times New Roman" w:eastAsia="Times New Roman" w:hAnsi="Times New Roman" w:cs="Times New Roman"/>
          <w:sz w:val="24"/>
          <w:szCs w:val="24"/>
        </w:rPr>
        <w:t>, H. A.</w:t>
      </w:r>
      <w:r>
        <w:rPr>
          <w:rFonts w:ascii="Times New Roman" w:eastAsia="Times New Roman" w:hAnsi="Times New Roman" w:cs="Times New Roman"/>
          <w:sz w:val="24"/>
          <w:szCs w:val="24"/>
        </w:rPr>
        <w:t xml:space="preserve"> (2021). </w:t>
      </w:r>
      <w:r>
        <w:rPr>
          <w:rFonts w:ascii="Times New Roman" w:eastAsia="Times New Roman" w:hAnsi="Times New Roman" w:cs="Times New Roman"/>
          <w:i/>
          <w:iCs/>
          <w:sz w:val="24"/>
          <w:szCs w:val="24"/>
        </w:rPr>
        <w:t>To describe the factors influencing utilization of modern contraceptive services by adolescents in Southern Nigeria and ways to improve utilization</w:t>
      </w:r>
      <w:r>
        <w:rPr>
          <w:rFonts w:ascii="Times New Roman" w:eastAsia="Times New Roman" w:hAnsi="Times New Roman" w:cs="Times New Roman"/>
          <w:sz w:val="24"/>
          <w:szCs w:val="24"/>
        </w:rPr>
        <w:t xml:space="preserve"> (Master’s thesis). Royal Tropical Institute / Vrije Universiteit Amsterdam. </w:t>
      </w:r>
    </w:p>
    <w:p w14:paraId="148C4B1B" w14:textId="77777777" w:rsidR="007A45C3" w:rsidRDefault="00594977">
      <w:pPr>
        <w:spacing w:before="24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World Health Organizat</w:t>
      </w:r>
      <w:r>
        <w:rPr>
          <w:rFonts w:ascii="Times New Roman" w:eastAsia="Times New Roman" w:hAnsi="Times New Roman" w:cs="Times New Roman"/>
          <w:sz w:val="24"/>
          <w:szCs w:val="24"/>
        </w:rPr>
        <w:t xml:space="preserve">ion (WHO). (2018). </w:t>
      </w:r>
      <w:r>
        <w:rPr>
          <w:rFonts w:ascii="Times New Roman" w:eastAsia="Times New Roman" w:hAnsi="Times New Roman" w:cs="Times New Roman"/>
          <w:i/>
          <w:iCs/>
          <w:sz w:val="24"/>
          <w:szCs w:val="24"/>
        </w:rPr>
        <w:t>WHO recommendations on adolescent sexual and reproductive health and rights</w:t>
      </w:r>
      <w:r>
        <w:rPr>
          <w:rFonts w:ascii="Times New Roman" w:eastAsia="Times New Roman" w:hAnsi="Times New Roman" w:cs="Times New Roman"/>
          <w:sz w:val="24"/>
          <w:szCs w:val="24"/>
        </w:rPr>
        <w:t>. Geneva: World Health Organization.</w:t>
      </w:r>
      <w:hyperlink r:id="rId39">
        <w:r w:rsidR="007A45C3">
          <w:rPr>
            <w:rFonts w:ascii="Times New Roman" w:eastAsia="Times New Roman" w:hAnsi="Times New Roman" w:cs="Times New Roman"/>
            <w:sz w:val="24"/>
            <w:szCs w:val="24"/>
          </w:rPr>
          <w:t>https://www.who.int/publications/i/item/9789241514606</w:t>
        </w:r>
      </w:hyperlink>
    </w:p>
    <w:p w14:paraId="652A197B" w14:textId="77777777" w:rsidR="007A45C3" w:rsidRDefault="00594977">
      <w:pPr>
        <w:spacing w:before="24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(2018). </w:t>
      </w:r>
      <w:r>
        <w:rPr>
          <w:rFonts w:ascii="Times New Roman" w:eastAsia="Times New Roman" w:hAnsi="Times New Roman" w:cs="Times New Roman"/>
          <w:i/>
          <w:iCs/>
          <w:sz w:val="24"/>
          <w:szCs w:val="24"/>
        </w:rPr>
        <w:t>Married or in-union women of reproductive age who have their need for family planning satisfied with modern methods (SDG 3.7.1)</w:t>
      </w:r>
      <w:r>
        <w:rPr>
          <w:rFonts w:ascii="Times New Roman" w:eastAsia="Times New Roman" w:hAnsi="Times New Roman" w:cs="Times New Roman"/>
          <w:sz w:val="24"/>
          <w:szCs w:val="24"/>
        </w:rPr>
        <w:t>. The Global Health Observatory.</w:t>
      </w:r>
      <w:hyperlink r:id="rId40">
        <w:r w:rsidR="007A45C3">
          <w:rPr>
            <w:rFonts w:ascii="Times New Roman" w:eastAsia="Times New Roman" w:hAnsi="Times New Roman" w:cs="Times New Roman"/>
            <w:sz w:val="24"/>
            <w:szCs w:val="24"/>
          </w:rPr>
          <w:t xml:space="preserve"> </w:t>
        </w:r>
      </w:hyperlink>
      <w:hyperlink r:id="rId41">
        <w:r w:rsidR="007A45C3">
          <w:rPr>
            <w:rFonts w:ascii="Times New Roman" w:eastAsia="Times New Roman" w:hAnsi="Times New Roman" w:cs="Times New Roman"/>
            <w:sz w:val="24"/>
            <w:szCs w:val="24"/>
          </w:rPr>
          <w:t>https://www.who.int/data/gho/indicator-metadata-registry/imr-details/4668</w:t>
        </w:r>
      </w:hyperlink>
    </w:p>
    <w:p w14:paraId="1B207940" w14:textId="77777777" w:rsidR="007A45C3" w:rsidRDefault="00594977">
      <w:pPr>
        <w:spacing w:before="24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(2024, April 10). </w:t>
      </w:r>
      <w:r>
        <w:rPr>
          <w:rFonts w:ascii="Times New Roman" w:eastAsia="Times New Roman" w:hAnsi="Times New Roman" w:cs="Times New Roman"/>
          <w:i/>
          <w:iCs/>
          <w:sz w:val="24"/>
          <w:szCs w:val="24"/>
        </w:rPr>
        <w:t xml:space="preserve">Adolescent </w:t>
      </w:r>
      <w:r>
        <w:rPr>
          <w:rFonts w:ascii="Times New Roman" w:eastAsia="Times New Roman" w:hAnsi="Times New Roman" w:cs="Times New Roman"/>
          <w:i/>
          <w:iCs/>
          <w:sz w:val="24"/>
          <w:szCs w:val="24"/>
        </w:rPr>
        <w:t>pregnancy</w:t>
      </w:r>
      <w:r>
        <w:rPr>
          <w:rFonts w:ascii="Times New Roman" w:eastAsia="Times New Roman" w:hAnsi="Times New Roman" w:cs="Times New Roman"/>
          <w:sz w:val="24"/>
          <w:szCs w:val="24"/>
        </w:rPr>
        <w:t>.</w:t>
      </w:r>
      <w:hyperlink r:id="rId42">
        <w:r w:rsidR="007A45C3">
          <w:rPr>
            <w:rFonts w:ascii="Times New Roman" w:eastAsia="Times New Roman" w:hAnsi="Times New Roman" w:cs="Times New Roman"/>
            <w:sz w:val="24"/>
            <w:szCs w:val="24"/>
          </w:rPr>
          <w:t xml:space="preserve"> </w:t>
        </w:r>
      </w:hyperlink>
      <w:hyperlink r:id="rId43">
        <w:r w:rsidR="007A45C3">
          <w:rPr>
            <w:rFonts w:ascii="Times New Roman" w:eastAsia="Times New Roman" w:hAnsi="Times New Roman" w:cs="Times New Roman"/>
            <w:sz w:val="24"/>
            <w:szCs w:val="24"/>
          </w:rPr>
          <w:t>https://www.who.int/news-room/fact-sheets/detail/adolescent-pregnancy</w:t>
        </w:r>
      </w:hyperlink>
    </w:p>
    <w:p w14:paraId="47D83F80" w14:textId="77777777" w:rsidR="007A45C3" w:rsidRDefault="00594977">
      <w:pPr>
        <w:spacing w:before="24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Health Organization. (2025, July 3). </w:t>
      </w:r>
      <w:r>
        <w:rPr>
          <w:rFonts w:ascii="Times New Roman" w:eastAsia="Times New Roman" w:hAnsi="Times New Roman" w:cs="Times New Roman"/>
          <w:i/>
          <w:iCs/>
          <w:sz w:val="24"/>
          <w:szCs w:val="24"/>
        </w:rPr>
        <w:t>Family planning/contraception methods</w:t>
      </w:r>
      <w:r>
        <w:rPr>
          <w:rFonts w:ascii="Times New Roman" w:eastAsia="Times New Roman" w:hAnsi="Times New Roman" w:cs="Times New Roman"/>
          <w:sz w:val="24"/>
          <w:szCs w:val="24"/>
        </w:rPr>
        <w:t>.</w:t>
      </w:r>
      <w:hyperlink r:id="rId44">
        <w:r w:rsidR="007A45C3">
          <w:rPr>
            <w:rFonts w:ascii="Times New Roman" w:eastAsia="Times New Roman" w:hAnsi="Times New Roman" w:cs="Times New Roman"/>
            <w:sz w:val="24"/>
            <w:szCs w:val="24"/>
          </w:rPr>
          <w:t xml:space="preserve"> </w:t>
        </w:r>
      </w:hyperlink>
      <w:hyperlink r:id="rId45">
        <w:r w:rsidR="007A45C3">
          <w:rPr>
            <w:rFonts w:ascii="Times New Roman" w:eastAsia="Times New Roman" w:hAnsi="Times New Roman" w:cs="Times New Roman"/>
            <w:sz w:val="24"/>
            <w:szCs w:val="24"/>
          </w:rPr>
          <w:t>https://www.who.int/news-room/fact-sheets/detail/family-planning-contraception</w:t>
        </w:r>
      </w:hyperlink>
    </w:p>
    <w:p w14:paraId="4E08F4A1" w14:textId="77777777" w:rsidR="007A45C3" w:rsidRDefault="007A45C3">
      <w:pPr>
        <w:spacing w:before="240" w:after="240"/>
        <w:rPr>
          <w:rFonts w:ascii="Times New Roman" w:eastAsia="Times New Roman" w:hAnsi="Times New Roman" w:cs="Times New Roman"/>
          <w:sz w:val="24"/>
          <w:szCs w:val="24"/>
        </w:rPr>
      </w:pPr>
    </w:p>
    <w:p w14:paraId="6398D99F" w14:textId="77777777" w:rsidR="007A45C3" w:rsidRDefault="00594977">
      <w:pPr>
        <w:pStyle w:val="Heading3"/>
        <w:keepNext w:val="0"/>
        <w:keepLines w:val="0"/>
        <w:spacing w:before="280" w:line="240" w:lineRule="auto"/>
        <w:rPr>
          <w:rFonts w:ascii="Times New Roman" w:eastAsia="Times New Roman" w:hAnsi="Times New Roman" w:cs="Times New Roman"/>
          <w:b/>
          <w:bCs/>
          <w:color w:val="000000"/>
          <w:sz w:val="24"/>
          <w:szCs w:val="24"/>
        </w:rPr>
      </w:pPr>
      <w:bookmarkStart w:id="40" w:name="_uwnnjgp7ob9e" w:colFirst="0" w:colLast="0"/>
      <w:bookmarkStart w:id="41" w:name="_7bs2f5s4spxb" w:colFirst="0" w:colLast="0"/>
      <w:bookmarkEnd w:id="40"/>
      <w:bookmarkEnd w:id="41"/>
      <w:r>
        <w:rPr>
          <w:rFonts w:ascii="Times New Roman" w:eastAsia="Times New Roman" w:hAnsi="Times New Roman" w:cs="Times New Roman"/>
          <w:b/>
          <w:bCs/>
          <w:color w:val="000000"/>
          <w:sz w:val="24"/>
          <w:szCs w:val="24"/>
        </w:rPr>
        <w:t>Table 1: Summary of Included Studies</w:t>
      </w:r>
    </w:p>
    <w:tbl>
      <w:tblPr>
        <w:tblStyle w:val="Style10"/>
        <w:tblW w:w="979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0"/>
        <w:gridCol w:w="1695"/>
        <w:gridCol w:w="1515"/>
        <w:gridCol w:w="1245"/>
        <w:gridCol w:w="1515"/>
        <w:gridCol w:w="2265"/>
      </w:tblGrid>
      <w:tr w:rsidR="007A45C3" w14:paraId="7649C879" w14:textId="77777777">
        <w:trPr>
          <w:trHeight w:val="800"/>
        </w:trPr>
        <w:tc>
          <w:tcPr>
            <w:tcW w:w="1560" w:type="dxa"/>
            <w:tcBorders>
              <w:top w:val="nil"/>
              <w:left w:val="nil"/>
              <w:bottom w:val="nil"/>
              <w:right w:val="nil"/>
            </w:tcBorders>
            <w:tcMar>
              <w:top w:w="100" w:type="dxa"/>
              <w:left w:w="100" w:type="dxa"/>
              <w:bottom w:w="100" w:type="dxa"/>
              <w:right w:w="100" w:type="dxa"/>
            </w:tcMar>
          </w:tcPr>
          <w:p w14:paraId="79E1A570"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Author (Year)</w:t>
            </w:r>
          </w:p>
        </w:tc>
        <w:tc>
          <w:tcPr>
            <w:tcW w:w="1695" w:type="dxa"/>
            <w:tcBorders>
              <w:top w:val="nil"/>
              <w:left w:val="nil"/>
              <w:bottom w:val="nil"/>
              <w:right w:val="nil"/>
            </w:tcBorders>
            <w:tcMar>
              <w:top w:w="100" w:type="dxa"/>
              <w:left w:w="100" w:type="dxa"/>
              <w:bottom w:w="100" w:type="dxa"/>
              <w:right w:w="100" w:type="dxa"/>
            </w:tcMar>
          </w:tcPr>
          <w:p w14:paraId="6094C37B"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Study Design</w:t>
            </w:r>
          </w:p>
        </w:tc>
        <w:tc>
          <w:tcPr>
            <w:tcW w:w="1515" w:type="dxa"/>
            <w:tcBorders>
              <w:top w:val="nil"/>
              <w:left w:val="nil"/>
              <w:bottom w:val="nil"/>
              <w:right w:val="nil"/>
            </w:tcBorders>
            <w:tcMar>
              <w:top w:w="100" w:type="dxa"/>
              <w:left w:w="100" w:type="dxa"/>
              <w:bottom w:w="100" w:type="dxa"/>
              <w:right w:w="100" w:type="dxa"/>
            </w:tcMar>
          </w:tcPr>
          <w:p w14:paraId="461C2105"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Location</w:t>
            </w:r>
          </w:p>
        </w:tc>
        <w:tc>
          <w:tcPr>
            <w:tcW w:w="1245" w:type="dxa"/>
            <w:tcBorders>
              <w:top w:val="nil"/>
              <w:left w:val="nil"/>
              <w:bottom w:val="nil"/>
              <w:right w:val="nil"/>
            </w:tcBorders>
            <w:tcMar>
              <w:top w:w="100" w:type="dxa"/>
              <w:left w:w="100" w:type="dxa"/>
              <w:bottom w:w="100" w:type="dxa"/>
              <w:right w:w="100" w:type="dxa"/>
            </w:tcMar>
          </w:tcPr>
          <w:p w14:paraId="402BA6C4"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Sample Size</w:t>
            </w:r>
          </w:p>
        </w:tc>
        <w:tc>
          <w:tcPr>
            <w:tcW w:w="1515" w:type="dxa"/>
            <w:tcBorders>
              <w:top w:val="nil"/>
              <w:left w:val="nil"/>
              <w:bottom w:val="nil"/>
              <w:right w:val="nil"/>
            </w:tcBorders>
            <w:tcMar>
              <w:top w:w="100" w:type="dxa"/>
              <w:left w:w="100" w:type="dxa"/>
              <w:bottom w:w="100" w:type="dxa"/>
              <w:right w:w="100" w:type="dxa"/>
            </w:tcMar>
          </w:tcPr>
          <w:p w14:paraId="65A980E5"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Population</w:t>
            </w:r>
          </w:p>
        </w:tc>
        <w:tc>
          <w:tcPr>
            <w:tcW w:w="2265" w:type="dxa"/>
            <w:tcBorders>
              <w:top w:val="nil"/>
              <w:left w:val="nil"/>
              <w:bottom w:val="nil"/>
              <w:right w:val="nil"/>
            </w:tcBorders>
            <w:tcMar>
              <w:top w:w="100" w:type="dxa"/>
              <w:left w:w="100" w:type="dxa"/>
              <w:bottom w:w="100" w:type="dxa"/>
              <w:right w:w="100" w:type="dxa"/>
            </w:tcMar>
          </w:tcPr>
          <w:p w14:paraId="32C2CD46"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 </w:t>
            </w:r>
            <w:r>
              <w:rPr>
                <w:rFonts w:ascii="Times New Roman" w:eastAsia="Times New Roman" w:hAnsi="Times New Roman" w:cs="Times New Roman"/>
                <w:b/>
                <w:bCs/>
                <w:sz w:val="24"/>
                <w:szCs w:val="24"/>
              </w:rPr>
              <w:t>Findings</w:t>
            </w:r>
          </w:p>
        </w:tc>
      </w:tr>
      <w:tr w:rsidR="007A45C3" w14:paraId="1731D3E1" w14:textId="77777777">
        <w:trPr>
          <w:trHeight w:val="1085"/>
        </w:trPr>
        <w:tc>
          <w:tcPr>
            <w:tcW w:w="1560" w:type="dxa"/>
            <w:tcBorders>
              <w:top w:val="nil"/>
              <w:left w:val="nil"/>
              <w:bottom w:val="nil"/>
              <w:right w:val="nil"/>
            </w:tcBorders>
            <w:tcMar>
              <w:top w:w="100" w:type="dxa"/>
              <w:left w:w="100" w:type="dxa"/>
              <w:bottom w:w="100" w:type="dxa"/>
              <w:right w:w="100" w:type="dxa"/>
            </w:tcMar>
          </w:tcPr>
          <w:p w14:paraId="079CC631" w14:textId="77777777" w:rsidR="007A45C3" w:rsidRDefault="00594977">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Ilugbami</w:t>
            </w:r>
            <w:proofErr w:type="spellEnd"/>
            <w:r>
              <w:rPr>
                <w:rFonts w:ascii="Times New Roman" w:eastAsia="Times New Roman" w:hAnsi="Times New Roman" w:cs="Times New Roman"/>
                <w:sz w:val="24"/>
                <w:szCs w:val="24"/>
              </w:rPr>
              <w:t xml:space="preserve"> et al. (2022)</w:t>
            </w:r>
          </w:p>
        </w:tc>
        <w:tc>
          <w:tcPr>
            <w:tcW w:w="1695" w:type="dxa"/>
            <w:tcBorders>
              <w:top w:val="nil"/>
              <w:left w:val="nil"/>
              <w:bottom w:val="nil"/>
              <w:right w:val="nil"/>
            </w:tcBorders>
            <w:tcMar>
              <w:top w:w="100" w:type="dxa"/>
              <w:left w:w="100" w:type="dxa"/>
              <w:bottom w:w="100" w:type="dxa"/>
              <w:right w:w="100" w:type="dxa"/>
            </w:tcMar>
          </w:tcPr>
          <w:p w14:paraId="246BFF93"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w:t>
            </w:r>
          </w:p>
        </w:tc>
        <w:tc>
          <w:tcPr>
            <w:tcW w:w="1515" w:type="dxa"/>
            <w:tcBorders>
              <w:top w:val="nil"/>
              <w:left w:val="nil"/>
              <w:bottom w:val="nil"/>
              <w:right w:val="nil"/>
            </w:tcBorders>
            <w:tcMar>
              <w:top w:w="100" w:type="dxa"/>
              <w:left w:w="100" w:type="dxa"/>
              <w:bottom w:w="100" w:type="dxa"/>
              <w:right w:w="100" w:type="dxa"/>
            </w:tcMar>
          </w:tcPr>
          <w:p w14:paraId="5E385F9A"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Ondo State</w:t>
            </w:r>
          </w:p>
        </w:tc>
        <w:tc>
          <w:tcPr>
            <w:tcW w:w="1245" w:type="dxa"/>
            <w:tcBorders>
              <w:top w:val="nil"/>
              <w:left w:val="nil"/>
              <w:bottom w:val="nil"/>
              <w:right w:val="nil"/>
            </w:tcBorders>
            <w:tcMar>
              <w:top w:w="100" w:type="dxa"/>
              <w:left w:w="100" w:type="dxa"/>
              <w:bottom w:w="100" w:type="dxa"/>
              <w:right w:w="100" w:type="dxa"/>
            </w:tcMar>
          </w:tcPr>
          <w:p w14:paraId="33B86F70"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&lt;500</w:t>
            </w:r>
          </w:p>
        </w:tc>
        <w:tc>
          <w:tcPr>
            <w:tcW w:w="1515" w:type="dxa"/>
            <w:tcBorders>
              <w:top w:val="nil"/>
              <w:left w:val="nil"/>
              <w:bottom w:val="nil"/>
              <w:right w:val="nil"/>
            </w:tcBorders>
            <w:tcMar>
              <w:top w:w="100" w:type="dxa"/>
              <w:left w:w="100" w:type="dxa"/>
              <w:bottom w:w="100" w:type="dxa"/>
              <w:right w:w="100" w:type="dxa"/>
            </w:tcMar>
          </w:tcPr>
          <w:p w14:paraId="4597E305"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 adolescents</w:t>
            </w:r>
          </w:p>
        </w:tc>
        <w:tc>
          <w:tcPr>
            <w:tcW w:w="2265" w:type="dxa"/>
            <w:tcBorders>
              <w:top w:val="nil"/>
              <w:left w:val="nil"/>
              <w:bottom w:val="nil"/>
              <w:right w:val="nil"/>
            </w:tcBorders>
            <w:tcMar>
              <w:top w:w="100" w:type="dxa"/>
              <w:left w:w="100" w:type="dxa"/>
              <w:bottom w:w="100" w:type="dxa"/>
              <w:right w:w="100" w:type="dxa"/>
            </w:tcMar>
          </w:tcPr>
          <w:p w14:paraId="6EED0DA8"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awareness but low </w:t>
            </w:r>
            <w:proofErr w:type="spellStart"/>
            <w:r>
              <w:rPr>
                <w:rFonts w:ascii="Times New Roman" w:eastAsia="Times New Roman" w:hAnsi="Times New Roman" w:cs="Times New Roman"/>
                <w:sz w:val="24"/>
                <w:szCs w:val="24"/>
              </w:rPr>
              <w:t>utilisation</w:t>
            </w:r>
            <w:proofErr w:type="spellEnd"/>
            <w:r>
              <w:rPr>
                <w:rFonts w:ascii="Times New Roman" w:eastAsia="Times New Roman" w:hAnsi="Times New Roman" w:cs="Times New Roman"/>
                <w:sz w:val="24"/>
                <w:szCs w:val="24"/>
              </w:rPr>
              <w:t>; fear of side effects</w:t>
            </w:r>
          </w:p>
        </w:tc>
      </w:tr>
      <w:tr w:rsidR="007A45C3" w14:paraId="0E7F4538" w14:textId="77777777">
        <w:trPr>
          <w:trHeight w:val="1085"/>
        </w:trPr>
        <w:tc>
          <w:tcPr>
            <w:tcW w:w="1560" w:type="dxa"/>
            <w:tcBorders>
              <w:top w:val="nil"/>
              <w:left w:val="nil"/>
              <w:bottom w:val="nil"/>
              <w:right w:val="nil"/>
            </w:tcBorders>
            <w:tcMar>
              <w:top w:w="100" w:type="dxa"/>
              <w:left w:w="100" w:type="dxa"/>
              <w:bottom w:w="100" w:type="dxa"/>
              <w:right w:w="100" w:type="dxa"/>
            </w:tcMar>
          </w:tcPr>
          <w:p w14:paraId="6D9A1D4D" w14:textId="77777777" w:rsidR="007A45C3" w:rsidRDefault="00594977">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Ilori</w:t>
            </w:r>
            <w:proofErr w:type="spellEnd"/>
            <w:r>
              <w:rPr>
                <w:rFonts w:ascii="Times New Roman" w:eastAsia="Times New Roman" w:hAnsi="Times New Roman" w:cs="Times New Roman"/>
                <w:sz w:val="24"/>
                <w:szCs w:val="24"/>
              </w:rPr>
              <w:t xml:space="preserve"> et al. (2023)</w:t>
            </w:r>
          </w:p>
        </w:tc>
        <w:tc>
          <w:tcPr>
            <w:tcW w:w="1695" w:type="dxa"/>
            <w:tcBorders>
              <w:top w:val="nil"/>
              <w:left w:val="nil"/>
              <w:bottom w:val="nil"/>
              <w:right w:val="nil"/>
            </w:tcBorders>
            <w:tcMar>
              <w:top w:w="100" w:type="dxa"/>
              <w:left w:w="100" w:type="dxa"/>
              <w:bottom w:w="100" w:type="dxa"/>
              <w:right w:w="100" w:type="dxa"/>
            </w:tcMar>
          </w:tcPr>
          <w:p w14:paraId="4C630683"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w:t>
            </w:r>
          </w:p>
        </w:tc>
        <w:tc>
          <w:tcPr>
            <w:tcW w:w="1515" w:type="dxa"/>
            <w:tcBorders>
              <w:top w:val="nil"/>
              <w:left w:val="nil"/>
              <w:bottom w:val="nil"/>
              <w:right w:val="nil"/>
            </w:tcBorders>
            <w:tcMar>
              <w:top w:w="100" w:type="dxa"/>
              <w:left w:w="100" w:type="dxa"/>
              <w:bottom w:w="100" w:type="dxa"/>
              <w:right w:w="100" w:type="dxa"/>
            </w:tcMar>
          </w:tcPr>
          <w:p w14:paraId="0DFDAD07"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North Central Nigeria</w:t>
            </w:r>
          </w:p>
        </w:tc>
        <w:tc>
          <w:tcPr>
            <w:tcW w:w="1245" w:type="dxa"/>
            <w:tcBorders>
              <w:top w:val="nil"/>
              <w:left w:val="nil"/>
              <w:bottom w:val="nil"/>
              <w:right w:val="nil"/>
            </w:tcBorders>
            <w:tcMar>
              <w:top w:w="100" w:type="dxa"/>
              <w:left w:w="100" w:type="dxa"/>
              <w:bottom w:w="100" w:type="dxa"/>
              <w:right w:w="100" w:type="dxa"/>
            </w:tcMar>
          </w:tcPr>
          <w:p w14:paraId="57E3AC6D"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&gt;500</w:t>
            </w:r>
          </w:p>
        </w:tc>
        <w:tc>
          <w:tcPr>
            <w:tcW w:w="1515" w:type="dxa"/>
            <w:tcBorders>
              <w:top w:val="nil"/>
              <w:left w:val="nil"/>
              <w:bottom w:val="nil"/>
              <w:right w:val="nil"/>
            </w:tcBorders>
            <w:tcMar>
              <w:top w:w="100" w:type="dxa"/>
              <w:left w:w="100" w:type="dxa"/>
              <w:bottom w:w="100" w:type="dxa"/>
              <w:right w:w="100" w:type="dxa"/>
            </w:tcMar>
          </w:tcPr>
          <w:p w14:paraId="545AA4FE"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Adolescents in IDP camp</w:t>
            </w:r>
          </w:p>
        </w:tc>
        <w:tc>
          <w:tcPr>
            <w:tcW w:w="2265" w:type="dxa"/>
            <w:tcBorders>
              <w:top w:val="nil"/>
              <w:left w:val="nil"/>
              <w:bottom w:val="nil"/>
              <w:right w:val="nil"/>
            </w:tcBorders>
            <w:tcMar>
              <w:top w:w="100" w:type="dxa"/>
              <w:left w:w="100" w:type="dxa"/>
              <w:bottom w:w="100" w:type="dxa"/>
              <w:right w:w="100" w:type="dxa"/>
            </w:tcMar>
          </w:tcPr>
          <w:p w14:paraId="3478847B"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uptake due to poor </w:t>
            </w:r>
            <w:r>
              <w:rPr>
                <w:rFonts w:ascii="Times New Roman" w:eastAsia="Times New Roman" w:hAnsi="Times New Roman" w:cs="Times New Roman"/>
                <w:sz w:val="24"/>
                <w:szCs w:val="24"/>
              </w:rPr>
              <w:t>access and instability</w:t>
            </w:r>
          </w:p>
        </w:tc>
      </w:tr>
      <w:tr w:rsidR="007A45C3" w14:paraId="0A27D97B" w14:textId="77777777">
        <w:trPr>
          <w:trHeight w:val="1085"/>
        </w:trPr>
        <w:tc>
          <w:tcPr>
            <w:tcW w:w="1560" w:type="dxa"/>
            <w:tcBorders>
              <w:top w:val="nil"/>
              <w:left w:val="nil"/>
              <w:bottom w:val="nil"/>
              <w:right w:val="nil"/>
            </w:tcBorders>
            <w:tcMar>
              <w:top w:w="100" w:type="dxa"/>
              <w:left w:w="100" w:type="dxa"/>
              <w:bottom w:w="100" w:type="dxa"/>
              <w:right w:w="100" w:type="dxa"/>
            </w:tcMar>
          </w:tcPr>
          <w:p w14:paraId="438F235A"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Ayo-Bello &amp; Quinn-Walker (2025)</w:t>
            </w:r>
          </w:p>
        </w:tc>
        <w:tc>
          <w:tcPr>
            <w:tcW w:w="1695" w:type="dxa"/>
            <w:tcBorders>
              <w:top w:val="nil"/>
              <w:left w:val="nil"/>
              <w:bottom w:val="nil"/>
              <w:right w:val="nil"/>
            </w:tcBorders>
            <w:tcMar>
              <w:top w:w="100" w:type="dxa"/>
              <w:left w:w="100" w:type="dxa"/>
              <w:bottom w:w="100" w:type="dxa"/>
              <w:right w:w="100" w:type="dxa"/>
            </w:tcMar>
          </w:tcPr>
          <w:p w14:paraId="654BFB66"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review</w:t>
            </w:r>
          </w:p>
        </w:tc>
        <w:tc>
          <w:tcPr>
            <w:tcW w:w="1515" w:type="dxa"/>
            <w:tcBorders>
              <w:top w:val="nil"/>
              <w:left w:val="nil"/>
              <w:bottom w:val="nil"/>
              <w:right w:val="nil"/>
            </w:tcBorders>
            <w:tcMar>
              <w:top w:w="100" w:type="dxa"/>
              <w:left w:w="100" w:type="dxa"/>
              <w:bottom w:w="100" w:type="dxa"/>
              <w:right w:w="100" w:type="dxa"/>
            </w:tcMar>
          </w:tcPr>
          <w:p w14:paraId="2EF871BD"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1245" w:type="dxa"/>
            <w:tcBorders>
              <w:top w:val="nil"/>
              <w:left w:val="nil"/>
              <w:bottom w:val="nil"/>
              <w:right w:val="nil"/>
            </w:tcBorders>
            <w:tcMar>
              <w:top w:w="100" w:type="dxa"/>
              <w:left w:w="100" w:type="dxa"/>
              <w:bottom w:w="100" w:type="dxa"/>
              <w:right w:w="100" w:type="dxa"/>
            </w:tcMar>
          </w:tcPr>
          <w:p w14:paraId="0C3038E7"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Large datasets</w:t>
            </w:r>
          </w:p>
        </w:tc>
        <w:tc>
          <w:tcPr>
            <w:tcW w:w="1515" w:type="dxa"/>
            <w:tcBorders>
              <w:top w:val="nil"/>
              <w:left w:val="nil"/>
              <w:bottom w:val="nil"/>
              <w:right w:val="nil"/>
            </w:tcBorders>
            <w:tcMar>
              <w:top w:w="100" w:type="dxa"/>
              <w:left w:w="100" w:type="dxa"/>
              <w:bottom w:w="100" w:type="dxa"/>
              <w:right w:w="100" w:type="dxa"/>
            </w:tcMar>
          </w:tcPr>
          <w:p w14:paraId="3103B635"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Women incl. adolescents</w:t>
            </w:r>
          </w:p>
        </w:tc>
        <w:tc>
          <w:tcPr>
            <w:tcW w:w="2265" w:type="dxa"/>
            <w:tcBorders>
              <w:top w:val="nil"/>
              <w:left w:val="nil"/>
              <w:bottom w:val="nil"/>
              <w:right w:val="nil"/>
            </w:tcBorders>
            <w:tcMar>
              <w:top w:w="100" w:type="dxa"/>
              <w:left w:w="100" w:type="dxa"/>
              <w:bottom w:w="100" w:type="dxa"/>
              <w:right w:w="100" w:type="dxa"/>
            </w:tcMar>
          </w:tcPr>
          <w:p w14:paraId="7671E33F"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and wealth increase uptake</w:t>
            </w:r>
          </w:p>
        </w:tc>
      </w:tr>
      <w:tr w:rsidR="007A45C3" w14:paraId="0D64984A" w14:textId="77777777">
        <w:trPr>
          <w:trHeight w:val="800"/>
        </w:trPr>
        <w:tc>
          <w:tcPr>
            <w:tcW w:w="1560" w:type="dxa"/>
            <w:tcBorders>
              <w:top w:val="nil"/>
              <w:left w:val="nil"/>
              <w:bottom w:val="nil"/>
              <w:right w:val="nil"/>
            </w:tcBorders>
            <w:tcMar>
              <w:top w:w="100" w:type="dxa"/>
              <w:left w:w="100" w:type="dxa"/>
              <w:bottom w:w="100" w:type="dxa"/>
              <w:right w:w="100" w:type="dxa"/>
            </w:tcMar>
          </w:tcPr>
          <w:p w14:paraId="35CF053F" w14:textId="77777777" w:rsidR="007A45C3" w:rsidRDefault="00594977">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Sanni</w:t>
            </w:r>
            <w:proofErr w:type="spellEnd"/>
            <w:r>
              <w:rPr>
                <w:rFonts w:ascii="Times New Roman" w:eastAsia="Times New Roman" w:hAnsi="Times New Roman" w:cs="Times New Roman"/>
                <w:sz w:val="24"/>
                <w:szCs w:val="24"/>
              </w:rPr>
              <w:t xml:space="preserve"> et al. (2025)</w:t>
            </w:r>
          </w:p>
        </w:tc>
        <w:tc>
          <w:tcPr>
            <w:tcW w:w="1695" w:type="dxa"/>
            <w:tcBorders>
              <w:top w:val="nil"/>
              <w:left w:val="nil"/>
              <w:bottom w:val="nil"/>
              <w:right w:val="nil"/>
            </w:tcBorders>
            <w:tcMar>
              <w:top w:w="100" w:type="dxa"/>
              <w:left w:w="100" w:type="dxa"/>
              <w:bottom w:w="100" w:type="dxa"/>
              <w:right w:w="100" w:type="dxa"/>
            </w:tcMar>
          </w:tcPr>
          <w:p w14:paraId="62091940"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data analysis</w:t>
            </w:r>
          </w:p>
        </w:tc>
        <w:tc>
          <w:tcPr>
            <w:tcW w:w="1515" w:type="dxa"/>
            <w:tcBorders>
              <w:top w:val="nil"/>
              <w:left w:val="nil"/>
              <w:bottom w:val="nil"/>
              <w:right w:val="nil"/>
            </w:tcBorders>
            <w:tcMar>
              <w:top w:w="100" w:type="dxa"/>
              <w:left w:w="100" w:type="dxa"/>
              <w:bottom w:w="100" w:type="dxa"/>
              <w:right w:w="100" w:type="dxa"/>
            </w:tcMar>
          </w:tcPr>
          <w:p w14:paraId="121AA483"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w:t>
            </w:r>
          </w:p>
        </w:tc>
        <w:tc>
          <w:tcPr>
            <w:tcW w:w="1245" w:type="dxa"/>
            <w:tcBorders>
              <w:top w:val="nil"/>
              <w:left w:val="nil"/>
              <w:bottom w:val="nil"/>
              <w:right w:val="nil"/>
            </w:tcBorders>
            <w:tcMar>
              <w:top w:w="100" w:type="dxa"/>
              <w:left w:w="100" w:type="dxa"/>
              <w:bottom w:w="100" w:type="dxa"/>
              <w:right w:w="100" w:type="dxa"/>
            </w:tcMar>
          </w:tcPr>
          <w:p w14:paraId="2325FD86"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Large dataset</w:t>
            </w:r>
          </w:p>
        </w:tc>
        <w:tc>
          <w:tcPr>
            <w:tcW w:w="1515" w:type="dxa"/>
            <w:tcBorders>
              <w:top w:val="nil"/>
              <w:left w:val="nil"/>
              <w:bottom w:val="nil"/>
              <w:right w:val="nil"/>
            </w:tcBorders>
            <w:tcMar>
              <w:top w:w="100" w:type="dxa"/>
              <w:left w:w="100" w:type="dxa"/>
              <w:bottom w:w="100" w:type="dxa"/>
              <w:right w:w="100" w:type="dxa"/>
            </w:tcMar>
          </w:tcPr>
          <w:p w14:paraId="037BBF8C"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Youth</w:t>
            </w:r>
          </w:p>
        </w:tc>
        <w:tc>
          <w:tcPr>
            <w:tcW w:w="2265" w:type="dxa"/>
            <w:tcBorders>
              <w:top w:val="nil"/>
              <w:left w:val="nil"/>
              <w:bottom w:val="nil"/>
              <w:right w:val="nil"/>
            </w:tcBorders>
            <w:tcMar>
              <w:top w:w="100" w:type="dxa"/>
              <w:left w:w="100" w:type="dxa"/>
              <w:bottom w:w="100" w:type="dxa"/>
              <w:right w:w="100" w:type="dxa"/>
            </w:tcMar>
          </w:tcPr>
          <w:p w14:paraId="3D70045F"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Regional disparities </w:t>
            </w:r>
            <w:r>
              <w:rPr>
                <w:rFonts w:ascii="Times New Roman" w:eastAsia="Times New Roman" w:hAnsi="Times New Roman" w:cs="Times New Roman"/>
                <w:sz w:val="24"/>
                <w:szCs w:val="24"/>
              </w:rPr>
              <w:t>(South &gt; North)</w:t>
            </w:r>
          </w:p>
        </w:tc>
      </w:tr>
      <w:tr w:rsidR="007A45C3" w14:paraId="1A44F07D" w14:textId="77777777">
        <w:trPr>
          <w:trHeight w:val="800"/>
        </w:trPr>
        <w:tc>
          <w:tcPr>
            <w:tcW w:w="1560" w:type="dxa"/>
            <w:tcBorders>
              <w:top w:val="nil"/>
              <w:left w:val="nil"/>
              <w:bottom w:val="nil"/>
              <w:right w:val="nil"/>
            </w:tcBorders>
            <w:tcMar>
              <w:top w:w="100" w:type="dxa"/>
              <w:left w:w="100" w:type="dxa"/>
              <w:bottom w:w="100" w:type="dxa"/>
              <w:right w:w="100" w:type="dxa"/>
            </w:tcMar>
          </w:tcPr>
          <w:p w14:paraId="6733184F" w14:textId="77777777" w:rsidR="007A45C3" w:rsidRDefault="00594977">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Ezenwaka</w:t>
            </w:r>
            <w:proofErr w:type="spellEnd"/>
            <w:r>
              <w:rPr>
                <w:rFonts w:ascii="Times New Roman" w:eastAsia="Times New Roman" w:hAnsi="Times New Roman" w:cs="Times New Roman"/>
                <w:sz w:val="24"/>
                <w:szCs w:val="24"/>
              </w:rPr>
              <w:t xml:space="preserve"> et al. (2020)</w:t>
            </w:r>
          </w:p>
        </w:tc>
        <w:tc>
          <w:tcPr>
            <w:tcW w:w="1695" w:type="dxa"/>
            <w:tcBorders>
              <w:top w:val="nil"/>
              <w:left w:val="nil"/>
              <w:bottom w:val="nil"/>
              <w:right w:val="nil"/>
            </w:tcBorders>
            <w:tcMar>
              <w:top w:w="100" w:type="dxa"/>
              <w:left w:w="100" w:type="dxa"/>
              <w:bottom w:w="100" w:type="dxa"/>
              <w:right w:w="100" w:type="dxa"/>
            </w:tcMar>
          </w:tcPr>
          <w:p w14:paraId="2E388F34"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w:t>
            </w:r>
          </w:p>
        </w:tc>
        <w:tc>
          <w:tcPr>
            <w:tcW w:w="1515" w:type="dxa"/>
            <w:tcBorders>
              <w:top w:val="nil"/>
              <w:left w:val="nil"/>
              <w:bottom w:val="nil"/>
              <w:right w:val="nil"/>
            </w:tcBorders>
            <w:tcMar>
              <w:top w:w="100" w:type="dxa"/>
              <w:left w:w="100" w:type="dxa"/>
              <w:bottom w:w="100" w:type="dxa"/>
              <w:right w:w="100" w:type="dxa"/>
            </w:tcMar>
          </w:tcPr>
          <w:p w14:paraId="4ADA8512"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Southeast Nigeria</w:t>
            </w:r>
          </w:p>
        </w:tc>
        <w:tc>
          <w:tcPr>
            <w:tcW w:w="1245" w:type="dxa"/>
            <w:tcBorders>
              <w:top w:val="nil"/>
              <w:left w:val="nil"/>
              <w:bottom w:val="nil"/>
              <w:right w:val="nil"/>
            </w:tcBorders>
            <w:tcMar>
              <w:top w:w="100" w:type="dxa"/>
              <w:left w:w="100" w:type="dxa"/>
              <w:bottom w:w="100" w:type="dxa"/>
              <w:right w:w="100" w:type="dxa"/>
            </w:tcMar>
          </w:tcPr>
          <w:p w14:paraId="3C2FF2CF"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&lt;200</w:t>
            </w:r>
          </w:p>
        </w:tc>
        <w:tc>
          <w:tcPr>
            <w:tcW w:w="1515" w:type="dxa"/>
            <w:tcBorders>
              <w:top w:val="nil"/>
              <w:left w:val="nil"/>
              <w:bottom w:val="nil"/>
              <w:right w:val="nil"/>
            </w:tcBorders>
            <w:tcMar>
              <w:top w:w="100" w:type="dxa"/>
              <w:left w:w="100" w:type="dxa"/>
              <w:bottom w:w="100" w:type="dxa"/>
              <w:right w:w="100" w:type="dxa"/>
            </w:tcMar>
          </w:tcPr>
          <w:p w14:paraId="1682BEED"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Adolescents</w:t>
            </w:r>
          </w:p>
        </w:tc>
        <w:tc>
          <w:tcPr>
            <w:tcW w:w="2265" w:type="dxa"/>
            <w:tcBorders>
              <w:top w:val="nil"/>
              <w:left w:val="nil"/>
              <w:bottom w:val="nil"/>
              <w:right w:val="nil"/>
            </w:tcBorders>
            <w:tcMar>
              <w:top w:w="100" w:type="dxa"/>
              <w:left w:w="100" w:type="dxa"/>
              <w:bottom w:w="100" w:type="dxa"/>
              <w:right w:w="100" w:type="dxa"/>
            </w:tcMar>
          </w:tcPr>
          <w:p w14:paraId="30E347C4"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 system barriers and stigma</w:t>
            </w:r>
          </w:p>
        </w:tc>
      </w:tr>
      <w:tr w:rsidR="007A45C3" w14:paraId="0F5D9A62" w14:textId="77777777">
        <w:trPr>
          <w:trHeight w:val="1085"/>
        </w:trPr>
        <w:tc>
          <w:tcPr>
            <w:tcW w:w="1560" w:type="dxa"/>
            <w:tcBorders>
              <w:top w:val="nil"/>
              <w:left w:val="nil"/>
              <w:bottom w:val="nil"/>
              <w:right w:val="nil"/>
            </w:tcBorders>
            <w:tcMar>
              <w:top w:w="100" w:type="dxa"/>
              <w:left w:w="100" w:type="dxa"/>
              <w:bottom w:w="100" w:type="dxa"/>
              <w:right w:w="100" w:type="dxa"/>
            </w:tcMar>
          </w:tcPr>
          <w:p w14:paraId="61CAAD6C" w14:textId="77777777" w:rsidR="007A45C3" w:rsidRDefault="00594977">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Chima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Alawode</w:t>
            </w:r>
            <w:proofErr w:type="spellEnd"/>
            <w:r>
              <w:rPr>
                <w:rFonts w:ascii="Times New Roman" w:eastAsia="Times New Roman" w:hAnsi="Times New Roman" w:cs="Times New Roman"/>
                <w:sz w:val="24"/>
                <w:szCs w:val="24"/>
              </w:rPr>
              <w:t xml:space="preserve"> (2020)</w:t>
            </w:r>
          </w:p>
        </w:tc>
        <w:tc>
          <w:tcPr>
            <w:tcW w:w="1695" w:type="dxa"/>
            <w:tcBorders>
              <w:top w:val="nil"/>
              <w:left w:val="nil"/>
              <w:bottom w:val="nil"/>
              <w:right w:val="nil"/>
            </w:tcBorders>
            <w:tcMar>
              <w:top w:w="100" w:type="dxa"/>
              <w:left w:w="100" w:type="dxa"/>
              <w:bottom w:w="100" w:type="dxa"/>
              <w:right w:w="100" w:type="dxa"/>
            </w:tcMar>
          </w:tcPr>
          <w:p w14:paraId="376BE30C"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w:t>
            </w:r>
          </w:p>
        </w:tc>
        <w:tc>
          <w:tcPr>
            <w:tcW w:w="1515" w:type="dxa"/>
            <w:tcBorders>
              <w:top w:val="nil"/>
              <w:left w:val="nil"/>
              <w:bottom w:val="nil"/>
              <w:right w:val="nil"/>
            </w:tcBorders>
            <w:tcMar>
              <w:top w:w="100" w:type="dxa"/>
              <w:left w:w="100" w:type="dxa"/>
              <w:bottom w:w="100" w:type="dxa"/>
              <w:right w:w="100" w:type="dxa"/>
            </w:tcMar>
          </w:tcPr>
          <w:p w14:paraId="40F222E5"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Rural Nigeria</w:t>
            </w:r>
          </w:p>
        </w:tc>
        <w:tc>
          <w:tcPr>
            <w:tcW w:w="1245" w:type="dxa"/>
            <w:tcBorders>
              <w:top w:val="nil"/>
              <w:left w:val="nil"/>
              <w:bottom w:val="nil"/>
              <w:right w:val="nil"/>
            </w:tcBorders>
            <w:tcMar>
              <w:top w:w="100" w:type="dxa"/>
              <w:left w:w="100" w:type="dxa"/>
              <w:bottom w:w="100" w:type="dxa"/>
              <w:right w:w="100" w:type="dxa"/>
            </w:tcMar>
          </w:tcPr>
          <w:p w14:paraId="2431755F"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&lt;500</w:t>
            </w:r>
          </w:p>
        </w:tc>
        <w:tc>
          <w:tcPr>
            <w:tcW w:w="1515" w:type="dxa"/>
            <w:tcBorders>
              <w:top w:val="nil"/>
              <w:left w:val="nil"/>
              <w:bottom w:val="nil"/>
              <w:right w:val="nil"/>
            </w:tcBorders>
            <w:tcMar>
              <w:top w:w="100" w:type="dxa"/>
              <w:left w:w="100" w:type="dxa"/>
              <w:bottom w:w="100" w:type="dxa"/>
              <w:right w:w="100" w:type="dxa"/>
            </w:tcMar>
          </w:tcPr>
          <w:p w14:paraId="1870909C"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 adolescents</w:t>
            </w:r>
          </w:p>
        </w:tc>
        <w:tc>
          <w:tcPr>
            <w:tcW w:w="2265" w:type="dxa"/>
            <w:tcBorders>
              <w:top w:val="nil"/>
              <w:left w:val="nil"/>
              <w:bottom w:val="nil"/>
              <w:right w:val="nil"/>
            </w:tcBorders>
            <w:tcMar>
              <w:top w:w="100" w:type="dxa"/>
              <w:left w:w="100" w:type="dxa"/>
              <w:bottom w:w="100" w:type="dxa"/>
              <w:right w:w="100" w:type="dxa"/>
            </w:tcMar>
          </w:tcPr>
          <w:p w14:paraId="31687502"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 exposure improves uptake</w:t>
            </w:r>
          </w:p>
        </w:tc>
      </w:tr>
      <w:tr w:rsidR="007A45C3" w14:paraId="585432B9" w14:textId="77777777">
        <w:trPr>
          <w:trHeight w:val="800"/>
        </w:trPr>
        <w:tc>
          <w:tcPr>
            <w:tcW w:w="1560" w:type="dxa"/>
            <w:tcBorders>
              <w:top w:val="nil"/>
              <w:left w:val="nil"/>
              <w:bottom w:val="nil"/>
              <w:right w:val="nil"/>
            </w:tcBorders>
            <w:tcMar>
              <w:top w:w="100" w:type="dxa"/>
              <w:left w:w="100" w:type="dxa"/>
              <w:bottom w:w="100" w:type="dxa"/>
              <w:right w:w="100" w:type="dxa"/>
            </w:tcMar>
          </w:tcPr>
          <w:p w14:paraId="14F84E1D" w14:textId="77777777" w:rsidR="007A45C3" w:rsidRDefault="00594977">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Umoren</w:t>
            </w:r>
            <w:proofErr w:type="spellEnd"/>
            <w:r>
              <w:rPr>
                <w:rFonts w:ascii="Times New Roman" w:eastAsia="Times New Roman" w:hAnsi="Times New Roman" w:cs="Times New Roman"/>
                <w:sz w:val="24"/>
                <w:szCs w:val="24"/>
              </w:rPr>
              <w:t xml:space="preserve"> (2021)</w:t>
            </w:r>
          </w:p>
        </w:tc>
        <w:tc>
          <w:tcPr>
            <w:tcW w:w="1695" w:type="dxa"/>
            <w:tcBorders>
              <w:top w:val="nil"/>
              <w:left w:val="nil"/>
              <w:bottom w:val="nil"/>
              <w:right w:val="nil"/>
            </w:tcBorders>
            <w:tcMar>
              <w:top w:w="100" w:type="dxa"/>
              <w:left w:w="100" w:type="dxa"/>
              <w:bottom w:w="100" w:type="dxa"/>
              <w:right w:w="100" w:type="dxa"/>
            </w:tcMar>
          </w:tcPr>
          <w:p w14:paraId="14D95DF8"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Mixed-methods</w:t>
            </w:r>
          </w:p>
        </w:tc>
        <w:tc>
          <w:tcPr>
            <w:tcW w:w="1515" w:type="dxa"/>
            <w:tcBorders>
              <w:top w:val="nil"/>
              <w:left w:val="nil"/>
              <w:bottom w:val="nil"/>
              <w:right w:val="nil"/>
            </w:tcBorders>
            <w:tcMar>
              <w:top w:w="100" w:type="dxa"/>
              <w:left w:w="100" w:type="dxa"/>
              <w:bottom w:w="100" w:type="dxa"/>
              <w:right w:w="100" w:type="dxa"/>
            </w:tcMar>
          </w:tcPr>
          <w:p w14:paraId="71F6A5BE"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Southern Nigeria</w:t>
            </w:r>
          </w:p>
        </w:tc>
        <w:tc>
          <w:tcPr>
            <w:tcW w:w="1245" w:type="dxa"/>
            <w:tcBorders>
              <w:top w:val="nil"/>
              <w:left w:val="nil"/>
              <w:bottom w:val="nil"/>
              <w:right w:val="nil"/>
            </w:tcBorders>
            <w:tcMar>
              <w:top w:w="100" w:type="dxa"/>
              <w:left w:w="100" w:type="dxa"/>
              <w:bottom w:w="100" w:type="dxa"/>
              <w:right w:w="100" w:type="dxa"/>
            </w:tcMar>
          </w:tcPr>
          <w:p w14:paraId="1E416223"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&lt;300</w:t>
            </w:r>
          </w:p>
        </w:tc>
        <w:tc>
          <w:tcPr>
            <w:tcW w:w="1515" w:type="dxa"/>
            <w:tcBorders>
              <w:top w:val="nil"/>
              <w:left w:val="nil"/>
              <w:bottom w:val="nil"/>
              <w:right w:val="nil"/>
            </w:tcBorders>
            <w:tcMar>
              <w:top w:w="100" w:type="dxa"/>
              <w:left w:w="100" w:type="dxa"/>
              <w:bottom w:w="100" w:type="dxa"/>
              <w:right w:w="100" w:type="dxa"/>
            </w:tcMar>
          </w:tcPr>
          <w:p w14:paraId="4D5E92C9"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Adolescents</w:t>
            </w:r>
          </w:p>
        </w:tc>
        <w:tc>
          <w:tcPr>
            <w:tcW w:w="2265" w:type="dxa"/>
            <w:tcBorders>
              <w:top w:val="nil"/>
              <w:left w:val="nil"/>
              <w:bottom w:val="nil"/>
              <w:right w:val="nil"/>
            </w:tcBorders>
            <w:tcMar>
              <w:top w:w="100" w:type="dxa"/>
              <w:left w:w="100" w:type="dxa"/>
              <w:bottom w:w="100" w:type="dxa"/>
              <w:right w:w="100" w:type="dxa"/>
            </w:tcMar>
          </w:tcPr>
          <w:p w14:paraId="4031FA18"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Socioeconomic barriers significant</w:t>
            </w:r>
          </w:p>
        </w:tc>
      </w:tr>
      <w:tr w:rsidR="007A45C3" w14:paraId="7FEF2A6F" w14:textId="77777777">
        <w:trPr>
          <w:trHeight w:val="800"/>
        </w:trPr>
        <w:tc>
          <w:tcPr>
            <w:tcW w:w="1560" w:type="dxa"/>
            <w:tcBorders>
              <w:top w:val="nil"/>
              <w:left w:val="nil"/>
              <w:bottom w:val="nil"/>
              <w:right w:val="nil"/>
            </w:tcBorders>
            <w:tcMar>
              <w:top w:w="100" w:type="dxa"/>
              <w:left w:w="100" w:type="dxa"/>
              <w:bottom w:w="100" w:type="dxa"/>
              <w:right w:w="100" w:type="dxa"/>
            </w:tcMar>
          </w:tcPr>
          <w:p w14:paraId="312AD267" w14:textId="77777777" w:rsidR="007A45C3" w:rsidRDefault="00594977">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Disu</w:t>
            </w:r>
            <w:proofErr w:type="spellEnd"/>
            <w:r>
              <w:rPr>
                <w:rFonts w:ascii="Times New Roman" w:eastAsia="Times New Roman" w:hAnsi="Times New Roman" w:cs="Times New Roman"/>
                <w:sz w:val="24"/>
                <w:szCs w:val="24"/>
              </w:rPr>
              <w:t xml:space="preserve"> (2025)</w:t>
            </w:r>
          </w:p>
        </w:tc>
        <w:tc>
          <w:tcPr>
            <w:tcW w:w="1695" w:type="dxa"/>
            <w:tcBorders>
              <w:top w:val="nil"/>
              <w:left w:val="nil"/>
              <w:bottom w:val="nil"/>
              <w:right w:val="nil"/>
            </w:tcBorders>
            <w:tcMar>
              <w:top w:w="100" w:type="dxa"/>
              <w:left w:w="100" w:type="dxa"/>
              <w:bottom w:w="100" w:type="dxa"/>
              <w:right w:w="100" w:type="dxa"/>
            </w:tcMar>
          </w:tcPr>
          <w:p w14:paraId="52D6822C"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w:t>
            </w:r>
          </w:p>
        </w:tc>
        <w:tc>
          <w:tcPr>
            <w:tcW w:w="1515" w:type="dxa"/>
            <w:tcBorders>
              <w:top w:val="nil"/>
              <w:left w:val="nil"/>
              <w:bottom w:val="nil"/>
              <w:right w:val="nil"/>
            </w:tcBorders>
            <w:tcMar>
              <w:top w:w="100" w:type="dxa"/>
              <w:left w:w="100" w:type="dxa"/>
              <w:bottom w:w="100" w:type="dxa"/>
              <w:right w:w="100" w:type="dxa"/>
            </w:tcMar>
          </w:tcPr>
          <w:p w14:paraId="0A4CBA23"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Oyo State</w:t>
            </w:r>
          </w:p>
        </w:tc>
        <w:tc>
          <w:tcPr>
            <w:tcW w:w="1245" w:type="dxa"/>
            <w:tcBorders>
              <w:top w:val="nil"/>
              <w:left w:val="nil"/>
              <w:bottom w:val="nil"/>
              <w:right w:val="nil"/>
            </w:tcBorders>
            <w:tcMar>
              <w:top w:w="100" w:type="dxa"/>
              <w:left w:w="100" w:type="dxa"/>
              <w:bottom w:w="100" w:type="dxa"/>
              <w:right w:w="100" w:type="dxa"/>
            </w:tcMar>
          </w:tcPr>
          <w:p w14:paraId="3C8D96A0"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&lt;400</w:t>
            </w:r>
          </w:p>
        </w:tc>
        <w:tc>
          <w:tcPr>
            <w:tcW w:w="1515" w:type="dxa"/>
            <w:tcBorders>
              <w:top w:val="nil"/>
              <w:left w:val="nil"/>
              <w:bottom w:val="nil"/>
              <w:right w:val="nil"/>
            </w:tcBorders>
            <w:tcMar>
              <w:top w:w="100" w:type="dxa"/>
              <w:left w:w="100" w:type="dxa"/>
              <w:bottom w:w="100" w:type="dxa"/>
              <w:right w:w="100" w:type="dxa"/>
            </w:tcMar>
          </w:tcPr>
          <w:p w14:paraId="1ED83DA9"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Women incl. adolescents</w:t>
            </w:r>
          </w:p>
        </w:tc>
        <w:tc>
          <w:tcPr>
            <w:tcW w:w="2265" w:type="dxa"/>
            <w:tcBorders>
              <w:top w:val="nil"/>
              <w:left w:val="nil"/>
              <w:bottom w:val="nil"/>
              <w:right w:val="nil"/>
            </w:tcBorders>
            <w:tcMar>
              <w:top w:w="100" w:type="dxa"/>
              <w:left w:w="100" w:type="dxa"/>
              <w:bottom w:w="100" w:type="dxa"/>
              <w:right w:w="100" w:type="dxa"/>
            </w:tcMar>
          </w:tcPr>
          <w:p w14:paraId="68C24573"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Partner influence critical</w:t>
            </w:r>
          </w:p>
        </w:tc>
      </w:tr>
      <w:tr w:rsidR="007A45C3" w14:paraId="7F049017" w14:textId="77777777">
        <w:trPr>
          <w:trHeight w:val="800"/>
        </w:trPr>
        <w:tc>
          <w:tcPr>
            <w:tcW w:w="1560" w:type="dxa"/>
            <w:tcBorders>
              <w:top w:val="nil"/>
              <w:left w:val="nil"/>
              <w:bottom w:val="nil"/>
              <w:right w:val="nil"/>
            </w:tcBorders>
            <w:tcMar>
              <w:top w:w="100" w:type="dxa"/>
              <w:left w:w="100" w:type="dxa"/>
              <w:bottom w:w="100" w:type="dxa"/>
              <w:right w:w="100" w:type="dxa"/>
            </w:tcMar>
          </w:tcPr>
          <w:p w14:paraId="153BE67A" w14:textId="77777777" w:rsidR="007A45C3" w:rsidRDefault="00594977">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Ogundiran</w:t>
            </w:r>
            <w:proofErr w:type="spellEnd"/>
            <w:r>
              <w:rPr>
                <w:rFonts w:ascii="Times New Roman" w:eastAsia="Times New Roman" w:hAnsi="Times New Roman" w:cs="Times New Roman"/>
                <w:sz w:val="24"/>
                <w:szCs w:val="24"/>
              </w:rPr>
              <w:t xml:space="preserve"> et al. (2024)</w:t>
            </w:r>
          </w:p>
        </w:tc>
        <w:tc>
          <w:tcPr>
            <w:tcW w:w="1695" w:type="dxa"/>
            <w:tcBorders>
              <w:top w:val="nil"/>
              <w:left w:val="nil"/>
              <w:bottom w:val="nil"/>
              <w:right w:val="nil"/>
            </w:tcBorders>
            <w:tcMar>
              <w:top w:w="100" w:type="dxa"/>
              <w:left w:w="100" w:type="dxa"/>
              <w:bottom w:w="100" w:type="dxa"/>
              <w:right w:w="100" w:type="dxa"/>
            </w:tcMar>
          </w:tcPr>
          <w:p w14:paraId="36059D6E"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review</w:t>
            </w:r>
          </w:p>
        </w:tc>
        <w:tc>
          <w:tcPr>
            <w:tcW w:w="1515" w:type="dxa"/>
            <w:tcBorders>
              <w:top w:val="nil"/>
              <w:left w:val="nil"/>
              <w:bottom w:val="nil"/>
              <w:right w:val="nil"/>
            </w:tcBorders>
            <w:tcMar>
              <w:top w:w="100" w:type="dxa"/>
              <w:left w:w="100" w:type="dxa"/>
              <w:bottom w:w="100" w:type="dxa"/>
              <w:right w:w="100" w:type="dxa"/>
            </w:tcMar>
          </w:tcPr>
          <w:p w14:paraId="107546E7"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1245" w:type="dxa"/>
            <w:tcBorders>
              <w:top w:val="nil"/>
              <w:left w:val="nil"/>
              <w:bottom w:val="nil"/>
              <w:right w:val="nil"/>
            </w:tcBorders>
            <w:tcMar>
              <w:top w:w="100" w:type="dxa"/>
              <w:left w:w="100" w:type="dxa"/>
              <w:bottom w:w="100" w:type="dxa"/>
              <w:right w:w="100" w:type="dxa"/>
            </w:tcMar>
          </w:tcPr>
          <w:p w14:paraId="7E2DB965"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studies</w:t>
            </w:r>
          </w:p>
        </w:tc>
        <w:tc>
          <w:tcPr>
            <w:tcW w:w="1515" w:type="dxa"/>
            <w:tcBorders>
              <w:top w:val="nil"/>
              <w:left w:val="nil"/>
              <w:bottom w:val="nil"/>
              <w:right w:val="nil"/>
            </w:tcBorders>
            <w:tcMar>
              <w:top w:w="100" w:type="dxa"/>
              <w:left w:w="100" w:type="dxa"/>
              <w:bottom w:w="100" w:type="dxa"/>
              <w:right w:w="100" w:type="dxa"/>
            </w:tcMar>
          </w:tcPr>
          <w:p w14:paraId="3B2E61B6"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Adolescents</w:t>
            </w:r>
          </w:p>
        </w:tc>
        <w:tc>
          <w:tcPr>
            <w:tcW w:w="2265" w:type="dxa"/>
            <w:tcBorders>
              <w:top w:val="nil"/>
              <w:left w:val="nil"/>
              <w:bottom w:val="nil"/>
              <w:right w:val="nil"/>
            </w:tcBorders>
            <w:tcMar>
              <w:top w:w="100" w:type="dxa"/>
              <w:left w:w="100" w:type="dxa"/>
              <w:bottom w:w="100" w:type="dxa"/>
              <w:right w:w="100" w:type="dxa"/>
            </w:tcMar>
          </w:tcPr>
          <w:p w14:paraId="7D674D11"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Sociocultural norms restrict use</w:t>
            </w:r>
          </w:p>
        </w:tc>
      </w:tr>
      <w:tr w:rsidR="007A45C3" w14:paraId="16EA3FF4" w14:textId="77777777">
        <w:trPr>
          <w:trHeight w:val="1085"/>
        </w:trPr>
        <w:tc>
          <w:tcPr>
            <w:tcW w:w="1560" w:type="dxa"/>
            <w:tcBorders>
              <w:top w:val="nil"/>
              <w:left w:val="nil"/>
              <w:bottom w:val="nil"/>
              <w:right w:val="nil"/>
            </w:tcBorders>
            <w:tcMar>
              <w:top w:w="100" w:type="dxa"/>
              <w:left w:w="100" w:type="dxa"/>
              <w:bottom w:w="100" w:type="dxa"/>
              <w:right w:w="100" w:type="dxa"/>
            </w:tcMar>
          </w:tcPr>
          <w:p w14:paraId="6D18B990" w14:textId="77777777" w:rsidR="007A45C3" w:rsidRDefault="00594977">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Chichaya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Awosanya</w:t>
            </w:r>
            <w:proofErr w:type="spellEnd"/>
            <w:r>
              <w:rPr>
                <w:rFonts w:ascii="Times New Roman" w:eastAsia="Times New Roman" w:hAnsi="Times New Roman" w:cs="Times New Roman"/>
                <w:sz w:val="24"/>
                <w:szCs w:val="24"/>
              </w:rPr>
              <w:t xml:space="preserve"> (2024)</w:t>
            </w:r>
          </w:p>
        </w:tc>
        <w:tc>
          <w:tcPr>
            <w:tcW w:w="1695" w:type="dxa"/>
            <w:tcBorders>
              <w:top w:val="nil"/>
              <w:left w:val="nil"/>
              <w:bottom w:val="nil"/>
              <w:right w:val="nil"/>
            </w:tcBorders>
            <w:tcMar>
              <w:top w:w="100" w:type="dxa"/>
              <w:left w:w="100" w:type="dxa"/>
              <w:bottom w:w="100" w:type="dxa"/>
              <w:right w:w="100" w:type="dxa"/>
            </w:tcMar>
          </w:tcPr>
          <w:p w14:paraId="6893C937"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w:t>
            </w:r>
          </w:p>
        </w:tc>
        <w:tc>
          <w:tcPr>
            <w:tcW w:w="1515" w:type="dxa"/>
            <w:tcBorders>
              <w:top w:val="nil"/>
              <w:left w:val="nil"/>
              <w:bottom w:val="nil"/>
              <w:right w:val="nil"/>
            </w:tcBorders>
            <w:tcMar>
              <w:top w:w="100" w:type="dxa"/>
              <w:left w:w="100" w:type="dxa"/>
              <w:bottom w:w="100" w:type="dxa"/>
              <w:right w:w="100" w:type="dxa"/>
            </w:tcMar>
          </w:tcPr>
          <w:p w14:paraId="089B1F39"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1245" w:type="dxa"/>
            <w:tcBorders>
              <w:top w:val="nil"/>
              <w:left w:val="nil"/>
              <w:bottom w:val="nil"/>
              <w:right w:val="nil"/>
            </w:tcBorders>
            <w:tcMar>
              <w:top w:w="100" w:type="dxa"/>
              <w:left w:w="100" w:type="dxa"/>
              <w:bottom w:w="100" w:type="dxa"/>
              <w:right w:w="100" w:type="dxa"/>
            </w:tcMar>
          </w:tcPr>
          <w:p w14:paraId="420971D3"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studies</w:t>
            </w:r>
          </w:p>
        </w:tc>
        <w:tc>
          <w:tcPr>
            <w:tcW w:w="1515" w:type="dxa"/>
            <w:tcBorders>
              <w:top w:val="nil"/>
              <w:left w:val="nil"/>
              <w:bottom w:val="nil"/>
              <w:right w:val="nil"/>
            </w:tcBorders>
            <w:tcMar>
              <w:top w:w="100" w:type="dxa"/>
              <w:left w:w="100" w:type="dxa"/>
              <w:bottom w:w="100" w:type="dxa"/>
              <w:right w:w="100" w:type="dxa"/>
            </w:tcMar>
          </w:tcPr>
          <w:p w14:paraId="7F607441"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Adolescents</w:t>
            </w:r>
          </w:p>
        </w:tc>
        <w:tc>
          <w:tcPr>
            <w:tcW w:w="2265" w:type="dxa"/>
            <w:tcBorders>
              <w:top w:val="nil"/>
              <w:left w:val="nil"/>
              <w:bottom w:val="nil"/>
              <w:right w:val="nil"/>
            </w:tcBorders>
            <w:tcMar>
              <w:top w:w="100" w:type="dxa"/>
              <w:left w:w="100" w:type="dxa"/>
              <w:bottom w:w="100" w:type="dxa"/>
              <w:right w:w="100" w:type="dxa"/>
            </w:tcMar>
          </w:tcPr>
          <w:p w14:paraId="3258E231"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Religious beliefs limit uptake</w:t>
            </w:r>
          </w:p>
        </w:tc>
      </w:tr>
      <w:tr w:rsidR="007A45C3" w14:paraId="60F29DDA" w14:textId="77777777">
        <w:trPr>
          <w:trHeight w:val="1085"/>
        </w:trPr>
        <w:tc>
          <w:tcPr>
            <w:tcW w:w="1560" w:type="dxa"/>
            <w:tcBorders>
              <w:top w:val="nil"/>
              <w:left w:val="nil"/>
              <w:bottom w:val="nil"/>
              <w:right w:val="nil"/>
            </w:tcBorders>
            <w:tcMar>
              <w:top w:w="100" w:type="dxa"/>
              <w:left w:w="100" w:type="dxa"/>
              <w:bottom w:w="100" w:type="dxa"/>
              <w:right w:w="100" w:type="dxa"/>
            </w:tcMar>
          </w:tcPr>
          <w:p w14:paraId="33A4386D"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Israel et al. (2019)</w:t>
            </w:r>
          </w:p>
        </w:tc>
        <w:tc>
          <w:tcPr>
            <w:tcW w:w="1695" w:type="dxa"/>
            <w:tcBorders>
              <w:top w:val="nil"/>
              <w:left w:val="nil"/>
              <w:bottom w:val="nil"/>
              <w:right w:val="nil"/>
            </w:tcBorders>
            <w:tcMar>
              <w:top w:w="100" w:type="dxa"/>
              <w:left w:w="100" w:type="dxa"/>
              <w:bottom w:w="100" w:type="dxa"/>
              <w:right w:w="100" w:type="dxa"/>
            </w:tcMar>
          </w:tcPr>
          <w:p w14:paraId="3E157DB2"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w:t>
            </w:r>
          </w:p>
        </w:tc>
        <w:tc>
          <w:tcPr>
            <w:tcW w:w="1515" w:type="dxa"/>
            <w:tcBorders>
              <w:top w:val="nil"/>
              <w:left w:val="nil"/>
              <w:bottom w:val="nil"/>
              <w:right w:val="nil"/>
            </w:tcBorders>
            <w:tcMar>
              <w:top w:w="100" w:type="dxa"/>
              <w:left w:w="100" w:type="dxa"/>
              <w:bottom w:w="100" w:type="dxa"/>
              <w:right w:w="100" w:type="dxa"/>
            </w:tcMar>
          </w:tcPr>
          <w:p w14:paraId="5983F62C"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Osun State</w:t>
            </w:r>
          </w:p>
        </w:tc>
        <w:tc>
          <w:tcPr>
            <w:tcW w:w="1245" w:type="dxa"/>
            <w:tcBorders>
              <w:top w:val="nil"/>
              <w:left w:val="nil"/>
              <w:bottom w:val="nil"/>
              <w:right w:val="nil"/>
            </w:tcBorders>
            <w:tcMar>
              <w:top w:w="100" w:type="dxa"/>
              <w:left w:w="100" w:type="dxa"/>
              <w:bottom w:w="100" w:type="dxa"/>
              <w:right w:w="100" w:type="dxa"/>
            </w:tcMar>
          </w:tcPr>
          <w:p w14:paraId="3687CE07"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&lt;500</w:t>
            </w:r>
          </w:p>
        </w:tc>
        <w:tc>
          <w:tcPr>
            <w:tcW w:w="1515" w:type="dxa"/>
            <w:tcBorders>
              <w:top w:val="nil"/>
              <w:left w:val="nil"/>
              <w:bottom w:val="nil"/>
              <w:right w:val="nil"/>
            </w:tcBorders>
            <w:tcMar>
              <w:top w:w="100" w:type="dxa"/>
              <w:left w:w="100" w:type="dxa"/>
              <w:bottom w:w="100" w:type="dxa"/>
              <w:right w:w="100" w:type="dxa"/>
            </w:tcMar>
          </w:tcPr>
          <w:p w14:paraId="12F7A66E"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In-school adolescents</w:t>
            </w:r>
          </w:p>
        </w:tc>
        <w:tc>
          <w:tcPr>
            <w:tcW w:w="2265" w:type="dxa"/>
            <w:tcBorders>
              <w:top w:val="nil"/>
              <w:left w:val="nil"/>
              <w:bottom w:val="nil"/>
              <w:right w:val="nil"/>
            </w:tcBorders>
            <w:tcMar>
              <w:top w:w="100" w:type="dxa"/>
              <w:left w:w="100" w:type="dxa"/>
              <w:bottom w:w="100" w:type="dxa"/>
              <w:right w:w="100" w:type="dxa"/>
            </w:tcMar>
          </w:tcPr>
          <w:p w14:paraId="41B8932B"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Urban adolescents use more </w:t>
            </w:r>
            <w:r>
              <w:rPr>
                <w:rFonts w:ascii="Times New Roman" w:eastAsia="Times New Roman" w:hAnsi="Times New Roman" w:cs="Times New Roman"/>
                <w:sz w:val="24"/>
                <w:szCs w:val="24"/>
              </w:rPr>
              <w:t>contraception</w:t>
            </w:r>
          </w:p>
        </w:tc>
      </w:tr>
      <w:tr w:rsidR="007A45C3" w14:paraId="3214793C" w14:textId="77777777">
        <w:trPr>
          <w:trHeight w:val="800"/>
        </w:trPr>
        <w:tc>
          <w:tcPr>
            <w:tcW w:w="1560" w:type="dxa"/>
            <w:tcBorders>
              <w:top w:val="nil"/>
              <w:left w:val="nil"/>
              <w:bottom w:val="nil"/>
              <w:right w:val="nil"/>
            </w:tcBorders>
            <w:tcMar>
              <w:top w:w="100" w:type="dxa"/>
              <w:left w:w="100" w:type="dxa"/>
              <w:bottom w:w="100" w:type="dxa"/>
              <w:right w:w="100" w:type="dxa"/>
            </w:tcMar>
          </w:tcPr>
          <w:p w14:paraId="569EAE1A" w14:textId="77777777" w:rsidR="007A45C3" w:rsidRDefault="00594977">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Itopa</w:t>
            </w:r>
            <w:proofErr w:type="spellEnd"/>
            <w:r>
              <w:rPr>
                <w:rFonts w:ascii="Times New Roman" w:eastAsia="Times New Roman" w:hAnsi="Times New Roman" w:cs="Times New Roman"/>
                <w:sz w:val="24"/>
                <w:szCs w:val="24"/>
              </w:rPr>
              <w:t xml:space="preserve"> (2020)</w:t>
            </w:r>
          </w:p>
        </w:tc>
        <w:tc>
          <w:tcPr>
            <w:tcW w:w="1695" w:type="dxa"/>
            <w:tcBorders>
              <w:top w:val="nil"/>
              <w:left w:val="nil"/>
              <w:bottom w:val="nil"/>
              <w:right w:val="nil"/>
            </w:tcBorders>
            <w:tcMar>
              <w:top w:w="100" w:type="dxa"/>
              <w:left w:w="100" w:type="dxa"/>
              <w:bottom w:w="100" w:type="dxa"/>
              <w:right w:w="100" w:type="dxa"/>
            </w:tcMar>
          </w:tcPr>
          <w:p w14:paraId="208A0998"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Cross-sectional</w:t>
            </w:r>
          </w:p>
        </w:tc>
        <w:tc>
          <w:tcPr>
            <w:tcW w:w="1515" w:type="dxa"/>
            <w:tcBorders>
              <w:top w:val="nil"/>
              <w:left w:val="nil"/>
              <w:bottom w:val="nil"/>
              <w:right w:val="nil"/>
            </w:tcBorders>
            <w:tcMar>
              <w:top w:w="100" w:type="dxa"/>
              <w:left w:w="100" w:type="dxa"/>
              <w:bottom w:w="100" w:type="dxa"/>
              <w:right w:w="100" w:type="dxa"/>
            </w:tcMar>
          </w:tcPr>
          <w:p w14:paraId="6A9EC024"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1245" w:type="dxa"/>
            <w:tcBorders>
              <w:top w:val="nil"/>
              <w:left w:val="nil"/>
              <w:bottom w:val="nil"/>
              <w:right w:val="nil"/>
            </w:tcBorders>
            <w:tcMar>
              <w:top w:w="100" w:type="dxa"/>
              <w:left w:w="100" w:type="dxa"/>
              <w:bottom w:w="100" w:type="dxa"/>
              <w:right w:w="100" w:type="dxa"/>
            </w:tcMar>
          </w:tcPr>
          <w:p w14:paraId="673E208F"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&lt;300</w:t>
            </w:r>
          </w:p>
        </w:tc>
        <w:tc>
          <w:tcPr>
            <w:tcW w:w="1515" w:type="dxa"/>
            <w:tcBorders>
              <w:top w:val="nil"/>
              <w:left w:val="nil"/>
              <w:bottom w:val="nil"/>
              <w:right w:val="nil"/>
            </w:tcBorders>
            <w:tcMar>
              <w:top w:w="100" w:type="dxa"/>
              <w:left w:w="100" w:type="dxa"/>
              <w:bottom w:w="100" w:type="dxa"/>
              <w:right w:w="100" w:type="dxa"/>
            </w:tcMar>
          </w:tcPr>
          <w:p w14:paraId="5573F4FA"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Adolescents</w:t>
            </w:r>
          </w:p>
        </w:tc>
        <w:tc>
          <w:tcPr>
            <w:tcW w:w="2265" w:type="dxa"/>
            <w:tcBorders>
              <w:top w:val="nil"/>
              <w:left w:val="nil"/>
              <w:bottom w:val="nil"/>
              <w:right w:val="nil"/>
            </w:tcBorders>
            <w:tcMar>
              <w:top w:w="100" w:type="dxa"/>
              <w:left w:w="100" w:type="dxa"/>
              <w:bottom w:w="100" w:type="dxa"/>
              <w:right w:w="100" w:type="dxa"/>
            </w:tcMar>
          </w:tcPr>
          <w:p w14:paraId="5C89EB4B"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Fear and cost barriers</w:t>
            </w:r>
          </w:p>
        </w:tc>
      </w:tr>
      <w:tr w:rsidR="007A45C3" w14:paraId="27A1060F" w14:textId="77777777">
        <w:trPr>
          <w:trHeight w:val="1085"/>
        </w:trPr>
        <w:tc>
          <w:tcPr>
            <w:tcW w:w="1560" w:type="dxa"/>
            <w:tcBorders>
              <w:top w:val="nil"/>
              <w:left w:val="nil"/>
              <w:bottom w:val="nil"/>
              <w:right w:val="nil"/>
            </w:tcBorders>
            <w:tcMar>
              <w:top w:w="100" w:type="dxa"/>
              <w:left w:w="100" w:type="dxa"/>
              <w:bottom w:w="100" w:type="dxa"/>
              <w:right w:w="100" w:type="dxa"/>
            </w:tcMar>
          </w:tcPr>
          <w:p w14:paraId="567BB63B" w14:textId="77777777" w:rsidR="007A45C3" w:rsidRDefault="00594977">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Kayira</w:t>
            </w:r>
            <w:proofErr w:type="spellEnd"/>
            <w:r>
              <w:rPr>
                <w:rFonts w:ascii="Times New Roman" w:eastAsia="Times New Roman" w:hAnsi="Times New Roman" w:cs="Times New Roman"/>
                <w:sz w:val="24"/>
                <w:szCs w:val="24"/>
              </w:rPr>
              <w:t xml:space="preserve"> (2019)</w:t>
            </w:r>
          </w:p>
        </w:tc>
        <w:tc>
          <w:tcPr>
            <w:tcW w:w="1695" w:type="dxa"/>
            <w:tcBorders>
              <w:top w:val="nil"/>
              <w:left w:val="nil"/>
              <w:bottom w:val="nil"/>
              <w:right w:val="nil"/>
            </w:tcBorders>
            <w:tcMar>
              <w:top w:w="100" w:type="dxa"/>
              <w:left w:w="100" w:type="dxa"/>
              <w:bottom w:w="100" w:type="dxa"/>
              <w:right w:w="100" w:type="dxa"/>
            </w:tcMar>
          </w:tcPr>
          <w:p w14:paraId="630AE18E"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w:t>
            </w:r>
          </w:p>
        </w:tc>
        <w:tc>
          <w:tcPr>
            <w:tcW w:w="1515" w:type="dxa"/>
            <w:tcBorders>
              <w:top w:val="nil"/>
              <w:left w:val="nil"/>
              <w:bottom w:val="nil"/>
              <w:right w:val="nil"/>
            </w:tcBorders>
            <w:tcMar>
              <w:top w:w="100" w:type="dxa"/>
              <w:left w:w="100" w:type="dxa"/>
              <w:bottom w:w="100" w:type="dxa"/>
              <w:right w:w="100" w:type="dxa"/>
            </w:tcMar>
          </w:tcPr>
          <w:p w14:paraId="337BE28C"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Africa </w:t>
            </w:r>
            <w:r>
              <w:rPr>
                <w:rFonts w:ascii="Times New Roman" w:eastAsia="Times New Roman" w:hAnsi="Times New Roman" w:cs="Times New Roman"/>
                <w:sz w:val="24"/>
                <w:szCs w:val="24"/>
              </w:rPr>
              <w:br/>
              <w:t>(incl. Nigeria context)</w:t>
            </w:r>
          </w:p>
        </w:tc>
        <w:tc>
          <w:tcPr>
            <w:tcW w:w="1245" w:type="dxa"/>
            <w:tcBorders>
              <w:top w:val="nil"/>
              <w:left w:val="nil"/>
              <w:bottom w:val="nil"/>
              <w:right w:val="nil"/>
            </w:tcBorders>
            <w:tcMar>
              <w:top w:w="100" w:type="dxa"/>
              <w:left w:w="100" w:type="dxa"/>
              <w:bottom w:w="100" w:type="dxa"/>
              <w:right w:w="100" w:type="dxa"/>
            </w:tcMar>
          </w:tcPr>
          <w:p w14:paraId="32AEE628"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&lt;200</w:t>
            </w:r>
          </w:p>
        </w:tc>
        <w:tc>
          <w:tcPr>
            <w:tcW w:w="1515" w:type="dxa"/>
            <w:tcBorders>
              <w:top w:val="nil"/>
              <w:left w:val="nil"/>
              <w:bottom w:val="nil"/>
              <w:right w:val="nil"/>
            </w:tcBorders>
            <w:tcMar>
              <w:top w:w="100" w:type="dxa"/>
              <w:left w:w="100" w:type="dxa"/>
              <w:bottom w:w="100" w:type="dxa"/>
              <w:right w:w="100" w:type="dxa"/>
            </w:tcMar>
          </w:tcPr>
          <w:p w14:paraId="7AC06970"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Youth</w:t>
            </w:r>
          </w:p>
        </w:tc>
        <w:tc>
          <w:tcPr>
            <w:tcW w:w="2265" w:type="dxa"/>
            <w:tcBorders>
              <w:top w:val="nil"/>
              <w:left w:val="nil"/>
              <w:bottom w:val="nil"/>
              <w:right w:val="nil"/>
            </w:tcBorders>
            <w:tcMar>
              <w:top w:w="100" w:type="dxa"/>
              <w:left w:w="100" w:type="dxa"/>
              <w:bottom w:w="100" w:type="dxa"/>
              <w:right w:w="100" w:type="dxa"/>
            </w:tcMar>
          </w:tcPr>
          <w:p w14:paraId="4299F6E2"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Peer influence important</w:t>
            </w:r>
          </w:p>
        </w:tc>
      </w:tr>
      <w:tr w:rsidR="007A45C3" w14:paraId="3871258E" w14:textId="77777777">
        <w:trPr>
          <w:trHeight w:val="800"/>
        </w:trPr>
        <w:tc>
          <w:tcPr>
            <w:tcW w:w="1560" w:type="dxa"/>
            <w:tcBorders>
              <w:top w:val="nil"/>
              <w:left w:val="nil"/>
              <w:bottom w:val="nil"/>
              <w:right w:val="nil"/>
            </w:tcBorders>
            <w:tcMar>
              <w:top w:w="100" w:type="dxa"/>
              <w:left w:w="100" w:type="dxa"/>
              <w:bottom w:w="100" w:type="dxa"/>
              <w:right w:w="100" w:type="dxa"/>
            </w:tcMar>
          </w:tcPr>
          <w:p w14:paraId="67722BA3" w14:textId="77777777" w:rsidR="007A45C3" w:rsidRDefault="00594977">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Alo</w:t>
            </w:r>
            <w:proofErr w:type="spellEnd"/>
            <w:r>
              <w:rPr>
                <w:rFonts w:ascii="Times New Roman" w:eastAsia="Times New Roman" w:hAnsi="Times New Roman" w:cs="Times New Roman"/>
                <w:sz w:val="24"/>
                <w:szCs w:val="24"/>
              </w:rPr>
              <w:t xml:space="preserve"> et al. (2020)</w:t>
            </w:r>
          </w:p>
        </w:tc>
        <w:tc>
          <w:tcPr>
            <w:tcW w:w="1695" w:type="dxa"/>
            <w:tcBorders>
              <w:top w:val="nil"/>
              <w:left w:val="nil"/>
              <w:bottom w:val="nil"/>
              <w:right w:val="nil"/>
            </w:tcBorders>
            <w:tcMar>
              <w:top w:w="100" w:type="dxa"/>
              <w:left w:w="100" w:type="dxa"/>
              <w:bottom w:w="100" w:type="dxa"/>
              <w:right w:w="100" w:type="dxa"/>
            </w:tcMar>
          </w:tcPr>
          <w:p w14:paraId="22010347"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Quantitative</w:t>
            </w:r>
          </w:p>
        </w:tc>
        <w:tc>
          <w:tcPr>
            <w:tcW w:w="1515" w:type="dxa"/>
            <w:tcBorders>
              <w:top w:val="nil"/>
              <w:left w:val="nil"/>
              <w:bottom w:val="nil"/>
              <w:right w:val="nil"/>
            </w:tcBorders>
            <w:tcMar>
              <w:top w:w="100" w:type="dxa"/>
              <w:left w:w="100" w:type="dxa"/>
              <w:bottom w:w="100" w:type="dxa"/>
              <w:right w:w="100" w:type="dxa"/>
            </w:tcMar>
          </w:tcPr>
          <w:p w14:paraId="1BE78653"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p>
        </w:tc>
        <w:tc>
          <w:tcPr>
            <w:tcW w:w="1245" w:type="dxa"/>
            <w:tcBorders>
              <w:top w:val="nil"/>
              <w:left w:val="nil"/>
              <w:bottom w:val="nil"/>
              <w:right w:val="nil"/>
            </w:tcBorders>
            <w:tcMar>
              <w:top w:w="100" w:type="dxa"/>
              <w:left w:w="100" w:type="dxa"/>
              <w:bottom w:w="100" w:type="dxa"/>
              <w:right w:w="100" w:type="dxa"/>
            </w:tcMar>
          </w:tcPr>
          <w:p w14:paraId="1C18D53A"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Large dataset</w:t>
            </w:r>
          </w:p>
        </w:tc>
        <w:tc>
          <w:tcPr>
            <w:tcW w:w="1515" w:type="dxa"/>
            <w:tcBorders>
              <w:top w:val="nil"/>
              <w:left w:val="nil"/>
              <w:bottom w:val="nil"/>
              <w:right w:val="nil"/>
            </w:tcBorders>
            <w:tcMar>
              <w:top w:w="100" w:type="dxa"/>
              <w:left w:w="100" w:type="dxa"/>
              <w:bottom w:w="100" w:type="dxa"/>
              <w:right w:w="100" w:type="dxa"/>
            </w:tcMar>
          </w:tcPr>
          <w:p w14:paraId="7FB8D8F3"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Women</w:t>
            </w:r>
          </w:p>
        </w:tc>
        <w:tc>
          <w:tcPr>
            <w:tcW w:w="2265" w:type="dxa"/>
            <w:tcBorders>
              <w:top w:val="nil"/>
              <w:left w:val="nil"/>
              <w:bottom w:val="nil"/>
              <w:right w:val="nil"/>
            </w:tcBorders>
            <w:tcMar>
              <w:top w:w="100" w:type="dxa"/>
              <w:left w:w="100" w:type="dxa"/>
              <w:bottom w:w="100" w:type="dxa"/>
              <w:right w:w="100" w:type="dxa"/>
            </w:tcMar>
          </w:tcPr>
          <w:p w14:paraId="7167DC08"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r>
              <w:rPr>
                <w:rFonts w:ascii="Times New Roman" w:eastAsia="Times New Roman" w:hAnsi="Times New Roman" w:cs="Times New Roman"/>
                <w:sz w:val="24"/>
                <w:szCs w:val="24"/>
              </w:rPr>
              <w:t xml:space="preserve"> strongly predicts use</w:t>
            </w:r>
          </w:p>
        </w:tc>
      </w:tr>
      <w:tr w:rsidR="007A45C3" w14:paraId="23768673" w14:textId="77777777">
        <w:trPr>
          <w:trHeight w:val="800"/>
        </w:trPr>
        <w:tc>
          <w:tcPr>
            <w:tcW w:w="1560" w:type="dxa"/>
            <w:tcBorders>
              <w:top w:val="nil"/>
              <w:left w:val="nil"/>
              <w:bottom w:val="nil"/>
              <w:right w:val="nil"/>
            </w:tcBorders>
            <w:tcMar>
              <w:top w:w="100" w:type="dxa"/>
              <w:left w:w="100" w:type="dxa"/>
              <w:bottom w:w="100" w:type="dxa"/>
              <w:right w:w="100" w:type="dxa"/>
            </w:tcMar>
          </w:tcPr>
          <w:p w14:paraId="67BA7BCB"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Sanchez et al. (2021)</w:t>
            </w:r>
          </w:p>
        </w:tc>
        <w:tc>
          <w:tcPr>
            <w:tcW w:w="1695" w:type="dxa"/>
            <w:tcBorders>
              <w:top w:val="nil"/>
              <w:left w:val="nil"/>
              <w:bottom w:val="nil"/>
              <w:right w:val="nil"/>
            </w:tcBorders>
            <w:tcMar>
              <w:top w:w="100" w:type="dxa"/>
              <w:left w:w="100" w:type="dxa"/>
              <w:bottom w:w="100" w:type="dxa"/>
              <w:right w:w="100" w:type="dxa"/>
            </w:tcMar>
          </w:tcPr>
          <w:p w14:paraId="782C1853"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w:t>
            </w:r>
          </w:p>
        </w:tc>
        <w:tc>
          <w:tcPr>
            <w:tcW w:w="1515" w:type="dxa"/>
            <w:tcBorders>
              <w:top w:val="nil"/>
              <w:left w:val="nil"/>
              <w:bottom w:val="nil"/>
              <w:right w:val="nil"/>
            </w:tcBorders>
            <w:tcMar>
              <w:top w:w="100" w:type="dxa"/>
              <w:left w:w="100" w:type="dxa"/>
              <w:bottom w:w="100" w:type="dxa"/>
              <w:right w:w="100" w:type="dxa"/>
            </w:tcMar>
          </w:tcPr>
          <w:p w14:paraId="4EAE127A"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 Nigeria</w:t>
            </w:r>
          </w:p>
        </w:tc>
        <w:tc>
          <w:tcPr>
            <w:tcW w:w="1245" w:type="dxa"/>
            <w:tcBorders>
              <w:top w:val="nil"/>
              <w:left w:val="nil"/>
              <w:bottom w:val="nil"/>
              <w:right w:val="nil"/>
            </w:tcBorders>
            <w:tcMar>
              <w:top w:w="100" w:type="dxa"/>
              <w:left w:w="100" w:type="dxa"/>
              <w:bottom w:w="100" w:type="dxa"/>
              <w:right w:w="100" w:type="dxa"/>
            </w:tcMar>
          </w:tcPr>
          <w:p w14:paraId="0707A293"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&lt;200</w:t>
            </w:r>
          </w:p>
        </w:tc>
        <w:tc>
          <w:tcPr>
            <w:tcW w:w="1515" w:type="dxa"/>
            <w:tcBorders>
              <w:top w:val="nil"/>
              <w:left w:val="nil"/>
              <w:bottom w:val="nil"/>
              <w:right w:val="nil"/>
            </w:tcBorders>
            <w:tcMar>
              <w:top w:w="100" w:type="dxa"/>
              <w:left w:w="100" w:type="dxa"/>
              <w:bottom w:w="100" w:type="dxa"/>
              <w:right w:w="100" w:type="dxa"/>
            </w:tcMar>
          </w:tcPr>
          <w:p w14:paraId="4AF4831F"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Adolescent females</w:t>
            </w:r>
          </w:p>
        </w:tc>
        <w:tc>
          <w:tcPr>
            <w:tcW w:w="2265" w:type="dxa"/>
            <w:tcBorders>
              <w:top w:val="nil"/>
              <w:left w:val="nil"/>
              <w:bottom w:val="nil"/>
              <w:right w:val="nil"/>
            </w:tcBorders>
            <w:tcMar>
              <w:top w:w="100" w:type="dxa"/>
              <w:left w:w="100" w:type="dxa"/>
              <w:bottom w:w="100" w:type="dxa"/>
              <w:right w:w="100" w:type="dxa"/>
            </w:tcMar>
          </w:tcPr>
          <w:p w14:paraId="21570C10"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norms and stigma major barriers</w:t>
            </w:r>
          </w:p>
        </w:tc>
      </w:tr>
    </w:tbl>
    <w:p w14:paraId="1510ABF1" w14:textId="77777777" w:rsidR="007A45C3" w:rsidRDefault="007A45C3">
      <w:pPr>
        <w:spacing w:line="240" w:lineRule="auto"/>
        <w:rPr>
          <w:rFonts w:ascii="Times New Roman" w:eastAsia="Times New Roman" w:hAnsi="Times New Roman" w:cs="Times New Roman"/>
          <w:sz w:val="24"/>
          <w:szCs w:val="24"/>
        </w:rPr>
      </w:pPr>
    </w:p>
    <w:p w14:paraId="3BA0FEF0" w14:textId="77777777" w:rsidR="007A45C3" w:rsidRDefault="00594977">
      <w:pPr>
        <w:pStyle w:val="Heading3"/>
        <w:keepNext w:val="0"/>
        <w:keepLines w:val="0"/>
        <w:spacing w:before="280" w:line="240" w:lineRule="auto"/>
        <w:rPr>
          <w:rFonts w:ascii="Times New Roman" w:eastAsia="Times New Roman" w:hAnsi="Times New Roman" w:cs="Times New Roman"/>
          <w:b/>
          <w:bCs/>
          <w:color w:val="000000"/>
          <w:sz w:val="24"/>
          <w:szCs w:val="24"/>
        </w:rPr>
      </w:pPr>
      <w:bookmarkStart w:id="42" w:name="_20vfiky9scti" w:colFirst="0" w:colLast="0"/>
      <w:bookmarkEnd w:id="42"/>
      <w:r>
        <w:rPr>
          <w:rFonts w:ascii="Times New Roman" w:eastAsia="Times New Roman" w:hAnsi="Times New Roman" w:cs="Times New Roman"/>
          <w:b/>
          <w:bCs/>
          <w:color w:val="000000"/>
          <w:sz w:val="24"/>
          <w:szCs w:val="24"/>
        </w:rPr>
        <w:t>Table 2: Factors Affecting Contraceptive Uptake</w:t>
      </w:r>
    </w:p>
    <w:tbl>
      <w:tblPr>
        <w:tblStyle w:val="Style11"/>
        <w:tblW w:w="9360"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655"/>
        <w:gridCol w:w="3855"/>
        <w:gridCol w:w="2850"/>
      </w:tblGrid>
      <w:tr w:rsidR="007A45C3" w14:paraId="62B27FD7" w14:textId="77777777">
        <w:trPr>
          <w:trHeight w:val="515"/>
        </w:trPr>
        <w:tc>
          <w:tcPr>
            <w:tcW w:w="2655" w:type="dxa"/>
            <w:tcBorders>
              <w:top w:val="nil"/>
              <w:left w:val="nil"/>
              <w:bottom w:val="nil"/>
              <w:right w:val="nil"/>
            </w:tcBorders>
            <w:tcMar>
              <w:top w:w="100" w:type="dxa"/>
              <w:left w:w="100" w:type="dxa"/>
              <w:bottom w:w="100" w:type="dxa"/>
              <w:right w:w="100" w:type="dxa"/>
            </w:tcMar>
          </w:tcPr>
          <w:p w14:paraId="2A61147B"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Category</w:t>
            </w:r>
          </w:p>
        </w:tc>
        <w:tc>
          <w:tcPr>
            <w:tcW w:w="3855" w:type="dxa"/>
            <w:tcBorders>
              <w:top w:val="nil"/>
              <w:left w:val="nil"/>
              <w:bottom w:val="nil"/>
              <w:right w:val="nil"/>
            </w:tcBorders>
            <w:tcMar>
              <w:top w:w="100" w:type="dxa"/>
              <w:left w:w="100" w:type="dxa"/>
              <w:bottom w:w="100" w:type="dxa"/>
              <w:right w:w="100" w:type="dxa"/>
            </w:tcMar>
          </w:tcPr>
          <w:p w14:paraId="695B7D9C"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Factors</w:t>
            </w:r>
          </w:p>
        </w:tc>
        <w:tc>
          <w:tcPr>
            <w:tcW w:w="2850" w:type="dxa"/>
            <w:tcBorders>
              <w:top w:val="nil"/>
              <w:left w:val="nil"/>
              <w:bottom w:val="nil"/>
              <w:right w:val="nil"/>
            </w:tcBorders>
            <w:tcMar>
              <w:top w:w="100" w:type="dxa"/>
              <w:left w:w="100" w:type="dxa"/>
              <w:bottom w:w="100" w:type="dxa"/>
              <w:right w:w="100" w:type="dxa"/>
            </w:tcMar>
          </w:tcPr>
          <w:p w14:paraId="75EEBC16"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Effect on Uptake</w:t>
            </w:r>
          </w:p>
        </w:tc>
      </w:tr>
      <w:tr w:rsidR="007A45C3" w14:paraId="7B0BA2BD" w14:textId="77777777">
        <w:trPr>
          <w:trHeight w:val="800"/>
        </w:trPr>
        <w:tc>
          <w:tcPr>
            <w:tcW w:w="2655" w:type="dxa"/>
            <w:tcBorders>
              <w:top w:val="nil"/>
              <w:left w:val="nil"/>
              <w:bottom w:val="nil"/>
              <w:right w:val="nil"/>
            </w:tcBorders>
            <w:tcMar>
              <w:top w:w="100" w:type="dxa"/>
              <w:left w:w="100" w:type="dxa"/>
              <w:bottom w:w="100" w:type="dxa"/>
              <w:right w:w="100" w:type="dxa"/>
            </w:tcMar>
          </w:tcPr>
          <w:p w14:paraId="74DF5204"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Individual</w:t>
            </w:r>
          </w:p>
        </w:tc>
        <w:tc>
          <w:tcPr>
            <w:tcW w:w="3855" w:type="dxa"/>
            <w:tcBorders>
              <w:top w:val="nil"/>
              <w:left w:val="nil"/>
              <w:bottom w:val="nil"/>
              <w:right w:val="nil"/>
            </w:tcBorders>
            <w:tcMar>
              <w:top w:w="100" w:type="dxa"/>
              <w:left w:w="100" w:type="dxa"/>
              <w:bottom w:w="100" w:type="dxa"/>
              <w:right w:w="100" w:type="dxa"/>
            </w:tcMar>
          </w:tcPr>
          <w:p w14:paraId="365A4769"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education, </w:t>
            </w:r>
            <w:r>
              <w:rPr>
                <w:rFonts w:ascii="Times New Roman" w:eastAsia="Times New Roman" w:hAnsi="Times New Roman" w:cs="Times New Roman"/>
                <w:sz w:val="24"/>
                <w:szCs w:val="24"/>
              </w:rPr>
              <w:t>knowledge, fear of side effects</w:t>
            </w:r>
          </w:p>
        </w:tc>
        <w:tc>
          <w:tcPr>
            <w:tcW w:w="2850" w:type="dxa"/>
            <w:tcBorders>
              <w:top w:val="nil"/>
              <w:left w:val="nil"/>
              <w:bottom w:val="nil"/>
              <w:right w:val="nil"/>
            </w:tcBorders>
            <w:tcMar>
              <w:top w:w="100" w:type="dxa"/>
              <w:left w:w="100" w:type="dxa"/>
              <w:bottom w:w="100" w:type="dxa"/>
              <w:right w:w="100" w:type="dxa"/>
            </w:tcMar>
          </w:tcPr>
          <w:p w14:paraId="4072469C" w14:textId="77777777" w:rsidR="007A45C3" w:rsidRDefault="00594977">
            <w:pPr>
              <w:spacing w:line="240" w:lineRule="auto"/>
              <w:rPr>
                <w:rFonts w:ascii="Times New Roman" w:eastAsia="Times New Roman" w:hAnsi="Times New Roman" w:cs="Times New Roman"/>
                <w:sz w:val="24"/>
                <w:szCs w:val="24"/>
              </w:rPr>
            </w:pPr>
            <w:r>
              <w:rPr>
                <w:rFonts w:ascii="Cardo" w:eastAsia="Cardo" w:hAnsi="Cardo" w:cs="Cardo"/>
                <w:sz w:val="24"/>
                <w:szCs w:val="24"/>
              </w:rPr>
              <w:t>Older age &amp; education ↑ uptake; fear ↓ uptake</w:t>
            </w:r>
          </w:p>
        </w:tc>
      </w:tr>
      <w:tr w:rsidR="007A45C3" w14:paraId="4F6B3920" w14:textId="77777777">
        <w:trPr>
          <w:trHeight w:val="800"/>
        </w:trPr>
        <w:tc>
          <w:tcPr>
            <w:tcW w:w="2655" w:type="dxa"/>
            <w:tcBorders>
              <w:top w:val="nil"/>
              <w:left w:val="nil"/>
              <w:bottom w:val="nil"/>
              <w:right w:val="nil"/>
            </w:tcBorders>
            <w:tcMar>
              <w:top w:w="100" w:type="dxa"/>
              <w:left w:w="100" w:type="dxa"/>
              <w:bottom w:w="100" w:type="dxa"/>
              <w:right w:w="100" w:type="dxa"/>
            </w:tcMar>
          </w:tcPr>
          <w:p w14:paraId="086F2539"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Interpersonal</w:t>
            </w:r>
          </w:p>
        </w:tc>
        <w:tc>
          <w:tcPr>
            <w:tcW w:w="3855" w:type="dxa"/>
            <w:tcBorders>
              <w:top w:val="nil"/>
              <w:left w:val="nil"/>
              <w:bottom w:val="nil"/>
              <w:right w:val="nil"/>
            </w:tcBorders>
            <w:tcMar>
              <w:top w:w="100" w:type="dxa"/>
              <w:left w:w="100" w:type="dxa"/>
              <w:bottom w:w="100" w:type="dxa"/>
              <w:right w:w="100" w:type="dxa"/>
            </w:tcMar>
          </w:tcPr>
          <w:p w14:paraId="2AF3B93A"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Partner approval, parental communication, peer influence</w:t>
            </w:r>
          </w:p>
        </w:tc>
        <w:tc>
          <w:tcPr>
            <w:tcW w:w="2850" w:type="dxa"/>
            <w:tcBorders>
              <w:top w:val="nil"/>
              <w:left w:val="nil"/>
              <w:bottom w:val="nil"/>
              <w:right w:val="nil"/>
            </w:tcBorders>
            <w:tcMar>
              <w:top w:w="100" w:type="dxa"/>
              <w:left w:w="100" w:type="dxa"/>
              <w:bottom w:w="100" w:type="dxa"/>
              <w:right w:w="100" w:type="dxa"/>
            </w:tcMar>
          </w:tcPr>
          <w:p w14:paraId="63159E6A" w14:textId="77777777" w:rsidR="007A45C3" w:rsidRDefault="00594977">
            <w:pPr>
              <w:spacing w:line="240" w:lineRule="auto"/>
              <w:rPr>
                <w:rFonts w:ascii="Times New Roman" w:eastAsia="Times New Roman" w:hAnsi="Times New Roman" w:cs="Times New Roman"/>
                <w:sz w:val="24"/>
                <w:szCs w:val="24"/>
              </w:rPr>
            </w:pPr>
            <w:r>
              <w:rPr>
                <w:rFonts w:ascii="Cardo" w:eastAsia="Cardo" w:hAnsi="Cardo" w:cs="Cardo"/>
                <w:sz w:val="24"/>
                <w:szCs w:val="24"/>
              </w:rPr>
              <w:t>Support ↑ uptake; disapproval ↓ uptake</w:t>
            </w:r>
          </w:p>
        </w:tc>
      </w:tr>
      <w:tr w:rsidR="007A45C3" w14:paraId="403CE888" w14:textId="77777777">
        <w:trPr>
          <w:trHeight w:val="800"/>
        </w:trPr>
        <w:tc>
          <w:tcPr>
            <w:tcW w:w="2655" w:type="dxa"/>
            <w:tcBorders>
              <w:top w:val="nil"/>
              <w:left w:val="nil"/>
              <w:bottom w:val="nil"/>
              <w:right w:val="nil"/>
            </w:tcBorders>
            <w:tcMar>
              <w:top w:w="100" w:type="dxa"/>
              <w:left w:w="100" w:type="dxa"/>
              <w:bottom w:w="100" w:type="dxa"/>
              <w:right w:w="100" w:type="dxa"/>
            </w:tcMar>
          </w:tcPr>
          <w:p w14:paraId="5F7B5AB0"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Sociocultural/Religious</w:t>
            </w:r>
          </w:p>
        </w:tc>
        <w:tc>
          <w:tcPr>
            <w:tcW w:w="3855" w:type="dxa"/>
            <w:tcBorders>
              <w:top w:val="nil"/>
              <w:left w:val="nil"/>
              <w:bottom w:val="nil"/>
              <w:right w:val="nil"/>
            </w:tcBorders>
            <w:tcMar>
              <w:top w:w="100" w:type="dxa"/>
              <w:left w:w="100" w:type="dxa"/>
              <w:bottom w:w="100" w:type="dxa"/>
              <w:right w:w="100" w:type="dxa"/>
            </w:tcMar>
          </w:tcPr>
          <w:p w14:paraId="1A52F884"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Norms, stigma, religious beliefs, gender </w:t>
            </w:r>
            <w:r>
              <w:rPr>
                <w:rFonts w:ascii="Times New Roman" w:eastAsia="Times New Roman" w:hAnsi="Times New Roman" w:cs="Times New Roman"/>
                <w:sz w:val="24"/>
                <w:szCs w:val="24"/>
              </w:rPr>
              <w:t>roles</w:t>
            </w:r>
          </w:p>
        </w:tc>
        <w:tc>
          <w:tcPr>
            <w:tcW w:w="2850" w:type="dxa"/>
            <w:tcBorders>
              <w:top w:val="nil"/>
              <w:left w:val="nil"/>
              <w:bottom w:val="nil"/>
              <w:right w:val="nil"/>
            </w:tcBorders>
            <w:tcMar>
              <w:top w:w="100" w:type="dxa"/>
              <w:left w:w="100" w:type="dxa"/>
              <w:bottom w:w="100" w:type="dxa"/>
              <w:right w:w="100" w:type="dxa"/>
            </w:tcMar>
          </w:tcPr>
          <w:p w14:paraId="7C14ACFA"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 negative influence</w:t>
            </w:r>
          </w:p>
        </w:tc>
      </w:tr>
      <w:tr w:rsidR="007A45C3" w14:paraId="6EFA68E1" w14:textId="77777777">
        <w:trPr>
          <w:trHeight w:val="800"/>
        </w:trPr>
        <w:tc>
          <w:tcPr>
            <w:tcW w:w="2655" w:type="dxa"/>
            <w:tcBorders>
              <w:top w:val="nil"/>
              <w:left w:val="nil"/>
              <w:bottom w:val="nil"/>
              <w:right w:val="nil"/>
            </w:tcBorders>
            <w:tcMar>
              <w:top w:w="100" w:type="dxa"/>
              <w:left w:w="100" w:type="dxa"/>
              <w:bottom w:w="100" w:type="dxa"/>
              <w:right w:w="100" w:type="dxa"/>
            </w:tcMar>
          </w:tcPr>
          <w:p w14:paraId="7BB19107"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Socioeconomic</w:t>
            </w:r>
          </w:p>
        </w:tc>
        <w:tc>
          <w:tcPr>
            <w:tcW w:w="3855" w:type="dxa"/>
            <w:tcBorders>
              <w:top w:val="nil"/>
              <w:left w:val="nil"/>
              <w:bottom w:val="nil"/>
              <w:right w:val="nil"/>
            </w:tcBorders>
            <w:tcMar>
              <w:top w:w="100" w:type="dxa"/>
              <w:left w:w="100" w:type="dxa"/>
              <w:bottom w:w="100" w:type="dxa"/>
              <w:right w:w="100" w:type="dxa"/>
            </w:tcMar>
          </w:tcPr>
          <w:p w14:paraId="6615C1C3"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Income, education level, rural/urban residence</w:t>
            </w:r>
          </w:p>
        </w:tc>
        <w:tc>
          <w:tcPr>
            <w:tcW w:w="2850" w:type="dxa"/>
            <w:tcBorders>
              <w:top w:val="nil"/>
              <w:left w:val="nil"/>
              <w:bottom w:val="nil"/>
              <w:right w:val="nil"/>
            </w:tcBorders>
            <w:tcMar>
              <w:top w:w="100" w:type="dxa"/>
              <w:left w:w="100" w:type="dxa"/>
              <w:bottom w:w="100" w:type="dxa"/>
              <w:right w:w="100" w:type="dxa"/>
            </w:tcMar>
          </w:tcPr>
          <w:p w14:paraId="6BB7385E" w14:textId="77777777" w:rsidR="007A45C3" w:rsidRDefault="00594977">
            <w:pPr>
              <w:spacing w:line="240" w:lineRule="auto"/>
              <w:rPr>
                <w:rFonts w:ascii="Times New Roman" w:eastAsia="Times New Roman" w:hAnsi="Times New Roman" w:cs="Times New Roman"/>
                <w:sz w:val="24"/>
                <w:szCs w:val="24"/>
              </w:rPr>
            </w:pPr>
            <w:r>
              <w:rPr>
                <w:rFonts w:ascii="Cardo" w:eastAsia="Cardo" w:hAnsi="Cardo" w:cs="Cardo"/>
                <w:sz w:val="24"/>
                <w:szCs w:val="24"/>
              </w:rPr>
              <w:t>Wealth &amp; urban residence ↑ uptake</w:t>
            </w:r>
          </w:p>
        </w:tc>
      </w:tr>
      <w:tr w:rsidR="007A45C3" w14:paraId="76703C88" w14:textId="77777777">
        <w:trPr>
          <w:trHeight w:val="800"/>
        </w:trPr>
        <w:tc>
          <w:tcPr>
            <w:tcW w:w="2655" w:type="dxa"/>
            <w:tcBorders>
              <w:top w:val="nil"/>
              <w:left w:val="nil"/>
              <w:bottom w:val="nil"/>
              <w:right w:val="nil"/>
            </w:tcBorders>
            <w:tcMar>
              <w:top w:w="100" w:type="dxa"/>
              <w:left w:w="100" w:type="dxa"/>
              <w:bottom w:w="100" w:type="dxa"/>
              <w:right w:w="100" w:type="dxa"/>
            </w:tcMar>
          </w:tcPr>
          <w:p w14:paraId="17966DF6"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Health System</w:t>
            </w:r>
          </w:p>
        </w:tc>
        <w:tc>
          <w:tcPr>
            <w:tcW w:w="3855" w:type="dxa"/>
            <w:tcBorders>
              <w:top w:val="nil"/>
              <w:left w:val="nil"/>
              <w:bottom w:val="nil"/>
              <w:right w:val="nil"/>
            </w:tcBorders>
            <w:tcMar>
              <w:top w:w="100" w:type="dxa"/>
              <w:left w:w="100" w:type="dxa"/>
              <w:bottom w:w="100" w:type="dxa"/>
              <w:right w:w="100" w:type="dxa"/>
            </w:tcMar>
          </w:tcPr>
          <w:p w14:paraId="01053157"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Service accessibility, provider attitude, confidentiality, stock-outs</w:t>
            </w:r>
          </w:p>
        </w:tc>
        <w:tc>
          <w:tcPr>
            <w:tcW w:w="2850" w:type="dxa"/>
            <w:tcBorders>
              <w:top w:val="nil"/>
              <w:left w:val="nil"/>
              <w:bottom w:val="nil"/>
              <w:right w:val="nil"/>
            </w:tcBorders>
            <w:tcMar>
              <w:top w:w="100" w:type="dxa"/>
              <w:left w:w="100" w:type="dxa"/>
              <w:bottom w:w="100" w:type="dxa"/>
              <w:right w:w="100" w:type="dxa"/>
            </w:tcMar>
          </w:tcPr>
          <w:p w14:paraId="3F428835"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Barriers reduce </w:t>
            </w:r>
            <w:proofErr w:type="spellStart"/>
            <w:r>
              <w:rPr>
                <w:rFonts w:ascii="Times New Roman" w:eastAsia="Times New Roman" w:hAnsi="Times New Roman" w:cs="Times New Roman"/>
                <w:sz w:val="24"/>
                <w:szCs w:val="24"/>
              </w:rPr>
              <w:t>utilisation</w:t>
            </w:r>
            <w:proofErr w:type="spellEnd"/>
          </w:p>
        </w:tc>
      </w:tr>
      <w:tr w:rsidR="007A45C3" w14:paraId="4F8906B3" w14:textId="77777777">
        <w:trPr>
          <w:trHeight w:val="515"/>
        </w:trPr>
        <w:tc>
          <w:tcPr>
            <w:tcW w:w="2655" w:type="dxa"/>
            <w:tcBorders>
              <w:top w:val="nil"/>
              <w:left w:val="nil"/>
              <w:bottom w:val="nil"/>
              <w:right w:val="nil"/>
            </w:tcBorders>
            <w:tcMar>
              <w:top w:w="100" w:type="dxa"/>
              <w:left w:w="100" w:type="dxa"/>
              <w:bottom w:w="100" w:type="dxa"/>
              <w:right w:w="100" w:type="dxa"/>
            </w:tcMar>
          </w:tcPr>
          <w:p w14:paraId="4ACF2C8F"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Media Exposure</w:t>
            </w:r>
          </w:p>
        </w:tc>
        <w:tc>
          <w:tcPr>
            <w:tcW w:w="3855" w:type="dxa"/>
            <w:tcBorders>
              <w:top w:val="nil"/>
              <w:left w:val="nil"/>
              <w:bottom w:val="nil"/>
              <w:right w:val="nil"/>
            </w:tcBorders>
            <w:tcMar>
              <w:top w:w="100" w:type="dxa"/>
              <w:left w:w="100" w:type="dxa"/>
              <w:bottom w:w="100" w:type="dxa"/>
              <w:right w:w="100" w:type="dxa"/>
            </w:tcMar>
          </w:tcPr>
          <w:p w14:paraId="08ED4D3C"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Family planning messages</w:t>
            </w:r>
          </w:p>
        </w:tc>
        <w:tc>
          <w:tcPr>
            <w:tcW w:w="2850" w:type="dxa"/>
            <w:tcBorders>
              <w:top w:val="nil"/>
              <w:left w:val="nil"/>
              <w:bottom w:val="nil"/>
              <w:right w:val="nil"/>
            </w:tcBorders>
            <w:tcMar>
              <w:top w:w="100" w:type="dxa"/>
              <w:left w:w="100" w:type="dxa"/>
              <w:bottom w:w="100" w:type="dxa"/>
              <w:right w:w="100" w:type="dxa"/>
            </w:tcMar>
          </w:tcPr>
          <w:p w14:paraId="12B89DC3"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influence</w:t>
            </w:r>
          </w:p>
        </w:tc>
      </w:tr>
    </w:tbl>
    <w:p w14:paraId="56D2D818" w14:textId="77777777" w:rsidR="007A45C3" w:rsidRDefault="007A45C3">
      <w:pPr>
        <w:spacing w:line="240" w:lineRule="auto"/>
        <w:rPr>
          <w:rFonts w:ascii="Times New Roman" w:eastAsia="Times New Roman" w:hAnsi="Times New Roman" w:cs="Times New Roman"/>
          <w:sz w:val="24"/>
          <w:szCs w:val="24"/>
        </w:rPr>
      </w:pPr>
    </w:p>
    <w:p w14:paraId="71B8ED1A" w14:textId="77777777" w:rsidR="007A45C3" w:rsidRDefault="00594977">
      <w:pPr>
        <w:pStyle w:val="Heading3"/>
        <w:keepNext w:val="0"/>
        <w:keepLines w:val="0"/>
        <w:spacing w:before="280" w:line="240" w:lineRule="auto"/>
        <w:rPr>
          <w:rFonts w:ascii="Times New Roman" w:eastAsia="Times New Roman" w:hAnsi="Times New Roman" w:cs="Times New Roman"/>
          <w:b/>
          <w:bCs/>
          <w:color w:val="000000"/>
          <w:sz w:val="24"/>
          <w:szCs w:val="24"/>
        </w:rPr>
      </w:pPr>
      <w:bookmarkStart w:id="43" w:name="_78d99rlu1zrb" w:colFirst="0" w:colLast="0"/>
      <w:bookmarkEnd w:id="43"/>
      <w:r>
        <w:rPr>
          <w:rFonts w:ascii="Times New Roman" w:eastAsia="Times New Roman" w:hAnsi="Times New Roman" w:cs="Times New Roman"/>
          <w:b/>
          <w:bCs/>
          <w:color w:val="000000"/>
          <w:sz w:val="24"/>
          <w:szCs w:val="24"/>
        </w:rPr>
        <w:t>Table 3: Barriers and Facilitators to Contraceptive Uptake</w:t>
      </w:r>
    </w:p>
    <w:tbl>
      <w:tblPr>
        <w:tblStyle w:val="Style12"/>
        <w:tblW w:w="922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815"/>
        <w:gridCol w:w="4410"/>
      </w:tblGrid>
      <w:tr w:rsidR="007A45C3" w14:paraId="7E092F49" w14:textId="77777777">
        <w:trPr>
          <w:trHeight w:val="515"/>
        </w:trPr>
        <w:tc>
          <w:tcPr>
            <w:tcW w:w="4815" w:type="dxa"/>
            <w:tcBorders>
              <w:top w:val="nil"/>
              <w:left w:val="nil"/>
              <w:bottom w:val="nil"/>
              <w:right w:val="nil"/>
            </w:tcBorders>
            <w:tcMar>
              <w:top w:w="100" w:type="dxa"/>
              <w:left w:w="100" w:type="dxa"/>
              <w:bottom w:w="100" w:type="dxa"/>
              <w:right w:w="100" w:type="dxa"/>
            </w:tcMar>
          </w:tcPr>
          <w:p w14:paraId="5E6CFD39"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Barriers</w:t>
            </w:r>
          </w:p>
        </w:tc>
        <w:tc>
          <w:tcPr>
            <w:tcW w:w="4410" w:type="dxa"/>
            <w:tcBorders>
              <w:top w:val="nil"/>
              <w:left w:val="nil"/>
              <w:bottom w:val="nil"/>
              <w:right w:val="nil"/>
            </w:tcBorders>
            <w:tcMar>
              <w:top w:w="100" w:type="dxa"/>
              <w:left w:w="100" w:type="dxa"/>
              <w:bottom w:w="100" w:type="dxa"/>
              <w:right w:w="100" w:type="dxa"/>
            </w:tcMar>
          </w:tcPr>
          <w:p w14:paraId="163B5A70"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Facilitators</w:t>
            </w:r>
          </w:p>
        </w:tc>
      </w:tr>
      <w:tr w:rsidR="007A45C3" w14:paraId="2E858556" w14:textId="77777777">
        <w:trPr>
          <w:trHeight w:val="515"/>
        </w:trPr>
        <w:tc>
          <w:tcPr>
            <w:tcW w:w="4815" w:type="dxa"/>
            <w:tcBorders>
              <w:top w:val="nil"/>
              <w:left w:val="nil"/>
              <w:bottom w:val="nil"/>
              <w:right w:val="nil"/>
            </w:tcBorders>
            <w:tcMar>
              <w:top w:w="100" w:type="dxa"/>
              <w:left w:w="100" w:type="dxa"/>
              <w:bottom w:w="100" w:type="dxa"/>
              <w:right w:w="100" w:type="dxa"/>
            </w:tcMar>
          </w:tcPr>
          <w:p w14:paraId="4167F0FD"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Fear of side effects</w:t>
            </w:r>
          </w:p>
        </w:tc>
        <w:tc>
          <w:tcPr>
            <w:tcW w:w="4410" w:type="dxa"/>
            <w:tcBorders>
              <w:top w:val="nil"/>
              <w:left w:val="nil"/>
              <w:bottom w:val="nil"/>
              <w:right w:val="nil"/>
            </w:tcBorders>
            <w:tcMar>
              <w:top w:w="100" w:type="dxa"/>
              <w:left w:w="100" w:type="dxa"/>
              <w:bottom w:w="100" w:type="dxa"/>
              <w:right w:w="100" w:type="dxa"/>
            </w:tcMar>
          </w:tcPr>
          <w:p w14:paraId="4B950249"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 exposure to family planning</w:t>
            </w:r>
          </w:p>
        </w:tc>
      </w:tr>
      <w:tr w:rsidR="007A45C3" w14:paraId="20E4C409" w14:textId="77777777">
        <w:trPr>
          <w:trHeight w:val="515"/>
        </w:trPr>
        <w:tc>
          <w:tcPr>
            <w:tcW w:w="4815" w:type="dxa"/>
            <w:tcBorders>
              <w:top w:val="nil"/>
              <w:left w:val="nil"/>
              <w:bottom w:val="nil"/>
              <w:right w:val="nil"/>
            </w:tcBorders>
            <w:tcMar>
              <w:top w:w="100" w:type="dxa"/>
              <w:left w:w="100" w:type="dxa"/>
              <w:bottom w:w="100" w:type="dxa"/>
              <w:right w:w="100" w:type="dxa"/>
            </w:tcMar>
          </w:tcPr>
          <w:p w14:paraId="5358ED69"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and religious restrictions</w:t>
            </w:r>
          </w:p>
        </w:tc>
        <w:tc>
          <w:tcPr>
            <w:tcW w:w="4410" w:type="dxa"/>
            <w:tcBorders>
              <w:top w:val="nil"/>
              <w:left w:val="nil"/>
              <w:bottom w:val="nil"/>
              <w:right w:val="nil"/>
            </w:tcBorders>
            <w:tcMar>
              <w:top w:w="100" w:type="dxa"/>
              <w:left w:w="100" w:type="dxa"/>
              <w:bottom w:w="100" w:type="dxa"/>
              <w:right w:w="100" w:type="dxa"/>
            </w:tcMar>
          </w:tcPr>
          <w:p w14:paraId="1598C5B1"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Higher education</w:t>
            </w:r>
          </w:p>
        </w:tc>
      </w:tr>
      <w:tr w:rsidR="007A45C3" w14:paraId="0641773E" w14:textId="77777777">
        <w:trPr>
          <w:trHeight w:val="515"/>
        </w:trPr>
        <w:tc>
          <w:tcPr>
            <w:tcW w:w="4815" w:type="dxa"/>
            <w:tcBorders>
              <w:top w:val="nil"/>
              <w:left w:val="nil"/>
              <w:bottom w:val="nil"/>
              <w:right w:val="nil"/>
            </w:tcBorders>
            <w:tcMar>
              <w:top w:w="100" w:type="dxa"/>
              <w:left w:w="100" w:type="dxa"/>
              <w:bottom w:w="100" w:type="dxa"/>
              <w:right w:w="100" w:type="dxa"/>
            </w:tcMar>
          </w:tcPr>
          <w:p w14:paraId="0341519C"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Stigma </w:t>
            </w:r>
            <w:r>
              <w:rPr>
                <w:rFonts w:ascii="Times New Roman" w:eastAsia="Times New Roman" w:hAnsi="Times New Roman" w:cs="Times New Roman"/>
                <w:sz w:val="24"/>
                <w:szCs w:val="24"/>
              </w:rPr>
              <w:t>(especially for unmarried adolescents)</w:t>
            </w:r>
          </w:p>
        </w:tc>
        <w:tc>
          <w:tcPr>
            <w:tcW w:w="4410" w:type="dxa"/>
            <w:tcBorders>
              <w:top w:val="nil"/>
              <w:left w:val="nil"/>
              <w:bottom w:val="nil"/>
              <w:right w:val="nil"/>
            </w:tcBorders>
            <w:tcMar>
              <w:top w:w="100" w:type="dxa"/>
              <w:left w:w="100" w:type="dxa"/>
              <w:bottom w:w="100" w:type="dxa"/>
              <w:right w:w="100" w:type="dxa"/>
            </w:tcMar>
          </w:tcPr>
          <w:p w14:paraId="7BE473F5"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Partner support</w:t>
            </w:r>
          </w:p>
        </w:tc>
      </w:tr>
      <w:tr w:rsidR="007A45C3" w14:paraId="1BBB5E1B" w14:textId="77777777">
        <w:trPr>
          <w:trHeight w:val="515"/>
        </w:trPr>
        <w:tc>
          <w:tcPr>
            <w:tcW w:w="4815" w:type="dxa"/>
            <w:tcBorders>
              <w:top w:val="nil"/>
              <w:left w:val="nil"/>
              <w:bottom w:val="nil"/>
              <w:right w:val="nil"/>
            </w:tcBorders>
            <w:tcMar>
              <w:top w:w="100" w:type="dxa"/>
              <w:left w:w="100" w:type="dxa"/>
              <w:bottom w:w="100" w:type="dxa"/>
              <w:right w:w="100" w:type="dxa"/>
            </w:tcMar>
          </w:tcPr>
          <w:p w14:paraId="18884C09"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Poor access to youth-friendly services</w:t>
            </w:r>
          </w:p>
        </w:tc>
        <w:tc>
          <w:tcPr>
            <w:tcW w:w="4410" w:type="dxa"/>
            <w:tcBorders>
              <w:top w:val="nil"/>
              <w:left w:val="nil"/>
              <w:bottom w:val="nil"/>
              <w:right w:val="nil"/>
            </w:tcBorders>
            <w:tcMar>
              <w:top w:w="100" w:type="dxa"/>
              <w:left w:w="100" w:type="dxa"/>
              <w:bottom w:w="100" w:type="dxa"/>
              <w:right w:w="100" w:type="dxa"/>
            </w:tcMar>
          </w:tcPr>
          <w:p w14:paraId="3FD9A5D3"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 residence</w:t>
            </w:r>
          </w:p>
        </w:tc>
      </w:tr>
      <w:tr w:rsidR="007A45C3" w14:paraId="30CB1C51" w14:textId="77777777">
        <w:trPr>
          <w:trHeight w:val="515"/>
        </w:trPr>
        <w:tc>
          <w:tcPr>
            <w:tcW w:w="4815" w:type="dxa"/>
            <w:tcBorders>
              <w:top w:val="nil"/>
              <w:left w:val="nil"/>
              <w:bottom w:val="nil"/>
              <w:right w:val="nil"/>
            </w:tcBorders>
            <w:tcMar>
              <w:top w:w="100" w:type="dxa"/>
              <w:left w:w="100" w:type="dxa"/>
              <w:bottom w:w="100" w:type="dxa"/>
              <w:right w:w="100" w:type="dxa"/>
            </w:tcMar>
          </w:tcPr>
          <w:p w14:paraId="7E15EC19"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Provider bias and lack of confidentiality</w:t>
            </w:r>
          </w:p>
        </w:tc>
        <w:tc>
          <w:tcPr>
            <w:tcW w:w="4410" w:type="dxa"/>
            <w:tcBorders>
              <w:top w:val="nil"/>
              <w:left w:val="nil"/>
              <w:bottom w:val="nil"/>
              <w:right w:val="nil"/>
            </w:tcBorders>
            <w:tcMar>
              <w:top w:w="100" w:type="dxa"/>
              <w:left w:w="100" w:type="dxa"/>
              <w:bottom w:w="100" w:type="dxa"/>
              <w:right w:w="100" w:type="dxa"/>
            </w:tcMar>
          </w:tcPr>
          <w:p w14:paraId="2A0F876D"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Awareness programs</w:t>
            </w:r>
          </w:p>
        </w:tc>
      </w:tr>
      <w:tr w:rsidR="007A45C3" w14:paraId="4C46EE5A" w14:textId="77777777">
        <w:trPr>
          <w:trHeight w:val="515"/>
        </w:trPr>
        <w:tc>
          <w:tcPr>
            <w:tcW w:w="4815" w:type="dxa"/>
            <w:tcBorders>
              <w:top w:val="nil"/>
              <w:left w:val="nil"/>
              <w:bottom w:val="nil"/>
              <w:right w:val="nil"/>
            </w:tcBorders>
            <w:tcMar>
              <w:top w:w="100" w:type="dxa"/>
              <w:left w:w="100" w:type="dxa"/>
              <w:bottom w:w="100" w:type="dxa"/>
              <w:right w:w="100" w:type="dxa"/>
            </w:tcMar>
          </w:tcPr>
          <w:p w14:paraId="7B0A2058"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Poverty and cost of services</w:t>
            </w:r>
          </w:p>
        </w:tc>
        <w:tc>
          <w:tcPr>
            <w:tcW w:w="4410" w:type="dxa"/>
            <w:tcBorders>
              <w:top w:val="nil"/>
              <w:left w:val="nil"/>
              <w:bottom w:val="nil"/>
              <w:right w:val="nil"/>
            </w:tcBorders>
            <w:tcMar>
              <w:top w:w="100" w:type="dxa"/>
              <w:left w:w="100" w:type="dxa"/>
              <w:bottom w:w="100" w:type="dxa"/>
              <w:right w:w="100" w:type="dxa"/>
            </w:tcMar>
          </w:tcPr>
          <w:p w14:paraId="4E87D6C4"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health system access</w:t>
            </w:r>
          </w:p>
        </w:tc>
      </w:tr>
    </w:tbl>
    <w:p w14:paraId="5832C1AB" w14:textId="77777777" w:rsidR="007A45C3" w:rsidRDefault="007A45C3">
      <w:pPr>
        <w:spacing w:line="240" w:lineRule="auto"/>
        <w:rPr>
          <w:rFonts w:ascii="Times New Roman" w:eastAsia="Times New Roman" w:hAnsi="Times New Roman" w:cs="Times New Roman"/>
          <w:sz w:val="24"/>
          <w:szCs w:val="24"/>
        </w:rPr>
      </w:pPr>
    </w:p>
    <w:p w14:paraId="2E3CA832" w14:textId="77777777" w:rsidR="007A45C3" w:rsidRDefault="00594977">
      <w:pPr>
        <w:pStyle w:val="Heading3"/>
        <w:keepNext w:val="0"/>
        <w:keepLines w:val="0"/>
        <w:spacing w:before="280" w:line="240" w:lineRule="auto"/>
        <w:rPr>
          <w:rFonts w:ascii="Times New Roman" w:eastAsia="Times New Roman" w:hAnsi="Times New Roman" w:cs="Times New Roman"/>
          <w:b/>
          <w:bCs/>
          <w:color w:val="000000"/>
          <w:sz w:val="24"/>
          <w:szCs w:val="24"/>
        </w:rPr>
      </w:pPr>
      <w:bookmarkStart w:id="44" w:name="_b6568jabss5i" w:colFirst="0" w:colLast="0"/>
      <w:bookmarkEnd w:id="44"/>
      <w:r>
        <w:rPr>
          <w:rFonts w:ascii="Times New Roman" w:eastAsia="Times New Roman" w:hAnsi="Times New Roman" w:cs="Times New Roman"/>
          <w:b/>
          <w:bCs/>
          <w:color w:val="000000"/>
          <w:sz w:val="24"/>
          <w:szCs w:val="24"/>
        </w:rPr>
        <w:t xml:space="preserve">Table 4: Quality </w:t>
      </w:r>
      <w:r>
        <w:rPr>
          <w:rFonts w:ascii="Times New Roman" w:eastAsia="Times New Roman" w:hAnsi="Times New Roman" w:cs="Times New Roman"/>
          <w:b/>
          <w:bCs/>
          <w:color w:val="000000"/>
          <w:sz w:val="24"/>
          <w:szCs w:val="24"/>
        </w:rPr>
        <w:t>Assessment of Included Studies (JBI Criteria)</w:t>
      </w:r>
    </w:p>
    <w:tbl>
      <w:tblPr>
        <w:tblStyle w:val="Style13"/>
        <w:tblW w:w="9360"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790"/>
        <w:gridCol w:w="2085"/>
        <w:gridCol w:w="4485"/>
      </w:tblGrid>
      <w:tr w:rsidR="007A45C3" w14:paraId="1ECA0668" w14:textId="77777777">
        <w:trPr>
          <w:trHeight w:val="800"/>
        </w:trPr>
        <w:tc>
          <w:tcPr>
            <w:tcW w:w="2790" w:type="dxa"/>
            <w:tcBorders>
              <w:top w:val="nil"/>
              <w:left w:val="nil"/>
              <w:bottom w:val="nil"/>
              <w:right w:val="nil"/>
            </w:tcBorders>
            <w:tcMar>
              <w:top w:w="100" w:type="dxa"/>
              <w:left w:w="100" w:type="dxa"/>
              <w:bottom w:w="100" w:type="dxa"/>
              <w:right w:w="100" w:type="dxa"/>
            </w:tcMar>
          </w:tcPr>
          <w:p w14:paraId="680D4F4B"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Quality Rating</w:t>
            </w:r>
          </w:p>
        </w:tc>
        <w:tc>
          <w:tcPr>
            <w:tcW w:w="2085" w:type="dxa"/>
            <w:tcBorders>
              <w:top w:val="nil"/>
              <w:left w:val="nil"/>
              <w:bottom w:val="nil"/>
              <w:right w:val="nil"/>
            </w:tcBorders>
            <w:tcMar>
              <w:top w:w="100" w:type="dxa"/>
              <w:left w:w="100" w:type="dxa"/>
              <w:bottom w:w="100" w:type="dxa"/>
              <w:right w:w="100" w:type="dxa"/>
            </w:tcMar>
          </w:tcPr>
          <w:p w14:paraId="61A7D4E0"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Number of Studies</w:t>
            </w:r>
          </w:p>
        </w:tc>
        <w:tc>
          <w:tcPr>
            <w:tcW w:w="4485" w:type="dxa"/>
            <w:tcBorders>
              <w:top w:val="nil"/>
              <w:left w:val="nil"/>
              <w:bottom w:val="nil"/>
              <w:right w:val="nil"/>
            </w:tcBorders>
            <w:tcMar>
              <w:top w:w="100" w:type="dxa"/>
              <w:left w:w="100" w:type="dxa"/>
              <w:bottom w:w="100" w:type="dxa"/>
              <w:right w:w="100" w:type="dxa"/>
            </w:tcMar>
          </w:tcPr>
          <w:p w14:paraId="7E9E6D0A"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Characteristics</w:t>
            </w:r>
          </w:p>
        </w:tc>
      </w:tr>
      <w:tr w:rsidR="007A45C3" w14:paraId="4DCE0AEA" w14:textId="77777777">
        <w:trPr>
          <w:trHeight w:val="800"/>
        </w:trPr>
        <w:tc>
          <w:tcPr>
            <w:tcW w:w="2790" w:type="dxa"/>
            <w:tcBorders>
              <w:top w:val="nil"/>
              <w:left w:val="nil"/>
              <w:bottom w:val="nil"/>
              <w:right w:val="nil"/>
            </w:tcBorders>
            <w:tcMar>
              <w:top w:w="100" w:type="dxa"/>
              <w:left w:w="100" w:type="dxa"/>
              <w:bottom w:w="100" w:type="dxa"/>
              <w:right w:w="100" w:type="dxa"/>
            </w:tcMar>
          </w:tcPr>
          <w:p w14:paraId="47647B4E"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Quality</w:t>
            </w:r>
          </w:p>
        </w:tc>
        <w:tc>
          <w:tcPr>
            <w:tcW w:w="2085" w:type="dxa"/>
            <w:tcBorders>
              <w:top w:val="nil"/>
              <w:left w:val="nil"/>
              <w:bottom w:val="nil"/>
              <w:right w:val="nil"/>
            </w:tcBorders>
            <w:tcMar>
              <w:top w:w="100" w:type="dxa"/>
              <w:left w:w="100" w:type="dxa"/>
              <w:bottom w:w="100" w:type="dxa"/>
              <w:right w:w="100" w:type="dxa"/>
            </w:tcMar>
          </w:tcPr>
          <w:p w14:paraId="74DB29A9"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485" w:type="dxa"/>
            <w:tcBorders>
              <w:top w:val="nil"/>
              <w:left w:val="nil"/>
              <w:bottom w:val="nil"/>
              <w:right w:val="nil"/>
            </w:tcBorders>
            <w:tcMar>
              <w:top w:w="100" w:type="dxa"/>
              <w:left w:w="100" w:type="dxa"/>
              <w:bottom w:w="100" w:type="dxa"/>
              <w:right w:w="100" w:type="dxa"/>
            </w:tcMar>
          </w:tcPr>
          <w:p w14:paraId="16DA3FCB"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Clear methodology, large samples, controlled confounders</w:t>
            </w:r>
          </w:p>
        </w:tc>
      </w:tr>
      <w:tr w:rsidR="007A45C3" w14:paraId="44ED84E8" w14:textId="77777777">
        <w:trPr>
          <w:trHeight w:val="800"/>
        </w:trPr>
        <w:tc>
          <w:tcPr>
            <w:tcW w:w="2790" w:type="dxa"/>
            <w:tcBorders>
              <w:top w:val="nil"/>
              <w:left w:val="nil"/>
              <w:bottom w:val="nil"/>
              <w:right w:val="nil"/>
            </w:tcBorders>
            <w:tcMar>
              <w:top w:w="100" w:type="dxa"/>
              <w:left w:w="100" w:type="dxa"/>
              <w:bottom w:w="100" w:type="dxa"/>
              <w:right w:w="100" w:type="dxa"/>
            </w:tcMar>
          </w:tcPr>
          <w:p w14:paraId="74858760"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Quality</w:t>
            </w:r>
          </w:p>
        </w:tc>
        <w:tc>
          <w:tcPr>
            <w:tcW w:w="2085" w:type="dxa"/>
            <w:tcBorders>
              <w:top w:val="nil"/>
              <w:left w:val="nil"/>
              <w:bottom w:val="nil"/>
              <w:right w:val="nil"/>
            </w:tcBorders>
            <w:tcMar>
              <w:top w:w="100" w:type="dxa"/>
              <w:left w:w="100" w:type="dxa"/>
              <w:bottom w:w="100" w:type="dxa"/>
              <w:right w:w="100" w:type="dxa"/>
            </w:tcMar>
          </w:tcPr>
          <w:p w14:paraId="41A75BF2"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485" w:type="dxa"/>
            <w:tcBorders>
              <w:top w:val="nil"/>
              <w:left w:val="nil"/>
              <w:bottom w:val="nil"/>
              <w:right w:val="nil"/>
            </w:tcBorders>
            <w:tcMar>
              <w:top w:w="100" w:type="dxa"/>
              <w:left w:w="100" w:type="dxa"/>
              <w:bottom w:w="100" w:type="dxa"/>
              <w:right w:w="100" w:type="dxa"/>
            </w:tcMar>
          </w:tcPr>
          <w:p w14:paraId="4C7F264F"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methodological limitations</w:t>
            </w:r>
          </w:p>
        </w:tc>
      </w:tr>
      <w:tr w:rsidR="007A45C3" w14:paraId="2DC9A5BB" w14:textId="77777777">
        <w:trPr>
          <w:trHeight w:val="515"/>
        </w:trPr>
        <w:tc>
          <w:tcPr>
            <w:tcW w:w="2790" w:type="dxa"/>
            <w:tcBorders>
              <w:top w:val="nil"/>
              <w:left w:val="nil"/>
              <w:bottom w:val="nil"/>
              <w:right w:val="nil"/>
            </w:tcBorders>
            <w:tcMar>
              <w:top w:w="100" w:type="dxa"/>
              <w:left w:w="100" w:type="dxa"/>
              <w:bottom w:w="100" w:type="dxa"/>
              <w:right w:w="100" w:type="dxa"/>
            </w:tcMar>
          </w:tcPr>
          <w:p w14:paraId="67109ACF"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Quality</w:t>
            </w:r>
          </w:p>
        </w:tc>
        <w:tc>
          <w:tcPr>
            <w:tcW w:w="2085" w:type="dxa"/>
            <w:tcBorders>
              <w:top w:val="nil"/>
              <w:left w:val="nil"/>
              <w:bottom w:val="nil"/>
              <w:right w:val="nil"/>
            </w:tcBorders>
            <w:tcMar>
              <w:top w:w="100" w:type="dxa"/>
              <w:left w:w="100" w:type="dxa"/>
              <w:bottom w:w="100" w:type="dxa"/>
              <w:right w:w="100" w:type="dxa"/>
            </w:tcMar>
          </w:tcPr>
          <w:p w14:paraId="030FF1F0"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485" w:type="dxa"/>
            <w:tcBorders>
              <w:top w:val="nil"/>
              <w:left w:val="nil"/>
              <w:bottom w:val="nil"/>
              <w:right w:val="nil"/>
            </w:tcBorders>
            <w:tcMar>
              <w:top w:w="100" w:type="dxa"/>
              <w:left w:w="100" w:type="dxa"/>
              <w:bottom w:w="100" w:type="dxa"/>
              <w:right w:w="100" w:type="dxa"/>
            </w:tcMar>
          </w:tcPr>
          <w:p w14:paraId="15C12589" w14:textId="77777777" w:rsidR="007A45C3" w:rsidRDefault="005949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Small samples, limite</w:t>
            </w:r>
            <w:r>
              <w:rPr>
                <w:rFonts w:ascii="Times New Roman" w:eastAsia="Times New Roman" w:hAnsi="Times New Roman" w:cs="Times New Roman"/>
                <w:sz w:val="24"/>
                <w:szCs w:val="24"/>
              </w:rPr>
              <w:t>d statistical rigor</w:t>
            </w:r>
          </w:p>
        </w:tc>
      </w:tr>
    </w:tbl>
    <w:p w14:paraId="2BE7C0D0" w14:textId="77777777" w:rsidR="007A45C3" w:rsidRDefault="007A45C3">
      <w:pPr>
        <w:spacing w:line="240" w:lineRule="auto"/>
        <w:rPr>
          <w:rFonts w:ascii="Times New Roman" w:eastAsia="Times New Roman" w:hAnsi="Times New Roman" w:cs="Times New Roman"/>
          <w:sz w:val="24"/>
          <w:szCs w:val="24"/>
        </w:rPr>
      </w:pPr>
    </w:p>
    <w:sectPr w:rsidR="007A45C3">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3509A" w14:textId="77777777" w:rsidR="00594977" w:rsidRDefault="00594977">
      <w:pPr>
        <w:spacing w:line="240" w:lineRule="auto"/>
      </w:pPr>
      <w:r>
        <w:separator/>
      </w:r>
    </w:p>
  </w:endnote>
  <w:endnote w:type="continuationSeparator" w:id="0">
    <w:p w14:paraId="61141811" w14:textId="77777777" w:rsidR="00594977" w:rsidRDefault="005949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E29DB481-DF53-40C8-BA28-090B638D6D46}"/>
  </w:font>
  <w:font w:name="Cambria">
    <w:panose1 w:val="02040503050406030204"/>
    <w:charset w:val="00"/>
    <w:family w:val="roman"/>
    <w:pitch w:val="variable"/>
    <w:sig w:usb0="E00006FF" w:usb1="420024FF" w:usb2="02000000" w:usb3="00000000" w:csb0="0000019F" w:csb1="00000000"/>
    <w:embedRegular r:id="rId2" w:fontKey="{AC1510BA-E1C1-4C2B-9A9B-0BA0C5D20F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EC520" w14:textId="77777777" w:rsidR="008D2754" w:rsidRDefault="008D27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BE294" w14:textId="77777777" w:rsidR="008D2754" w:rsidRDefault="008D27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06AEF" w14:textId="77777777" w:rsidR="008D2754" w:rsidRDefault="008D27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CEFF3" w14:textId="77777777" w:rsidR="00594977" w:rsidRDefault="00594977">
      <w:r>
        <w:separator/>
      </w:r>
    </w:p>
  </w:footnote>
  <w:footnote w:type="continuationSeparator" w:id="0">
    <w:p w14:paraId="3E2DCAAA" w14:textId="77777777" w:rsidR="00594977" w:rsidRDefault="0059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D78F6" w14:textId="53ED673E" w:rsidR="008D2754" w:rsidRDefault="008D2754">
    <w:pPr>
      <w:pStyle w:val="Header"/>
    </w:pPr>
    <w:r>
      <w:rPr>
        <w:noProof/>
      </w:rPr>
      <w:pict w14:anchorId="116E6A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9703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739B1" w14:textId="5B51C7F5" w:rsidR="008D2754" w:rsidRDefault="008D2754">
    <w:pPr>
      <w:pStyle w:val="Header"/>
    </w:pPr>
    <w:r>
      <w:rPr>
        <w:noProof/>
      </w:rPr>
      <w:pict w14:anchorId="2F90A6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9703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30F38" w14:textId="327E906A" w:rsidR="008D2754" w:rsidRDefault="008D2754">
    <w:pPr>
      <w:pStyle w:val="Header"/>
    </w:pPr>
    <w:r>
      <w:rPr>
        <w:noProof/>
      </w:rPr>
      <w:pict w14:anchorId="25D9E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9703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208E"/>
    <w:multiLevelType w:val="multilevel"/>
    <w:tmpl w:val="00532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5C3"/>
    <w:rsid w:val="00406A87"/>
    <w:rsid w:val="00594977"/>
    <w:rsid w:val="007A2C75"/>
    <w:rsid w:val="007A45C3"/>
    <w:rsid w:val="007F213B"/>
    <w:rsid w:val="00873353"/>
    <w:rsid w:val="008D2754"/>
    <w:rsid w:val="00B10601"/>
    <w:rsid w:val="00C22DE1"/>
    <w:rsid w:val="05ED4A22"/>
    <w:rsid w:val="25FD7F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682EF7"/>
  <w15:docId w15:val="{4C0B6975-00A7-45DC-AE12-698917363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GB" w:eastAsia="en-GB" w:bidi="ar-SA"/>
      </w:rPr>
    </w:rPrDefault>
    <w:pPrDefault/>
  </w:docDefaults>
  <w:latentStyles w:defLockedState="0" w:defUIPriority="0" w:defSemiHidden="0" w:defUnhideWhenUsed="0" w:defQFormat="0" w:count="375">
    <w:lsdException w:name="heading 2" w:qFormat="1"/>
    <w:lsdException w:name="heading 3"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pPr>
      <w:spacing w:line="276" w:lineRule="auto"/>
    </w:pPr>
    <w:rPr>
      <w:sz w:val="22"/>
      <w:szCs w:val="22"/>
      <w:lang w:val="en"/>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Normal"/>
    <w:next w:val="Normal"/>
    <w:qFormat/>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qFormat/>
    <w:pPr>
      <w:keepNext/>
      <w:keepLines/>
      <w:spacing w:after="320"/>
    </w:pPr>
    <w:rPr>
      <w:color w:val="666666"/>
      <w:sz w:val="30"/>
      <w:szCs w:val="30"/>
    </w:rPr>
  </w:style>
  <w:style w:type="paragraph" w:styleId="Title">
    <w:name w:val="Title"/>
    <w:basedOn w:val="Normal"/>
    <w:next w:val="Normal"/>
    <w:qFormat/>
    <w:pPr>
      <w:keepNext/>
      <w:keepLines/>
      <w:spacing w:after="60"/>
    </w:pPr>
    <w:rPr>
      <w:sz w:val="52"/>
      <w:szCs w:val="52"/>
    </w:rPr>
  </w:style>
  <w:style w:type="table" w:customStyle="1" w:styleId="TableNormal0">
    <w:name w:val="TableNormal"/>
    <w:qFormat/>
    <w:tblPr>
      <w:tblCellMar>
        <w:top w:w="100" w:type="dxa"/>
        <w:left w:w="100" w:type="dxa"/>
        <w:bottom w:w="100" w:type="dxa"/>
        <w:right w:w="100" w:type="dxa"/>
      </w:tblCellMar>
    </w:tblPr>
  </w:style>
  <w:style w:type="table" w:customStyle="1" w:styleId="Style10">
    <w:name w:val="_Style 10"/>
    <w:basedOn w:val="TableNormal0"/>
    <w:qFormat/>
    <w:tblPr/>
  </w:style>
  <w:style w:type="table" w:customStyle="1" w:styleId="Style11">
    <w:name w:val="_Style 11"/>
    <w:basedOn w:val="TableNormal0"/>
    <w:qFormat/>
    <w:tblPr/>
  </w:style>
  <w:style w:type="table" w:customStyle="1" w:styleId="Style12">
    <w:name w:val="_Style 12"/>
    <w:basedOn w:val="TableNormal0"/>
    <w:qFormat/>
    <w:tblPr/>
  </w:style>
  <w:style w:type="table" w:customStyle="1" w:styleId="Style13">
    <w:name w:val="_Style 13"/>
    <w:basedOn w:val="TableNormal0"/>
    <w:qFormat/>
    <w:tblPr/>
  </w:style>
  <w:style w:type="character" w:styleId="Hyperlink">
    <w:name w:val="Hyperlink"/>
    <w:basedOn w:val="DefaultParagraphFont"/>
    <w:rsid w:val="007F213B"/>
    <w:rPr>
      <w:color w:val="0000FF" w:themeColor="hyperlink"/>
      <w:u w:val="single"/>
    </w:rPr>
  </w:style>
  <w:style w:type="character" w:styleId="UnresolvedMention">
    <w:name w:val="Unresolved Mention"/>
    <w:basedOn w:val="DefaultParagraphFont"/>
    <w:uiPriority w:val="99"/>
    <w:semiHidden/>
    <w:unhideWhenUsed/>
    <w:rsid w:val="007F213B"/>
    <w:rPr>
      <w:color w:val="605E5C"/>
      <w:shd w:val="clear" w:color="auto" w:fill="E1DFDD"/>
    </w:rPr>
  </w:style>
  <w:style w:type="paragraph" w:styleId="Header">
    <w:name w:val="header"/>
    <w:basedOn w:val="Normal"/>
    <w:link w:val="HeaderChar"/>
    <w:rsid w:val="008D2754"/>
    <w:pPr>
      <w:tabs>
        <w:tab w:val="center" w:pos="4680"/>
        <w:tab w:val="right" w:pos="9360"/>
      </w:tabs>
      <w:spacing w:line="240" w:lineRule="auto"/>
    </w:pPr>
  </w:style>
  <w:style w:type="character" w:customStyle="1" w:styleId="HeaderChar">
    <w:name w:val="Header Char"/>
    <w:basedOn w:val="DefaultParagraphFont"/>
    <w:link w:val="Header"/>
    <w:rsid w:val="008D2754"/>
    <w:rPr>
      <w:sz w:val="22"/>
      <w:szCs w:val="22"/>
      <w:lang w:val="en"/>
    </w:rPr>
  </w:style>
  <w:style w:type="paragraph" w:styleId="Footer">
    <w:name w:val="footer"/>
    <w:basedOn w:val="Normal"/>
    <w:link w:val="FooterChar"/>
    <w:rsid w:val="008D2754"/>
    <w:pPr>
      <w:tabs>
        <w:tab w:val="center" w:pos="4680"/>
        <w:tab w:val="right" w:pos="9360"/>
      </w:tabs>
      <w:spacing w:line="240" w:lineRule="auto"/>
    </w:pPr>
  </w:style>
  <w:style w:type="character" w:customStyle="1" w:styleId="FooterChar">
    <w:name w:val="Footer Char"/>
    <w:basedOn w:val="DefaultParagraphFont"/>
    <w:link w:val="Footer"/>
    <w:rsid w:val="008D2754"/>
    <w:rPr>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186/s12982-025-00674-8" TargetMode="External"/><Relationship Id="rId18" Type="http://schemas.openxmlformats.org/officeDocument/2006/relationships/hyperlink" Target="https://doi.org/10.1016/S0140-6736(17)33104-5" TargetMode="External"/><Relationship Id="rId26" Type="http://schemas.openxmlformats.org/officeDocument/2006/relationships/hyperlink" Target="https://www.guttmacher.org/sites/default/files/report_pdf/adding-it-up-adolescents-report.pdf?utm_source=chatgpt.com" TargetMode="External"/><Relationship Id="rId39" Type="http://schemas.openxmlformats.org/officeDocument/2006/relationships/hyperlink" Target="https://www.who.int/publications/i/item/9789241514606" TargetMode="External"/><Relationship Id="rId21" Type="http://schemas.openxmlformats.org/officeDocument/2006/relationships/hyperlink" Target="https://doi.org/10.1007/s40609-024-00372-4" TargetMode="External"/><Relationship Id="rId34" Type="http://schemas.openxmlformats.org/officeDocument/2006/relationships/hyperlink" Target="https://upd.edu.ph/1-in-3-pinays-use-traditional-over-modern-contraceptives/" TargetMode="External"/><Relationship Id="rId42" Type="http://schemas.openxmlformats.org/officeDocument/2006/relationships/hyperlink" Target="https://www.who.int/news-room/fact-sheets/detail/adolescent-pregnancy?utm_source=chatgpt.com"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books/NBK536949/" TargetMode="External"/><Relationship Id="rId29" Type="http://schemas.openxmlformats.org/officeDocument/2006/relationships/hyperlink" Target="https://dx.doi.org/10.47772/IJRISS.2024.816SCO0011" TargetMode="External"/><Relationship Id="rId11" Type="http://schemas.openxmlformats.org/officeDocument/2006/relationships/hyperlink" Target="https://fmino.gov.ng/fg-launches-2024-ndhs-report-unveils-data-on-fertility-child-mortality-others/" TargetMode="External"/><Relationship Id="rId24" Type="http://schemas.openxmlformats.org/officeDocument/2006/relationships/hyperlink" Target="https://doi.org/10.1089/whr.2021.0115" TargetMode="External"/><Relationship Id="rId32" Type="http://schemas.openxmlformats.org/officeDocument/2006/relationships/hyperlink" Target="https://www.unicef.org/nigeria/media/10591/file/State-of-Nigerias-Children_Summary-of-the-2024-Updated-SitAn.pdf?utm_source=chatgpt.com" TargetMode="External"/><Relationship Id="rId37" Type="http://schemas.openxmlformats.org/officeDocument/2006/relationships/hyperlink" Target="https://doi.org/10.1055/s-0041-1734020" TargetMode="External"/><Relationship Id="rId40" Type="http://schemas.openxmlformats.org/officeDocument/2006/relationships/hyperlink" Target="https://www.who.int/data/gho/indicator-metadata-registry/imr-details/4668" TargetMode="External"/><Relationship Id="rId45" Type="http://schemas.openxmlformats.org/officeDocument/2006/relationships/hyperlink" Target="https://www.who.int/news-room/fact-sheets/detail/family-planning-contraception"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doi.org/10.1186/s12978-023-01629-5" TargetMode="External"/><Relationship Id="rId19" Type="http://schemas.openxmlformats.org/officeDocument/2006/relationships/hyperlink" Target="https://doi.org/10.7189/jogh.10.021401" TargetMode="External"/><Relationship Id="rId31" Type="http://schemas.openxmlformats.org/officeDocument/2006/relationships/hyperlink" Target="https://www.unicef.org/nigeria/media/10591/file/State-of-Nigerias-Children_Summary-of-the-2024-Updated-SitAn.pdf?utm_source=chatgpt.com" TargetMode="External"/><Relationship Id="rId44" Type="http://schemas.openxmlformats.org/officeDocument/2006/relationships/hyperlink" Target="https://www.who.int/news-room/fact-sheets/detail/family-planning-contraceptio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186/s12978-023-01629-5" TargetMode="External"/><Relationship Id="rId14" Type="http://schemas.openxmlformats.org/officeDocument/2006/relationships/hyperlink" Target="https://doi.org/10.1186/s12982-025-00674-8" TargetMode="External"/><Relationship Id="rId22" Type="http://schemas.openxmlformats.org/officeDocument/2006/relationships/hyperlink" Target="https://doi.org/10.1007/s40609-024-00372-4" TargetMode="External"/><Relationship Id="rId27" Type="http://schemas.openxmlformats.org/officeDocument/2006/relationships/hyperlink" Target="https://www.texilajournal.com/thumbs/article/Public_Health_Vol6_Issue4_Article_7.pdf" TargetMode="External"/><Relationship Id="rId30" Type="http://schemas.openxmlformats.org/officeDocument/2006/relationships/hyperlink" Target="https://dx.doi.org/10.47772/IJRISS.2024.816SCO0011" TargetMode="External"/><Relationship Id="rId35" Type="http://schemas.openxmlformats.org/officeDocument/2006/relationships/hyperlink" Target="https://dhsprogram.com/pubs/pdf/SR294/SR294.pdf?utm_source=chatgpt.com" TargetMode="External"/><Relationship Id="rId43" Type="http://schemas.openxmlformats.org/officeDocument/2006/relationships/hyperlink" Target="https://www.who.int/news-room/fact-sheets/detail/adolescent-pregnancy?utm_source=chatgpt.com" TargetMode="External"/><Relationship Id="rId48" Type="http://schemas.openxmlformats.org/officeDocument/2006/relationships/footer" Target="footer1.xml"/><Relationship Id="rId8" Type="http://schemas.openxmlformats.org/officeDocument/2006/relationships/hyperlink" Target="https://doi.org/10.1186/s12978-023-01629-5"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fmino.gov.ng/fg-launches-2024-ndhs-report-unveils-data-on-fertility-child-mortality-others/" TargetMode="External"/><Relationship Id="rId17" Type="http://schemas.openxmlformats.org/officeDocument/2006/relationships/hyperlink" Target="https://doi.org/10.1016/S0140-6736(17)33104-5" TargetMode="External"/><Relationship Id="rId25" Type="http://schemas.openxmlformats.org/officeDocument/2006/relationships/hyperlink" Target="https://www.guttmacher.org/sites/default/files/report_pdf/adding-it-up-adolescents-report.pdf?utm_source=chatgpt.com" TargetMode="External"/><Relationship Id="rId33" Type="http://schemas.openxmlformats.org/officeDocument/2006/relationships/hyperlink" Target="https://upd.edu.ph/1-in-3-pinays-use-traditional-over-modern-contraceptives/" TargetMode="External"/><Relationship Id="rId38" Type="http://schemas.openxmlformats.org/officeDocument/2006/relationships/hyperlink" Target="https://doi.org/10.1055/s-0041-1734020" TargetMode="External"/><Relationship Id="rId46" Type="http://schemas.openxmlformats.org/officeDocument/2006/relationships/header" Target="header1.xml"/><Relationship Id="rId20" Type="http://schemas.openxmlformats.org/officeDocument/2006/relationships/hyperlink" Target="https://doi.org/10.7189/jogh.10.021401" TargetMode="External"/><Relationship Id="rId41" Type="http://schemas.openxmlformats.org/officeDocument/2006/relationships/hyperlink" Target="https://www.who.int/data/gho/indicator-metadata-registry/imr-details/466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bi.nlm.nih.gov/books/NBK536949/?utm_source=chatgpt.com" TargetMode="External"/><Relationship Id="rId23" Type="http://schemas.openxmlformats.org/officeDocument/2006/relationships/hyperlink" Target="https://doi.org/10.1089/whr.2021.0115" TargetMode="External"/><Relationship Id="rId28" Type="http://schemas.openxmlformats.org/officeDocument/2006/relationships/hyperlink" Target="https://www.texilajournal.com/thumbs/article/Public_Health_Vol6_Issue4_Article_7.pdf" TargetMode="External"/><Relationship Id="rId36" Type="http://schemas.openxmlformats.org/officeDocument/2006/relationships/hyperlink" Target="https://dhsprogram.com/pubs/pdf/SR294/SR294.pdf?utm_source=chatgpt.com" TargetMode="External"/><Relationship Id="rId4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6122</Words>
  <Characters>34900</Characters>
  <Application>Microsoft Office Word</Application>
  <DocSecurity>0</DocSecurity>
  <Lines>290</Lines>
  <Paragraphs>81</Paragraphs>
  <ScaleCrop>false</ScaleCrop>
  <Company/>
  <LinksUpToDate>false</LinksUpToDate>
  <CharactersWithSpaces>40941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5</cp:revision>
  <dcterms:created xsi:type="dcterms:W3CDTF">2026-04-09T14:52:00Z</dcterms:created>
  <dcterms:modified xsi:type="dcterms:W3CDTF">2026-04-10T10:42:00Z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652938497BEC43D682B251EF0B6DD2A7_12</vt:lpwstr>
  </property>
</Properties>
</file>