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8AC1D" w14:textId="66967253" w:rsidR="00CE4538" w:rsidRPr="00F70874" w:rsidRDefault="00BD7BFE" w:rsidP="0010411A">
      <w:pPr>
        <w:jc w:val="center"/>
        <w:rPr>
          <w:rFonts w:ascii="Times New Roman" w:hAnsi="Times New Roman" w:cs="Times New Roman"/>
          <w:b/>
          <w:sz w:val="28"/>
          <w:lang w:val="en-US"/>
        </w:rPr>
      </w:pPr>
      <w:r w:rsidRPr="00BD7BFE">
        <w:rPr>
          <w:rFonts w:ascii="Times New Roman" w:hAnsi="Times New Roman" w:cs="Times New Roman"/>
          <w:b/>
          <w:sz w:val="28"/>
          <w:lang w:val="en-US"/>
        </w:rPr>
        <w:t>Integrating NDBI and Mann–Kendall Analysis to Assess and Predict Urban Growth in</w:t>
      </w:r>
      <w:r w:rsidR="000E0F4A" w:rsidRPr="00F70874">
        <w:rPr>
          <w:rFonts w:ascii="Times New Roman" w:hAnsi="Times New Roman" w:cs="Times New Roman"/>
          <w:b/>
          <w:sz w:val="28"/>
          <w:lang w:val="en-US"/>
        </w:rPr>
        <w:t xml:space="preserve"> </w:t>
      </w:r>
      <w:r w:rsidR="00F8499C" w:rsidRPr="00F70874">
        <w:rPr>
          <w:rFonts w:ascii="Times New Roman" w:hAnsi="Times New Roman" w:cs="Times New Roman"/>
          <w:b/>
          <w:sz w:val="28"/>
          <w:lang w:val="en-US"/>
        </w:rPr>
        <w:t>Kolkata Municipal Corporation</w:t>
      </w:r>
      <w:r w:rsidR="00F70874" w:rsidRPr="00F70874">
        <w:rPr>
          <w:rFonts w:ascii="Times New Roman" w:hAnsi="Times New Roman" w:cs="Times New Roman"/>
          <w:b/>
          <w:sz w:val="28"/>
          <w:lang w:val="en-US"/>
        </w:rPr>
        <w:t xml:space="preserve"> (KMC)</w:t>
      </w:r>
    </w:p>
    <w:p w14:paraId="1FC3EA03" w14:textId="77777777" w:rsidR="0038383C" w:rsidRDefault="0038383C" w:rsidP="006334D1">
      <w:pPr>
        <w:spacing w:before="240" w:line="360" w:lineRule="auto"/>
        <w:rPr>
          <w:rFonts w:ascii="Times New Roman" w:hAnsi="Times New Roman" w:cs="Times New Roman"/>
          <w:b/>
          <w:bCs/>
          <w:sz w:val="24"/>
        </w:rPr>
      </w:pPr>
    </w:p>
    <w:p w14:paraId="76708257" w14:textId="5CB4D107" w:rsidR="006334D1" w:rsidRDefault="006334D1" w:rsidP="006334D1">
      <w:pPr>
        <w:spacing w:before="240" w:line="360" w:lineRule="auto"/>
        <w:rPr>
          <w:rFonts w:ascii="Times New Roman" w:hAnsi="Times New Roman" w:cs="Times New Roman"/>
          <w:b/>
          <w:bCs/>
          <w:sz w:val="24"/>
        </w:rPr>
      </w:pPr>
      <w:bookmarkStart w:id="0" w:name="_GoBack"/>
      <w:bookmarkEnd w:id="0"/>
      <w:r w:rsidRPr="005C60B2">
        <w:rPr>
          <w:rFonts w:ascii="Times New Roman" w:hAnsi="Times New Roman" w:cs="Times New Roman"/>
          <w:b/>
          <w:bCs/>
          <w:sz w:val="24"/>
        </w:rPr>
        <w:t>Abstract</w:t>
      </w:r>
    </w:p>
    <w:p w14:paraId="33C40CFC" w14:textId="66E1B54B" w:rsidR="00F70874" w:rsidRPr="005C60B2" w:rsidRDefault="00AC6CF3" w:rsidP="00FB3308">
      <w:pPr>
        <w:spacing w:line="360" w:lineRule="auto"/>
        <w:jc w:val="both"/>
        <w:rPr>
          <w:rFonts w:ascii="Times New Roman" w:hAnsi="Times New Roman" w:cs="Times New Roman"/>
          <w:sz w:val="20"/>
        </w:rPr>
      </w:pPr>
      <w:r w:rsidRPr="00AC6CF3">
        <w:rPr>
          <w:rFonts w:ascii="Times New Roman" w:hAnsi="Times New Roman" w:cs="Times New Roman"/>
          <w:sz w:val="20"/>
        </w:rPr>
        <w:t xml:space="preserve">This study investigates the spatiotemporal dynamics of urban expansion in Kolkata Municipal Corporation (KMC) from 1990 to 2025 using multi-temporal Landsat data within a cloud-based geospatial framework. We extracted built-up areas using the Normalised Difference Built-up Index (NDBI) and analysed their temporal evolution through statistical methods, including linear regression, the Mann–Kendall trend test, and Sen’s slope estimator. The NDBI-based results indicate a substantial increase in built-up extent, with a clear transition from fragmented urban patches in 1990 to a more contiguous and intensified urban fabric by 2025. Quantitatively, built-up area increased from approximately 4,153 ha in 1990 to over 6,198 ha in 2025, reflecting sustained urban growth. Trend analysis confirms a statistically significant </w:t>
      </w:r>
      <w:r w:rsidR="00EA4DF8">
        <w:rPr>
          <w:rFonts w:ascii="Times New Roman" w:hAnsi="Times New Roman" w:cs="Times New Roman"/>
          <w:sz w:val="20"/>
        </w:rPr>
        <w:t>upward trend (Z = 3.75, P &lt; 0.001), with Sen’s slope indicating</w:t>
      </w:r>
      <w:r w:rsidRPr="00AC6CF3">
        <w:rPr>
          <w:rFonts w:ascii="Times New Roman" w:hAnsi="Times New Roman" w:cs="Times New Roman"/>
          <w:sz w:val="20"/>
        </w:rPr>
        <w:t xml:space="preserve"> an average annual expansion rate of ~47.65 ha/year, closely supported by regression results (~52 ha/year; R² = 0.48). Future projections based on Sen’s slope suggest continued expansion, potentially reaching ~9,772 ha by 2100 under a monotonic growth assumption. The integration of spatial (NDBI) and statistical (trend and regression) analyses demonstrates a consistent and robust pattern of urbanisation driven by long-term structural factors. However, the projected growth highlights potential challenges related to land resource pressure and environmental sustainability. The study provides a reliable methodological framework for assessing urban dynamics and offers critical insights for sustainable urban planning and policy formulation in rapidly expanding metropolitan regions.</w:t>
      </w:r>
    </w:p>
    <w:p w14:paraId="55453A5E" w14:textId="25C68B82" w:rsidR="006334D1" w:rsidRPr="00931C83" w:rsidRDefault="006334D1" w:rsidP="006334D1">
      <w:pPr>
        <w:spacing w:line="360" w:lineRule="auto"/>
        <w:jc w:val="both"/>
        <w:rPr>
          <w:rFonts w:ascii="Times New Roman" w:hAnsi="Times New Roman" w:cs="Times New Roman"/>
          <w:sz w:val="16"/>
          <w:szCs w:val="16"/>
        </w:rPr>
      </w:pPr>
      <w:r w:rsidRPr="00931C83">
        <w:rPr>
          <w:rFonts w:ascii="Times New Roman" w:hAnsi="Times New Roman" w:cs="Times New Roman"/>
          <w:b/>
          <w:bCs/>
          <w:i/>
          <w:iCs/>
          <w:sz w:val="20"/>
          <w:szCs w:val="20"/>
        </w:rPr>
        <w:t>Keywords:</w:t>
      </w:r>
      <w:r w:rsidRPr="00931C83">
        <w:rPr>
          <w:rFonts w:ascii="Times New Roman" w:hAnsi="Times New Roman" w:cs="Times New Roman"/>
          <w:sz w:val="20"/>
          <w:szCs w:val="20"/>
        </w:rPr>
        <w:t xml:space="preserve"> </w:t>
      </w:r>
      <w:r w:rsidR="00F70874" w:rsidRPr="00931C83">
        <w:rPr>
          <w:rFonts w:ascii="Times New Roman" w:hAnsi="Times New Roman" w:cs="Times New Roman"/>
          <w:sz w:val="20"/>
          <w:szCs w:val="20"/>
        </w:rPr>
        <w:t>NDBI, Urban expansion, Spatio</w:t>
      </w:r>
      <w:r w:rsidR="003F3B26">
        <w:rPr>
          <w:rFonts w:ascii="Times New Roman" w:hAnsi="Times New Roman" w:cs="Times New Roman"/>
          <w:sz w:val="20"/>
          <w:szCs w:val="20"/>
        </w:rPr>
        <w:t>-</w:t>
      </w:r>
      <w:r w:rsidR="00F70874" w:rsidRPr="00931C83">
        <w:rPr>
          <w:rFonts w:ascii="Times New Roman" w:hAnsi="Times New Roman" w:cs="Times New Roman"/>
          <w:sz w:val="20"/>
          <w:szCs w:val="20"/>
        </w:rPr>
        <w:t xml:space="preserve">temporal change, Remote Sensing, </w:t>
      </w:r>
      <w:r w:rsidR="00065E88" w:rsidRPr="00065E88">
        <w:rPr>
          <w:rFonts w:ascii="Times New Roman" w:hAnsi="Times New Roman" w:cs="Times New Roman"/>
          <w:sz w:val="20"/>
          <w:szCs w:val="20"/>
        </w:rPr>
        <w:t>Mann–Kendall test</w:t>
      </w:r>
    </w:p>
    <w:p w14:paraId="5BDCFE3D" w14:textId="77777777" w:rsidR="006334D1" w:rsidRPr="00794CB5" w:rsidRDefault="006334D1" w:rsidP="00794CB5">
      <w:pPr>
        <w:pStyle w:val="ListParagraph"/>
        <w:numPr>
          <w:ilvl w:val="0"/>
          <w:numId w:val="6"/>
        </w:numPr>
        <w:spacing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Introduction:</w:t>
      </w:r>
    </w:p>
    <w:p w14:paraId="2F89F080" w14:textId="0E407F5F" w:rsidR="003F3B26" w:rsidRPr="003F3B26" w:rsidRDefault="004C58D9" w:rsidP="003F3B26">
      <w:pPr>
        <w:spacing w:line="360" w:lineRule="auto"/>
        <w:jc w:val="both"/>
        <w:rPr>
          <w:rFonts w:ascii="Times New Roman" w:hAnsi="Times New Roman" w:cs="Times New Roman"/>
          <w:sz w:val="20"/>
          <w:szCs w:val="20"/>
        </w:rPr>
      </w:pPr>
      <w:r w:rsidRPr="004C58D9">
        <w:rPr>
          <w:rFonts w:ascii="Times New Roman" w:hAnsi="Times New Roman" w:cs="Times New Roman"/>
          <w:sz w:val="20"/>
          <w:szCs w:val="20"/>
        </w:rPr>
        <w:t>Urbanisation is one of the most significant global transformations of the 21st century, reshaping land-use patterns, ecological processes, and socio-economic systems.</w:t>
      </w:r>
      <w:r>
        <w:rPr>
          <w:rFonts w:ascii="Times New Roman" w:hAnsi="Times New Roman" w:cs="Times New Roman"/>
          <w:sz w:val="20"/>
          <w:szCs w:val="20"/>
        </w:rPr>
        <w:t xml:space="preserve"> </w:t>
      </w:r>
      <w:r w:rsidR="003F3B26" w:rsidRPr="003F3B26">
        <w:rPr>
          <w:rFonts w:ascii="Times New Roman" w:hAnsi="Times New Roman" w:cs="Times New Roman"/>
          <w:sz w:val="20"/>
          <w:szCs w:val="20"/>
        </w:rPr>
        <w:t>Rapid urban expansion has been particularly pronounced in developing countries, where population growth and economic development have accelerated the conversion of natural and agricultural land into built-up areas. Remote sensing and geospatial technologies have emerged as essential tools for monitoring such changes due to their ability to provide consistent, multi-temporal, and large-scale observations. Spectral indices, especially the Normalised Difference Built-up Index (NDBI), have been widely applied to delineate urban areas by exploiting the distinct spectral response of built-up surfaces in the SWIR and NIR bands</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TEwMTEwMTUtOTFiOS00NTMzLThlNDYtM2YzYzk4ZGU5Yjg5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
          <w:id w:val="372125668"/>
          <w:placeholder>
            <w:docPart w:val="DefaultPlaceholder_-1854013440"/>
          </w:placeholder>
        </w:sdtPr>
        <w:sdtEndPr/>
        <w:sdtContent>
          <w:r w:rsidR="00AD2A52" w:rsidRPr="00AD2A52">
            <w:rPr>
              <w:rFonts w:ascii="Times New Roman" w:hAnsi="Times New Roman" w:cs="Times New Roman"/>
              <w:color w:val="000000"/>
              <w:sz w:val="20"/>
              <w:szCs w:val="20"/>
            </w:rPr>
            <w:t>(Zha et al., 2003)</w:t>
          </w:r>
        </w:sdtContent>
      </w:sdt>
      <w:r w:rsidR="003F3B26" w:rsidRPr="003F3B26">
        <w:rPr>
          <w:rFonts w:ascii="Times New Roman" w:hAnsi="Times New Roman" w:cs="Times New Roman"/>
          <w:sz w:val="20"/>
          <w:szCs w:val="20"/>
        </w:rPr>
        <w:t xml:space="preserve">. </w:t>
      </w:r>
      <w:r w:rsidRPr="004C58D9">
        <w:rPr>
          <w:rFonts w:ascii="Times New Roman" w:hAnsi="Times New Roman" w:cs="Times New Roman"/>
          <w:sz w:val="20"/>
          <w:szCs w:val="20"/>
        </w:rPr>
        <w:t>In parallel, many researchers extensively used statistical approaches such as the Mann–Kendall trend test and Sen’s slope estimator to detect and quantify long-term trends in e</w:t>
      </w:r>
      <w:r>
        <w:rPr>
          <w:rFonts w:ascii="Times New Roman" w:hAnsi="Times New Roman" w:cs="Times New Roman"/>
          <w:sz w:val="20"/>
          <w:szCs w:val="20"/>
        </w:rPr>
        <w:t>nvironmental and urban datasets</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"/>
          <w:id w:val="-850723627"/>
          <w:placeholder>
            <w:docPart w:val="DefaultPlaceholder_-1854013440"/>
          </w:placeholder>
        </w:sdtPr>
        <w:sdtEndPr/>
        <w:sdtContent>
          <w:r w:rsidR="00AD2A52" w:rsidRPr="00AD2A52">
            <w:rPr>
              <w:rFonts w:ascii="Times New Roman" w:eastAsia="Times New Roman" w:hAnsi="Times New Roman" w:cs="Times New Roman"/>
              <w:color w:val="000000"/>
              <w:sz w:val="20"/>
            </w:rPr>
            <w:t>(Hamed &amp; Ramachandra Rao, 1998; Yue &amp; Wang, 2004)</w:t>
          </w:r>
        </w:sdtContent>
      </w:sdt>
      <w:r w:rsidR="003F3B26" w:rsidRPr="003F3B26">
        <w:rPr>
          <w:rFonts w:ascii="Times New Roman" w:hAnsi="Times New Roman" w:cs="Times New Roman"/>
          <w:sz w:val="20"/>
          <w:szCs w:val="20"/>
        </w:rPr>
        <w:t xml:space="preserve"> .</w:t>
      </w:r>
    </w:p>
    <w:p w14:paraId="59DC20F6" w14:textId="386706A3" w:rsidR="003F3B26" w:rsidRPr="003F3B26" w:rsidRDefault="003F3B26" w:rsidP="003F3B26">
      <w:pPr>
        <w:spacing w:line="360" w:lineRule="auto"/>
        <w:jc w:val="both"/>
        <w:rPr>
          <w:rFonts w:ascii="Times New Roman" w:hAnsi="Times New Roman" w:cs="Times New Roman"/>
          <w:sz w:val="20"/>
          <w:szCs w:val="20"/>
        </w:rPr>
      </w:pPr>
      <w:r w:rsidRPr="003F3B26">
        <w:rPr>
          <w:rFonts w:ascii="Times New Roman" w:hAnsi="Times New Roman" w:cs="Times New Roman"/>
          <w:sz w:val="20"/>
          <w:szCs w:val="20"/>
        </w:rPr>
        <w:t>In the Indian context, metropolitan regions have experienced rapid and often unplanned urban growth, leading to significant transformations in land use and environmental conditions. Kolkata, one of the largest and oldest metropolitan cities in eastern India, has undergone substantial spatial expansion and densification over the past few decades</w:t>
      </w:r>
      <w:r w:rsidR="00CA388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zUxZWIyZWUtNjk5Yi00NTYyLTllZDctNzA5NGVhZTBhYjN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744954585"/>
          <w:placeholder>
            <w:docPart w:val="DefaultPlaceholder_-1854013440"/>
          </w:placeholder>
        </w:sdtPr>
        <w:sdtEndPr/>
        <w:sdtContent>
          <w:r w:rsidR="00AD2A52" w:rsidRPr="00AD2A52">
            <w:rPr>
              <w:rFonts w:ascii="Times New Roman" w:hAnsi="Times New Roman" w:cs="Times New Roman"/>
              <w:color w:val="000000"/>
              <w:sz w:val="20"/>
              <w:szCs w:val="20"/>
            </w:rPr>
            <w:t>(Mandal et al., 2019)</w:t>
          </w:r>
        </w:sdtContent>
      </w:sdt>
      <w:r w:rsidRPr="003F3B26">
        <w:rPr>
          <w:rFonts w:ascii="Times New Roman" w:hAnsi="Times New Roman" w:cs="Times New Roman"/>
          <w:sz w:val="20"/>
          <w:szCs w:val="20"/>
        </w:rPr>
        <w:t>. Previous studies have highlighted the role of remote sensing in capturing urban growth dynamics and the effectiveness of multi-temporal satellite data in quantifying built-up expansion</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GI3ZjNjOWItZjZhYi00ZjNmLTg4OGEtYmQzOWJiYjFiNjQ5IiwicHJvcGVydGllcyI6eyJub3RlSW5kZXgiOjB9LCJpc0VkaXRlZCI6ZmFsc2UsIm1hbnVhbE92ZXJyaWRlIjp7ImlzTWFudWFsbHlPdmVycmlkZGVuIjpmYWxzZSwiY2l0ZXByb2NUZXh0IjoiKFRhdWJlbmLDtmNrIGV0IGFsLiwgMjAwOTsgWmhhbmcgJiMzODsgU2V0bywgMjAxM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"/>
          <w:id w:val="31384360"/>
          <w:placeholder>
            <w:docPart w:val="DefaultPlaceholder_-1854013440"/>
          </w:placeholder>
        </w:sdtPr>
        <w:sdtEndPr/>
        <w:sdtContent>
          <w:r w:rsidR="00AD2A52" w:rsidRPr="00AD2A52">
            <w:rPr>
              <w:rFonts w:ascii="Times New Roman" w:eastAsia="Times New Roman" w:hAnsi="Times New Roman" w:cs="Times New Roman"/>
              <w:color w:val="000000"/>
              <w:sz w:val="20"/>
            </w:rPr>
            <w:t>(Taubenböck et al., 2009; Zhang &amp; Seto, 2011)</w:t>
          </w:r>
        </w:sdtContent>
      </w:sdt>
      <w:r w:rsidRPr="003F3B26">
        <w:rPr>
          <w:rFonts w:ascii="Times New Roman" w:hAnsi="Times New Roman" w:cs="Times New Roman"/>
          <w:sz w:val="20"/>
          <w:szCs w:val="20"/>
        </w:rPr>
        <w:t>. Furthermore, global assessments of urban expansion have demonstrated that cities are likely to continue expanding significantly in the coming decades, with implications for biodiversity, climate, and resource management</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jUxMzk2ZDMtZTAzMS00ZDYwLWFiNDUtMWJhZmE0YzQwNDhk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
          <w:id w:val="-519245715"/>
          <w:placeholder>
            <w:docPart w:val="DefaultPlaceholder_-1854013440"/>
          </w:placeholder>
        </w:sdtPr>
        <w:sdtEndPr/>
        <w:sdtContent>
          <w:r w:rsidR="00AD2A52" w:rsidRPr="00AD2A52">
            <w:rPr>
              <w:rFonts w:ascii="Times New Roman" w:hAnsi="Times New Roman" w:cs="Times New Roman"/>
              <w:color w:val="000000"/>
              <w:sz w:val="20"/>
              <w:szCs w:val="20"/>
            </w:rPr>
            <w:t>(Angel et al., 2011; Seto et al., 2012)</w:t>
          </w:r>
        </w:sdtContent>
      </w:sdt>
      <w:r w:rsidRPr="003F3B26">
        <w:rPr>
          <w:rFonts w:ascii="Times New Roman" w:hAnsi="Times New Roman" w:cs="Times New Roman"/>
          <w:sz w:val="20"/>
          <w:szCs w:val="20"/>
        </w:rPr>
        <w:t>. Despite these advances, city-level analyses that integrate spatial indices and robust statistical trend methods remain limited in many Indian urban centres, including Kolkata.</w:t>
      </w:r>
    </w:p>
    <w:p w14:paraId="6CE95BA0" w14:textId="77777777" w:rsidR="003F3B26" w:rsidRPr="003F3B26" w:rsidRDefault="003F3B26" w:rsidP="003F3B26">
      <w:pPr>
        <w:spacing w:line="360" w:lineRule="auto"/>
        <w:jc w:val="both"/>
        <w:rPr>
          <w:rFonts w:ascii="Times New Roman" w:hAnsi="Times New Roman" w:cs="Times New Roman"/>
          <w:sz w:val="20"/>
          <w:szCs w:val="20"/>
        </w:rPr>
      </w:pPr>
      <w:r w:rsidRPr="003F3B26">
        <w:rPr>
          <w:rFonts w:ascii="Times New Roman" w:hAnsi="Times New Roman" w:cs="Times New Roman"/>
          <w:sz w:val="20"/>
          <w:szCs w:val="20"/>
        </w:rPr>
        <w:t>Although numerous studies have examined urban growth using either remote sensing indices or statistical techniques independently, there is a lack of integrated approaches that combine spatial mapping and temporal trend analysis to provide a comprehensive understanding of urban dynamics. In particular, long-term assessments (spanning more than three decades) that utilise cloud-based platforms such as Google Earth Engine are still relatively scarce for Kolkata. Additionally, limited attention has been given to linking spectral index–derived built-up patterns with statistically validated trends and future projections, which are essential for informed urban planning and policy-making.</w:t>
      </w:r>
    </w:p>
    <w:p w14:paraId="5069423B" w14:textId="6359BB15" w:rsidR="005A73F5" w:rsidRDefault="000602ED" w:rsidP="003F3B26">
      <w:pPr>
        <w:spacing w:line="360" w:lineRule="auto"/>
        <w:jc w:val="both"/>
        <w:rPr>
          <w:rFonts w:ascii="Times New Roman" w:hAnsi="Times New Roman" w:cs="Times New Roman"/>
          <w:sz w:val="20"/>
          <w:szCs w:val="20"/>
        </w:rPr>
      </w:pPr>
      <w:r w:rsidRPr="000602ED">
        <w:rPr>
          <w:rFonts w:ascii="Times New Roman" w:hAnsi="Times New Roman" w:cs="Times New Roman"/>
          <w:sz w:val="20"/>
          <w:szCs w:val="20"/>
        </w:rPr>
        <w:t>To fulfil these gaps, our study objectives are to (i) identify the built-up area expansion between 1990 and 2025 using NDBI, (ii) statistically analyse the trends of urban expansion, and (iii) linear future prediction using Mann-Kendall and Sen’s Slope model. The objective of this study is to present an integrated analysis of urban expansion in the Kolkata Municipal Corporation (KMC) from 1990 to 2025 using multi-temporal Landsat data within the Google Earth Engine environment. We extracted Built-up areas using the NDBI and evaluated their temporal dynamics using the Mann–Kendall trend test, Sen’s slope estimator, and linear regression analysis. Furthermore, projected future urban growth is analysed using trend-based extrapolation methods. By combining spatial and statistical approaches, this study provides a robust framework for understanding long-term urbanisation patterns and offers critical insights for sustainable urban planning and management.</w:t>
      </w:r>
    </w:p>
    <w:p w14:paraId="60A8E316" w14:textId="77777777" w:rsidR="006334D1" w:rsidRPr="00794CB5" w:rsidRDefault="00D965A9" w:rsidP="00794CB5">
      <w:pPr>
        <w:pStyle w:val="ListParagraph"/>
        <w:numPr>
          <w:ilvl w:val="0"/>
          <w:numId w:val="6"/>
        </w:numPr>
        <w:spacing w:after="0"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S</w:t>
      </w:r>
      <w:r w:rsidR="006334D1" w:rsidRPr="00794CB5">
        <w:rPr>
          <w:rFonts w:ascii="Times New Roman" w:hAnsi="Times New Roman" w:cs="Times New Roman"/>
          <w:b/>
          <w:bCs/>
          <w:sz w:val="24"/>
          <w:szCs w:val="24"/>
        </w:rPr>
        <w:t>tudy area:</w:t>
      </w:r>
    </w:p>
    <w:p w14:paraId="5627ADBB" w14:textId="0DAE0CC0" w:rsidR="00932AAF" w:rsidRPr="00932AAF" w:rsidRDefault="00F435E7" w:rsidP="00932AAF">
      <w:pPr>
        <w:tabs>
          <w:tab w:val="left" w:pos="1620"/>
        </w:tabs>
        <w:spacing w:line="360" w:lineRule="auto"/>
        <w:jc w:val="both"/>
        <w:rPr>
          <w:rFonts w:ascii="Times New Roman" w:hAnsi="Times New Roman" w:cs="Times New Roman"/>
          <w:sz w:val="20"/>
          <w:szCs w:val="20"/>
        </w:rPr>
      </w:pPr>
      <w:r w:rsidRPr="00F435E7">
        <w:rPr>
          <w:rFonts w:ascii="Times New Roman" w:hAnsi="Times New Roman" w:cs="Times New Roman"/>
          <w:sz w:val="20"/>
          <w:szCs w:val="20"/>
        </w:rPr>
        <w:t>The study focuses on Kolkata Municipal Corporation (KMC), located in the eastern part of India within the state of West Bengal</w:t>
      </w:r>
      <w:r w:rsidR="00CE592E">
        <w:rPr>
          <w:rFonts w:ascii="Times New Roman" w:hAnsi="Times New Roman" w:cs="Times New Roman"/>
          <w:sz w:val="20"/>
          <w:szCs w:val="20"/>
        </w:rPr>
        <w:t xml:space="preserve"> (Fig. 1)</w:t>
      </w:r>
      <w:r w:rsidRPr="00F435E7">
        <w:rPr>
          <w:rFonts w:ascii="Times New Roman" w:hAnsi="Times New Roman" w:cs="Times New Roman"/>
          <w:sz w:val="20"/>
          <w:szCs w:val="20"/>
        </w:rPr>
        <w:t>. Kolkata, the capital of West Bengal, is one of the largest metropolitan cities in India and serves as a major economic, cultural, and administrative hub in the eastern region</w:t>
      </w:r>
      <w:r w:rsidR="00AF696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"/>
          <w:id w:val="64160292"/>
          <w:placeholder>
            <w:docPart w:val="DefaultPlaceholder_-1854013440"/>
          </w:placeholder>
        </w:sdtPr>
        <w:sdtEndPr/>
        <w:sdtContent>
          <w:r w:rsidR="00AD2A52" w:rsidRPr="00AD2A52">
            <w:rPr>
              <w:rFonts w:ascii="Times New Roman" w:hAnsi="Times New Roman" w:cs="Times New Roman"/>
              <w:color w:val="000000"/>
              <w:sz w:val="20"/>
              <w:szCs w:val="20"/>
            </w:rPr>
            <w:t>(Gorai et al., 2024)</w:t>
          </w:r>
        </w:sdtContent>
      </w:sdt>
      <w:r w:rsidRPr="00F435E7">
        <w:rPr>
          <w:rFonts w:ascii="Times New Roman" w:hAnsi="Times New Roman" w:cs="Times New Roman"/>
          <w:sz w:val="20"/>
          <w:szCs w:val="20"/>
        </w:rPr>
        <w:t>. Geographically, the KMC area lies along the eastern bank of the Hooghly River, a distributary of the Ganges, and is part of the lower Gangetic plain, characterised by flat topography and alluvial soils</w:t>
      </w:r>
      <w:r w:rsidR="0082779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c5YTlhYTUtY2E3NC00ZWY0LTkxYTktNzkzMGVhYjA5YTQx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1141733001"/>
          <w:placeholder>
            <w:docPart w:val="DefaultPlaceholder_-1854013440"/>
          </w:placeholder>
        </w:sdtPr>
        <w:sdtEndPr/>
        <w:sdtContent>
          <w:r w:rsidR="00AD2A52" w:rsidRPr="00AD2A52">
            <w:rPr>
              <w:rFonts w:ascii="Times New Roman" w:hAnsi="Times New Roman" w:cs="Times New Roman"/>
              <w:color w:val="000000"/>
              <w:sz w:val="20"/>
              <w:szCs w:val="20"/>
            </w:rPr>
            <w:t>(Mandal et al., 2019)</w:t>
          </w:r>
        </w:sdtContent>
      </w:sdt>
      <w:r w:rsidRPr="00F435E7">
        <w:rPr>
          <w:rFonts w:ascii="Times New Roman" w:hAnsi="Times New Roman" w:cs="Times New Roman"/>
          <w:sz w:val="20"/>
          <w:szCs w:val="20"/>
        </w:rPr>
        <w:t xml:space="preserve">. The municipal area extends approximately between latitudes 22°27′N to 22°39′N and longitudes 88°15′E to 88°30′E, covering an area of about 205 km². The city is administratively divided into 16 boroughs and 144 wards, which exhibit heterogeneous land-use patterns ranging from dense urban cores to relatively </w:t>
      </w:r>
      <w:r>
        <w:rPr>
          <w:rFonts w:ascii="Times New Roman" w:hAnsi="Times New Roman" w:cs="Times New Roman"/>
          <w:sz w:val="20"/>
          <w:szCs w:val="20"/>
        </w:rPr>
        <w:t>less developed peripheral zones</w:t>
      </w:r>
      <w:r w:rsidR="005A5B40">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"/>
          <w:id w:val="-950386722"/>
          <w:placeholder>
            <w:docPart w:val="DefaultPlaceholder_-1854013440"/>
          </w:placeholder>
        </w:sdtPr>
        <w:sdtEndPr/>
        <w:sdtContent>
          <w:r w:rsidR="00AD2A52" w:rsidRPr="00AD2A52">
            <w:rPr>
              <w:rFonts w:ascii="Times New Roman" w:hAnsi="Times New Roman" w:cs="Times New Roman"/>
              <w:color w:val="000000"/>
              <w:sz w:val="20"/>
              <w:szCs w:val="20"/>
            </w:rPr>
            <w:t>(Chakraborti et al., 2017)</w:t>
          </w:r>
        </w:sdtContent>
      </w:sdt>
      <w:r w:rsidR="00932AAF" w:rsidRPr="00932AAF">
        <w:rPr>
          <w:rFonts w:ascii="Times New Roman" w:hAnsi="Times New Roman" w:cs="Times New Roman"/>
          <w:sz w:val="20"/>
          <w:szCs w:val="20"/>
        </w:rPr>
        <w:t>.</w:t>
      </w:r>
    </w:p>
    <w:p w14:paraId="2AB980BB" w14:textId="77777777" w:rsidR="00792F48" w:rsidRDefault="00932AAF" w:rsidP="00792F48">
      <w:pPr>
        <w:keepNext/>
        <w:tabs>
          <w:tab w:val="left" w:pos="1620"/>
        </w:tabs>
        <w:spacing w:line="360" w:lineRule="auto"/>
        <w:jc w:val="both"/>
      </w:pPr>
      <w:r>
        <w:rPr>
          <w:rFonts w:ascii="Times New Roman" w:hAnsi="Times New Roman" w:cs="Times New Roman"/>
          <w:b/>
          <w:bCs/>
          <w:noProof/>
          <w:sz w:val="24"/>
          <w:szCs w:val="24"/>
          <w:lang w:eastAsia="en-IN"/>
        </w:rPr>
        <w:lastRenderedPageBreak/>
        <w:drawing>
          <wp:inline distT="0" distB="0" distL="0" distR="0" wp14:anchorId="5BBE1788" wp14:editId="7104D44E">
            <wp:extent cx="5731510" cy="41268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Location_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26865"/>
                    </a:xfrm>
                    <a:prstGeom prst="rect">
                      <a:avLst/>
                    </a:prstGeom>
                  </pic:spPr>
                </pic:pic>
              </a:graphicData>
            </a:graphic>
          </wp:inline>
        </w:drawing>
      </w:r>
    </w:p>
    <w:p w14:paraId="4B40C8E2" w14:textId="4E9D33C9" w:rsidR="00932AAF" w:rsidRPr="00792F48" w:rsidRDefault="00792F48" w:rsidP="00792F48">
      <w:pPr>
        <w:pStyle w:val="Caption"/>
        <w:jc w:val="center"/>
        <w:rPr>
          <w:rFonts w:ascii="Times New Roman" w:hAnsi="Times New Roman" w:cs="Times New Roman"/>
          <w:i w:val="0"/>
          <w:color w:val="000000" w:themeColor="text1"/>
          <w:sz w:val="20"/>
          <w:szCs w:val="20"/>
        </w:rPr>
      </w:pPr>
      <w:r w:rsidRPr="00792F48">
        <w:rPr>
          <w:rFonts w:ascii="Times New Roman" w:hAnsi="Times New Roman" w:cs="Times New Roman"/>
          <w:b/>
          <w:i w:val="0"/>
          <w:color w:val="000000" w:themeColor="text1"/>
        </w:rPr>
        <w:t xml:space="preserve">Figure </w:t>
      </w:r>
      <w:r w:rsidRPr="00792F48">
        <w:rPr>
          <w:rFonts w:ascii="Times New Roman" w:hAnsi="Times New Roman" w:cs="Times New Roman"/>
          <w:b/>
          <w:i w:val="0"/>
          <w:color w:val="000000" w:themeColor="text1"/>
        </w:rPr>
        <w:fldChar w:fldCharType="begin"/>
      </w:r>
      <w:r w:rsidRPr="00792F48">
        <w:rPr>
          <w:rFonts w:ascii="Times New Roman" w:hAnsi="Times New Roman" w:cs="Times New Roman"/>
          <w:b/>
          <w:i w:val="0"/>
          <w:color w:val="000000" w:themeColor="text1"/>
        </w:rPr>
        <w:instrText xml:space="preserve"> SEQ Figure \* ARABIC </w:instrText>
      </w:r>
      <w:r w:rsidRPr="00792F48">
        <w:rPr>
          <w:rFonts w:ascii="Times New Roman" w:hAnsi="Times New Roman" w:cs="Times New Roman"/>
          <w:b/>
          <w:i w:val="0"/>
          <w:color w:val="000000" w:themeColor="text1"/>
        </w:rPr>
        <w:fldChar w:fldCharType="separate"/>
      </w:r>
      <w:r w:rsidR="00287E0C">
        <w:rPr>
          <w:rFonts w:ascii="Times New Roman" w:hAnsi="Times New Roman" w:cs="Times New Roman"/>
          <w:b/>
          <w:i w:val="0"/>
          <w:noProof/>
          <w:color w:val="000000" w:themeColor="text1"/>
        </w:rPr>
        <w:t>1</w:t>
      </w:r>
      <w:r w:rsidRPr="00792F48">
        <w:rPr>
          <w:rFonts w:ascii="Times New Roman" w:hAnsi="Times New Roman" w:cs="Times New Roman"/>
          <w:b/>
          <w:i w:val="0"/>
          <w:color w:val="000000" w:themeColor="text1"/>
        </w:rPr>
        <w:fldChar w:fldCharType="end"/>
      </w:r>
      <w:r w:rsidRPr="00792F48">
        <w:rPr>
          <w:rFonts w:ascii="Times New Roman" w:hAnsi="Times New Roman" w:cs="Times New Roman"/>
          <w:b/>
          <w:i w:val="0"/>
          <w:color w:val="000000" w:themeColor="text1"/>
        </w:rPr>
        <w:t>:</w:t>
      </w:r>
      <w:r w:rsidRPr="00792F48">
        <w:rPr>
          <w:rFonts w:ascii="Times New Roman" w:hAnsi="Times New Roman" w:cs="Times New Roman"/>
          <w:i w:val="0"/>
          <w:color w:val="000000" w:themeColor="text1"/>
        </w:rPr>
        <w:t xml:space="preserve"> Spatial extent and administrative divisions of Kolkata Municipal Corporation</w:t>
      </w:r>
    </w:p>
    <w:p w14:paraId="0A6F9912" w14:textId="6789A2CE" w:rsidR="004E0A48" w:rsidRPr="00F74498" w:rsidRDefault="00F435E7" w:rsidP="00932AAF">
      <w:pPr>
        <w:tabs>
          <w:tab w:val="left" w:pos="1620"/>
        </w:tabs>
        <w:spacing w:line="360" w:lineRule="auto"/>
        <w:jc w:val="both"/>
        <w:rPr>
          <w:rFonts w:ascii="Times New Roman" w:hAnsi="Times New Roman" w:cs="Times New Roman"/>
          <w:sz w:val="20"/>
          <w:szCs w:val="20"/>
        </w:rPr>
      </w:pPr>
      <w:r w:rsidRPr="00F435E7">
        <w:rPr>
          <w:rFonts w:ascii="Times New Roman" w:hAnsi="Times New Roman" w:cs="Times New Roman"/>
          <w:sz w:val="20"/>
          <w:szCs w:val="20"/>
        </w:rPr>
        <w:t>Kolkata experiences a tropical wet-and-dry climate, with hot, humid summers, a monsoon season characterised by southwest monsoon rainfall, and mild winters. The average annual rainfall exceeds 1,500 mm, primarily occurring between June and September, which significantly influences urban hydrology and land-use dynamics</w:t>
      </w:r>
      <w:r w:rsidR="00CA388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jNiY2MwYjAtNzQ2YS00NTVkLWE2MDEtZWI1MWRlMjIxYjk5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
          <w:id w:val="169766067"/>
          <w:placeholder>
            <w:docPart w:val="DefaultPlaceholder_-1854013440"/>
          </w:placeholder>
        </w:sdtPr>
        <w:sdtEndPr/>
        <w:sdtContent>
          <w:r w:rsidR="00AD2A52" w:rsidRPr="00AD2A52">
            <w:rPr>
              <w:rFonts w:ascii="Times New Roman" w:hAnsi="Times New Roman" w:cs="Times New Roman"/>
              <w:color w:val="000000"/>
              <w:sz w:val="20"/>
              <w:szCs w:val="20"/>
            </w:rPr>
            <w:t>(Mahata et al., 2024)</w:t>
          </w:r>
        </w:sdtContent>
      </w:sdt>
      <w:r w:rsidRPr="00F435E7">
        <w:rPr>
          <w:rFonts w:ascii="Times New Roman" w:hAnsi="Times New Roman" w:cs="Times New Roman"/>
          <w:sz w:val="20"/>
          <w:szCs w:val="20"/>
        </w:rPr>
        <w:t>. The city has undergone rapid urbanisation over the past few decades, driven by population growth, economic activities, and infrastructural development</w:t>
      </w:r>
      <w:r w:rsidR="00CA388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A1N2NhZWEtMjEwYy00MDQyLTgyYmQtNjhkOTk5M2EzMzd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992758416"/>
          <w:placeholder>
            <w:docPart w:val="DefaultPlaceholder_-1854013440"/>
          </w:placeholder>
        </w:sdtPr>
        <w:sdtEndPr/>
        <w:sdtContent>
          <w:r w:rsidR="00AD2A52" w:rsidRPr="00AD2A52">
            <w:rPr>
              <w:rFonts w:ascii="Times New Roman" w:hAnsi="Times New Roman" w:cs="Times New Roman"/>
              <w:color w:val="000000"/>
              <w:sz w:val="20"/>
              <w:szCs w:val="20"/>
            </w:rPr>
            <w:t>(Mandal et al., 2019)</w:t>
          </w:r>
        </w:sdtContent>
      </w:sdt>
      <w:r w:rsidRPr="00F435E7">
        <w:rPr>
          <w:rFonts w:ascii="Times New Roman" w:hAnsi="Times New Roman" w:cs="Times New Roman"/>
          <w:sz w:val="20"/>
          <w:szCs w:val="20"/>
        </w:rPr>
        <w:t>. According to the Census of India, Kolkata has one of the highest population densities among Indian metropolitan cities, resulting in intense pressure on land resources and urban infrastructure</w:t>
      </w:r>
      <w:r w:rsidR="00391E6D">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GExYzljYTItYmI3OS00MDFjLWI2NGEtMzQ4YTE2NDQ2NTAy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
          <w:id w:val="-1151751713"/>
          <w:placeholder>
            <w:docPart w:val="DefaultPlaceholder_-1854013440"/>
          </w:placeholder>
        </w:sdtPr>
        <w:sdtEndPr/>
        <w:sdtContent>
          <w:r w:rsidR="00AD2A52" w:rsidRPr="00AD2A52">
            <w:rPr>
              <w:rFonts w:ascii="Times New Roman" w:hAnsi="Times New Roman" w:cs="Times New Roman"/>
              <w:color w:val="000000"/>
              <w:sz w:val="20"/>
              <w:szCs w:val="20"/>
            </w:rPr>
            <w:t>(Mahata et al., 2024)</w:t>
          </w:r>
        </w:sdtContent>
      </w:sdt>
      <w:r w:rsidRPr="00F435E7">
        <w:rPr>
          <w:rFonts w:ascii="Times New Roman" w:hAnsi="Times New Roman" w:cs="Times New Roman"/>
          <w:sz w:val="20"/>
          <w:szCs w:val="20"/>
        </w:rPr>
        <w:t>. The spatial expansion of built-up areas has transformed open spaces, wetlands, and peri-urban regions into urban land, making KMC an important case study for analysing long-term urban growth and land-use cha</w:t>
      </w:r>
      <w:r>
        <w:rPr>
          <w:rFonts w:ascii="Times New Roman" w:hAnsi="Times New Roman" w:cs="Times New Roman"/>
          <w:sz w:val="20"/>
          <w:szCs w:val="20"/>
        </w:rPr>
        <w:t>nge using geospatial techniques.</w:t>
      </w:r>
    </w:p>
    <w:p w14:paraId="3B12B8AA" w14:textId="77777777" w:rsidR="006334D1" w:rsidRPr="00794CB5" w:rsidRDefault="006334D1" w:rsidP="00794CB5">
      <w:pPr>
        <w:pStyle w:val="ListParagraph"/>
        <w:numPr>
          <w:ilvl w:val="0"/>
          <w:numId w:val="6"/>
        </w:numPr>
        <w:spacing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Data used and methodology:</w:t>
      </w:r>
    </w:p>
    <w:p w14:paraId="584328C0" w14:textId="77777777" w:rsidR="006334D1" w:rsidRPr="00F635C4" w:rsidRDefault="006334D1" w:rsidP="00794CB5">
      <w:pPr>
        <w:pStyle w:val="ListParagraph"/>
        <w:numPr>
          <w:ilvl w:val="1"/>
          <w:numId w:val="6"/>
        </w:numPr>
        <w:spacing w:line="360" w:lineRule="auto"/>
        <w:jc w:val="both"/>
        <w:rPr>
          <w:rFonts w:ascii="Times New Roman" w:hAnsi="Times New Roman" w:cs="Times New Roman"/>
          <w:b/>
          <w:bCs/>
          <w:sz w:val="20"/>
        </w:rPr>
      </w:pPr>
      <w:r w:rsidRPr="00F635C4">
        <w:rPr>
          <w:rFonts w:ascii="Times New Roman" w:hAnsi="Times New Roman" w:cs="Times New Roman"/>
          <w:b/>
          <w:bCs/>
          <w:sz w:val="20"/>
        </w:rPr>
        <w:t>Data used:</w:t>
      </w:r>
    </w:p>
    <w:p w14:paraId="237F232C" w14:textId="7A80B922" w:rsidR="00794CB5" w:rsidRPr="00CE5199" w:rsidRDefault="001A734F" w:rsidP="00794CB5">
      <w:pPr>
        <w:spacing w:line="360" w:lineRule="auto"/>
        <w:jc w:val="both"/>
        <w:rPr>
          <w:rFonts w:ascii="Times New Roman" w:hAnsi="Times New Roman" w:cs="Times New Roman"/>
          <w:bCs/>
          <w:sz w:val="20"/>
        </w:rPr>
      </w:pPr>
      <w:r w:rsidRPr="001A734F">
        <w:rPr>
          <w:rFonts w:ascii="Times New Roman" w:hAnsi="Times New Roman" w:cs="Times New Roman"/>
          <w:bCs/>
          <w:sz w:val="20"/>
        </w:rPr>
        <w:t>We used Multi-temporal satellite data from the United States Geological Survey Landsat program to analyse urban expansion in the Kolkata Municipal Corporation (KMC) over the period 1990–2025. Surface reflectance products from Landsat 5 TM, Landsat 7 ETM+, and Landsat 8 OLI/TIRS were accessed and processed through the Google Earth Engine (GEE) to ensure radiometric consistency and efficient time-series analysis. We selected the images based on minimal cloud cover and acquired them primarily during similar seasonal windows to reduce phenological variability. Pre</w:t>
      </w:r>
      <w:r w:rsidR="00D14BE3">
        <w:rPr>
          <w:rFonts w:ascii="Times New Roman" w:hAnsi="Times New Roman" w:cs="Times New Roman"/>
          <w:bCs/>
          <w:sz w:val="20"/>
        </w:rPr>
        <w:t>-</w:t>
      </w:r>
      <w:r w:rsidRPr="001A734F">
        <w:rPr>
          <w:rFonts w:ascii="Times New Roman" w:hAnsi="Times New Roman" w:cs="Times New Roman"/>
          <w:bCs/>
          <w:sz w:val="20"/>
        </w:rPr>
        <w:t>processing steps included cloud and shadow masking, atmospheric correction (using Collection 2 Level-2 datasets), and band harmonisation across sensors to mainta</w:t>
      </w:r>
      <w:r>
        <w:rPr>
          <w:rFonts w:ascii="Times New Roman" w:hAnsi="Times New Roman" w:cs="Times New Roman"/>
          <w:bCs/>
          <w:sz w:val="20"/>
        </w:rPr>
        <w:t>in cross-temporal comparability</w:t>
      </w:r>
      <w:r w:rsidR="00CE5199" w:rsidRPr="00CE5199">
        <w:rPr>
          <w:rFonts w:ascii="Times New Roman" w:hAnsi="Times New Roman" w:cs="Times New Roman"/>
          <w:bCs/>
          <w:sz w:val="20"/>
        </w:rPr>
        <w:t>.</w:t>
      </w:r>
    </w:p>
    <w:p w14:paraId="5F750528" w14:textId="77777777" w:rsidR="00794CB5" w:rsidRDefault="00794CB5" w:rsidP="00794CB5">
      <w:pPr>
        <w:pStyle w:val="ListParagraph"/>
        <w:numPr>
          <w:ilvl w:val="1"/>
          <w:numId w:val="6"/>
        </w:numPr>
        <w:spacing w:line="360" w:lineRule="auto"/>
        <w:jc w:val="both"/>
        <w:rPr>
          <w:rFonts w:ascii="Times New Roman" w:hAnsi="Times New Roman" w:cs="Times New Roman"/>
          <w:b/>
          <w:bCs/>
          <w:sz w:val="20"/>
        </w:rPr>
      </w:pPr>
      <w:r w:rsidRPr="00F635C4">
        <w:rPr>
          <w:rFonts w:ascii="Times New Roman" w:hAnsi="Times New Roman" w:cs="Times New Roman"/>
          <w:b/>
          <w:bCs/>
          <w:sz w:val="20"/>
        </w:rPr>
        <w:lastRenderedPageBreak/>
        <w:t>Methodology</w:t>
      </w:r>
    </w:p>
    <w:p w14:paraId="39E3CEFF" w14:textId="741ECDD4" w:rsidR="00120C48" w:rsidRPr="00D13B8C" w:rsidRDefault="00D13B8C" w:rsidP="00D13B8C">
      <w:pPr>
        <w:spacing w:line="360" w:lineRule="auto"/>
        <w:jc w:val="both"/>
        <w:rPr>
          <w:rFonts w:ascii="Times New Roman" w:hAnsi="Times New Roman" w:cs="Times New Roman"/>
          <w:bCs/>
          <w:sz w:val="20"/>
        </w:rPr>
      </w:pPr>
      <w:r w:rsidRPr="00D13B8C">
        <w:rPr>
          <w:rFonts w:ascii="Times New Roman" w:hAnsi="Times New Roman" w:cs="Times New Roman"/>
          <w:bCs/>
          <w:sz w:val="20"/>
        </w:rPr>
        <w:t>The overall methodology illustrates Figure 2.</w:t>
      </w:r>
    </w:p>
    <w:p w14:paraId="329FDCBB" w14:textId="5CDCAF8C" w:rsidR="00120C48" w:rsidRPr="00F635C4" w:rsidRDefault="00AD35B0" w:rsidP="00AD35B0">
      <w:pPr>
        <w:pStyle w:val="ListParagraph"/>
        <w:numPr>
          <w:ilvl w:val="2"/>
          <w:numId w:val="6"/>
        </w:numPr>
        <w:spacing w:line="360" w:lineRule="auto"/>
        <w:jc w:val="both"/>
        <w:rPr>
          <w:rFonts w:ascii="Times New Roman" w:hAnsi="Times New Roman" w:cs="Times New Roman"/>
          <w:bCs/>
          <w:i/>
          <w:sz w:val="20"/>
        </w:rPr>
      </w:pPr>
      <w:r w:rsidRPr="00F635C4">
        <w:rPr>
          <w:rFonts w:ascii="Times New Roman" w:hAnsi="Times New Roman" w:cs="Times New Roman"/>
          <w:bCs/>
          <w:i/>
          <w:sz w:val="20"/>
        </w:rPr>
        <w:t>NDBI</w:t>
      </w:r>
    </w:p>
    <w:p w14:paraId="194779E9" w14:textId="2F110AED" w:rsidR="00AD35B0" w:rsidRPr="00F635C4" w:rsidRDefault="00AD35B0" w:rsidP="00AD35B0">
      <w:pPr>
        <w:spacing w:line="360" w:lineRule="auto"/>
        <w:jc w:val="both"/>
        <w:rPr>
          <w:rFonts w:ascii="Times New Roman" w:hAnsi="Times New Roman" w:cs="Times New Roman"/>
          <w:bCs/>
          <w:sz w:val="20"/>
        </w:rPr>
      </w:pPr>
      <w:r w:rsidRPr="00F635C4">
        <w:rPr>
          <w:rFonts w:ascii="Times New Roman" w:hAnsi="Times New Roman" w:cs="Times New Roman"/>
          <w:bCs/>
          <w:sz w:val="20"/>
        </w:rPr>
        <w:t>The Normalized Difference Built-up Index (NDBI) was calculated to extract built-up areas using the normali</w:t>
      </w:r>
      <w:r w:rsidR="00CE592E">
        <w:rPr>
          <w:rFonts w:ascii="Times New Roman" w:hAnsi="Times New Roman" w:cs="Times New Roman"/>
          <w:bCs/>
          <w:sz w:val="20"/>
        </w:rPr>
        <w:t>s</w:t>
      </w:r>
      <w:r w:rsidRPr="00F635C4">
        <w:rPr>
          <w:rFonts w:ascii="Times New Roman" w:hAnsi="Times New Roman" w:cs="Times New Roman"/>
          <w:bCs/>
          <w:sz w:val="20"/>
        </w:rPr>
        <w:t>ed difference between the shortwave infrared (SWIR) and near-infrared (NIR) bands</w:t>
      </w:r>
      <w:r w:rsidR="0025594C">
        <w:rPr>
          <w:rFonts w:ascii="Times New Roman" w:hAnsi="Times New Roman" w:cs="Times New Roman"/>
          <w:bCs/>
          <w:sz w:val="20"/>
        </w:rPr>
        <w:t xml:space="preserve"> </w:t>
      </w:r>
      <w:sdt>
        <w:sdtPr>
          <w:rPr>
            <w:rFonts w:ascii="Times New Roman" w:hAnsi="Times New Roman" w:cs="Times New Roman"/>
            <w:bCs/>
            <w:color w:val="000000"/>
            <w:sz w:val="20"/>
          </w:rPr>
          <w:tag w:val="MENDELEY_CITATION_v3_eyJjaXRhdGlvbklEIjoiTUVOREVMRVlfQ0lUQVRJT05fNThhOGE1ZWQtM2NlNi00NzdjLTlmODktNDQ3N2E4ZGJmODI2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
          <w:id w:val="1591731167"/>
          <w:placeholder>
            <w:docPart w:val="DefaultPlaceholder_-1854013440"/>
          </w:placeholder>
        </w:sdtPr>
        <w:sdtEndPr/>
        <w:sdtContent>
          <w:r w:rsidR="00AD2A52" w:rsidRPr="00AD2A52">
            <w:rPr>
              <w:rFonts w:ascii="Times New Roman" w:hAnsi="Times New Roman" w:cs="Times New Roman"/>
              <w:bCs/>
              <w:color w:val="000000"/>
              <w:sz w:val="20"/>
            </w:rPr>
            <w:t>(Zha et al., 2003)</w:t>
          </w:r>
        </w:sdtContent>
      </w:sdt>
      <w:r w:rsidRPr="00F635C4">
        <w:rPr>
          <w:rFonts w:ascii="Times New Roman" w:hAnsi="Times New Roman" w:cs="Times New Roman"/>
          <w:bCs/>
          <w:sz w:val="20"/>
        </w:rPr>
        <w:t xml:space="preserve"> .</w:t>
      </w:r>
      <w:r w:rsidR="00F2671E" w:rsidRPr="00F635C4">
        <w:rPr>
          <w:rFonts w:ascii="Times New Roman" w:hAnsi="Times New Roman" w:cs="Times New Roman"/>
          <w:bCs/>
          <w:sz w:val="20"/>
        </w:rPr>
        <w:t xml:space="preserve"> The formula for calculating NDBI is in Eq. 1.</w:t>
      </w:r>
    </w:p>
    <w:p w14:paraId="2753B5E3" w14:textId="76A240AC" w:rsidR="0063447B" w:rsidRPr="0025594C" w:rsidRDefault="00A1579C" w:rsidP="0063447B">
      <w:pPr>
        <w:spacing w:line="360" w:lineRule="auto"/>
        <w:jc w:val="both"/>
        <w:rPr>
          <w:rFonts w:ascii="Times New Roman" w:eastAsiaTheme="minorEastAsia"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NDBI</m:t>
              </m:r>
              <m:r>
                <w:rPr>
                  <w:rFonts w:ascii="Cambria Math" w:hAnsi="Cambria Math" w:cs="Times New Roman"/>
                  <w:sz w:val="20"/>
                  <w:szCs w:val="20"/>
                </w:rPr>
                <m:t>=</m:t>
              </m:r>
              <m:f>
                <m:fPr>
                  <m:ctrlPr>
                    <w:rPr>
                      <w:rFonts w:ascii="Cambria Math" w:hAnsi="Cambria Math" w:cs="Times New Roman"/>
                      <w:bCs/>
                      <w:i/>
                      <w:sz w:val="20"/>
                      <w:szCs w:val="20"/>
                    </w:rPr>
                  </m:ctrlPr>
                </m:fPr>
                <m:num>
                  <m:r>
                    <w:rPr>
                      <w:rFonts w:ascii="Cambria Math" w:hAnsi="Cambria Math" w:cs="Times New Roman"/>
                      <w:sz w:val="20"/>
                      <w:szCs w:val="20"/>
                    </w:rPr>
                    <m:t>SWIR</m:t>
                  </m:r>
                  <m:r>
                    <w:rPr>
                      <w:rFonts w:ascii="Cambria Math" w:hAnsi="Cambria Math" w:cs="Times New Roman"/>
                      <w:sz w:val="20"/>
                      <w:szCs w:val="20"/>
                    </w:rPr>
                    <m:t>-</m:t>
                  </m:r>
                  <m:r>
                    <w:rPr>
                      <w:rFonts w:ascii="Cambria Math" w:hAnsi="Cambria Math" w:cs="Times New Roman"/>
                      <w:sz w:val="20"/>
                      <w:szCs w:val="20"/>
                    </w:rPr>
                    <m:t>NIR</m:t>
                  </m:r>
                </m:num>
                <m:den>
                  <m:r>
                    <w:rPr>
                      <w:rFonts w:ascii="Cambria Math" w:hAnsi="Cambria Math" w:cs="Times New Roman"/>
                      <w:sz w:val="20"/>
                      <w:szCs w:val="20"/>
                    </w:rPr>
                    <m:t>SWIR</m:t>
                  </m:r>
                  <m:r>
                    <w:rPr>
                      <w:rFonts w:ascii="Cambria Math" w:hAnsi="Cambria Math" w:cs="Times New Roman"/>
                      <w:sz w:val="20"/>
                      <w:szCs w:val="20"/>
                    </w:rPr>
                    <m:t>+</m:t>
                  </m:r>
                  <m:r>
                    <w:rPr>
                      <w:rFonts w:ascii="Cambria Math" w:hAnsi="Cambria Math" w:cs="Times New Roman"/>
                      <w:sz w:val="20"/>
                      <w:szCs w:val="20"/>
                    </w:rPr>
                    <m:t>NIR</m:t>
                  </m:r>
                </m:den>
              </m:f>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e>
              </m:d>
            </m:e>
          </m:eqArr>
        </m:oMath>
      </m:oMathPara>
    </w:p>
    <w:p w14:paraId="150C103D" w14:textId="753A1BB2" w:rsidR="006562BF" w:rsidRPr="00F635C4" w:rsidRDefault="006562BF" w:rsidP="006562BF">
      <w:pPr>
        <w:pStyle w:val="ListParagraph"/>
        <w:numPr>
          <w:ilvl w:val="2"/>
          <w:numId w:val="6"/>
        </w:numPr>
        <w:spacing w:line="360" w:lineRule="auto"/>
        <w:jc w:val="both"/>
        <w:rPr>
          <w:rFonts w:ascii="Times New Roman" w:hAnsi="Times New Roman" w:cs="Times New Roman"/>
          <w:bCs/>
          <w:i/>
          <w:sz w:val="20"/>
        </w:rPr>
      </w:pPr>
      <w:r w:rsidRPr="00F635C4">
        <w:rPr>
          <w:rFonts w:ascii="Times New Roman" w:hAnsi="Times New Roman" w:cs="Times New Roman"/>
          <w:bCs/>
          <w:i/>
          <w:sz w:val="20"/>
        </w:rPr>
        <w:t>Mann-Kendall Test (Trend Detection)</w:t>
      </w:r>
    </w:p>
    <w:p w14:paraId="51457785" w14:textId="26783A69" w:rsidR="006562BF" w:rsidRPr="00F2671E" w:rsidRDefault="00242A33" w:rsidP="006562BF">
      <w:pPr>
        <w:spacing w:line="360" w:lineRule="auto"/>
        <w:jc w:val="both"/>
        <w:rPr>
          <w:rFonts w:ascii="Times New Roman" w:hAnsi="Times New Roman" w:cs="Times New Roman"/>
          <w:bCs/>
          <w:sz w:val="20"/>
        </w:rPr>
      </w:pPr>
      <w:r w:rsidRPr="00AD35B0">
        <w:rPr>
          <w:rFonts w:ascii="Times New Roman" w:hAnsi="Times New Roman" w:cs="Times New Roman"/>
          <w:bCs/>
          <w:sz w:val="20"/>
        </w:rPr>
        <w:t>The trend in built-up area was assessed using the Mann–Kendall test, a non-parametric method suitable for detecting monotonic trends in time-series data. The test statistic (S) was computed based on pairwise comparisons of observations</w:t>
      </w:r>
      <w:r w:rsidR="003560EA" w:rsidRPr="00AD35B0">
        <w:rPr>
          <w:rFonts w:ascii="Times New Roman" w:hAnsi="Times New Roman" w:cs="Times New Roman"/>
          <w:bCs/>
          <w:sz w:val="20"/>
        </w:rPr>
        <w:t xml:space="preserve"> (Eq. 2</w:t>
      </w:r>
      <w:r w:rsidR="000712D5">
        <w:rPr>
          <w:rFonts w:ascii="Times New Roman" w:hAnsi="Times New Roman" w:cs="Times New Roman"/>
          <w:bCs/>
          <w:sz w:val="20"/>
        </w:rPr>
        <w:t>-4</w:t>
      </w:r>
      <w:r w:rsidR="003560EA" w:rsidRPr="00AD35B0">
        <w:rPr>
          <w:rFonts w:ascii="Times New Roman" w:hAnsi="Times New Roman" w:cs="Times New Roman"/>
          <w:bCs/>
          <w:sz w:val="20"/>
        </w:rPr>
        <w:t>)</w:t>
      </w:r>
      <w:r w:rsidRPr="00AD35B0">
        <w:rPr>
          <w:rFonts w:ascii="Times New Roman" w:hAnsi="Times New Roman" w:cs="Times New Roman"/>
          <w:bCs/>
          <w:sz w:val="20"/>
        </w:rPr>
        <w:t>, and its significance was evaluated using the standardized Z-value</w:t>
      </w:r>
      <w:r w:rsidR="003560EA" w:rsidRPr="00AD35B0">
        <w:rPr>
          <w:rFonts w:ascii="Times New Roman" w:hAnsi="Times New Roman" w:cs="Times New Roman"/>
          <w:bCs/>
          <w:sz w:val="20"/>
        </w:rPr>
        <w:t xml:space="preserve"> (Eq. 5)</w:t>
      </w:r>
      <w:r w:rsidRPr="00AD35B0">
        <w:rPr>
          <w:rFonts w:ascii="Times New Roman" w:hAnsi="Times New Roman" w:cs="Times New Roman"/>
          <w:bCs/>
          <w:sz w:val="20"/>
        </w:rPr>
        <w:t>. The magnitude of the trend was estimated using Sen’s slope estimator, which calculates the median of all pairwise slopes</w:t>
      </w:r>
      <w:r w:rsidR="003560EA" w:rsidRPr="00AD35B0">
        <w:rPr>
          <w:rFonts w:ascii="Times New Roman" w:hAnsi="Times New Roman" w:cs="Times New Roman"/>
          <w:bCs/>
          <w:sz w:val="20"/>
        </w:rPr>
        <w:t xml:space="preserve"> (Eq. 6)</w:t>
      </w:r>
      <w:r w:rsidRPr="00AD35B0">
        <w:rPr>
          <w:rFonts w:ascii="Times New Roman" w:hAnsi="Times New Roman" w:cs="Times New Roman"/>
          <w:bCs/>
          <w:sz w:val="20"/>
        </w:rPr>
        <w:t>. Future built-up area was projected using a linear extrapolation based on Sen’s slope, assuming a consistent long-term trend</w:t>
      </w:r>
      <w:r w:rsidR="003560EA" w:rsidRPr="00AD35B0">
        <w:rPr>
          <w:rFonts w:ascii="Times New Roman" w:hAnsi="Times New Roman" w:cs="Times New Roman"/>
          <w:bCs/>
          <w:sz w:val="20"/>
        </w:rPr>
        <w:t xml:space="preserve"> (Eq. 7)</w:t>
      </w:r>
      <w:r w:rsidRPr="00AD35B0">
        <w:rPr>
          <w:rFonts w:ascii="Times New Roman" w:hAnsi="Times New Roman" w:cs="Times New Roman"/>
          <w:bCs/>
          <w:sz w:val="20"/>
        </w:rPr>
        <w:t>.</w:t>
      </w:r>
      <w:r w:rsidR="00F2671E">
        <w:rPr>
          <w:rFonts w:ascii="Times New Roman" w:hAnsi="Times New Roman" w:cs="Times New Roman"/>
          <w:bCs/>
          <w:sz w:val="20"/>
        </w:rPr>
        <w:t xml:space="preserve"> </w:t>
      </w:r>
      <w:r w:rsidR="006562BF" w:rsidRPr="00F2671E">
        <w:rPr>
          <w:rFonts w:ascii="Times New Roman" w:hAnsi="Times New Roman" w:cs="Times New Roman"/>
          <w:bCs/>
          <w:sz w:val="20"/>
        </w:rPr>
        <w:t>The Mann-Ke</w:t>
      </w:r>
      <w:r w:rsidR="00F2671E">
        <w:rPr>
          <w:rFonts w:ascii="Times New Roman" w:hAnsi="Times New Roman" w:cs="Times New Roman"/>
          <w:bCs/>
          <w:sz w:val="20"/>
        </w:rPr>
        <w:t>ndall Statistic S is calculated using Eq. 2.</w:t>
      </w:r>
    </w:p>
    <w:p w14:paraId="0AD7AE9C" w14:textId="33BA7F8E" w:rsidR="006562BF" w:rsidRPr="00CC5CD4" w:rsidRDefault="00A1579C"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S</m:t>
              </m:r>
              <m:r>
                <w:rPr>
                  <w:rFonts w:ascii="Cambria Math" w:hAnsi="Cambria Math" w:cs="Times New Roman"/>
                  <w:sz w:val="20"/>
                </w:rPr>
                <m:t>=</m:t>
              </m:r>
              <m:nary>
                <m:naryPr>
                  <m:chr m:val="∑"/>
                  <m:limLoc m:val="undOvr"/>
                  <m:ctrlPr>
                    <w:rPr>
                      <w:rFonts w:ascii="Cambria Math" w:hAnsi="Cambria Math" w:cs="Times New Roman"/>
                      <w:bCs/>
                      <w:i/>
                      <w:sz w:val="20"/>
                    </w:rPr>
                  </m:ctrlPr>
                </m:naryPr>
                <m:sub>
                  <m:r>
                    <w:rPr>
                      <w:rFonts w:ascii="Cambria Math" w:hAnsi="Cambria Math" w:cs="Times New Roman"/>
                      <w:sz w:val="20"/>
                    </w:rPr>
                    <m:t>i</m:t>
                  </m:r>
                  <m:r>
                    <w:rPr>
                      <w:rFonts w:ascii="Cambria Math" w:hAnsi="Cambria Math" w:cs="Times New Roman"/>
                      <w:sz w:val="20"/>
                    </w:rPr>
                    <m:t>=1</m:t>
                  </m:r>
                </m:sub>
                <m:sup>
                  <m:r>
                    <w:rPr>
                      <w:rFonts w:ascii="Cambria Math" w:hAnsi="Cambria Math" w:cs="Times New Roman"/>
                      <w:sz w:val="20"/>
                    </w:rPr>
                    <m:t>n</m:t>
                  </m:r>
                  <m:r>
                    <w:rPr>
                      <w:rFonts w:ascii="Cambria Math" w:hAnsi="Cambria Math" w:cs="Times New Roman"/>
                      <w:sz w:val="20"/>
                    </w:rPr>
                    <m:t>-</m:t>
                  </m:r>
                  <m:r>
                    <w:rPr>
                      <w:rFonts w:ascii="Cambria Math" w:hAnsi="Cambria Math" w:cs="Times New Roman"/>
                      <w:sz w:val="20"/>
                    </w:rPr>
                    <m:t>1</m:t>
                  </m:r>
                </m:sup>
                <m:e>
                  <m:nary>
                    <m:naryPr>
                      <m:chr m:val="∑"/>
                      <m:limLoc m:val="undOvr"/>
                      <m:ctrlPr>
                        <w:rPr>
                          <w:rFonts w:ascii="Cambria Math" w:hAnsi="Cambria Math" w:cs="Times New Roman"/>
                          <w:bCs/>
                          <w:i/>
                          <w:sz w:val="20"/>
                        </w:rPr>
                      </m:ctrlPr>
                    </m:naryPr>
                    <m:sub>
                      <m:r>
                        <w:rPr>
                          <w:rFonts w:ascii="Cambria Math" w:hAnsi="Cambria Math" w:cs="Times New Roman"/>
                          <w:sz w:val="20"/>
                        </w:rPr>
                        <m:t>j</m:t>
                      </m:r>
                      <m:r>
                        <w:rPr>
                          <w:rFonts w:ascii="Cambria Math" w:hAnsi="Cambria Math" w:cs="Times New Roman"/>
                          <w:sz w:val="20"/>
                        </w:rPr>
                        <m:t>=</m:t>
                      </m:r>
                      <m:r>
                        <w:rPr>
                          <w:rFonts w:ascii="Cambria Math" w:hAnsi="Cambria Math" w:cs="Times New Roman"/>
                          <w:sz w:val="20"/>
                        </w:rPr>
                        <m:t>i</m:t>
                      </m:r>
                      <m:r>
                        <w:rPr>
                          <w:rFonts w:ascii="Cambria Math" w:hAnsi="Cambria Math" w:cs="Times New Roman"/>
                          <w:sz w:val="20"/>
                        </w:rPr>
                        <m:t>+1</m:t>
                      </m:r>
                    </m:sub>
                    <m:sup>
                      <m:r>
                        <w:rPr>
                          <w:rFonts w:ascii="Cambria Math" w:hAnsi="Cambria Math" w:cs="Times New Roman"/>
                          <w:sz w:val="20"/>
                        </w:rPr>
                        <m:t>n</m:t>
                      </m:r>
                    </m:sup>
                    <m:e>
                      <m:r>
                        <w:rPr>
                          <w:rFonts w:ascii="Cambria Math" w:hAnsi="Cambria Math" w:cs="Times New Roman"/>
                          <w:sz w:val="20"/>
                        </w:rPr>
                        <m:t>sgn</m:t>
                      </m:r>
                      <m:d>
                        <m:dPr>
                          <m:ctrlPr>
                            <w:rPr>
                              <w:rFonts w:ascii="Cambria Math" w:hAnsi="Cambria Math" w:cs="Times New Roman"/>
                              <w:bCs/>
                              <w:i/>
                              <w:sz w:val="20"/>
                            </w:rPr>
                          </m:ctrlPr>
                        </m:dPr>
                        <m:e>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e>
                      </m:d>
                    </m:e>
                  </m:nary>
                </m:e>
              </m:nary>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2</m:t>
                  </m:r>
                </m:e>
              </m:d>
              <m:ctrlPr>
                <w:rPr>
                  <w:rFonts w:ascii="Cambria Math" w:hAnsi="Cambria Math" w:cs="Times New Roman"/>
                  <w:i/>
                  <w:sz w:val="20"/>
                </w:rPr>
              </m:ctrlPr>
            </m:e>
          </m:eqArr>
        </m:oMath>
      </m:oMathPara>
    </w:p>
    <w:p w14:paraId="51757D96" w14:textId="75A4F1C9" w:rsidR="0063447B" w:rsidRPr="00AD35B0" w:rsidRDefault="006562BF" w:rsidP="0063447B">
      <w:pPr>
        <w:spacing w:line="360" w:lineRule="auto"/>
        <w:jc w:val="both"/>
        <w:rPr>
          <w:rFonts w:ascii="Times New Roman" w:hAnsi="Times New Roman" w:cs="Times New Roman"/>
          <w:bCs/>
          <w:sz w:val="20"/>
        </w:rPr>
      </w:pPr>
      <w:r w:rsidRPr="00AD35B0">
        <w:rPr>
          <w:rFonts w:ascii="Times New Roman" w:hAnsi="Times New Roman" w:cs="Times New Roman"/>
          <w:bCs/>
          <w:sz w:val="20"/>
        </w:rPr>
        <w:t>Where</w:t>
      </w:r>
      <w:r w:rsidR="00931C83" w:rsidRPr="00AD35B0">
        <w:rPr>
          <w:rFonts w:ascii="Times New Roman" w:hAnsi="Times New Roman" w:cs="Times New Roman"/>
          <w:bCs/>
          <w:sz w:val="20"/>
        </w:rPr>
        <w:t>,</w:t>
      </w:r>
    </w:p>
    <w:p w14:paraId="0EB5F680" w14:textId="5CD14878" w:rsidR="006562BF" w:rsidRPr="00CC5CD4" w:rsidRDefault="00A1579C"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sgn</m:t>
              </m:r>
              <m:d>
                <m:dPr>
                  <m:ctrlPr>
                    <w:rPr>
                      <w:rFonts w:ascii="Cambria Math" w:hAnsi="Cambria Math" w:cs="Times New Roman"/>
                      <w:bCs/>
                      <w:i/>
                      <w:sz w:val="20"/>
                    </w:rPr>
                  </m:ctrlPr>
                </m:dPr>
                <m:e>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e>
              </m:d>
              <m:r>
                <w:rPr>
                  <w:rFonts w:ascii="Cambria Math" w:hAnsi="Cambria Math" w:cs="Times New Roman"/>
                  <w:sz w:val="20"/>
                </w:rPr>
                <m:t>=</m:t>
              </m:r>
              <m:d>
                <m:dPr>
                  <m:begChr m:val="{"/>
                  <m:endChr m:val=""/>
                  <m:ctrlPr>
                    <w:rPr>
                      <w:rFonts w:ascii="Cambria Math" w:hAnsi="Cambria Math" w:cs="Times New Roman"/>
                      <w:bCs/>
                      <w:i/>
                      <w:sz w:val="20"/>
                    </w:rPr>
                  </m:ctrlPr>
                </m:dPr>
                <m:e>
                  <m:m>
                    <m:mPr>
                      <m:mcs>
                        <m:mc>
                          <m:mcPr>
                            <m:count m:val="2"/>
                            <m:mcJc m:val="center"/>
                          </m:mcPr>
                        </m:mc>
                      </m:mcs>
                      <m:ctrlPr>
                        <w:rPr>
                          <w:rFonts w:ascii="Cambria Math" w:hAnsi="Cambria Math" w:cs="Times New Roman"/>
                          <w:bCs/>
                          <w:i/>
                          <w:sz w:val="20"/>
                        </w:rPr>
                      </m:ctrlPr>
                    </m:mPr>
                    <m:mr>
                      <m:e>
                        <m:r>
                          <w:rPr>
                            <w:rFonts w:ascii="Cambria Math" w:hAnsi="Cambria Math" w:cs="Times New Roman"/>
                            <w:sz w:val="20"/>
                          </w:rPr>
                          <m:t>+1</m:t>
                        </m:r>
                      </m:e>
                      <m:e>
                        <m:r>
                          <w:rPr>
                            <w:rFonts w:ascii="Cambria Math" w:hAnsi="Cambria Math" w:cs="Times New Roman"/>
                            <w:sz w:val="20"/>
                          </w:rPr>
                          <m:t>if</m:t>
                        </m:r>
                        <m:r>
                          <w:rPr>
                            <w:rFonts w:ascii="Cambria Math" w:hAnsi="Cambria Math" w:cs="Times New Roman"/>
                            <w:sz w:val="20"/>
                          </w:rPr>
                          <m:t xml:space="preserve"> </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r>
                          <w:rPr>
                            <w:rFonts w:ascii="Cambria Math" w:hAnsi="Cambria Math" w:cs="Times New Roman"/>
                            <w:sz w:val="20"/>
                          </w:rPr>
                          <m:t>&gt;0</m:t>
                        </m:r>
                      </m:e>
                    </m:mr>
                    <m:mr>
                      <m:e>
                        <m:r>
                          <w:rPr>
                            <w:rFonts w:ascii="Cambria Math" w:hAnsi="Cambria Math" w:cs="Times New Roman"/>
                            <w:sz w:val="20"/>
                          </w:rPr>
                          <m:t>0,</m:t>
                        </m:r>
                      </m:e>
                      <m:e>
                        <m:r>
                          <w:rPr>
                            <w:rFonts w:ascii="Cambria Math" w:hAnsi="Cambria Math" w:cs="Times New Roman"/>
                            <w:sz w:val="20"/>
                          </w:rPr>
                          <m:t>if</m:t>
                        </m:r>
                        <m:r>
                          <w:rPr>
                            <w:rFonts w:ascii="Cambria Math" w:hAnsi="Cambria Math" w:cs="Times New Roman"/>
                            <w:sz w:val="20"/>
                          </w:rPr>
                          <m:t xml:space="preserve"> </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r>
                          <w:rPr>
                            <w:rFonts w:ascii="Cambria Math" w:hAnsi="Cambria Math" w:cs="Times New Roman"/>
                            <w:sz w:val="20"/>
                          </w:rPr>
                          <m:t>=0</m:t>
                        </m:r>
                      </m:e>
                    </m:mr>
                    <m:mr>
                      <m:e>
                        <m:r>
                          <w:rPr>
                            <w:rFonts w:ascii="Cambria Math" w:hAnsi="Cambria Math" w:cs="Times New Roman"/>
                            <w:sz w:val="20"/>
                          </w:rPr>
                          <m:t>-</m:t>
                        </m:r>
                        <m:r>
                          <w:rPr>
                            <w:rFonts w:ascii="Cambria Math" w:hAnsi="Cambria Math" w:cs="Times New Roman"/>
                            <w:sz w:val="20"/>
                          </w:rPr>
                          <m:t>1</m:t>
                        </m:r>
                      </m:e>
                      <m:e>
                        <m:r>
                          <w:rPr>
                            <w:rFonts w:ascii="Cambria Math" w:hAnsi="Cambria Math" w:cs="Times New Roman"/>
                            <w:sz w:val="20"/>
                          </w:rPr>
                          <m:t>if</m:t>
                        </m:r>
                        <m:r>
                          <w:rPr>
                            <w:rFonts w:ascii="Cambria Math" w:hAnsi="Cambria Math" w:cs="Times New Roman"/>
                            <w:sz w:val="20"/>
                          </w:rPr>
                          <m:t xml:space="preserve"> </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r>
                          <w:rPr>
                            <w:rFonts w:ascii="Cambria Math" w:hAnsi="Cambria Math" w:cs="Times New Roman"/>
                            <w:sz w:val="20"/>
                          </w:rPr>
                          <m:t>&lt;0</m:t>
                        </m:r>
                      </m:e>
                    </m:mr>
                  </m:m>
                </m:e>
              </m:d>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3</m:t>
                  </m:r>
                </m:e>
              </m:d>
              <m:ctrlPr>
                <w:rPr>
                  <w:rFonts w:ascii="Cambria Math" w:hAnsi="Cambria Math" w:cs="Times New Roman"/>
                  <w:i/>
                  <w:sz w:val="20"/>
                </w:rPr>
              </m:ctrlPr>
            </m:e>
          </m:eqArr>
        </m:oMath>
      </m:oMathPara>
    </w:p>
    <w:p w14:paraId="75BE49CA" w14:textId="3A51A972" w:rsidR="006562BF" w:rsidRPr="00F2671E" w:rsidRDefault="006562BF" w:rsidP="0063447B">
      <w:pPr>
        <w:spacing w:line="360" w:lineRule="auto"/>
        <w:jc w:val="both"/>
        <w:rPr>
          <w:rFonts w:ascii="Times New Roman" w:hAnsi="Times New Roman" w:cs="Times New Roman"/>
          <w:bCs/>
          <w:sz w:val="20"/>
        </w:rPr>
      </w:pPr>
      <w:r w:rsidRPr="00F2671E">
        <w:rPr>
          <w:rFonts w:ascii="Times New Roman" w:hAnsi="Times New Roman" w:cs="Times New Roman"/>
          <w:bCs/>
          <w:sz w:val="20"/>
        </w:rPr>
        <w:t>Variance of S:</w:t>
      </w:r>
    </w:p>
    <w:p w14:paraId="69DE48A3" w14:textId="75B88560" w:rsidR="006562BF" w:rsidRPr="00CC5CD4" w:rsidRDefault="00A1579C"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Var</m:t>
              </m:r>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S</m:t>
                  </m:r>
                </m:e>
              </m:d>
              <m:r>
                <w:rPr>
                  <w:rFonts w:ascii="Cambria Math" w:hAnsi="Cambria Math" w:cs="Times New Roman"/>
                  <w:sz w:val="20"/>
                </w:rPr>
                <m:t xml:space="preserve">= </m:t>
              </m:r>
              <m:f>
                <m:fPr>
                  <m:ctrlPr>
                    <w:rPr>
                      <w:rFonts w:ascii="Cambria Math" w:hAnsi="Cambria Math" w:cs="Times New Roman"/>
                      <w:bCs/>
                      <w:i/>
                      <w:sz w:val="20"/>
                    </w:rPr>
                  </m:ctrlPr>
                </m:fPr>
                <m:num>
                  <m:r>
                    <w:rPr>
                      <w:rFonts w:ascii="Cambria Math" w:hAnsi="Cambria Math" w:cs="Times New Roman"/>
                      <w:sz w:val="20"/>
                    </w:rPr>
                    <m:t>n</m:t>
                  </m:r>
                  <m:d>
                    <m:dPr>
                      <m:ctrlPr>
                        <w:rPr>
                          <w:rFonts w:ascii="Cambria Math" w:hAnsi="Cambria Math" w:cs="Times New Roman"/>
                          <w:i/>
                          <w:sz w:val="20"/>
                        </w:rPr>
                      </m:ctrlPr>
                    </m:dPr>
                    <m:e>
                      <m:r>
                        <w:rPr>
                          <w:rFonts w:ascii="Cambria Math" w:hAnsi="Cambria Math" w:cs="Times New Roman"/>
                          <w:sz w:val="20"/>
                        </w:rPr>
                        <m:t>n</m:t>
                      </m:r>
                      <m:r>
                        <w:rPr>
                          <w:rFonts w:ascii="Cambria Math" w:hAnsi="Cambria Math" w:cs="Times New Roman"/>
                          <w:sz w:val="20"/>
                        </w:rPr>
                        <m:t>-</m:t>
                      </m:r>
                      <m:r>
                        <w:rPr>
                          <w:rFonts w:ascii="Cambria Math" w:hAnsi="Cambria Math" w:cs="Times New Roman"/>
                          <w:sz w:val="20"/>
                        </w:rPr>
                        <m:t>1</m:t>
                      </m:r>
                    </m:e>
                  </m:d>
                  <m:d>
                    <m:dPr>
                      <m:ctrlPr>
                        <w:rPr>
                          <w:rFonts w:ascii="Cambria Math" w:hAnsi="Cambria Math" w:cs="Times New Roman"/>
                          <w:i/>
                          <w:sz w:val="20"/>
                        </w:rPr>
                      </m:ctrlPr>
                    </m:dPr>
                    <m:e>
                      <m:r>
                        <w:rPr>
                          <w:rFonts w:ascii="Cambria Math" w:hAnsi="Cambria Math" w:cs="Times New Roman"/>
                          <w:sz w:val="20"/>
                        </w:rPr>
                        <m:t>2</m:t>
                      </m:r>
                      <m:r>
                        <w:rPr>
                          <w:rFonts w:ascii="Cambria Math" w:hAnsi="Cambria Math" w:cs="Times New Roman"/>
                          <w:sz w:val="20"/>
                        </w:rPr>
                        <m:t>n</m:t>
                      </m:r>
                      <m:r>
                        <w:rPr>
                          <w:rFonts w:ascii="Cambria Math" w:hAnsi="Cambria Math" w:cs="Times New Roman"/>
                          <w:sz w:val="20"/>
                        </w:rPr>
                        <m:t>+5</m:t>
                      </m:r>
                    </m:e>
                  </m:d>
                </m:num>
                <m:den>
                  <m:r>
                    <w:rPr>
                      <w:rFonts w:ascii="Cambria Math" w:hAnsi="Cambria Math" w:cs="Times New Roman"/>
                      <w:sz w:val="20"/>
                    </w:rPr>
                    <m:t>18</m:t>
                  </m:r>
                </m:den>
              </m:f>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4</m:t>
                  </m:r>
                </m:e>
              </m:d>
              <m:ctrlPr>
                <w:rPr>
                  <w:rFonts w:ascii="Cambria Math" w:hAnsi="Cambria Math" w:cs="Times New Roman"/>
                  <w:i/>
                  <w:sz w:val="20"/>
                </w:rPr>
              </m:ctrlPr>
            </m:e>
          </m:eqArr>
        </m:oMath>
      </m:oMathPara>
    </w:p>
    <w:p w14:paraId="2021BA8E" w14:textId="2FC49655" w:rsidR="006562BF" w:rsidRPr="00F2671E" w:rsidRDefault="006562BF" w:rsidP="0063447B">
      <w:pPr>
        <w:spacing w:line="360" w:lineRule="auto"/>
        <w:jc w:val="both"/>
        <w:rPr>
          <w:rFonts w:ascii="Times New Roman" w:hAnsi="Times New Roman" w:cs="Times New Roman"/>
          <w:bCs/>
          <w:sz w:val="20"/>
        </w:rPr>
      </w:pPr>
      <w:r w:rsidRPr="00F2671E">
        <w:rPr>
          <w:rFonts w:ascii="Times New Roman" w:hAnsi="Times New Roman" w:cs="Times New Roman"/>
          <w:bCs/>
          <w:sz w:val="20"/>
        </w:rPr>
        <w:t>Standardized test statistic (Z)</w:t>
      </w:r>
      <w:r w:rsidR="00F2671E">
        <w:rPr>
          <w:rFonts w:ascii="Times New Roman" w:hAnsi="Times New Roman" w:cs="Times New Roman"/>
          <w:bCs/>
          <w:sz w:val="20"/>
        </w:rPr>
        <w:t>:</w:t>
      </w:r>
    </w:p>
    <w:p w14:paraId="12E0F336" w14:textId="1FEF15E4" w:rsidR="006562BF" w:rsidRPr="00CC5CD4" w:rsidRDefault="00A1579C"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Z</m:t>
              </m:r>
              <m:r>
                <w:rPr>
                  <w:rFonts w:ascii="Cambria Math" w:hAnsi="Cambria Math" w:cs="Times New Roman"/>
                  <w:sz w:val="20"/>
                </w:rPr>
                <m:t xml:space="preserve">= </m:t>
              </m:r>
              <m:d>
                <m:dPr>
                  <m:begChr m:val="{"/>
                  <m:endChr m:val=""/>
                  <m:ctrlPr>
                    <w:rPr>
                      <w:rFonts w:ascii="Cambria Math" w:hAnsi="Cambria Math" w:cs="Times New Roman"/>
                      <w:bCs/>
                      <w:i/>
                      <w:sz w:val="20"/>
                    </w:rPr>
                  </m:ctrlPr>
                </m:dPr>
                <m:e>
                  <m:m>
                    <m:mPr>
                      <m:mcs>
                        <m:mc>
                          <m:mcPr>
                            <m:count m:val="2"/>
                            <m:mcJc m:val="center"/>
                          </m:mcPr>
                        </m:mc>
                      </m:mcs>
                      <m:ctrlPr>
                        <w:rPr>
                          <w:rFonts w:ascii="Cambria Math" w:hAnsi="Cambria Math" w:cs="Times New Roman"/>
                          <w:bCs/>
                          <w:i/>
                          <w:sz w:val="20"/>
                        </w:rPr>
                      </m:ctrlPr>
                    </m:mPr>
                    <m:mr>
                      <m:e>
                        <m:f>
                          <m:fPr>
                            <m:ctrlPr>
                              <w:rPr>
                                <w:rFonts w:ascii="Cambria Math" w:hAnsi="Cambria Math" w:cs="Times New Roman"/>
                                <w:bCs/>
                                <w:i/>
                                <w:sz w:val="20"/>
                              </w:rPr>
                            </m:ctrlPr>
                          </m:fPr>
                          <m:num>
                            <m:r>
                              <w:rPr>
                                <w:rFonts w:ascii="Cambria Math" w:hAnsi="Cambria Math" w:cs="Times New Roman"/>
                                <w:sz w:val="20"/>
                              </w:rPr>
                              <m:t>S</m:t>
                            </m:r>
                            <m:r>
                              <w:rPr>
                                <w:rFonts w:ascii="Cambria Math" w:hAnsi="Cambria Math" w:cs="Times New Roman"/>
                                <w:sz w:val="20"/>
                              </w:rPr>
                              <m:t>-</m:t>
                            </m:r>
                            <m:r>
                              <w:rPr>
                                <w:rFonts w:ascii="Cambria Math" w:hAnsi="Cambria Math" w:cs="Times New Roman"/>
                                <w:sz w:val="20"/>
                              </w:rPr>
                              <m:t>1</m:t>
                            </m:r>
                          </m:num>
                          <m:den>
                            <m:rad>
                              <m:radPr>
                                <m:degHide m:val="1"/>
                                <m:ctrlPr>
                                  <w:rPr>
                                    <w:rFonts w:ascii="Cambria Math" w:hAnsi="Cambria Math" w:cs="Times New Roman"/>
                                    <w:bCs/>
                                    <w:i/>
                                    <w:sz w:val="20"/>
                                  </w:rPr>
                                </m:ctrlPr>
                              </m:radPr>
                              <m:deg/>
                              <m:e>
                                <m:r>
                                  <w:rPr>
                                    <w:rFonts w:ascii="Cambria Math" w:hAnsi="Cambria Math" w:cs="Times New Roman"/>
                                    <w:sz w:val="20"/>
                                  </w:rPr>
                                  <m:t>Var</m:t>
                                </m:r>
                                <m:d>
                                  <m:dPr>
                                    <m:ctrlPr>
                                      <w:rPr>
                                        <w:rFonts w:ascii="Cambria Math" w:hAnsi="Cambria Math" w:cs="Times New Roman"/>
                                        <w:i/>
                                        <w:sz w:val="20"/>
                                      </w:rPr>
                                    </m:ctrlPr>
                                  </m:dPr>
                                  <m:e>
                                    <m:r>
                                      <w:rPr>
                                        <w:rFonts w:ascii="Cambria Math" w:hAnsi="Cambria Math" w:cs="Times New Roman"/>
                                        <w:sz w:val="20"/>
                                      </w:rPr>
                                      <m:t>S</m:t>
                                    </m:r>
                                  </m:e>
                                </m:d>
                              </m:e>
                            </m:rad>
                          </m:den>
                        </m:f>
                        <m:r>
                          <w:rPr>
                            <w:rFonts w:ascii="Cambria Math" w:hAnsi="Cambria Math" w:cs="Times New Roman"/>
                            <w:sz w:val="20"/>
                          </w:rPr>
                          <m:t>,</m:t>
                        </m:r>
                      </m:e>
                      <m:e>
                        <m:r>
                          <w:rPr>
                            <w:rFonts w:ascii="Cambria Math" w:hAnsi="Cambria Math" w:cs="Times New Roman"/>
                            <w:sz w:val="20"/>
                          </w:rPr>
                          <m:t>S</m:t>
                        </m:r>
                        <m:r>
                          <w:rPr>
                            <w:rFonts w:ascii="Cambria Math" w:hAnsi="Cambria Math" w:cs="Times New Roman"/>
                            <w:sz w:val="20"/>
                          </w:rPr>
                          <m:t>&gt;0</m:t>
                        </m:r>
                      </m:e>
                    </m:mr>
                    <m:mr>
                      <m:e>
                        <m:r>
                          <w:rPr>
                            <w:rFonts w:ascii="Cambria Math" w:hAnsi="Cambria Math" w:cs="Times New Roman"/>
                            <w:sz w:val="20"/>
                          </w:rPr>
                          <m:t>0,</m:t>
                        </m:r>
                      </m:e>
                      <m:e>
                        <m:r>
                          <w:rPr>
                            <w:rFonts w:ascii="Cambria Math" w:hAnsi="Cambria Math" w:cs="Times New Roman"/>
                            <w:sz w:val="20"/>
                          </w:rPr>
                          <m:t>S</m:t>
                        </m:r>
                        <m:r>
                          <w:rPr>
                            <w:rFonts w:ascii="Cambria Math" w:hAnsi="Cambria Math" w:cs="Times New Roman"/>
                            <w:sz w:val="20"/>
                          </w:rPr>
                          <m:t>=0</m:t>
                        </m:r>
                      </m:e>
                    </m:mr>
                    <m:mr>
                      <m:e>
                        <m:f>
                          <m:fPr>
                            <m:ctrlPr>
                              <w:rPr>
                                <w:rFonts w:ascii="Cambria Math" w:hAnsi="Cambria Math" w:cs="Times New Roman"/>
                                <w:bCs/>
                                <w:i/>
                                <w:sz w:val="20"/>
                              </w:rPr>
                            </m:ctrlPr>
                          </m:fPr>
                          <m:num>
                            <m:r>
                              <w:rPr>
                                <w:rFonts w:ascii="Cambria Math" w:hAnsi="Cambria Math" w:cs="Times New Roman"/>
                                <w:sz w:val="20"/>
                              </w:rPr>
                              <m:t>S</m:t>
                            </m:r>
                            <m:r>
                              <w:rPr>
                                <w:rFonts w:ascii="Cambria Math" w:hAnsi="Cambria Math" w:cs="Times New Roman"/>
                                <w:sz w:val="20"/>
                              </w:rPr>
                              <m:t>+1</m:t>
                            </m:r>
                          </m:num>
                          <m:den>
                            <m:rad>
                              <m:radPr>
                                <m:degHide m:val="1"/>
                                <m:ctrlPr>
                                  <w:rPr>
                                    <w:rFonts w:ascii="Cambria Math" w:hAnsi="Cambria Math" w:cs="Times New Roman"/>
                                    <w:bCs/>
                                    <w:i/>
                                    <w:sz w:val="20"/>
                                  </w:rPr>
                                </m:ctrlPr>
                              </m:radPr>
                              <m:deg/>
                              <m:e>
                                <m:r>
                                  <w:rPr>
                                    <w:rFonts w:ascii="Cambria Math" w:hAnsi="Cambria Math" w:cs="Times New Roman"/>
                                    <w:sz w:val="20"/>
                                  </w:rPr>
                                  <m:t>Var</m:t>
                                </m:r>
                                <m:d>
                                  <m:dPr>
                                    <m:ctrlPr>
                                      <w:rPr>
                                        <w:rFonts w:ascii="Cambria Math" w:hAnsi="Cambria Math" w:cs="Times New Roman"/>
                                        <w:i/>
                                        <w:sz w:val="20"/>
                                      </w:rPr>
                                    </m:ctrlPr>
                                  </m:dPr>
                                  <m:e>
                                    <m:r>
                                      <w:rPr>
                                        <w:rFonts w:ascii="Cambria Math" w:hAnsi="Cambria Math" w:cs="Times New Roman"/>
                                        <w:sz w:val="20"/>
                                      </w:rPr>
                                      <m:t>S</m:t>
                                    </m:r>
                                  </m:e>
                                </m:d>
                              </m:e>
                            </m:rad>
                          </m:den>
                        </m:f>
                        <m:r>
                          <w:rPr>
                            <w:rFonts w:ascii="Cambria Math" w:hAnsi="Cambria Math" w:cs="Times New Roman"/>
                            <w:sz w:val="20"/>
                          </w:rPr>
                          <m:t>,</m:t>
                        </m:r>
                      </m:e>
                      <m:e>
                        <m:r>
                          <w:rPr>
                            <w:rFonts w:ascii="Cambria Math" w:hAnsi="Cambria Math" w:cs="Times New Roman"/>
                            <w:sz w:val="20"/>
                          </w:rPr>
                          <m:t>S</m:t>
                        </m:r>
                        <m:r>
                          <w:rPr>
                            <w:rFonts w:ascii="Cambria Math" w:hAnsi="Cambria Math" w:cs="Times New Roman"/>
                            <w:sz w:val="20"/>
                          </w:rPr>
                          <m:t>&lt;0</m:t>
                        </m:r>
                      </m:e>
                    </m:mr>
                  </m:m>
                </m:e>
              </m:d>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5</m:t>
                  </m:r>
                </m:e>
              </m:d>
              <m:ctrlPr>
                <w:rPr>
                  <w:rFonts w:ascii="Cambria Math" w:hAnsi="Cambria Math" w:cs="Times New Roman"/>
                  <w:i/>
                  <w:sz w:val="20"/>
                </w:rPr>
              </m:ctrlPr>
            </m:e>
          </m:eqArr>
        </m:oMath>
      </m:oMathPara>
    </w:p>
    <w:p w14:paraId="5FA6D561" w14:textId="01C259DB" w:rsidR="006562BF" w:rsidRPr="00AD35B0" w:rsidRDefault="002F5806" w:rsidP="0063447B">
      <w:pPr>
        <w:spacing w:line="360" w:lineRule="auto"/>
        <w:jc w:val="both"/>
        <w:rPr>
          <w:rFonts w:ascii="Times New Roman" w:hAnsi="Times New Roman" w:cs="Times New Roman"/>
          <w:bCs/>
          <w:sz w:val="20"/>
          <w:szCs w:val="20"/>
        </w:rPr>
      </w:pPr>
      <w:r w:rsidRPr="00AD35B0">
        <w:rPr>
          <w:rFonts w:ascii="Times New Roman" w:hAnsi="Times New Roman" w:cs="Times New Roman"/>
          <w:bCs/>
          <w:sz w:val="20"/>
          <w:szCs w:val="20"/>
        </w:rPr>
        <w:t xml:space="preserve">If the </w:t>
      </w:r>
      <m:oMath>
        <m:r>
          <w:rPr>
            <w:rFonts w:ascii="Cambria Math" w:hAnsi="Cambria Math" w:cs="Times New Roman"/>
            <w:sz w:val="20"/>
            <w:szCs w:val="20"/>
          </w:rPr>
          <m:t>Z&gt;0</m:t>
        </m:r>
      </m:oMath>
      <w:r w:rsidR="00EA15DA" w:rsidRPr="00AD35B0">
        <w:rPr>
          <w:rFonts w:ascii="Times New Roman" w:eastAsiaTheme="minorEastAsia" w:hAnsi="Times New Roman" w:cs="Times New Roman"/>
          <w:sz w:val="20"/>
          <w:szCs w:val="20"/>
        </w:rPr>
        <w:t>,</w:t>
      </w:r>
      <w:r w:rsidRPr="00AD35B0">
        <w:rPr>
          <w:rFonts w:ascii="Times New Roman" w:eastAsiaTheme="minorEastAsia" w:hAnsi="Times New Roman" w:cs="Times New Roman"/>
          <w:bCs/>
          <w:sz w:val="20"/>
          <w:szCs w:val="20"/>
        </w:rPr>
        <w:t xml:space="preserve"> then the trend is increasing</w:t>
      </w:r>
      <w:r w:rsidR="000F1C08" w:rsidRPr="00AD35B0">
        <w:rPr>
          <w:rFonts w:ascii="Times New Roman" w:eastAsiaTheme="minorEastAsia" w:hAnsi="Times New Roman" w:cs="Times New Roman"/>
          <w:bCs/>
          <w:sz w:val="20"/>
          <w:szCs w:val="20"/>
        </w:rPr>
        <w:t>,</w:t>
      </w:r>
      <w:r w:rsidRPr="00AD35B0">
        <w:rPr>
          <w:rFonts w:ascii="Times New Roman" w:eastAsiaTheme="minorEastAsia" w:hAnsi="Times New Roman" w:cs="Times New Roman"/>
          <w:bCs/>
          <w:sz w:val="20"/>
          <w:szCs w:val="20"/>
        </w:rPr>
        <w:t xml:space="preserve"> while if </w:t>
      </w:r>
      <m:oMath>
        <m:r>
          <w:rPr>
            <w:rFonts w:ascii="Cambria Math" w:hAnsi="Cambria Math" w:cs="Times New Roman"/>
            <w:sz w:val="20"/>
            <w:szCs w:val="20"/>
          </w:rPr>
          <m:t>Z&lt;0</m:t>
        </m:r>
      </m:oMath>
      <w:r w:rsidR="000F1C08" w:rsidRPr="00AD35B0">
        <w:rPr>
          <w:rFonts w:ascii="Times New Roman" w:eastAsiaTheme="minorEastAsia" w:hAnsi="Times New Roman" w:cs="Times New Roman"/>
          <w:sz w:val="20"/>
          <w:szCs w:val="20"/>
        </w:rPr>
        <w:t>,</w:t>
      </w:r>
      <w:r w:rsidRPr="00AD35B0">
        <w:rPr>
          <w:rFonts w:ascii="Times New Roman" w:eastAsiaTheme="minorEastAsia" w:hAnsi="Times New Roman" w:cs="Times New Roman"/>
          <w:bCs/>
          <w:sz w:val="20"/>
          <w:szCs w:val="20"/>
        </w:rPr>
        <w:t xml:space="preserve"> then the trend is decreasing.</w:t>
      </w:r>
    </w:p>
    <w:p w14:paraId="0413D7D7" w14:textId="55CF821C" w:rsidR="00FF57FB" w:rsidRPr="00F635C4" w:rsidRDefault="002F5806" w:rsidP="002F5806">
      <w:pPr>
        <w:pStyle w:val="ListParagraph"/>
        <w:numPr>
          <w:ilvl w:val="2"/>
          <w:numId w:val="6"/>
        </w:numPr>
        <w:spacing w:line="360" w:lineRule="auto"/>
        <w:jc w:val="both"/>
        <w:rPr>
          <w:rFonts w:ascii="Times New Roman" w:hAnsi="Times New Roman" w:cs="Times New Roman"/>
          <w:bCs/>
          <w:i/>
          <w:sz w:val="20"/>
        </w:rPr>
      </w:pPr>
      <w:r w:rsidRPr="00F635C4">
        <w:rPr>
          <w:rFonts w:ascii="Times New Roman" w:hAnsi="Times New Roman" w:cs="Times New Roman"/>
          <w:bCs/>
          <w:i/>
          <w:sz w:val="20"/>
        </w:rPr>
        <w:t>Sen’s slope estimator (Magnitude of Trend)</w:t>
      </w:r>
    </w:p>
    <w:p w14:paraId="098186B6" w14:textId="6719CAF0" w:rsidR="002F5806" w:rsidRPr="00AD35B0" w:rsidRDefault="002F5806" w:rsidP="0063447B">
      <w:pPr>
        <w:spacing w:line="360" w:lineRule="auto"/>
        <w:jc w:val="both"/>
        <w:rPr>
          <w:rFonts w:ascii="Times New Roman" w:hAnsi="Times New Roman" w:cs="Times New Roman"/>
          <w:bCs/>
          <w:sz w:val="20"/>
          <w:szCs w:val="20"/>
        </w:rPr>
      </w:pPr>
      <w:r w:rsidRPr="00AD35B0">
        <w:rPr>
          <w:rFonts w:ascii="Times New Roman" w:hAnsi="Times New Roman" w:cs="Times New Roman"/>
          <w:bCs/>
          <w:sz w:val="20"/>
          <w:szCs w:val="20"/>
        </w:rPr>
        <w:t xml:space="preserve">The </w:t>
      </w:r>
      <w:r w:rsidR="00E17638" w:rsidRPr="00AD35B0">
        <w:rPr>
          <w:rFonts w:ascii="Times New Roman" w:eastAsiaTheme="minorEastAsia" w:hAnsi="Times New Roman" w:cs="Times New Roman"/>
          <w:bCs/>
          <w:sz w:val="20"/>
          <w:szCs w:val="20"/>
        </w:rPr>
        <w:t xml:space="preserve">Sen’s slope </w:t>
      </w:r>
      <m:oMath>
        <m:r>
          <w:rPr>
            <w:rFonts w:ascii="Cambria Math" w:hAnsi="Cambria Math" w:cs="Times New Roman"/>
            <w:sz w:val="20"/>
            <w:szCs w:val="20"/>
          </w:rPr>
          <m:t>Q</m:t>
        </m:r>
      </m:oMath>
      <w:r w:rsidRPr="00AD35B0">
        <w:rPr>
          <w:rFonts w:ascii="Times New Roman" w:hAnsi="Times New Roman" w:cs="Times New Roman"/>
          <w:bCs/>
          <w:sz w:val="20"/>
          <w:szCs w:val="20"/>
        </w:rPr>
        <w:t xml:space="preserve"> </w:t>
      </w:r>
      <w:r w:rsidR="00E17638" w:rsidRPr="00AD35B0">
        <w:rPr>
          <w:rFonts w:ascii="Times New Roman" w:eastAsiaTheme="minorEastAsia" w:hAnsi="Times New Roman" w:cs="Times New Roman"/>
          <w:bCs/>
          <w:sz w:val="20"/>
          <w:szCs w:val="20"/>
        </w:rPr>
        <w:t>is the median of</w:t>
      </w:r>
      <w:r w:rsidRPr="00AD35B0">
        <w:rPr>
          <w:rFonts w:ascii="Times New Roman" w:hAnsi="Times New Roman" w:cs="Times New Roman"/>
          <w:bCs/>
          <w:sz w:val="20"/>
          <w:szCs w:val="20"/>
        </w:rPr>
        <w:t xml:space="preserve"> all data pairs is computed </w:t>
      </w:r>
      <w:r w:rsidR="00E17638" w:rsidRPr="00AD35B0">
        <w:rPr>
          <w:rFonts w:ascii="Times New Roman" w:hAnsi="Times New Roman" w:cs="Times New Roman"/>
          <w:bCs/>
          <w:sz w:val="20"/>
          <w:szCs w:val="20"/>
        </w:rPr>
        <w:t xml:space="preserve">using </w:t>
      </w:r>
      <w:r w:rsidR="000F1C08" w:rsidRPr="00AD35B0">
        <w:rPr>
          <w:rFonts w:ascii="Times New Roman" w:hAnsi="Times New Roman" w:cs="Times New Roman"/>
          <w:bCs/>
          <w:sz w:val="20"/>
          <w:szCs w:val="20"/>
        </w:rPr>
        <w:t>Eq</w:t>
      </w:r>
      <w:r w:rsidR="00E17638" w:rsidRPr="00AD35B0">
        <w:rPr>
          <w:rFonts w:ascii="Times New Roman" w:hAnsi="Times New Roman" w:cs="Times New Roman"/>
          <w:bCs/>
          <w:sz w:val="20"/>
          <w:szCs w:val="20"/>
        </w:rPr>
        <w:t>. 6</w:t>
      </w:r>
      <w:r w:rsidRPr="00AD35B0">
        <w:rPr>
          <w:rFonts w:ascii="Times New Roman" w:hAnsi="Times New Roman" w:cs="Times New Roman"/>
          <w:bCs/>
          <w:sz w:val="20"/>
          <w:szCs w:val="20"/>
        </w:rPr>
        <w:t>:</w:t>
      </w:r>
    </w:p>
    <w:p w14:paraId="194C33D4" w14:textId="3FCEB3BB" w:rsidR="00CC5CD4" w:rsidRPr="00CC5CD4" w:rsidRDefault="00A1579C"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i/>
                  <w:sz w:val="20"/>
                </w:rPr>
              </m:ctrlPr>
            </m:eqArrPr>
            <m:e>
              <m:r>
                <w:rPr>
                  <w:rFonts w:ascii="Cambria Math" w:hAnsi="Cambria Math" w:cs="Times New Roman"/>
                  <w:sz w:val="20"/>
                </w:rPr>
                <m:t>Q</m:t>
              </m:r>
              <m:r>
                <w:rPr>
                  <w:rFonts w:ascii="Cambria Math" w:hAnsi="Cambria Math" w:cs="Times New Roman"/>
                  <w:sz w:val="20"/>
                </w:rPr>
                <m:t>=</m:t>
              </m:r>
              <m:r>
                <w:rPr>
                  <w:rFonts w:ascii="Cambria Math" w:hAnsi="Cambria Math" w:cs="Times New Roman"/>
                  <w:sz w:val="20"/>
                </w:rPr>
                <m:t>median</m:t>
              </m:r>
              <m:d>
                <m:dPr>
                  <m:ctrlPr>
                    <w:rPr>
                      <w:rFonts w:ascii="Cambria Math" w:hAnsi="Cambria Math" w:cs="Times New Roman"/>
                      <w:bCs/>
                      <w:i/>
                      <w:sz w:val="20"/>
                    </w:rPr>
                  </m:ctrlPr>
                </m:dPr>
                <m:e>
                  <m:f>
                    <m:fPr>
                      <m:ctrlPr>
                        <w:rPr>
                          <w:rFonts w:ascii="Cambria Math" w:hAnsi="Cambria Math" w:cs="Times New Roman"/>
                          <w:bCs/>
                          <w:i/>
                          <w:sz w:val="20"/>
                        </w:rPr>
                      </m:ctrlPr>
                    </m:fPr>
                    <m:num>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num>
                    <m:den>
                      <m:r>
                        <w:rPr>
                          <w:rFonts w:ascii="Cambria Math" w:hAnsi="Cambria Math" w:cs="Times New Roman"/>
                          <w:sz w:val="20"/>
                        </w:rPr>
                        <m:t>j</m:t>
                      </m:r>
                      <m:r>
                        <w:rPr>
                          <w:rFonts w:ascii="Cambria Math" w:hAnsi="Cambria Math" w:cs="Times New Roman"/>
                          <w:sz w:val="20"/>
                        </w:rPr>
                        <m:t>-</m:t>
                      </m:r>
                      <m:r>
                        <w:rPr>
                          <w:rFonts w:ascii="Cambria Math" w:hAnsi="Cambria Math" w:cs="Times New Roman"/>
                          <w:sz w:val="20"/>
                        </w:rPr>
                        <m:t>i</m:t>
                      </m:r>
                    </m:den>
                  </m:f>
                </m:e>
              </m:d>
              <m:r>
                <w:rPr>
                  <w:rFonts w:ascii="Cambria Math" w:hAnsi="Cambria Math" w:cs="Times New Roman"/>
                  <w:sz w:val="20"/>
                </w:rPr>
                <m:t xml:space="preserve">,  </m:t>
              </m:r>
              <m:r>
                <w:rPr>
                  <w:rFonts w:ascii="Cambria Math" w:hAnsi="Cambria Math" w:cs="Times New Roman"/>
                  <w:sz w:val="20"/>
                </w:rPr>
                <m:t>for</m:t>
              </m:r>
              <m:r>
                <w:rPr>
                  <w:rFonts w:ascii="Cambria Math" w:hAnsi="Cambria Math" w:cs="Times New Roman"/>
                  <w:sz w:val="20"/>
                </w:rPr>
                <m:t xml:space="preserve"> </m:t>
              </m:r>
              <m:r>
                <w:rPr>
                  <w:rFonts w:ascii="Cambria Math" w:hAnsi="Cambria Math" w:cs="Times New Roman"/>
                  <w:sz w:val="20"/>
                </w:rPr>
                <m:t>i</m:t>
              </m:r>
              <m:r>
                <w:rPr>
                  <w:rFonts w:ascii="Cambria Math" w:hAnsi="Cambria Math" w:cs="Times New Roman"/>
                  <w:sz w:val="20"/>
                </w:rPr>
                <m:t>&lt;</m:t>
              </m:r>
              <m:r>
                <w:rPr>
                  <w:rFonts w:ascii="Cambria Math" w:hAnsi="Cambria Math" w:cs="Times New Roman"/>
                  <w:sz w:val="20"/>
                </w:rPr>
                <m:t>j</m:t>
              </m:r>
              <m:r>
                <w:rPr>
                  <w:rFonts w:ascii="Cambria Math" w:hAnsi="Cambria Math" w:cs="Times New Roman"/>
                  <w:sz w:val="20"/>
                </w:rPr>
                <m:t xml:space="preserve"> #</m:t>
              </m:r>
              <m:d>
                <m:dPr>
                  <m:ctrlPr>
                    <w:rPr>
                      <w:rFonts w:ascii="Cambria Math" w:hAnsi="Cambria Math" w:cs="Times New Roman"/>
                      <w:i/>
                      <w:sz w:val="20"/>
                    </w:rPr>
                  </m:ctrlPr>
                </m:dPr>
                <m:e>
                  <m:r>
                    <w:rPr>
                      <w:rFonts w:ascii="Cambria Math" w:hAnsi="Cambria Math" w:cs="Times New Roman"/>
                      <w:sz w:val="20"/>
                    </w:rPr>
                    <m:t>6</m:t>
                  </m:r>
                </m:e>
              </m:d>
            </m:e>
          </m:eqArr>
        </m:oMath>
      </m:oMathPara>
    </w:p>
    <w:p w14:paraId="7AF82670" w14:textId="7B91DA87" w:rsidR="002F5806" w:rsidRPr="00AD35B0" w:rsidRDefault="002F5806" w:rsidP="0063447B">
      <w:pPr>
        <w:spacing w:line="360" w:lineRule="auto"/>
        <w:jc w:val="both"/>
        <w:rPr>
          <w:rFonts w:ascii="Times New Roman" w:hAnsi="Times New Roman" w:cs="Times New Roman"/>
          <w:bCs/>
          <w:sz w:val="20"/>
        </w:rPr>
      </w:pPr>
      <w:r w:rsidRPr="00AD35B0">
        <w:rPr>
          <w:rFonts w:ascii="Times New Roman" w:eastAsiaTheme="minorEastAsia" w:hAnsi="Times New Roman" w:cs="Times New Roman"/>
          <w:bCs/>
          <w:sz w:val="20"/>
        </w:rPr>
        <w:t xml:space="preserve">The </w:t>
      </w:r>
      <w:r w:rsidR="000F1C08" w:rsidRPr="00AD35B0">
        <w:rPr>
          <w:rFonts w:ascii="Times New Roman" w:eastAsiaTheme="minorEastAsia" w:hAnsi="Times New Roman" w:cs="Times New Roman"/>
          <w:bCs/>
          <w:sz w:val="20"/>
        </w:rPr>
        <w:t>unit</w:t>
      </w:r>
      <w:r w:rsidRPr="00AD35B0">
        <w:rPr>
          <w:rFonts w:ascii="Times New Roman" w:eastAsiaTheme="minorEastAsia" w:hAnsi="Times New Roman" w:cs="Times New Roman"/>
          <w:bCs/>
          <w:sz w:val="20"/>
        </w:rPr>
        <w:t xml:space="preserve"> is hectares per year (ha/year).</w:t>
      </w:r>
    </w:p>
    <w:p w14:paraId="312CE0BF" w14:textId="5885ED46" w:rsidR="002F5806" w:rsidRPr="00F635C4" w:rsidRDefault="002F5806" w:rsidP="002F5806">
      <w:pPr>
        <w:pStyle w:val="ListParagraph"/>
        <w:numPr>
          <w:ilvl w:val="2"/>
          <w:numId w:val="6"/>
        </w:numPr>
        <w:spacing w:line="360" w:lineRule="auto"/>
        <w:jc w:val="both"/>
        <w:rPr>
          <w:rFonts w:ascii="Times New Roman" w:hAnsi="Times New Roman" w:cs="Times New Roman"/>
          <w:bCs/>
          <w:i/>
        </w:rPr>
      </w:pPr>
      <w:r w:rsidRPr="00F635C4">
        <w:rPr>
          <w:rFonts w:ascii="Times New Roman" w:hAnsi="Times New Roman" w:cs="Times New Roman"/>
          <w:bCs/>
          <w:i/>
        </w:rPr>
        <w:lastRenderedPageBreak/>
        <w:t>Future Prediction Equation</w:t>
      </w:r>
    </w:p>
    <w:p w14:paraId="4919B9BA" w14:textId="2B5359A7" w:rsidR="002F5806" w:rsidRPr="00AD35B0" w:rsidRDefault="002F5806" w:rsidP="0063447B">
      <w:pPr>
        <w:spacing w:line="360" w:lineRule="auto"/>
        <w:jc w:val="both"/>
        <w:rPr>
          <w:rFonts w:ascii="Times New Roman" w:hAnsi="Times New Roman" w:cs="Times New Roman"/>
          <w:bCs/>
          <w:sz w:val="20"/>
        </w:rPr>
      </w:pPr>
      <w:r w:rsidRPr="00AD35B0">
        <w:rPr>
          <w:rFonts w:ascii="Times New Roman" w:hAnsi="Times New Roman" w:cs="Times New Roman"/>
          <w:bCs/>
          <w:sz w:val="20"/>
        </w:rPr>
        <w:t xml:space="preserve">Once Sen’s slope is obtained, </w:t>
      </w:r>
      <w:r w:rsidR="000F1C08" w:rsidRPr="00AD35B0">
        <w:rPr>
          <w:rFonts w:ascii="Times New Roman" w:hAnsi="Times New Roman" w:cs="Times New Roman"/>
          <w:bCs/>
          <w:sz w:val="20"/>
        </w:rPr>
        <w:t xml:space="preserve">the </w:t>
      </w:r>
      <w:r w:rsidRPr="00AD35B0">
        <w:rPr>
          <w:rFonts w:ascii="Times New Roman" w:hAnsi="Times New Roman" w:cs="Times New Roman"/>
          <w:bCs/>
          <w:sz w:val="20"/>
        </w:rPr>
        <w:t>future built-u</w:t>
      </w:r>
      <w:r w:rsidR="00E17638" w:rsidRPr="00AD35B0">
        <w:rPr>
          <w:rFonts w:ascii="Times New Roman" w:hAnsi="Times New Roman" w:cs="Times New Roman"/>
          <w:bCs/>
          <w:sz w:val="20"/>
        </w:rPr>
        <w:t>p area is estimated using Eq. 7:</w:t>
      </w:r>
    </w:p>
    <w:p w14:paraId="3878F7F2" w14:textId="734720D6" w:rsidR="002F5806" w:rsidRPr="00CC5CD4" w:rsidRDefault="00A1579C" w:rsidP="0063447B">
      <w:pPr>
        <w:spacing w:line="360" w:lineRule="auto"/>
        <w:jc w:val="both"/>
        <w:rPr>
          <w:rFonts w:ascii="Times New Roman" w:eastAsiaTheme="minorEastAsia" w:hAnsi="Times New Roman" w:cs="Times New Roman"/>
          <w:bCs/>
        </w:rPr>
      </w:pPr>
      <m:oMathPara>
        <m:oMath>
          <m:eqArr>
            <m:eqArrPr>
              <m:maxDist m:val="1"/>
              <m:ctrlPr>
                <w:rPr>
                  <w:rFonts w:ascii="Cambria Math" w:hAnsi="Cambria Math" w:cs="Times New Roman"/>
                  <w:bCs/>
                  <w:i/>
                  <w:sz w:val="20"/>
                </w:rPr>
              </m:ctrlPr>
            </m:eqArrPr>
            <m:e>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t</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0</m:t>
                  </m:r>
                </m:sub>
              </m:sSub>
              <m:r>
                <w:rPr>
                  <w:rFonts w:ascii="Cambria Math" w:hAnsi="Cambria Math" w:cs="Times New Roman"/>
                  <w:sz w:val="20"/>
                </w:rPr>
                <m:t>+</m:t>
              </m:r>
              <m:r>
                <w:rPr>
                  <w:rFonts w:ascii="Cambria Math" w:hAnsi="Cambria Math" w:cs="Times New Roman"/>
                  <w:sz w:val="20"/>
                </w:rPr>
                <m:t>Q</m:t>
              </m:r>
              <m:d>
                <m:dPr>
                  <m:ctrlPr>
                    <w:rPr>
                      <w:rFonts w:ascii="Cambria Math" w:hAnsi="Cambria Math" w:cs="Times New Roman"/>
                      <w:bCs/>
                      <w:i/>
                      <w:sz w:val="20"/>
                    </w:rPr>
                  </m:ctrlPr>
                </m:dPr>
                <m:e>
                  <m:r>
                    <w:rPr>
                      <w:rFonts w:ascii="Cambria Math" w:hAnsi="Cambria Math" w:cs="Times New Roman"/>
                      <w:sz w:val="20"/>
                    </w:rPr>
                    <m:t>t</m:t>
                  </m:r>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t</m:t>
                      </m:r>
                    </m:e>
                    <m:sub>
                      <m:r>
                        <w:rPr>
                          <w:rFonts w:ascii="Cambria Math" w:hAnsi="Cambria Math" w:cs="Times New Roman"/>
                          <w:sz w:val="20"/>
                        </w:rPr>
                        <m:t>0</m:t>
                      </m:r>
                    </m:sub>
                  </m:sSub>
                </m:e>
              </m:d>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7</m:t>
                  </m:r>
                </m:e>
              </m:d>
            </m:e>
          </m:eqArr>
        </m:oMath>
      </m:oMathPara>
    </w:p>
    <w:p w14:paraId="0AAD3C86" w14:textId="2EE11461" w:rsidR="002F5806" w:rsidRPr="00AD35B0" w:rsidRDefault="00EA15DA" w:rsidP="0063447B">
      <w:pPr>
        <w:spacing w:line="360" w:lineRule="auto"/>
        <w:jc w:val="both"/>
        <w:rPr>
          <w:rFonts w:ascii="Times New Roman" w:eastAsiaTheme="minorEastAsia" w:hAnsi="Times New Roman" w:cs="Times New Roman"/>
          <w:bCs/>
          <w:sz w:val="20"/>
        </w:rPr>
      </w:pPr>
      <w:r w:rsidRPr="00AD35B0">
        <w:rPr>
          <w:rFonts w:ascii="Times New Roman" w:eastAsiaTheme="minorEastAsia" w:hAnsi="Times New Roman" w:cs="Times New Roman"/>
          <w:bCs/>
          <w:sz w:val="20"/>
        </w:rPr>
        <w:t>W</w:t>
      </w:r>
      <w:r w:rsidR="002F5806" w:rsidRPr="00AD35B0">
        <w:rPr>
          <w:rFonts w:ascii="Times New Roman" w:eastAsiaTheme="minorEastAsia" w:hAnsi="Times New Roman" w:cs="Times New Roman"/>
          <w:bCs/>
          <w:sz w:val="20"/>
        </w:rPr>
        <w:t>here</w:t>
      </w:r>
      <w:r w:rsidRPr="00AD35B0">
        <w:rPr>
          <w:rFonts w:ascii="Times New Roman" w:eastAsiaTheme="minorEastAsia" w:hAnsi="Times New Roman" w:cs="Times New Roman"/>
          <w:bCs/>
          <w:sz w:val="20"/>
        </w:rPr>
        <w:t>,</w:t>
      </w:r>
    </w:p>
    <w:p w14:paraId="5FC1BBCE" w14:textId="19FFE07C" w:rsidR="002F5806" w:rsidRPr="00AD35B0" w:rsidRDefault="00A1579C" w:rsidP="0063447B">
      <w:pPr>
        <w:spacing w:line="360" w:lineRule="auto"/>
        <w:jc w:val="both"/>
        <w:rPr>
          <w:rFonts w:ascii="Times New Roman" w:eastAsiaTheme="minorEastAsia" w:hAnsi="Times New Roman" w:cs="Times New Roman"/>
          <w:bCs/>
          <w:sz w:val="20"/>
        </w:rPr>
      </w:pPr>
      <m:oMath>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t</m:t>
            </m:r>
          </m:sub>
        </m:sSub>
        <m:r>
          <w:rPr>
            <w:rFonts w:ascii="Cambria Math" w:hAnsi="Cambria Math" w:cs="Times New Roman"/>
            <w:sz w:val="20"/>
          </w:rPr>
          <m:t>=</m:t>
        </m:r>
      </m:oMath>
      <w:r w:rsidR="002F5806" w:rsidRPr="00AD35B0">
        <w:rPr>
          <w:rFonts w:ascii="Times New Roman" w:eastAsiaTheme="minorEastAsia" w:hAnsi="Times New Roman" w:cs="Times New Roman"/>
          <w:bCs/>
          <w:sz w:val="20"/>
        </w:rPr>
        <w:t xml:space="preserve"> predicted built-up area </w:t>
      </w:r>
      <w:r w:rsidR="00EA15DA" w:rsidRPr="00AD35B0">
        <w:rPr>
          <w:rFonts w:ascii="Times New Roman" w:eastAsiaTheme="minorEastAsia" w:hAnsi="Times New Roman" w:cs="Times New Roman"/>
          <w:bCs/>
          <w:sz w:val="20"/>
        </w:rPr>
        <w:t>for</w:t>
      </w:r>
      <w:r w:rsidR="002F5806" w:rsidRPr="00AD35B0">
        <w:rPr>
          <w:rFonts w:ascii="Times New Roman" w:eastAsiaTheme="minorEastAsia" w:hAnsi="Times New Roman" w:cs="Times New Roman"/>
          <w:bCs/>
          <w:sz w:val="20"/>
        </w:rPr>
        <w:t xml:space="preserve"> </w:t>
      </w:r>
      <w:r w:rsidR="000F1C08" w:rsidRPr="00AD35B0">
        <w:rPr>
          <w:rFonts w:ascii="Times New Roman" w:eastAsiaTheme="minorEastAsia" w:hAnsi="Times New Roman" w:cs="Times New Roman"/>
          <w:bCs/>
          <w:sz w:val="20"/>
        </w:rPr>
        <w:t xml:space="preserve">the </w:t>
      </w:r>
      <w:r w:rsidR="002F5806" w:rsidRPr="00AD35B0">
        <w:rPr>
          <w:rFonts w:ascii="Times New Roman" w:eastAsiaTheme="minorEastAsia" w:hAnsi="Times New Roman" w:cs="Times New Roman"/>
          <w:bCs/>
          <w:sz w:val="20"/>
        </w:rPr>
        <w:t xml:space="preserve">year </w:t>
      </w:r>
      <m:oMath>
        <m:r>
          <w:rPr>
            <w:rFonts w:ascii="Cambria Math" w:hAnsi="Cambria Math" w:cs="Times New Roman"/>
            <w:sz w:val="20"/>
          </w:rPr>
          <m:t>t</m:t>
        </m:r>
      </m:oMath>
    </w:p>
    <w:p w14:paraId="6B4AED60" w14:textId="196F4F43" w:rsidR="002F5806" w:rsidRPr="00AD35B0" w:rsidRDefault="00A1579C" w:rsidP="0063447B">
      <w:pPr>
        <w:spacing w:line="360" w:lineRule="auto"/>
        <w:jc w:val="both"/>
        <w:rPr>
          <w:rFonts w:ascii="Times New Roman" w:eastAsiaTheme="minorEastAsia" w:hAnsi="Times New Roman" w:cs="Times New Roman"/>
          <w:bCs/>
          <w:sz w:val="20"/>
        </w:rPr>
      </w:pPr>
      <m:oMath>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0</m:t>
            </m:r>
          </m:sub>
        </m:sSub>
      </m:oMath>
      <w:r w:rsidR="002F5806" w:rsidRPr="00AD35B0">
        <w:rPr>
          <w:rFonts w:ascii="Times New Roman" w:eastAsiaTheme="minorEastAsia" w:hAnsi="Times New Roman" w:cs="Times New Roman"/>
          <w:bCs/>
          <w:sz w:val="20"/>
        </w:rPr>
        <w:t xml:space="preserve"> = built-up area in the last observed year (2025)</w:t>
      </w:r>
    </w:p>
    <w:p w14:paraId="5E407131" w14:textId="1C72FFAF" w:rsidR="002F5806" w:rsidRPr="00AD35B0" w:rsidRDefault="002F5806" w:rsidP="0063447B">
      <w:pPr>
        <w:spacing w:line="360" w:lineRule="auto"/>
        <w:jc w:val="both"/>
        <w:rPr>
          <w:rFonts w:ascii="Times New Roman" w:eastAsiaTheme="minorEastAsia" w:hAnsi="Times New Roman" w:cs="Times New Roman"/>
          <w:bCs/>
          <w:sz w:val="20"/>
        </w:rPr>
      </w:pPr>
      <m:oMath>
        <m:r>
          <w:rPr>
            <w:rFonts w:ascii="Cambria Math" w:hAnsi="Cambria Math" w:cs="Times New Roman"/>
            <w:sz w:val="20"/>
          </w:rPr>
          <m:t>Q</m:t>
        </m:r>
      </m:oMath>
      <w:r w:rsidRPr="00AD35B0">
        <w:rPr>
          <w:rFonts w:ascii="Times New Roman" w:eastAsiaTheme="minorEastAsia" w:hAnsi="Times New Roman" w:cs="Times New Roman"/>
          <w:bCs/>
          <w:sz w:val="20"/>
        </w:rPr>
        <w:t xml:space="preserve"> = Sen’s slope</w:t>
      </w:r>
    </w:p>
    <w:p w14:paraId="40FF47D1" w14:textId="23FF7B3B" w:rsidR="002F5806" w:rsidRDefault="002F5806" w:rsidP="0063447B">
      <w:pPr>
        <w:spacing w:line="360" w:lineRule="auto"/>
        <w:jc w:val="both"/>
        <w:rPr>
          <w:rFonts w:ascii="Times New Roman" w:eastAsiaTheme="minorEastAsia" w:hAnsi="Times New Roman" w:cs="Times New Roman"/>
          <w:bCs/>
          <w:sz w:val="20"/>
        </w:rPr>
      </w:pPr>
      <m:oMath>
        <m:r>
          <w:rPr>
            <w:rFonts w:ascii="Cambria Math" w:hAnsi="Cambria Math" w:cs="Times New Roman"/>
            <w:sz w:val="20"/>
          </w:rPr>
          <m:t>t-</m:t>
        </m:r>
        <m:sSub>
          <m:sSubPr>
            <m:ctrlPr>
              <w:rPr>
                <w:rFonts w:ascii="Cambria Math" w:hAnsi="Cambria Math" w:cs="Times New Roman"/>
                <w:bCs/>
                <w:i/>
                <w:sz w:val="20"/>
              </w:rPr>
            </m:ctrlPr>
          </m:sSubPr>
          <m:e>
            <m:r>
              <w:rPr>
                <w:rFonts w:ascii="Cambria Math" w:hAnsi="Cambria Math" w:cs="Times New Roman"/>
                <w:sz w:val="20"/>
              </w:rPr>
              <m:t>t</m:t>
            </m:r>
          </m:e>
          <m:sub>
            <m:r>
              <w:rPr>
                <w:rFonts w:ascii="Cambria Math" w:hAnsi="Cambria Math" w:cs="Times New Roman"/>
                <w:sz w:val="20"/>
              </w:rPr>
              <m:t>0</m:t>
            </m:r>
          </m:sub>
        </m:sSub>
      </m:oMath>
      <w:r w:rsidRPr="00AD35B0">
        <w:rPr>
          <w:rFonts w:ascii="Times New Roman" w:eastAsiaTheme="minorEastAsia" w:hAnsi="Times New Roman" w:cs="Times New Roman"/>
          <w:bCs/>
          <w:sz w:val="20"/>
        </w:rPr>
        <w:t xml:space="preserve"> = number of years after 2025</w:t>
      </w:r>
    </w:p>
    <w:p w14:paraId="67EB696F" w14:textId="77777777" w:rsidR="00287E0C" w:rsidRDefault="00287E0C" w:rsidP="00287E0C">
      <w:pPr>
        <w:keepNext/>
        <w:spacing w:line="360" w:lineRule="auto"/>
        <w:jc w:val="center"/>
      </w:pPr>
      <w:r>
        <w:rPr>
          <w:rFonts w:ascii="Times New Roman" w:eastAsiaTheme="minorEastAsia" w:hAnsi="Times New Roman" w:cs="Times New Roman"/>
          <w:bCs/>
          <w:noProof/>
          <w:sz w:val="20"/>
          <w:lang w:eastAsia="en-IN"/>
        </w:rPr>
        <w:drawing>
          <wp:inline distT="0" distB="0" distL="0" distR="0" wp14:anchorId="32657146" wp14:editId="7D46E5C7">
            <wp:extent cx="3416060" cy="3567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4124" cy="3575826"/>
                    </a:xfrm>
                    <a:prstGeom prst="rect">
                      <a:avLst/>
                    </a:prstGeom>
                    <a:noFill/>
                  </pic:spPr>
                </pic:pic>
              </a:graphicData>
            </a:graphic>
          </wp:inline>
        </w:drawing>
      </w:r>
    </w:p>
    <w:p w14:paraId="4561ACE9" w14:textId="72545561" w:rsidR="00287E0C" w:rsidRPr="00287E0C" w:rsidRDefault="00287E0C" w:rsidP="00287E0C">
      <w:pPr>
        <w:pStyle w:val="Caption"/>
        <w:jc w:val="center"/>
        <w:rPr>
          <w:rFonts w:ascii="Times New Roman" w:hAnsi="Times New Roman" w:cs="Times New Roman"/>
          <w:i w:val="0"/>
          <w:color w:val="000000" w:themeColor="text1"/>
        </w:rPr>
      </w:pPr>
      <w:r w:rsidRPr="00287E0C">
        <w:rPr>
          <w:rFonts w:ascii="Times New Roman" w:hAnsi="Times New Roman" w:cs="Times New Roman"/>
          <w:b/>
          <w:i w:val="0"/>
          <w:color w:val="000000" w:themeColor="text1"/>
        </w:rPr>
        <w:t xml:space="preserve">Figure </w:t>
      </w:r>
      <w:r w:rsidRPr="00287E0C">
        <w:rPr>
          <w:rFonts w:ascii="Times New Roman" w:hAnsi="Times New Roman" w:cs="Times New Roman"/>
          <w:b/>
          <w:i w:val="0"/>
          <w:color w:val="000000" w:themeColor="text1"/>
        </w:rPr>
        <w:fldChar w:fldCharType="begin"/>
      </w:r>
      <w:r w:rsidRPr="00287E0C">
        <w:rPr>
          <w:rFonts w:ascii="Times New Roman" w:hAnsi="Times New Roman" w:cs="Times New Roman"/>
          <w:b/>
          <w:i w:val="0"/>
          <w:color w:val="000000" w:themeColor="text1"/>
        </w:rPr>
        <w:instrText xml:space="preserve"> SEQ Figure \* ARABIC </w:instrText>
      </w:r>
      <w:r w:rsidRPr="00287E0C">
        <w:rPr>
          <w:rFonts w:ascii="Times New Roman" w:hAnsi="Times New Roman" w:cs="Times New Roman"/>
          <w:b/>
          <w:i w:val="0"/>
          <w:color w:val="000000" w:themeColor="text1"/>
        </w:rPr>
        <w:fldChar w:fldCharType="separate"/>
      </w:r>
      <w:r w:rsidRPr="00287E0C">
        <w:rPr>
          <w:rFonts w:ascii="Times New Roman" w:hAnsi="Times New Roman" w:cs="Times New Roman"/>
          <w:b/>
          <w:i w:val="0"/>
          <w:color w:val="000000" w:themeColor="text1"/>
        </w:rPr>
        <w:t>2</w:t>
      </w:r>
      <w:r w:rsidRPr="00287E0C">
        <w:rPr>
          <w:rFonts w:ascii="Times New Roman" w:hAnsi="Times New Roman" w:cs="Times New Roman"/>
          <w:b/>
          <w:i w:val="0"/>
          <w:color w:val="000000" w:themeColor="text1"/>
        </w:rPr>
        <w:fldChar w:fldCharType="end"/>
      </w:r>
      <w:r w:rsidRPr="00287E0C">
        <w:rPr>
          <w:rFonts w:ascii="Times New Roman" w:hAnsi="Times New Roman" w:cs="Times New Roman"/>
          <w:i w:val="0"/>
          <w:color w:val="000000" w:themeColor="text1"/>
        </w:rPr>
        <w:t>: Methodological flowchart</w:t>
      </w:r>
    </w:p>
    <w:p w14:paraId="235FBF35" w14:textId="0713F7A6" w:rsidR="00794CB5" w:rsidRPr="00794CB5" w:rsidRDefault="006334D1" w:rsidP="00794CB5">
      <w:pPr>
        <w:pStyle w:val="ListParagraph"/>
        <w:numPr>
          <w:ilvl w:val="0"/>
          <w:numId w:val="6"/>
        </w:numPr>
        <w:spacing w:before="240"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 xml:space="preserve">Results and </w:t>
      </w:r>
      <w:r w:rsidR="001A08CC">
        <w:rPr>
          <w:rFonts w:ascii="Times New Roman" w:hAnsi="Times New Roman" w:cs="Times New Roman"/>
          <w:b/>
          <w:bCs/>
          <w:sz w:val="24"/>
          <w:szCs w:val="24"/>
        </w:rPr>
        <w:t>d</w:t>
      </w:r>
      <w:r w:rsidR="006F4D36">
        <w:rPr>
          <w:rFonts w:ascii="Times New Roman" w:hAnsi="Times New Roman" w:cs="Times New Roman"/>
          <w:b/>
          <w:bCs/>
          <w:sz w:val="24"/>
          <w:szCs w:val="24"/>
        </w:rPr>
        <w:t>iscussion</w:t>
      </w:r>
    </w:p>
    <w:p w14:paraId="2B371452" w14:textId="5C90149D" w:rsidR="006334D1" w:rsidRPr="00F635C4" w:rsidRDefault="000F1C08" w:rsidP="006F4D36">
      <w:pPr>
        <w:pStyle w:val="ListParagraph"/>
        <w:numPr>
          <w:ilvl w:val="1"/>
          <w:numId w:val="6"/>
        </w:numPr>
        <w:spacing w:before="240" w:line="360" w:lineRule="auto"/>
        <w:jc w:val="both"/>
        <w:rPr>
          <w:rFonts w:ascii="Times New Roman" w:hAnsi="Times New Roman" w:cs="Times New Roman"/>
          <w:b/>
          <w:bCs/>
          <w:sz w:val="20"/>
          <w:szCs w:val="24"/>
        </w:rPr>
      </w:pPr>
      <w:r w:rsidRPr="00F635C4">
        <w:rPr>
          <w:rFonts w:ascii="Times New Roman" w:hAnsi="Times New Roman" w:cs="Times New Roman"/>
          <w:b/>
          <w:bCs/>
          <w:sz w:val="20"/>
          <w:szCs w:val="24"/>
        </w:rPr>
        <w:t>NDBI-based</w:t>
      </w:r>
      <w:r w:rsidR="006F4D36" w:rsidRPr="00F635C4">
        <w:rPr>
          <w:rFonts w:ascii="Times New Roman" w:hAnsi="Times New Roman" w:cs="Times New Roman"/>
          <w:b/>
          <w:bCs/>
          <w:sz w:val="20"/>
          <w:szCs w:val="24"/>
        </w:rPr>
        <w:t xml:space="preserve"> urban growth assessment</w:t>
      </w:r>
    </w:p>
    <w:p w14:paraId="4971C867" w14:textId="02C6EE71" w:rsidR="009B70DD" w:rsidRDefault="000A5B17" w:rsidP="009B70DD">
      <w:pPr>
        <w:spacing w:before="240"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The spatiotemporal distribution of the Normalised Difference Built-up Index (NDBI) reveals a clear and persistent expansion of built-up areas within Kolkata Municipal Corporation (KMC) from 1990 to 2025</w:t>
      </w:r>
      <w:r w:rsidR="00D74029">
        <w:rPr>
          <w:rFonts w:ascii="Times New Roman" w:hAnsi="Times New Roman" w:cs="Times New Roman"/>
          <w:bCs/>
          <w:sz w:val="20"/>
          <w:szCs w:val="24"/>
        </w:rPr>
        <w:t xml:space="preserve"> (Fig. 3)</w:t>
      </w:r>
      <w:r w:rsidRPr="000A5B17">
        <w:rPr>
          <w:rFonts w:ascii="Times New Roman" w:hAnsi="Times New Roman" w:cs="Times New Roman"/>
          <w:bCs/>
          <w:sz w:val="20"/>
          <w:szCs w:val="24"/>
        </w:rPr>
        <w:t xml:space="preserve">. The NDBI maps indicate that higher values (positive range, shown in orange–red tones) progressively intensify and spread across the central and northern parts of the city over time, while lower values (negative range, green tones) remain largely confined to peripheral and vegetated zones. In 1990, built-up areas were relatively concentrated, with moderate NDBI values (maximum ≈ 0.13), primarily occupying the urban core. By 2000 and 2005, there was a noticeable increase in both the spatial extent and intensity of positive NDBI values, reflecting rapid urban infill </w:t>
      </w:r>
      <w:r w:rsidRPr="000A5B17">
        <w:rPr>
          <w:rFonts w:ascii="Times New Roman" w:hAnsi="Times New Roman" w:cs="Times New Roman"/>
          <w:bCs/>
          <w:sz w:val="20"/>
          <w:szCs w:val="24"/>
        </w:rPr>
        <w:lastRenderedPageBreak/>
        <w:t>and expansion. This trend continues through 2010 and 2015, where the built-up footprint becomes more contiguous, indicating the consolidation of the urban fabric and the reduction of open or vegetated land. By 2020 and 2025, the maximum NDBI values increase further (up to ≈ 0.20), and the spatial dominance of built-up areas becomes pronounced across most administrative units, confirming extensive urbanisation. These observations are consistent with the quantitative increase in urban area from approximately 4,153 ha in 1990 to over 6,198 ha in 2025, demonstrating a substantial long-term transformation of land</w:t>
      </w:r>
      <w:r>
        <w:rPr>
          <w:rFonts w:ascii="Times New Roman" w:hAnsi="Times New Roman" w:cs="Times New Roman"/>
          <w:bCs/>
          <w:sz w:val="20"/>
          <w:szCs w:val="24"/>
        </w:rPr>
        <w:t xml:space="preserve"> use</w:t>
      </w:r>
      <w:r w:rsidR="009B70DD" w:rsidRPr="009B70DD">
        <w:rPr>
          <w:rFonts w:ascii="Times New Roman" w:hAnsi="Times New Roman" w:cs="Times New Roman"/>
          <w:bCs/>
          <w:sz w:val="20"/>
          <w:szCs w:val="24"/>
        </w:rPr>
        <w:t>.</w:t>
      </w:r>
    </w:p>
    <w:p w14:paraId="34EF0D07" w14:textId="77777777" w:rsidR="00BE02B4" w:rsidRDefault="009B70DD" w:rsidP="00BE02B4">
      <w:pPr>
        <w:keepNext/>
        <w:spacing w:before="240" w:line="360" w:lineRule="auto"/>
        <w:jc w:val="both"/>
      </w:pPr>
      <w:r>
        <w:rPr>
          <w:rFonts w:ascii="Times New Roman" w:hAnsi="Times New Roman" w:cs="Times New Roman"/>
          <w:b/>
          <w:bCs/>
          <w:noProof/>
          <w:sz w:val="24"/>
          <w:szCs w:val="24"/>
          <w:lang w:eastAsia="en-IN"/>
        </w:rPr>
        <w:drawing>
          <wp:inline distT="0" distB="0" distL="0" distR="0" wp14:anchorId="22F8EE70" wp14:editId="163B73E1">
            <wp:extent cx="5731510" cy="59969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BI_Chan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996940"/>
                    </a:xfrm>
                    <a:prstGeom prst="rect">
                      <a:avLst/>
                    </a:prstGeom>
                  </pic:spPr>
                </pic:pic>
              </a:graphicData>
            </a:graphic>
          </wp:inline>
        </w:drawing>
      </w:r>
    </w:p>
    <w:p w14:paraId="2D21EC03" w14:textId="6021DA9C" w:rsidR="009B70DD" w:rsidRDefault="00BE02B4" w:rsidP="00BE02B4">
      <w:pPr>
        <w:pStyle w:val="Caption"/>
        <w:jc w:val="center"/>
        <w:rPr>
          <w:rFonts w:ascii="Times New Roman" w:hAnsi="Times New Roman" w:cs="Times New Roman"/>
          <w:i w:val="0"/>
          <w:color w:val="000000" w:themeColor="text1"/>
        </w:rPr>
      </w:pPr>
      <w:r w:rsidRPr="00BE02B4">
        <w:rPr>
          <w:rFonts w:ascii="Times New Roman" w:hAnsi="Times New Roman" w:cs="Times New Roman"/>
          <w:i w:val="0"/>
          <w:color w:val="000000" w:themeColor="text1"/>
        </w:rPr>
        <w:t xml:space="preserve">Figure </w:t>
      </w:r>
      <w:r w:rsidRPr="00BE02B4">
        <w:rPr>
          <w:rFonts w:ascii="Times New Roman" w:hAnsi="Times New Roman" w:cs="Times New Roman"/>
          <w:i w:val="0"/>
          <w:color w:val="000000" w:themeColor="text1"/>
        </w:rPr>
        <w:fldChar w:fldCharType="begin"/>
      </w:r>
      <w:r w:rsidRPr="00BE02B4">
        <w:rPr>
          <w:rFonts w:ascii="Times New Roman" w:hAnsi="Times New Roman" w:cs="Times New Roman"/>
          <w:i w:val="0"/>
          <w:color w:val="000000" w:themeColor="text1"/>
        </w:rPr>
        <w:instrText xml:space="preserve"> SEQ Figure \* ARABIC </w:instrText>
      </w:r>
      <w:r w:rsidRPr="00BE02B4">
        <w:rPr>
          <w:rFonts w:ascii="Times New Roman" w:hAnsi="Times New Roman" w:cs="Times New Roman"/>
          <w:i w:val="0"/>
          <w:color w:val="000000" w:themeColor="text1"/>
        </w:rPr>
        <w:fldChar w:fldCharType="separate"/>
      </w:r>
      <w:r w:rsidR="00287E0C">
        <w:rPr>
          <w:rFonts w:ascii="Times New Roman" w:hAnsi="Times New Roman" w:cs="Times New Roman"/>
          <w:i w:val="0"/>
          <w:noProof/>
          <w:color w:val="000000" w:themeColor="text1"/>
        </w:rPr>
        <w:t>3</w:t>
      </w:r>
      <w:r w:rsidRPr="00BE02B4">
        <w:rPr>
          <w:rFonts w:ascii="Times New Roman" w:hAnsi="Times New Roman" w:cs="Times New Roman"/>
          <w:i w:val="0"/>
          <w:color w:val="000000" w:themeColor="text1"/>
        </w:rPr>
        <w:fldChar w:fldCharType="end"/>
      </w:r>
      <w:r>
        <w:rPr>
          <w:rFonts w:ascii="Times New Roman" w:hAnsi="Times New Roman" w:cs="Times New Roman"/>
          <w:i w:val="0"/>
          <w:color w:val="000000" w:themeColor="text1"/>
        </w:rPr>
        <w:t xml:space="preserve">: </w:t>
      </w:r>
      <w:r w:rsidR="00CC38DD">
        <w:rPr>
          <w:rFonts w:ascii="Times New Roman" w:hAnsi="Times New Roman" w:cs="Times New Roman"/>
          <w:i w:val="0"/>
          <w:color w:val="000000" w:themeColor="text1"/>
        </w:rPr>
        <w:t xml:space="preserve">Spatio-temporal variation of urban areas </w:t>
      </w:r>
      <w:r w:rsidR="00CC38DD" w:rsidRPr="00CC38DD">
        <w:rPr>
          <w:rFonts w:ascii="Times New Roman" w:hAnsi="Times New Roman" w:cs="Times New Roman"/>
          <w:i w:val="0"/>
          <w:color w:val="000000" w:themeColor="text1"/>
        </w:rPr>
        <w:t>from</w:t>
      </w:r>
      <w:r w:rsidR="00CC38DD">
        <w:rPr>
          <w:rFonts w:ascii="Times New Roman" w:hAnsi="Times New Roman" w:cs="Times New Roman"/>
          <w:i w:val="0"/>
          <w:color w:val="000000" w:themeColor="text1"/>
        </w:rPr>
        <w:t xml:space="preserve"> 1990 to 2025 using NDBI</w:t>
      </w:r>
    </w:p>
    <w:p w14:paraId="1FE39DE7" w14:textId="209E1060" w:rsidR="00287E0C" w:rsidRPr="00287E0C" w:rsidRDefault="00287E0C" w:rsidP="00287E0C">
      <w:pPr>
        <w:spacing w:line="360" w:lineRule="auto"/>
        <w:jc w:val="both"/>
      </w:pPr>
      <w:r w:rsidRPr="000A5B17">
        <w:rPr>
          <w:rFonts w:ascii="Times New Roman" w:hAnsi="Times New Roman" w:cs="Times New Roman"/>
          <w:bCs/>
          <w:sz w:val="20"/>
          <w:szCs w:val="24"/>
        </w:rPr>
        <w:t>The observed pattern of increasing NDBI values and spatial expansion aligns with established findings in the urban remote sensing literature, where NDBI has been widely used to effectively delineate built-up areas because urban materials exhibit higher reflectance in the SWIR band than in the NIR band</w:t>
      </w:r>
      <w:r w:rsidR="00CF0C6B">
        <w:rPr>
          <w:rFonts w:ascii="Times New Roman" w:hAnsi="Times New Roman" w:cs="Times New Roman"/>
          <w:bCs/>
          <w:sz w:val="20"/>
          <w:szCs w:val="24"/>
        </w:rPr>
        <w:t xml:space="preserve"> </w:t>
      </w:r>
      <w:sdt>
        <w:sdtPr>
          <w:rPr>
            <w:rFonts w:ascii="Times New Roman" w:hAnsi="Times New Roman" w:cs="Times New Roman"/>
            <w:bCs/>
            <w:color w:val="000000"/>
            <w:sz w:val="20"/>
            <w:szCs w:val="24"/>
          </w:rPr>
          <w:tag w:val="MENDELEY_CITATION_v3_eyJjaXRhdGlvbklEIjoiTUVOREVMRVlfQ0lUQVRJT05fN2VjY2M2YTQtYTdhNi00OTBmLWFjMTYtYjllODQ2NGUyYTQw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
          <w:id w:val="1552804766"/>
          <w:placeholder>
            <w:docPart w:val="DefaultPlaceholder_-1854013440"/>
          </w:placeholder>
        </w:sdtPr>
        <w:sdtEndPr/>
        <w:sdtContent>
          <w:r w:rsidR="00AD2A52" w:rsidRPr="00AD2A52">
            <w:rPr>
              <w:rFonts w:ascii="Times New Roman" w:hAnsi="Times New Roman" w:cs="Times New Roman"/>
              <w:bCs/>
              <w:color w:val="000000"/>
              <w:sz w:val="20"/>
              <w:szCs w:val="24"/>
            </w:rPr>
            <w:t>(Zha et al., 2003)</w:t>
          </w:r>
        </w:sdtContent>
      </w:sdt>
      <w:r w:rsidRPr="000A5B17">
        <w:rPr>
          <w:rFonts w:ascii="Times New Roman" w:hAnsi="Times New Roman" w:cs="Times New Roman"/>
          <w:bCs/>
          <w:sz w:val="20"/>
          <w:szCs w:val="24"/>
        </w:rPr>
        <w:t xml:space="preserve">. The progressive intensification of built-up signatures in KMC reflects typical metropolitan growth processes, </w:t>
      </w:r>
      <w:r w:rsidRPr="000A5B17">
        <w:rPr>
          <w:rFonts w:ascii="Times New Roman" w:hAnsi="Times New Roman" w:cs="Times New Roman"/>
          <w:bCs/>
          <w:sz w:val="20"/>
          <w:szCs w:val="24"/>
        </w:rPr>
        <w:lastRenderedPageBreak/>
        <w:t>including densification of the urban core and outward expansion toward peri-urban regions. Similar patterns have been reported in rapidly urbanising regions worldwide, where continuous land conversion and infrastructure development drive increases in built-up indices over time</w:t>
      </w:r>
      <w:r w:rsidR="00CF0C6B">
        <w:rPr>
          <w:rFonts w:ascii="Times New Roman" w:hAnsi="Times New Roman" w:cs="Times New Roman"/>
          <w:bCs/>
          <w:sz w:val="20"/>
          <w:szCs w:val="24"/>
        </w:rPr>
        <w:t xml:space="preserve"> </w:t>
      </w:r>
      <w:sdt>
        <w:sdtPr>
          <w:rPr>
            <w:rFonts w:ascii="Times New Roman" w:hAnsi="Times New Roman" w:cs="Times New Roman"/>
            <w:bCs/>
            <w:color w:val="000000"/>
            <w:sz w:val="20"/>
            <w:szCs w:val="24"/>
          </w:rPr>
          <w:tag w:val="MENDELEY_CITATION_v3_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"/>
          <w:id w:val="2019027788"/>
          <w:placeholder>
            <w:docPart w:val="DefaultPlaceholder_-1854013440"/>
          </w:placeholder>
        </w:sdtPr>
        <w:sdtEndPr/>
        <w:sdtContent>
          <w:r w:rsidR="00AD2A52" w:rsidRPr="00AD2A52">
            <w:rPr>
              <w:rFonts w:ascii="Times New Roman" w:hAnsi="Times New Roman" w:cs="Times New Roman"/>
              <w:bCs/>
              <w:color w:val="000000"/>
              <w:sz w:val="20"/>
              <w:szCs w:val="24"/>
            </w:rPr>
            <w:t>(Seto et al., 2012; Taubenböck et al., 2009)</w:t>
          </w:r>
        </w:sdtContent>
      </w:sdt>
      <w:r w:rsidRPr="000A5B17">
        <w:rPr>
          <w:rFonts w:ascii="Times New Roman" w:hAnsi="Times New Roman" w:cs="Times New Roman"/>
          <w:bCs/>
          <w:sz w:val="20"/>
          <w:szCs w:val="24"/>
        </w:rPr>
        <w:t>. The temporal fluctuations observed in certain years (e.g., minor declines around 2012–2016) may be attributed to classification variability, atmospheric conditions, or transitional land-use changes; however, the overall trend remains strongly increasing, as supported by statistical analysis.</w:t>
      </w:r>
    </w:p>
    <w:p w14:paraId="5BC26BFC" w14:textId="70889368" w:rsidR="00312944" w:rsidRPr="00312944" w:rsidRDefault="00312944" w:rsidP="00312944">
      <w:pPr>
        <w:pStyle w:val="Caption"/>
        <w:keepNext/>
        <w:rPr>
          <w:rFonts w:ascii="Times New Roman" w:hAnsi="Times New Roman" w:cs="Times New Roman"/>
          <w:i w:val="0"/>
          <w:iCs w:val="0"/>
          <w:color w:val="auto"/>
          <w:lang w:val="en-US"/>
        </w:rPr>
      </w:pPr>
      <w:r w:rsidRPr="00312944">
        <w:rPr>
          <w:rFonts w:ascii="Times New Roman" w:hAnsi="Times New Roman" w:cs="Times New Roman"/>
          <w:b/>
          <w:i w:val="0"/>
          <w:iCs w:val="0"/>
          <w:color w:val="auto"/>
          <w:lang w:val="en-US"/>
        </w:rPr>
        <w:t xml:space="preserve">Table </w:t>
      </w:r>
      <w:r w:rsidRPr="00312944">
        <w:rPr>
          <w:rFonts w:ascii="Times New Roman" w:hAnsi="Times New Roman" w:cs="Times New Roman"/>
          <w:b/>
          <w:i w:val="0"/>
          <w:iCs w:val="0"/>
          <w:color w:val="auto"/>
          <w:lang w:val="en-US"/>
        </w:rPr>
        <w:fldChar w:fldCharType="begin"/>
      </w:r>
      <w:r w:rsidRPr="00312944">
        <w:rPr>
          <w:rFonts w:ascii="Times New Roman" w:hAnsi="Times New Roman" w:cs="Times New Roman"/>
          <w:b/>
          <w:i w:val="0"/>
          <w:iCs w:val="0"/>
          <w:color w:val="auto"/>
          <w:lang w:val="en-US"/>
        </w:rPr>
        <w:instrText xml:space="preserve"> SEQ Table \* ARABIC </w:instrText>
      </w:r>
      <w:r w:rsidRPr="00312944">
        <w:rPr>
          <w:rFonts w:ascii="Times New Roman" w:hAnsi="Times New Roman" w:cs="Times New Roman"/>
          <w:b/>
          <w:i w:val="0"/>
          <w:iCs w:val="0"/>
          <w:color w:val="auto"/>
          <w:lang w:val="en-US"/>
        </w:rPr>
        <w:fldChar w:fldCharType="separate"/>
      </w:r>
      <w:r w:rsidR="00F16F6F">
        <w:rPr>
          <w:rFonts w:ascii="Times New Roman" w:hAnsi="Times New Roman" w:cs="Times New Roman"/>
          <w:b/>
          <w:i w:val="0"/>
          <w:iCs w:val="0"/>
          <w:noProof/>
          <w:color w:val="auto"/>
          <w:lang w:val="en-US"/>
        </w:rPr>
        <w:t>1</w:t>
      </w:r>
      <w:r w:rsidRPr="00312944">
        <w:rPr>
          <w:rFonts w:ascii="Times New Roman" w:hAnsi="Times New Roman" w:cs="Times New Roman"/>
          <w:b/>
          <w:i w:val="0"/>
          <w:iCs w:val="0"/>
          <w:color w:val="auto"/>
          <w:lang w:val="en-US"/>
        </w:rPr>
        <w:fldChar w:fldCharType="end"/>
      </w:r>
      <w:r w:rsidRPr="00312944">
        <w:rPr>
          <w:rFonts w:ascii="Times New Roman" w:hAnsi="Times New Roman" w:cs="Times New Roman"/>
          <w:i w:val="0"/>
          <w:iCs w:val="0"/>
          <w:color w:val="auto"/>
          <w:lang w:val="en-US"/>
        </w:rPr>
        <w:t>: Temporal variation of built-up area in Kolkata Municipal Corporation (1990–2025)</w:t>
      </w:r>
    </w:p>
    <w:tbl>
      <w:tblPr>
        <w:tblW w:w="5000" w:type="pct"/>
        <w:tblBorders>
          <w:bottom w:val="single" w:sz="4" w:space="0" w:color="auto"/>
        </w:tblBorders>
        <w:tblLook w:val="04A0" w:firstRow="1" w:lastRow="0" w:firstColumn="1" w:lastColumn="0" w:noHBand="0" w:noVBand="1"/>
      </w:tblPr>
      <w:tblGrid>
        <w:gridCol w:w="902"/>
        <w:gridCol w:w="1353"/>
        <w:gridCol w:w="903"/>
        <w:gridCol w:w="1354"/>
        <w:gridCol w:w="903"/>
        <w:gridCol w:w="1354"/>
        <w:gridCol w:w="903"/>
        <w:gridCol w:w="1354"/>
      </w:tblGrid>
      <w:tr w:rsidR="009B70DD" w:rsidRPr="001A08CC" w14:paraId="486AD709" w14:textId="77777777" w:rsidTr="00BE02B4">
        <w:trPr>
          <w:trHeight w:val="20"/>
        </w:trPr>
        <w:tc>
          <w:tcPr>
            <w:tcW w:w="500" w:type="pct"/>
            <w:tcBorders>
              <w:top w:val="single" w:sz="4" w:space="0" w:color="auto"/>
              <w:bottom w:val="single" w:sz="4" w:space="0" w:color="auto"/>
            </w:tcBorders>
            <w:noWrap/>
            <w:vAlign w:val="center"/>
            <w:hideMark/>
          </w:tcPr>
          <w:p w14:paraId="11A2095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104C8F1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c>
          <w:tcPr>
            <w:tcW w:w="500" w:type="pct"/>
            <w:tcBorders>
              <w:top w:val="single" w:sz="4" w:space="0" w:color="auto"/>
              <w:bottom w:val="single" w:sz="4" w:space="0" w:color="auto"/>
            </w:tcBorders>
            <w:noWrap/>
            <w:vAlign w:val="center"/>
            <w:hideMark/>
          </w:tcPr>
          <w:p w14:paraId="641957D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3B4AC23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c>
          <w:tcPr>
            <w:tcW w:w="500" w:type="pct"/>
            <w:tcBorders>
              <w:top w:val="single" w:sz="4" w:space="0" w:color="auto"/>
              <w:bottom w:val="single" w:sz="4" w:space="0" w:color="auto"/>
            </w:tcBorders>
            <w:noWrap/>
            <w:vAlign w:val="center"/>
            <w:hideMark/>
          </w:tcPr>
          <w:p w14:paraId="3E08C6C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71BE156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c>
          <w:tcPr>
            <w:tcW w:w="500" w:type="pct"/>
            <w:tcBorders>
              <w:top w:val="single" w:sz="4" w:space="0" w:color="auto"/>
              <w:bottom w:val="single" w:sz="4" w:space="0" w:color="auto"/>
            </w:tcBorders>
            <w:noWrap/>
            <w:vAlign w:val="center"/>
            <w:hideMark/>
          </w:tcPr>
          <w:p w14:paraId="2449211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24861F48"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r>
      <w:tr w:rsidR="009B70DD" w:rsidRPr="001A08CC" w14:paraId="20CC65ED" w14:textId="77777777" w:rsidTr="00BE02B4">
        <w:trPr>
          <w:trHeight w:val="20"/>
        </w:trPr>
        <w:tc>
          <w:tcPr>
            <w:tcW w:w="500" w:type="pct"/>
            <w:tcBorders>
              <w:top w:val="single" w:sz="4" w:space="0" w:color="auto"/>
            </w:tcBorders>
            <w:noWrap/>
            <w:vAlign w:val="center"/>
            <w:hideMark/>
          </w:tcPr>
          <w:p w14:paraId="45C851D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1990</w:t>
            </w:r>
          </w:p>
        </w:tc>
        <w:tc>
          <w:tcPr>
            <w:tcW w:w="750" w:type="pct"/>
            <w:tcBorders>
              <w:top w:val="single" w:sz="4" w:space="0" w:color="auto"/>
            </w:tcBorders>
            <w:noWrap/>
            <w:vAlign w:val="center"/>
            <w:hideMark/>
          </w:tcPr>
          <w:p w14:paraId="30F9136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4,153.65</w:t>
            </w:r>
          </w:p>
        </w:tc>
        <w:tc>
          <w:tcPr>
            <w:tcW w:w="500" w:type="pct"/>
            <w:tcBorders>
              <w:top w:val="single" w:sz="4" w:space="0" w:color="auto"/>
            </w:tcBorders>
            <w:noWrap/>
            <w:vAlign w:val="center"/>
            <w:hideMark/>
          </w:tcPr>
          <w:p w14:paraId="5E693B6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2000</w:t>
            </w:r>
          </w:p>
        </w:tc>
        <w:tc>
          <w:tcPr>
            <w:tcW w:w="750" w:type="pct"/>
            <w:tcBorders>
              <w:top w:val="single" w:sz="4" w:space="0" w:color="auto"/>
            </w:tcBorders>
            <w:noWrap/>
            <w:vAlign w:val="center"/>
            <w:hideMark/>
          </w:tcPr>
          <w:p w14:paraId="06184C4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4,921.92</w:t>
            </w:r>
          </w:p>
        </w:tc>
        <w:tc>
          <w:tcPr>
            <w:tcW w:w="500" w:type="pct"/>
            <w:tcBorders>
              <w:top w:val="single" w:sz="4" w:space="0" w:color="auto"/>
            </w:tcBorders>
            <w:noWrap/>
            <w:vAlign w:val="center"/>
            <w:hideMark/>
          </w:tcPr>
          <w:p w14:paraId="6D33680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2010</w:t>
            </w:r>
          </w:p>
        </w:tc>
        <w:tc>
          <w:tcPr>
            <w:tcW w:w="750" w:type="pct"/>
            <w:tcBorders>
              <w:top w:val="single" w:sz="4" w:space="0" w:color="auto"/>
            </w:tcBorders>
            <w:noWrap/>
            <w:vAlign w:val="center"/>
            <w:hideMark/>
          </w:tcPr>
          <w:p w14:paraId="6829E63F"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5,571.89</w:t>
            </w:r>
          </w:p>
        </w:tc>
        <w:tc>
          <w:tcPr>
            <w:tcW w:w="500" w:type="pct"/>
            <w:tcBorders>
              <w:top w:val="single" w:sz="4" w:space="0" w:color="auto"/>
            </w:tcBorders>
            <w:noWrap/>
            <w:vAlign w:val="center"/>
            <w:hideMark/>
          </w:tcPr>
          <w:p w14:paraId="2A72F0B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2020</w:t>
            </w:r>
          </w:p>
        </w:tc>
        <w:tc>
          <w:tcPr>
            <w:tcW w:w="750" w:type="pct"/>
            <w:tcBorders>
              <w:top w:val="single" w:sz="4" w:space="0" w:color="auto"/>
            </w:tcBorders>
            <w:noWrap/>
            <w:vAlign w:val="center"/>
            <w:hideMark/>
          </w:tcPr>
          <w:p w14:paraId="1688FFD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6,449.81</w:t>
            </w:r>
          </w:p>
        </w:tc>
      </w:tr>
      <w:tr w:rsidR="009B70DD" w:rsidRPr="001A08CC" w14:paraId="5CE7F9C2" w14:textId="77777777" w:rsidTr="00BE02B4">
        <w:trPr>
          <w:trHeight w:val="20"/>
        </w:trPr>
        <w:tc>
          <w:tcPr>
            <w:tcW w:w="500" w:type="pct"/>
            <w:noWrap/>
            <w:vAlign w:val="center"/>
            <w:hideMark/>
          </w:tcPr>
          <w:p w14:paraId="5C6F081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1991</w:t>
            </w:r>
          </w:p>
        </w:tc>
        <w:tc>
          <w:tcPr>
            <w:tcW w:w="750" w:type="pct"/>
            <w:noWrap/>
            <w:vAlign w:val="center"/>
            <w:hideMark/>
          </w:tcPr>
          <w:p w14:paraId="2A974AA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4,455.49</w:t>
            </w:r>
          </w:p>
        </w:tc>
        <w:tc>
          <w:tcPr>
            <w:tcW w:w="500" w:type="pct"/>
            <w:noWrap/>
            <w:vAlign w:val="center"/>
            <w:hideMark/>
          </w:tcPr>
          <w:p w14:paraId="0916D34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2001</w:t>
            </w:r>
          </w:p>
        </w:tc>
        <w:tc>
          <w:tcPr>
            <w:tcW w:w="750" w:type="pct"/>
            <w:noWrap/>
            <w:vAlign w:val="center"/>
            <w:hideMark/>
          </w:tcPr>
          <w:p w14:paraId="4BB383D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6,010.62</w:t>
            </w:r>
          </w:p>
        </w:tc>
        <w:tc>
          <w:tcPr>
            <w:tcW w:w="500" w:type="pct"/>
            <w:noWrap/>
            <w:vAlign w:val="center"/>
            <w:hideMark/>
          </w:tcPr>
          <w:p w14:paraId="40D5820F"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2011</w:t>
            </w:r>
          </w:p>
        </w:tc>
        <w:tc>
          <w:tcPr>
            <w:tcW w:w="750" w:type="pct"/>
            <w:noWrap/>
            <w:vAlign w:val="center"/>
            <w:hideMark/>
          </w:tcPr>
          <w:p w14:paraId="59EB40B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6,385.59</w:t>
            </w:r>
          </w:p>
        </w:tc>
        <w:tc>
          <w:tcPr>
            <w:tcW w:w="500" w:type="pct"/>
            <w:noWrap/>
            <w:vAlign w:val="center"/>
            <w:hideMark/>
          </w:tcPr>
          <w:p w14:paraId="311E2FA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2021</w:t>
            </w:r>
          </w:p>
        </w:tc>
        <w:tc>
          <w:tcPr>
            <w:tcW w:w="750" w:type="pct"/>
            <w:noWrap/>
            <w:vAlign w:val="center"/>
            <w:hideMark/>
          </w:tcPr>
          <w:p w14:paraId="6E15FF1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6,444.85</w:t>
            </w:r>
          </w:p>
        </w:tc>
      </w:tr>
      <w:tr w:rsidR="009B70DD" w:rsidRPr="001A08CC" w14:paraId="50196F1F" w14:textId="77777777" w:rsidTr="00BE02B4">
        <w:trPr>
          <w:trHeight w:val="20"/>
        </w:trPr>
        <w:tc>
          <w:tcPr>
            <w:tcW w:w="500" w:type="pct"/>
            <w:noWrap/>
            <w:vAlign w:val="center"/>
            <w:hideMark/>
          </w:tcPr>
          <w:p w14:paraId="4A65709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1992</w:t>
            </w:r>
          </w:p>
        </w:tc>
        <w:tc>
          <w:tcPr>
            <w:tcW w:w="750" w:type="pct"/>
            <w:noWrap/>
            <w:vAlign w:val="center"/>
            <w:hideMark/>
          </w:tcPr>
          <w:p w14:paraId="309D97B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2,881.98</w:t>
            </w:r>
          </w:p>
        </w:tc>
        <w:tc>
          <w:tcPr>
            <w:tcW w:w="500" w:type="pct"/>
            <w:noWrap/>
            <w:vAlign w:val="center"/>
            <w:hideMark/>
          </w:tcPr>
          <w:p w14:paraId="28D2242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2002</w:t>
            </w:r>
          </w:p>
        </w:tc>
        <w:tc>
          <w:tcPr>
            <w:tcW w:w="750" w:type="pct"/>
            <w:noWrap/>
            <w:vAlign w:val="center"/>
            <w:hideMark/>
          </w:tcPr>
          <w:p w14:paraId="20C2538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5,194.83</w:t>
            </w:r>
          </w:p>
        </w:tc>
        <w:tc>
          <w:tcPr>
            <w:tcW w:w="500" w:type="pct"/>
            <w:noWrap/>
            <w:vAlign w:val="center"/>
            <w:hideMark/>
          </w:tcPr>
          <w:p w14:paraId="5A0BF81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2012</w:t>
            </w:r>
          </w:p>
        </w:tc>
        <w:tc>
          <w:tcPr>
            <w:tcW w:w="750" w:type="pct"/>
            <w:noWrap/>
            <w:vAlign w:val="center"/>
            <w:hideMark/>
          </w:tcPr>
          <w:p w14:paraId="1839D9E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5,527.70</w:t>
            </w:r>
          </w:p>
        </w:tc>
        <w:tc>
          <w:tcPr>
            <w:tcW w:w="500" w:type="pct"/>
            <w:noWrap/>
            <w:vAlign w:val="center"/>
            <w:hideMark/>
          </w:tcPr>
          <w:p w14:paraId="7E6978A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2022</w:t>
            </w:r>
          </w:p>
        </w:tc>
        <w:tc>
          <w:tcPr>
            <w:tcW w:w="750" w:type="pct"/>
            <w:noWrap/>
            <w:vAlign w:val="center"/>
            <w:hideMark/>
          </w:tcPr>
          <w:p w14:paraId="2F46F45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6,204.53</w:t>
            </w:r>
          </w:p>
        </w:tc>
      </w:tr>
      <w:tr w:rsidR="009B70DD" w:rsidRPr="001A08CC" w14:paraId="39C09577" w14:textId="77777777" w:rsidTr="00BE02B4">
        <w:trPr>
          <w:trHeight w:val="20"/>
        </w:trPr>
        <w:tc>
          <w:tcPr>
            <w:tcW w:w="500" w:type="pct"/>
            <w:noWrap/>
            <w:vAlign w:val="center"/>
            <w:hideMark/>
          </w:tcPr>
          <w:p w14:paraId="7AC8E23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1993</w:t>
            </w:r>
          </w:p>
        </w:tc>
        <w:tc>
          <w:tcPr>
            <w:tcW w:w="750" w:type="pct"/>
            <w:noWrap/>
            <w:vAlign w:val="center"/>
            <w:hideMark/>
          </w:tcPr>
          <w:p w14:paraId="079B055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4,503.75</w:t>
            </w:r>
          </w:p>
        </w:tc>
        <w:tc>
          <w:tcPr>
            <w:tcW w:w="500" w:type="pct"/>
            <w:noWrap/>
            <w:vAlign w:val="center"/>
            <w:hideMark/>
          </w:tcPr>
          <w:p w14:paraId="6127A3D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2003</w:t>
            </w:r>
          </w:p>
        </w:tc>
        <w:tc>
          <w:tcPr>
            <w:tcW w:w="750" w:type="pct"/>
            <w:noWrap/>
            <w:vAlign w:val="center"/>
            <w:hideMark/>
          </w:tcPr>
          <w:p w14:paraId="48C5E19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6,221.44</w:t>
            </w:r>
          </w:p>
        </w:tc>
        <w:tc>
          <w:tcPr>
            <w:tcW w:w="500" w:type="pct"/>
            <w:noWrap/>
            <w:vAlign w:val="center"/>
            <w:hideMark/>
          </w:tcPr>
          <w:p w14:paraId="6A6B962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2013</w:t>
            </w:r>
          </w:p>
        </w:tc>
        <w:tc>
          <w:tcPr>
            <w:tcW w:w="750" w:type="pct"/>
            <w:noWrap/>
            <w:vAlign w:val="center"/>
            <w:hideMark/>
          </w:tcPr>
          <w:p w14:paraId="3C6C102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5,492.30</w:t>
            </w:r>
          </w:p>
        </w:tc>
        <w:tc>
          <w:tcPr>
            <w:tcW w:w="500" w:type="pct"/>
            <w:noWrap/>
            <w:vAlign w:val="center"/>
            <w:hideMark/>
          </w:tcPr>
          <w:p w14:paraId="18B4E55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2023</w:t>
            </w:r>
          </w:p>
        </w:tc>
        <w:tc>
          <w:tcPr>
            <w:tcW w:w="750" w:type="pct"/>
            <w:noWrap/>
            <w:vAlign w:val="center"/>
            <w:hideMark/>
          </w:tcPr>
          <w:p w14:paraId="6ECFECE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5,918.57</w:t>
            </w:r>
          </w:p>
        </w:tc>
      </w:tr>
      <w:tr w:rsidR="009B70DD" w:rsidRPr="001A08CC" w14:paraId="7FCB8C56" w14:textId="77777777" w:rsidTr="00BE02B4">
        <w:trPr>
          <w:trHeight w:val="20"/>
        </w:trPr>
        <w:tc>
          <w:tcPr>
            <w:tcW w:w="500" w:type="pct"/>
            <w:noWrap/>
            <w:vAlign w:val="center"/>
            <w:hideMark/>
          </w:tcPr>
          <w:p w14:paraId="2C32C29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1994</w:t>
            </w:r>
          </w:p>
        </w:tc>
        <w:tc>
          <w:tcPr>
            <w:tcW w:w="750" w:type="pct"/>
            <w:noWrap/>
            <w:vAlign w:val="center"/>
            <w:hideMark/>
          </w:tcPr>
          <w:p w14:paraId="325FAB7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4,353.98</w:t>
            </w:r>
          </w:p>
        </w:tc>
        <w:tc>
          <w:tcPr>
            <w:tcW w:w="500" w:type="pct"/>
            <w:noWrap/>
            <w:vAlign w:val="center"/>
            <w:hideMark/>
          </w:tcPr>
          <w:p w14:paraId="1B42C0B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2004</w:t>
            </w:r>
          </w:p>
        </w:tc>
        <w:tc>
          <w:tcPr>
            <w:tcW w:w="750" w:type="pct"/>
            <w:noWrap/>
            <w:vAlign w:val="center"/>
            <w:hideMark/>
          </w:tcPr>
          <w:p w14:paraId="6AE6F77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5,065.92</w:t>
            </w:r>
          </w:p>
        </w:tc>
        <w:tc>
          <w:tcPr>
            <w:tcW w:w="500" w:type="pct"/>
            <w:noWrap/>
            <w:vAlign w:val="center"/>
            <w:hideMark/>
          </w:tcPr>
          <w:p w14:paraId="39AFFCF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2014</w:t>
            </w:r>
          </w:p>
        </w:tc>
        <w:tc>
          <w:tcPr>
            <w:tcW w:w="750" w:type="pct"/>
            <w:noWrap/>
            <w:vAlign w:val="center"/>
            <w:hideMark/>
          </w:tcPr>
          <w:p w14:paraId="2F88C29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5,860.56</w:t>
            </w:r>
          </w:p>
        </w:tc>
        <w:tc>
          <w:tcPr>
            <w:tcW w:w="500" w:type="pct"/>
            <w:noWrap/>
            <w:vAlign w:val="center"/>
            <w:hideMark/>
          </w:tcPr>
          <w:p w14:paraId="2C9DBE1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2024</w:t>
            </w:r>
          </w:p>
        </w:tc>
        <w:tc>
          <w:tcPr>
            <w:tcW w:w="750" w:type="pct"/>
            <w:noWrap/>
            <w:vAlign w:val="center"/>
            <w:hideMark/>
          </w:tcPr>
          <w:p w14:paraId="3A91A09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6,184.95</w:t>
            </w:r>
          </w:p>
        </w:tc>
      </w:tr>
      <w:tr w:rsidR="009B70DD" w:rsidRPr="001A08CC" w14:paraId="289251F6" w14:textId="77777777" w:rsidTr="00BE02B4">
        <w:trPr>
          <w:trHeight w:val="20"/>
        </w:trPr>
        <w:tc>
          <w:tcPr>
            <w:tcW w:w="500" w:type="pct"/>
            <w:noWrap/>
            <w:vAlign w:val="center"/>
            <w:hideMark/>
          </w:tcPr>
          <w:p w14:paraId="3ED3AF4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1995</w:t>
            </w:r>
          </w:p>
        </w:tc>
        <w:tc>
          <w:tcPr>
            <w:tcW w:w="750" w:type="pct"/>
            <w:noWrap/>
            <w:vAlign w:val="center"/>
            <w:hideMark/>
          </w:tcPr>
          <w:p w14:paraId="59F76618"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4,602.57</w:t>
            </w:r>
          </w:p>
        </w:tc>
        <w:tc>
          <w:tcPr>
            <w:tcW w:w="500" w:type="pct"/>
            <w:noWrap/>
            <w:vAlign w:val="center"/>
            <w:hideMark/>
          </w:tcPr>
          <w:p w14:paraId="03148EE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2005</w:t>
            </w:r>
          </w:p>
        </w:tc>
        <w:tc>
          <w:tcPr>
            <w:tcW w:w="750" w:type="pct"/>
            <w:noWrap/>
            <w:vAlign w:val="center"/>
            <w:hideMark/>
          </w:tcPr>
          <w:p w14:paraId="46B9C6E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5,671.10</w:t>
            </w:r>
          </w:p>
        </w:tc>
        <w:tc>
          <w:tcPr>
            <w:tcW w:w="500" w:type="pct"/>
            <w:noWrap/>
            <w:vAlign w:val="center"/>
            <w:hideMark/>
          </w:tcPr>
          <w:p w14:paraId="6011114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2015</w:t>
            </w:r>
          </w:p>
        </w:tc>
        <w:tc>
          <w:tcPr>
            <w:tcW w:w="750" w:type="pct"/>
            <w:noWrap/>
            <w:vAlign w:val="center"/>
            <w:hideMark/>
          </w:tcPr>
          <w:p w14:paraId="09D0642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5,564.19</w:t>
            </w:r>
          </w:p>
        </w:tc>
        <w:tc>
          <w:tcPr>
            <w:tcW w:w="500" w:type="pct"/>
            <w:noWrap/>
            <w:vAlign w:val="center"/>
            <w:hideMark/>
          </w:tcPr>
          <w:p w14:paraId="1A9DF43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2025</w:t>
            </w:r>
          </w:p>
        </w:tc>
        <w:tc>
          <w:tcPr>
            <w:tcW w:w="750" w:type="pct"/>
            <w:noWrap/>
            <w:vAlign w:val="center"/>
            <w:hideMark/>
          </w:tcPr>
          <w:p w14:paraId="38AEE4F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6,198.47</w:t>
            </w:r>
          </w:p>
        </w:tc>
      </w:tr>
      <w:tr w:rsidR="009B70DD" w:rsidRPr="001A08CC" w14:paraId="33084195" w14:textId="77777777" w:rsidTr="00BE02B4">
        <w:trPr>
          <w:trHeight w:val="20"/>
        </w:trPr>
        <w:tc>
          <w:tcPr>
            <w:tcW w:w="500" w:type="pct"/>
            <w:noWrap/>
            <w:vAlign w:val="center"/>
            <w:hideMark/>
          </w:tcPr>
          <w:p w14:paraId="105F24B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1996</w:t>
            </w:r>
          </w:p>
        </w:tc>
        <w:tc>
          <w:tcPr>
            <w:tcW w:w="750" w:type="pct"/>
            <w:noWrap/>
            <w:vAlign w:val="center"/>
            <w:hideMark/>
          </w:tcPr>
          <w:p w14:paraId="2D10F60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4,983.83</w:t>
            </w:r>
          </w:p>
        </w:tc>
        <w:tc>
          <w:tcPr>
            <w:tcW w:w="500" w:type="pct"/>
            <w:noWrap/>
            <w:vAlign w:val="center"/>
            <w:hideMark/>
          </w:tcPr>
          <w:p w14:paraId="7EBB00B8"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2006</w:t>
            </w:r>
          </w:p>
        </w:tc>
        <w:tc>
          <w:tcPr>
            <w:tcW w:w="750" w:type="pct"/>
            <w:noWrap/>
            <w:vAlign w:val="center"/>
            <w:hideMark/>
          </w:tcPr>
          <w:p w14:paraId="67178A0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6,251.74</w:t>
            </w:r>
          </w:p>
        </w:tc>
        <w:tc>
          <w:tcPr>
            <w:tcW w:w="500" w:type="pct"/>
            <w:noWrap/>
            <w:vAlign w:val="center"/>
            <w:hideMark/>
          </w:tcPr>
          <w:p w14:paraId="0D1814A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2016</w:t>
            </w:r>
          </w:p>
        </w:tc>
        <w:tc>
          <w:tcPr>
            <w:tcW w:w="750" w:type="pct"/>
            <w:noWrap/>
            <w:vAlign w:val="center"/>
            <w:hideMark/>
          </w:tcPr>
          <w:p w14:paraId="6FDC1A4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5,112.67</w:t>
            </w:r>
          </w:p>
        </w:tc>
        <w:tc>
          <w:tcPr>
            <w:tcW w:w="500" w:type="pct"/>
            <w:noWrap/>
            <w:vAlign w:val="center"/>
            <w:hideMark/>
          </w:tcPr>
          <w:p w14:paraId="69E94C6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36248B7E"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r w:rsidR="009B70DD" w:rsidRPr="001A08CC" w14:paraId="7248738C" w14:textId="77777777" w:rsidTr="00BE02B4">
        <w:trPr>
          <w:trHeight w:val="20"/>
        </w:trPr>
        <w:tc>
          <w:tcPr>
            <w:tcW w:w="500" w:type="pct"/>
            <w:noWrap/>
            <w:vAlign w:val="center"/>
            <w:hideMark/>
          </w:tcPr>
          <w:p w14:paraId="5EC8BEA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1997</w:t>
            </w:r>
          </w:p>
        </w:tc>
        <w:tc>
          <w:tcPr>
            <w:tcW w:w="750" w:type="pct"/>
            <w:noWrap/>
            <w:vAlign w:val="center"/>
            <w:hideMark/>
          </w:tcPr>
          <w:p w14:paraId="5647F2F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5,493.73</w:t>
            </w:r>
          </w:p>
        </w:tc>
        <w:tc>
          <w:tcPr>
            <w:tcW w:w="500" w:type="pct"/>
            <w:noWrap/>
            <w:vAlign w:val="center"/>
            <w:hideMark/>
          </w:tcPr>
          <w:p w14:paraId="21412B8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2007</w:t>
            </w:r>
          </w:p>
        </w:tc>
        <w:tc>
          <w:tcPr>
            <w:tcW w:w="750" w:type="pct"/>
            <w:noWrap/>
            <w:vAlign w:val="center"/>
            <w:hideMark/>
          </w:tcPr>
          <w:p w14:paraId="5C2F913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5,562.76</w:t>
            </w:r>
          </w:p>
        </w:tc>
        <w:tc>
          <w:tcPr>
            <w:tcW w:w="500" w:type="pct"/>
            <w:noWrap/>
            <w:vAlign w:val="center"/>
            <w:hideMark/>
          </w:tcPr>
          <w:p w14:paraId="27E1D2A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2017</w:t>
            </w:r>
          </w:p>
        </w:tc>
        <w:tc>
          <w:tcPr>
            <w:tcW w:w="750" w:type="pct"/>
            <w:noWrap/>
            <w:vAlign w:val="center"/>
            <w:hideMark/>
          </w:tcPr>
          <w:p w14:paraId="1D5B1FF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5,942.65</w:t>
            </w:r>
          </w:p>
        </w:tc>
        <w:tc>
          <w:tcPr>
            <w:tcW w:w="500" w:type="pct"/>
            <w:noWrap/>
            <w:vAlign w:val="center"/>
            <w:hideMark/>
          </w:tcPr>
          <w:p w14:paraId="4BE5412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3500945D"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r w:rsidR="009B70DD" w:rsidRPr="001A08CC" w14:paraId="4D0B71AB" w14:textId="77777777" w:rsidTr="00BE02B4">
        <w:trPr>
          <w:trHeight w:val="20"/>
        </w:trPr>
        <w:tc>
          <w:tcPr>
            <w:tcW w:w="500" w:type="pct"/>
            <w:noWrap/>
            <w:vAlign w:val="center"/>
            <w:hideMark/>
          </w:tcPr>
          <w:p w14:paraId="6085B1C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1998</w:t>
            </w:r>
          </w:p>
        </w:tc>
        <w:tc>
          <w:tcPr>
            <w:tcW w:w="750" w:type="pct"/>
            <w:noWrap/>
            <w:vAlign w:val="center"/>
            <w:hideMark/>
          </w:tcPr>
          <w:p w14:paraId="0402EDB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4,485.72</w:t>
            </w:r>
          </w:p>
        </w:tc>
        <w:tc>
          <w:tcPr>
            <w:tcW w:w="500" w:type="pct"/>
            <w:noWrap/>
            <w:vAlign w:val="center"/>
            <w:hideMark/>
          </w:tcPr>
          <w:p w14:paraId="7F65B8E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2008</w:t>
            </w:r>
          </w:p>
        </w:tc>
        <w:tc>
          <w:tcPr>
            <w:tcW w:w="750" w:type="pct"/>
            <w:noWrap/>
            <w:vAlign w:val="center"/>
            <w:hideMark/>
          </w:tcPr>
          <w:p w14:paraId="7C735DB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5,835.75</w:t>
            </w:r>
          </w:p>
        </w:tc>
        <w:tc>
          <w:tcPr>
            <w:tcW w:w="500" w:type="pct"/>
            <w:noWrap/>
            <w:vAlign w:val="center"/>
            <w:hideMark/>
          </w:tcPr>
          <w:p w14:paraId="70DE3F2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2018</w:t>
            </w:r>
          </w:p>
        </w:tc>
        <w:tc>
          <w:tcPr>
            <w:tcW w:w="750" w:type="pct"/>
            <w:noWrap/>
            <w:vAlign w:val="center"/>
            <w:hideMark/>
          </w:tcPr>
          <w:p w14:paraId="192A35C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5,556.16</w:t>
            </w:r>
          </w:p>
        </w:tc>
        <w:tc>
          <w:tcPr>
            <w:tcW w:w="500" w:type="pct"/>
            <w:noWrap/>
            <w:vAlign w:val="center"/>
            <w:hideMark/>
          </w:tcPr>
          <w:p w14:paraId="035EE9F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6B418EAD"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r w:rsidR="009B70DD" w:rsidRPr="001A08CC" w14:paraId="42B44E53" w14:textId="77777777" w:rsidTr="00BE02B4">
        <w:trPr>
          <w:trHeight w:val="20"/>
        </w:trPr>
        <w:tc>
          <w:tcPr>
            <w:tcW w:w="500" w:type="pct"/>
            <w:noWrap/>
            <w:vAlign w:val="center"/>
            <w:hideMark/>
          </w:tcPr>
          <w:p w14:paraId="4B14797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1999</w:t>
            </w:r>
          </w:p>
        </w:tc>
        <w:tc>
          <w:tcPr>
            <w:tcW w:w="750" w:type="pct"/>
            <w:noWrap/>
            <w:vAlign w:val="center"/>
            <w:hideMark/>
          </w:tcPr>
          <w:p w14:paraId="6B84F45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6,473.75</w:t>
            </w:r>
          </w:p>
        </w:tc>
        <w:tc>
          <w:tcPr>
            <w:tcW w:w="500" w:type="pct"/>
            <w:noWrap/>
            <w:vAlign w:val="center"/>
            <w:hideMark/>
          </w:tcPr>
          <w:p w14:paraId="669DADB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2009</w:t>
            </w:r>
          </w:p>
        </w:tc>
        <w:tc>
          <w:tcPr>
            <w:tcW w:w="750" w:type="pct"/>
            <w:noWrap/>
            <w:vAlign w:val="center"/>
            <w:hideMark/>
          </w:tcPr>
          <w:p w14:paraId="4A1DA9F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5,585.02</w:t>
            </w:r>
          </w:p>
        </w:tc>
        <w:tc>
          <w:tcPr>
            <w:tcW w:w="500" w:type="pct"/>
            <w:noWrap/>
            <w:vAlign w:val="center"/>
            <w:hideMark/>
          </w:tcPr>
          <w:p w14:paraId="6F0EE8F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2019</w:t>
            </w:r>
          </w:p>
        </w:tc>
        <w:tc>
          <w:tcPr>
            <w:tcW w:w="750" w:type="pct"/>
            <w:noWrap/>
            <w:vAlign w:val="center"/>
            <w:hideMark/>
          </w:tcPr>
          <w:p w14:paraId="2A0CED7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5,493.01</w:t>
            </w:r>
          </w:p>
        </w:tc>
        <w:tc>
          <w:tcPr>
            <w:tcW w:w="500" w:type="pct"/>
            <w:noWrap/>
            <w:vAlign w:val="center"/>
            <w:hideMark/>
          </w:tcPr>
          <w:p w14:paraId="4CFF4AB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78E34AAA"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bl>
    <w:p w14:paraId="34914FCF" w14:textId="73703F92" w:rsidR="00AB439D" w:rsidRPr="00AB439D" w:rsidRDefault="000A5B17" w:rsidP="009B70DD">
      <w:pPr>
        <w:spacing w:before="240"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The integration of NDBI-based spatial analysis with temporal urban area statistics highlights a near-linear growth trajectory, particularly after 2000, suggesting sustained urban pressure within the KMC region. This expansion has important implications for environmental sustainability, including the loss of green spaces, increased surface temperatures, and altered hydrological processes. While the NDBI approach provides a robust and efficient method for mapping built-up areas, it is important to acknowledge potential limitations, such as confusion with bare soil or dry land surfaces, which may exhibit spectral responses similar to those of built-up areas. Therefore, the results should ideally be interpreted in conjunction with other indices (e.g., NDVI or NDWI) for improved classification accuracy. Overall, the findings demonstrate that KMC has undergone significant urban transformation over the past three decades, and the continued increase in built-up areas underscores the need for sustainable urban planning</w:t>
      </w:r>
      <w:r>
        <w:rPr>
          <w:rFonts w:ascii="Times New Roman" w:hAnsi="Times New Roman" w:cs="Times New Roman"/>
          <w:bCs/>
          <w:sz w:val="20"/>
          <w:szCs w:val="24"/>
        </w:rPr>
        <w:t xml:space="preserve"> and land management strategies</w:t>
      </w:r>
      <w:r w:rsidR="009B70DD" w:rsidRPr="009B70DD">
        <w:rPr>
          <w:rFonts w:ascii="Times New Roman" w:hAnsi="Times New Roman" w:cs="Times New Roman"/>
          <w:bCs/>
          <w:sz w:val="20"/>
          <w:szCs w:val="24"/>
        </w:rPr>
        <w:t>.</w:t>
      </w:r>
    </w:p>
    <w:p w14:paraId="0EE38D06" w14:textId="43D95EBE" w:rsidR="006F4D36" w:rsidRPr="00F635C4" w:rsidRDefault="006F4D36" w:rsidP="006F4D36">
      <w:pPr>
        <w:pStyle w:val="ListParagraph"/>
        <w:numPr>
          <w:ilvl w:val="1"/>
          <w:numId w:val="6"/>
        </w:numPr>
        <w:spacing w:before="240" w:line="360" w:lineRule="auto"/>
        <w:jc w:val="both"/>
        <w:rPr>
          <w:rFonts w:ascii="Times New Roman" w:hAnsi="Times New Roman" w:cs="Times New Roman"/>
          <w:b/>
          <w:bCs/>
          <w:sz w:val="20"/>
          <w:szCs w:val="24"/>
        </w:rPr>
      </w:pPr>
      <w:r w:rsidRPr="00F635C4">
        <w:rPr>
          <w:rFonts w:ascii="Times New Roman" w:hAnsi="Times New Roman" w:cs="Times New Roman"/>
          <w:b/>
          <w:bCs/>
          <w:sz w:val="20"/>
          <w:szCs w:val="24"/>
        </w:rPr>
        <w:t>Statistical analysis of urban expansion</w:t>
      </w:r>
    </w:p>
    <w:p w14:paraId="49072571" w14:textId="330EDA3F" w:rsidR="009B70DD" w:rsidRPr="009B70DD" w:rsidRDefault="009B70DD" w:rsidP="009B70DD">
      <w:pPr>
        <w:spacing w:line="360" w:lineRule="auto"/>
        <w:jc w:val="both"/>
        <w:rPr>
          <w:rFonts w:ascii="Times New Roman" w:hAnsi="Times New Roman" w:cs="Times New Roman"/>
          <w:bCs/>
          <w:sz w:val="20"/>
          <w:szCs w:val="24"/>
        </w:rPr>
      </w:pPr>
      <w:r w:rsidRPr="009B70DD">
        <w:rPr>
          <w:rFonts w:ascii="Times New Roman" w:hAnsi="Times New Roman" w:cs="Times New Roman"/>
          <w:bCs/>
          <w:sz w:val="20"/>
          <w:szCs w:val="24"/>
        </w:rPr>
        <w:t>The linear regression analysis of built-up area against time for Kolkata Municipal Corporation (KMC) reveals a statistically significant increasing trend in urban expansion over the study period</w:t>
      </w:r>
      <w:r w:rsidR="00371F50">
        <w:rPr>
          <w:rFonts w:ascii="Times New Roman" w:hAnsi="Times New Roman" w:cs="Times New Roman"/>
          <w:bCs/>
          <w:sz w:val="20"/>
          <w:szCs w:val="24"/>
        </w:rPr>
        <w:t xml:space="preserve"> (Fig. 4)</w:t>
      </w:r>
      <w:r w:rsidRPr="009B70DD">
        <w:rPr>
          <w:rFonts w:ascii="Times New Roman" w:hAnsi="Times New Roman" w:cs="Times New Roman"/>
          <w:bCs/>
          <w:sz w:val="20"/>
          <w:szCs w:val="24"/>
        </w:rPr>
        <w:t>. The model explains approximately 48.03% of the total variance in built-up area (R² = 0.480), indicating a moderate explanatory power of time as a predictor variable. The Multiple R value (0.693) suggests a moderately strong positive correlation between year and urban area, reflecting a consistent growth pattern despite inter-annual fluctuations. The overall model is highly significant, as indicated by the F-statistic (F = 31.42) and its associated p-value (</w:t>
      </w:r>
      <w:r w:rsidR="00EA4DF8" w:rsidRPr="00EA4DF8">
        <w:rPr>
          <w:rFonts w:ascii="Times New Roman" w:hAnsi="Times New Roman" w:cs="Times New Roman"/>
          <w:bCs/>
          <w:i/>
          <w:iCs/>
          <w:sz w:val="20"/>
          <w:szCs w:val="24"/>
        </w:rPr>
        <w:t>P</w:t>
      </w:r>
      <w:r w:rsidRPr="009B70DD">
        <w:rPr>
          <w:rFonts w:ascii="Times New Roman" w:hAnsi="Times New Roman" w:cs="Times New Roman"/>
          <w:bCs/>
          <w:sz w:val="20"/>
          <w:szCs w:val="24"/>
        </w:rPr>
        <w:t xml:space="preserve"> &lt; 0.001), confirming that the regression relationship is not due to random chance. </w:t>
      </w:r>
      <w:r w:rsidR="000A5B17" w:rsidRPr="000A5B17">
        <w:rPr>
          <w:rFonts w:ascii="Times New Roman" w:hAnsi="Times New Roman" w:cs="Times New Roman"/>
          <w:bCs/>
          <w:sz w:val="20"/>
          <w:szCs w:val="24"/>
        </w:rPr>
        <w:t>These findings align with typical urban growth studies, which show that temporal progression alone captures a substantial portion of expansion dynamics. However, additional drivers (e.g., socio-economic and policy factors) may further ex</w:t>
      </w:r>
      <w:r w:rsidR="000A5B17">
        <w:rPr>
          <w:rFonts w:ascii="Times New Roman" w:hAnsi="Times New Roman" w:cs="Times New Roman"/>
          <w:bCs/>
          <w:sz w:val="20"/>
          <w:szCs w:val="24"/>
        </w:rPr>
        <w:t>plain the remaining variability</w:t>
      </w:r>
      <w:r w:rsidRPr="009B70DD">
        <w:rPr>
          <w:rFonts w:ascii="Times New Roman" w:hAnsi="Times New Roman" w:cs="Times New Roman"/>
          <w:bCs/>
          <w:sz w:val="20"/>
          <w:szCs w:val="24"/>
        </w:rPr>
        <w:t>.</w:t>
      </w:r>
    </w:p>
    <w:p w14:paraId="1F4625BE" w14:textId="77777777" w:rsidR="00CB5BB2" w:rsidRDefault="009B70DD" w:rsidP="00CB5BB2">
      <w:pPr>
        <w:keepNext/>
        <w:spacing w:line="360" w:lineRule="auto"/>
        <w:jc w:val="center"/>
      </w:pPr>
      <w:r>
        <w:rPr>
          <w:noProof/>
          <w:lang w:eastAsia="en-IN"/>
        </w:rPr>
        <w:lastRenderedPageBreak/>
        <w:drawing>
          <wp:inline distT="0" distB="0" distL="0" distR="0" wp14:anchorId="748A51AF" wp14:editId="381E3689">
            <wp:extent cx="5515850" cy="2091690"/>
            <wp:effectExtent l="0" t="0" r="889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342F1A" w14:textId="1A7DF5A5" w:rsidR="009B70DD" w:rsidRPr="00CB5BB2" w:rsidRDefault="00CB5BB2" w:rsidP="00CB5BB2">
      <w:pPr>
        <w:pStyle w:val="Caption"/>
        <w:jc w:val="center"/>
        <w:rPr>
          <w:rFonts w:ascii="Times New Roman" w:hAnsi="Times New Roman" w:cs="Times New Roman"/>
          <w:i w:val="0"/>
          <w:color w:val="000000" w:themeColor="text1"/>
        </w:rPr>
      </w:pPr>
      <w:r w:rsidRPr="00CB5BB2">
        <w:rPr>
          <w:rFonts w:ascii="Times New Roman" w:hAnsi="Times New Roman" w:cs="Times New Roman"/>
          <w:b/>
          <w:i w:val="0"/>
          <w:color w:val="000000" w:themeColor="text1"/>
        </w:rPr>
        <w:t xml:space="preserve">Figure </w:t>
      </w:r>
      <w:r w:rsidRPr="00CB5BB2">
        <w:rPr>
          <w:rFonts w:ascii="Times New Roman" w:hAnsi="Times New Roman" w:cs="Times New Roman"/>
          <w:b/>
          <w:i w:val="0"/>
          <w:color w:val="000000" w:themeColor="text1"/>
        </w:rPr>
        <w:fldChar w:fldCharType="begin"/>
      </w:r>
      <w:r w:rsidRPr="00CB5BB2">
        <w:rPr>
          <w:rFonts w:ascii="Times New Roman" w:hAnsi="Times New Roman" w:cs="Times New Roman"/>
          <w:b/>
          <w:i w:val="0"/>
          <w:color w:val="000000" w:themeColor="text1"/>
        </w:rPr>
        <w:instrText xml:space="preserve"> SEQ Figure \* ARABIC </w:instrText>
      </w:r>
      <w:r w:rsidRPr="00CB5BB2">
        <w:rPr>
          <w:rFonts w:ascii="Times New Roman" w:hAnsi="Times New Roman" w:cs="Times New Roman"/>
          <w:b/>
          <w:i w:val="0"/>
          <w:color w:val="000000" w:themeColor="text1"/>
        </w:rPr>
        <w:fldChar w:fldCharType="separate"/>
      </w:r>
      <w:r w:rsidR="00287E0C">
        <w:rPr>
          <w:rFonts w:ascii="Times New Roman" w:hAnsi="Times New Roman" w:cs="Times New Roman"/>
          <w:b/>
          <w:i w:val="0"/>
          <w:noProof/>
          <w:color w:val="000000" w:themeColor="text1"/>
        </w:rPr>
        <w:t>4</w:t>
      </w:r>
      <w:r w:rsidRPr="00CB5BB2">
        <w:rPr>
          <w:rFonts w:ascii="Times New Roman" w:hAnsi="Times New Roman" w:cs="Times New Roman"/>
          <w:b/>
          <w:i w:val="0"/>
          <w:color w:val="000000" w:themeColor="text1"/>
        </w:rPr>
        <w:fldChar w:fldCharType="end"/>
      </w:r>
      <w:r w:rsidRPr="00CB5BB2">
        <w:rPr>
          <w:rFonts w:ascii="Times New Roman" w:hAnsi="Times New Roman" w:cs="Times New Roman"/>
          <w:i w:val="0"/>
          <w:color w:val="000000" w:themeColor="text1"/>
        </w:rPr>
        <w:t>: Kolkata urban expansion trend</w:t>
      </w:r>
      <w:r>
        <w:rPr>
          <w:rFonts w:ascii="Times New Roman" w:hAnsi="Times New Roman" w:cs="Times New Roman"/>
          <w:i w:val="0"/>
          <w:color w:val="000000" w:themeColor="text1"/>
        </w:rPr>
        <w:t>s (1990-2025)</w:t>
      </w:r>
    </w:p>
    <w:p w14:paraId="6036C295" w14:textId="531B4920" w:rsidR="009573DB" w:rsidRPr="009B70DD" w:rsidRDefault="000A5B17" w:rsidP="009B70DD">
      <w:pPr>
        <w:spacing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 xml:space="preserve">The regression coefficient for the year variable (β = 52.00 ha/year) indicates that, on average, the built-up area in KMC has increased by approximately 52 hectares annually during the study period. This estimate is statistically significant (t = 5.61, </w:t>
      </w:r>
      <w:r w:rsidR="00EA4DF8" w:rsidRPr="00EA4DF8">
        <w:rPr>
          <w:rFonts w:ascii="Times New Roman" w:hAnsi="Times New Roman" w:cs="Times New Roman"/>
          <w:bCs/>
          <w:i/>
          <w:iCs/>
          <w:sz w:val="20"/>
          <w:szCs w:val="24"/>
        </w:rPr>
        <w:t>P</w:t>
      </w:r>
      <w:r w:rsidRPr="000A5B17">
        <w:rPr>
          <w:rFonts w:ascii="Times New Roman" w:hAnsi="Times New Roman" w:cs="Times New Roman"/>
          <w:bCs/>
          <w:sz w:val="20"/>
          <w:szCs w:val="24"/>
        </w:rPr>
        <w:t xml:space="preserve"> &lt; 0.001), and the 95% confidence interval (33.15–70.85 ha/year) confirms the robustness of the positive growth rate. The intercept value (-98924.12) is not directly meaningful in a physical sense but serves as a parameter within the regression equation. The relatively high standard error (578.21 ha) reflects temporal variability and potential nonlinearity in urban growth patterns, which are common in rapidly developing metropolitan regions. Compared with Sen’s slope estimate (~47.65 ha/year), the regression-derived growth rate shows strong agreement, reinforcing the reliability of the observed expansion trend. Overall, the statistical analysis confirms that urban growth in KMC has followed a significant and sustained upward trajectory, supporting the results of the non-parametric trend analysis and highlighting the progressive transform</w:t>
      </w:r>
      <w:r>
        <w:rPr>
          <w:rFonts w:ascii="Times New Roman" w:hAnsi="Times New Roman" w:cs="Times New Roman"/>
          <w:bCs/>
          <w:sz w:val="20"/>
          <w:szCs w:val="24"/>
        </w:rPr>
        <w:t>ation of land use in the region</w:t>
      </w:r>
      <w:r w:rsidR="009B70DD" w:rsidRPr="009B70DD">
        <w:rPr>
          <w:rFonts w:ascii="Times New Roman" w:hAnsi="Times New Roman" w:cs="Times New Roman"/>
          <w:bCs/>
          <w:sz w:val="20"/>
          <w:szCs w:val="24"/>
        </w:rPr>
        <w:t>.</w:t>
      </w:r>
    </w:p>
    <w:p w14:paraId="3F5C6C0E" w14:textId="4CB450E4" w:rsidR="00F16F6F" w:rsidRPr="00F16F6F" w:rsidRDefault="00F16F6F" w:rsidP="00F16F6F">
      <w:pPr>
        <w:pStyle w:val="Caption"/>
        <w:keepNext/>
        <w:rPr>
          <w:rFonts w:ascii="Times New Roman" w:hAnsi="Times New Roman" w:cs="Times New Roman"/>
          <w:i w:val="0"/>
          <w:iCs w:val="0"/>
          <w:color w:val="auto"/>
          <w:lang w:val="en-US"/>
        </w:rPr>
      </w:pPr>
      <w:r w:rsidRPr="00F16F6F">
        <w:rPr>
          <w:rFonts w:ascii="Times New Roman" w:hAnsi="Times New Roman" w:cs="Times New Roman"/>
          <w:b/>
          <w:i w:val="0"/>
          <w:iCs w:val="0"/>
          <w:color w:val="auto"/>
          <w:lang w:val="en-US"/>
        </w:rPr>
        <w:t xml:space="preserve">Table </w:t>
      </w:r>
      <w:r w:rsidRPr="00F16F6F">
        <w:rPr>
          <w:rFonts w:ascii="Times New Roman" w:hAnsi="Times New Roman" w:cs="Times New Roman"/>
          <w:b/>
          <w:i w:val="0"/>
          <w:iCs w:val="0"/>
          <w:color w:val="auto"/>
          <w:lang w:val="en-US"/>
        </w:rPr>
        <w:fldChar w:fldCharType="begin"/>
      </w:r>
      <w:r w:rsidRPr="00F16F6F">
        <w:rPr>
          <w:rFonts w:ascii="Times New Roman" w:hAnsi="Times New Roman" w:cs="Times New Roman"/>
          <w:b/>
          <w:i w:val="0"/>
          <w:iCs w:val="0"/>
          <w:color w:val="auto"/>
          <w:lang w:val="en-US"/>
        </w:rPr>
        <w:instrText xml:space="preserve"> SEQ Table \* ARABIC </w:instrText>
      </w:r>
      <w:r w:rsidRPr="00F16F6F">
        <w:rPr>
          <w:rFonts w:ascii="Times New Roman" w:hAnsi="Times New Roman" w:cs="Times New Roman"/>
          <w:b/>
          <w:i w:val="0"/>
          <w:iCs w:val="0"/>
          <w:color w:val="auto"/>
          <w:lang w:val="en-US"/>
        </w:rPr>
        <w:fldChar w:fldCharType="separate"/>
      </w:r>
      <w:r>
        <w:rPr>
          <w:rFonts w:ascii="Times New Roman" w:hAnsi="Times New Roman" w:cs="Times New Roman"/>
          <w:b/>
          <w:i w:val="0"/>
          <w:iCs w:val="0"/>
          <w:noProof/>
          <w:color w:val="auto"/>
          <w:lang w:val="en-US"/>
        </w:rPr>
        <w:t>2</w:t>
      </w:r>
      <w:r w:rsidRPr="00F16F6F">
        <w:rPr>
          <w:rFonts w:ascii="Times New Roman" w:hAnsi="Times New Roman" w:cs="Times New Roman"/>
          <w:b/>
          <w:i w:val="0"/>
          <w:iCs w:val="0"/>
          <w:color w:val="auto"/>
          <w:lang w:val="en-US"/>
        </w:rPr>
        <w:fldChar w:fldCharType="end"/>
      </w:r>
      <w:r w:rsidRPr="00F16F6F">
        <w:rPr>
          <w:rFonts w:ascii="Times New Roman" w:hAnsi="Times New Roman" w:cs="Times New Roman"/>
          <w:i w:val="0"/>
          <w:iCs w:val="0"/>
          <w:color w:val="auto"/>
          <w:lang w:val="en-US"/>
        </w:rPr>
        <w:t>: Regression statistics</w:t>
      </w:r>
    </w:p>
    <w:tbl>
      <w:tblPr>
        <w:tblW w:w="0" w:type="auto"/>
        <w:tblLook w:val="04A0" w:firstRow="1" w:lastRow="0" w:firstColumn="1" w:lastColumn="0" w:noHBand="0" w:noVBand="1"/>
      </w:tblPr>
      <w:tblGrid>
        <w:gridCol w:w="1744"/>
        <w:gridCol w:w="1266"/>
      </w:tblGrid>
      <w:tr w:rsidR="00AB439D" w:rsidRPr="001A08CC" w14:paraId="7DF59DC7" w14:textId="77777777" w:rsidTr="00AB439D">
        <w:trPr>
          <w:trHeight w:val="20"/>
        </w:trPr>
        <w:tc>
          <w:tcPr>
            <w:tcW w:w="0" w:type="auto"/>
            <w:gridSpan w:val="2"/>
            <w:tcBorders>
              <w:top w:val="single" w:sz="8" w:space="0" w:color="auto"/>
              <w:left w:val="nil"/>
              <w:bottom w:val="single" w:sz="4" w:space="0" w:color="auto"/>
              <w:right w:val="nil"/>
            </w:tcBorders>
            <w:noWrap/>
            <w:vAlign w:val="bottom"/>
            <w:hideMark/>
          </w:tcPr>
          <w:p w14:paraId="5091A1B6"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Regression Statistics</w:t>
            </w:r>
          </w:p>
        </w:tc>
      </w:tr>
      <w:tr w:rsidR="00AB439D" w:rsidRPr="001A08CC" w14:paraId="2CD2067D" w14:textId="77777777" w:rsidTr="00AB439D">
        <w:trPr>
          <w:trHeight w:val="20"/>
        </w:trPr>
        <w:tc>
          <w:tcPr>
            <w:tcW w:w="0" w:type="auto"/>
            <w:tcBorders>
              <w:top w:val="nil"/>
              <w:left w:val="nil"/>
              <w:bottom w:val="nil"/>
              <w:right w:val="nil"/>
            </w:tcBorders>
            <w:noWrap/>
            <w:vAlign w:val="bottom"/>
            <w:hideMark/>
          </w:tcPr>
          <w:p w14:paraId="52B2D341"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Multiple R</w:t>
            </w:r>
          </w:p>
        </w:tc>
        <w:tc>
          <w:tcPr>
            <w:tcW w:w="0" w:type="auto"/>
            <w:tcBorders>
              <w:top w:val="nil"/>
              <w:left w:val="nil"/>
              <w:bottom w:val="nil"/>
              <w:right w:val="nil"/>
            </w:tcBorders>
            <w:noWrap/>
            <w:vAlign w:val="bottom"/>
            <w:hideMark/>
          </w:tcPr>
          <w:p w14:paraId="315F371C"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0.693013527</w:t>
            </w:r>
          </w:p>
        </w:tc>
      </w:tr>
      <w:tr w:rsidR="00AB439D" w:rsidRPr="001A08CC" w14:paraId="2024853E" w14:textId="77777777" w:rsidTr="00AB439D">
        <w:trPr>
          <w:trHeight w:val="20"/>
        </w:trPr>
        <w:tc>
          <w:tcPr>
            <w:tcW w:w="0" w:type="auto"/>
            <w:tcBorders>
              <w:top w:val="nil"/>
              <w:left w:val="nil"/>
              <w:bottom w:val="nil"/>
              <w:right w:val="nil"/>
            </w:tcBorders>
            <w:noWrap/>
            <w:vAlign w:val="bottom"/>
            <w:hideMark/>
          </w:tcPr>
          <w:p w14:paraId="104FB0AC"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R Square</w:t>
            </w:r>
          </w:p>
        </w:tc>
        <w:tc>
          <w:tcPr>
            <w:tcW w:w="0" w:type="auto"/>
            <w:tcBorders>
              <w:top w:val="nil"/>
              <w:left w:val="nil"/>
              <w:bottom w:val="nil"/>
              <w:right w:val="nil"/>
            </w:tcBorders>
            <w:noWrap/>
            <w:vAlign w:val="bottom"/>
            <w:hideMark/>
          </w:tcPr>
          <w:p w14:paraId="5C395FFE"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0.480267749</w:t>
            </w:r>
          </w:p>
        </w:tc>
      </w:tr>
      <w:tr w:rsidR="00AB439D" w:rsidRPr="001A08CC" w14:paraId="5D05E675" w14:textId="77777777" w:rsidTr="00AB439D">
        <w:trPr>
          <w:trHeight w:val="20"/>
        </w:trPr>
        <w:tc>
          <w:tcPr>
            <w:tcW w:w="0" w:type="auto"/>
            <w:tcBorders>
              <w:top w:val="nil"/>
              <w:left w:val="nil"/>
              <w:bottom w:val="nil"/>
              <w:right w:val="nil"/>
            </w:tcBorders>
            <w:noWrap/>
            <w:vAlign w:val="bottom"/>
            <w:hideMark/>
          </w:tcPr>
          <w:p w14:paraId="34185991" w14:textId="5C58E022"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xml:space="preserve">Adjusted </w:t>
            </w:r>
            <w:r w:rsidR="001A08CC">
              <w:rPr>
                <w:rFonts w:ascii="Times New Roman" w:eastAsia="Times New Roman" w:hAnsi="Times New Roman" w:cs="Times New Roman"/>
                <w:color w:val="000000"/>
                <w:sz w:val="20"/>
                <w:szCs w:val="18"/>
                <w:lang w:eastAsia="en-IN"/>
              </w:rPr>
              <w:t>R-Square</w:t>
            </w:r>
          </w:p>
        </w:tc>
        <w:tc>
          <w:tcPr>
            <w:tcW w:w="0" w:type="auto"/>
            <w:tcBorders>
              <w:top w:val="nil"/>
              <w:left w:val="nil"/>
              <w:bottom w:val="nil"/>
              <w:right w:val="nil"/>
            </w:tcBorders>
            <w:noWrap/>
            <w:vAlign w:val="bottom"/>
            <w:hideMark/>
          </w:tcPr>
          <w:p w14:paraId="2530D270"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0.464981506</w:t>
            </w:r>
          </w:p>
        </w:tc>
      </w:tr>
      <w:tr w:rsidR="00AB439D" w:rsidRPr="001A08CC" w14:paraId="0433F1D1" w14:textId="77777777" w:rsidTr="00AB439D">
        <w:trPr>
          <w:trHeight w:val="20"/>
        </w:trPr>
        <w:tc>
          <w:tcPr>
            <w:tcW w:w="0" w:type="auto"/>
            <w:tcBorders>
              <w:top w:val="nil"/>
              <w:left w:val="nil"/>
              <w:bottom w:val="nil"/>
              <w:right w:val="nil"/>
            </w:tcBorders>
            <w:noWrap/>
            <w:vAlign w:val="bottom"/>
            <w:hideMark/>
          </w:tcPr>
          <w:p w14:paraId="4666F331"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Standard Error</w:t>
            </w:r>
          </w:p>
        </w:tc>
        <w:tc>
          <w:tcPr>
            <w:tcW w:w="0" w:type="auto"/>
            <w:tcBorders>
              <w:top w:val="nil"/>
              <w:left w:val="nil"/>
              <w:bottom w:val="nil"/>
              <w:right w:val="nil"/>
            </w:tcBorders>
            <w:noWrap/>
            <w:vAlign w:val="bottom"/>
            <w:hideMark/>
          </w:tcPr>
          <w:p w14:paraId="768C6CB9"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578.2154544</w:t>
            </w:r>
          </w:p>
        </w:tc>
      </w:tr>
      <w:tr w:rsidR="00AB439D" w:rsidRPr="001A08CC" w14:paraId="046D6ED0" w14:textId="77777777" w:rsidTr="00AB439D">
        <w:trPr>
          <w:trHeight w:val="20"/>
        </w:trPr>
        <w:tc>
          <w:tcPr>
            <w:tcW w:w="0" w:type="auto"/>
            <w:tcBorders>
              <w:top w:val="nil"/>
              <w:left w:val="nil"/>
              <w:bottom w:val="single" w:sz="8" w:space="0" w:color="auto"/>
              <w:right w:val="nil"/>
            </w:tcBorders>
            <w:noWrap/>
            <w:vAlign w:val="bottom"/>
            <w:hideMark/>
          </w:tcPr>
          <w:p w14:paraId="57D09519"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Observations</w:t>
            </w:r>
          </w:p>
        </w:tc>
        <w:tc>
          <w:tcPr>
            <w:tcW w:w="0" w:type="auto"/>
            <w:tcBorders>
              <w:top w:val="nil"/>
              <w:left w:val="nil"/>
              <w:bottom w:val="single" w:sz="8" w:space="0" w:color="auto"/>
              <w:right w:val="nil"/>
            </w:tcBorders>
            <w:noWrap/>
            <w:vAlign w:val="bottom"/>
            <w:hideMark/>
          </w:tcPr>
          <w:p w14:paraId="77F4C66E"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36</w:t>
            </w:r>
          </w:p>
        </w:tc>
      </w:tr>
    </w:tbl>
    <w:p w14:paraId="1C7882A7" w14:textId="00C1158D" w:rsidR="00F16F6F" w:rsidRPr="00F16F6F" w:rsidRDefault="00F16F6F" w:rsidP="00F16F6F">
      <w:pPr>
        <w:pStyle w:val="Caption"/>
        <w:keepNext/>
        <w:spacing w:before="240"/>
        <w:rPr>
          <w:rFonts w:ascii="Times New Roman" w:hAnsi="Times New Roman" w:cs="Times New Roman"/>
          <w:i w:val="0"/>
          <w:iCs w:val="0"/>
          <w:color w:val="auto"/>
          <w:lang w:val="en-US"/>
        </w:rPr>
      </w:pPr>
      <w:r w:rsidRPr="00F16F6F">
        <w:rPr>
          <w:rFonts w:ascii="Times New Roman" w:hAnsi="Times New Roman" w:cs="Times New Roman"/>
          <w:b/>
          <w:i w:val="0"/>
          <w:iCs w:val="0"/>
          <w:color w:val="auto"/>
          <w:lang w:val="en-US"/>
        </w:rPr>
        <w:t xml:space="preserve">Table </w:t>
      </w:r>
      <w:r w:rsidRPr="00F16F6F">
        <w:rPr>
          <w:rFonts w:ascii="Times New Roman" w:hAnsi="Times New Roman" w:cs="Times New Roman"/>
          <w:b/>
          <w:i w:val="0"/>
          <w:iCs w:val="0"/>
          <w:color w:val="auto"/>
          <w:lang w:val="en-US"/>
        </w:rPr>
        <w:fldChar w:fldCharType="begin"/>
      </w:r>
      <w:r w:rsidRPr="00F16F6F">
        <w:rPr>
          <w:rFonts w:ascii="Times New Roman" w:hAnsi="Times New Roman" w:cs="Times New Roman"/>
          <w:b/>
          <w:i w:val="0"/>
          <w:iCs w:val="0"/>
          <w:color w:val="auto"/>
          <w:lang w:val="en-US"/>
        </w:rPr>
        <w:instrText xml:space="preserve"> SEQ Table \* ARABIC </w:instrText>
      </w:r>
      <w:r w:rsidRPr="00F16F6F">
        <w:rPr>
          <w:rFonts w:ascii="Times New Roman" w:hAnsi="Times New Roman" w:cs="Times New Roman"/>
          <w:b/>
          <w:i w:val="0"/>
          <w:iCs w:val="0"/>
          <w:color w:val="auto"/>
          <w:lang w:val="en-US"/>
        </w:rPr>
        <w:fldChar w:fldCharType="separate"/>
      </w:r>
      <w:r>
        <w:rPr>
          <w:rFonts w:ascii="Times New Roman" w:hAnsi="Times New Roman" w:cs="Times New Roman"/>
          <w:b/>
          <w:i w:val="0"/>
          <w:iCs w:val="0"/>
          <w:noProof/>
          <w:color w:val="auto"/>
          <w:lang w:val="en-US"/>
        </w:rPr>
        <w:t>3</w:t>
      </w:r>
      <w:r w:rsidRPr="00F16F6F">
        <w:rPr>
          <w:rFonts w:ascii="Times New Roman" w:hAnsi="Times New Roman" w:cs="Times New Roman"/>
          <w:b/>
          <w:i w:val="0"/>
          <w:iCs w:val="0"/>
          <w:color w:val="auto"/>
          <w:lang w:val="en-US"/>
        </w:rPr>
        <w:fldChar w:fldCharType="end"/>
      </w:r>
      <w:r w:rsidRPr="00F16F6F">
        <w:rPr>
          <w:rFonts w:ascii="Times New Roman" w:hAnsi="Times New Roman" w:cs="Times New Roman"/>
          <w:i w:val="0"/>
          <w:iCs w:val="0"/>
          <w:color w:val="auto"/>
          <w:lang w:val="en-US"/>
        </w:rPr>
        <w:t>: Significant test</w:t>
      </w:r>
    </w:p>
    <w:tbl>
      <w:tblPr>
        <w:tblW w:w="5000" w:type="pct"/>
        <w:tblLook w:val="04A0" w:firstRow="1" w:lastRow="0" w:firstColumn="1" w:lastColumn="0" w:noHBand="0" w:noVBand="1"/>
      </w:tblPr>
      <w:tblGrid>
        <w:gridCol w:w="1907"/>
        <w:gridCol w:w="1325"/>
        <w:gridCol w:w="1534"/>
        <w:gridCol w:w="1175"/>
        <w:gridCol w:w="1477"/>
        <w:gridCol w:w="1608"/>
      </w:tblGrid>
      <w:tr w:rsidR="00AB439D" w:rsidRPr="001A08CC" w14:paraId="471F2189" w14:textId="77777777" w:rsidTr="00AB439D">
        <w:trPr>
          <w:trHeight w:val="20"/>
        </w:trPr>
        <w:tc>
          <w:tcPr>
            <w:tcW w:w="1056" w:type="pct"/>
            <w:tcBorders>
              <w:top w:val="single" w:sz="8" w:space="0" w:color="auto"/>
              <w:left w:val="nil"/>
              <w:bottom w:val="single" w:sz="4" w:space="0" w:color="auto"/>
              <w:right w:val="nil"/>
            </w:tcBorders>
            <w:noWrap/>
            <w:vAlign w:val="bottom"/>
            <w:hideMark/>
          </w:tcPr>
          <w:p w14:paraId="0B5D9408"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 </w:t>
            </w:r>
          </w:p>
        </w:tc>
        <w:tc>
          <w:tcPr>
            <w:tcW w:w="734" w:type="pct"/>
            <w:tcBorders>
              <w:top w:val="single" w:sz="8" w:space="0" w:color="auto"/>
              <w:left w:val="nil"/>
              <w:bottom w:val="single" w:sz="4" w:space="0" w:color="auto"/>
              <w:right w:val="nil"/>
            </w:tcBorders>
            <w:noWrap/>
            <w:vAlign w:val="bottom"/>
            <w:hideMark/>
          </w:tcPr>
          <w:p w14:paraId="20049B53"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df</w:t>
            </w:r>
          </w:p>
        </w:tc>
        <w:tc>
          <w:tcPr>
            <w:tcW w:w="850" w:type="pct"/>
            <w:tcBorders>
              <w:top w:val="single" w:sz="8" w:space="0" w:color="auto"/>
              <w:left w:val="nil"/>
              <w:bottom w:val="single" w:sz="4" w:space="0" w:color="auto"/>
              <w:right w:val="nil"/>
            </w:tcBorders>
            <w:noWrap/>
            <w:vAlign w:val="bottom"/>
            <w:hideMark/>
          </w:tcPr>
          <w:p w14:paraId="6BC77D44"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SS</w:t>
            </w:r>
          </w:p>
        </w:tc>
        <w:tc>
          <w:tcPr>
            <w:tcW w:w="651" w:type="pct"/>
            <w:tcBorders>
              <w:top w:val="single" w:sz="8" w:space="0" w:color="auto"/>
              <w:left w:val="nil"/>
              <w:bottom w:val="single" w:sz="4" w:space="0" w:color="auto"/>
              <w:right w:val="nil"/>
            </w:tcBorders>
            <w:noWrap/>
            <w:vAlign w:val="bottom"/>
            <w:hideMark/>
          </w:tcPr>
          <w:p w14:paraId="5F1D89CB"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MS</w:t>
            </w:r>
          </w:p>
        </w:tc>
        <w:tc>
          <w:tcPr>
            <w:tcW w:w="818" w:type="pct"/>
            <w:tcBorders>
              <w:top w:val="single" w:sz="8" w:space="0" w:color="auto"/>
              <w:left w:val="nil"/>
              <w:bottom w:val="single" w:sz="4" w:space="0" w:color="auto"/>
              <w:right w:val="nil"/>
            </w:tcBorders>
            <w:noWrap/>
            <w:vAlign w:val="bottom"/>
            <w:hideMark/>
          </w:tcPr>
          <w:p w14:paraId="0B3C26C3"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F</w:t>
            </w:r>
          </w:p>
        </w:tc>
        <w:tc>
          <w:tcPr>
            <w:tcW w:w="891" w:type="pct"/>
            <w:tcBorders>
              <w:top w:val="single" w:sz="8" w:space="0" w:color="auto"/>
              <w:left w:val="nil"/>
              <w:bottom w:val="single" w:sz="4" w:space="0" w:color="auto"/>
              <w:right w:val="nil"/>
            </w:tcBorders>
            <w:noWrap/>
            <w:vAlign w:val="bottom"/>
            <w:hideMark/>
          </w:tcPr>
          <w:p w14:paraId="1DA7BD8A"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Significance F</w:t>
            </w:r>
          </w:p>
        </w:tc>
      </w:tr>
      <w:tr w:rsidR="00AB439D" w:rsidRPr="001A08CC" w14:paraId="34C54C90" w14:textId="77777777" w:rsidTr="00AB439D">
        <w:trPr>
          <w:trHeight w:val="20"/>
        </w:trPr>
        <w:tc>
          <w:tcPr>
            <w:tcW w:w="1056" w:type="pct"/>
            <w:tcBorders>
              <w:top w:val="nil"/>
              <w:left w:val="nil"/>
              <w:bottom w:val="nil"/>
              <w:right w:val="nil"/>
            </w:tcBorders>
            <w:noWrap/>
            <w:vAlign w:val="bottom"/>
            <w:hideMark/>
          </w:tcPr>
          <w:p w14:paraId="10566CC6"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Regression</w:t>
            </w:r>
          </w:p>
        </w:tc>
        <w:tc>
          <w:tcPr>
            <w:tcW w:w="734" w:type="pct"/>
            <w:tcBorders>
              <w:top w:val="nil"/>
              <w:left w:val="nil"/>
              <w:bottom w:val="nil"/>
              <w:right w:val="nil"/>
            </w:tcBorders>
            <w:noWrap/>
            <w:vAlign w:val="bottom"/>
            <w:hideMark/>
          </w:tcPr>
          <w:p w14:paraId="5E979FE6"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w:t>
            </w:r>
          </w:p>
        </w:tc>
        <w:tc>
          <w:tcPr>
            <w:tcW w:w="850" w:type="pct"/>
            <w:tcBorders>
              <w:top w:val="nil"/>
              <w:left w:val="nil"/>
              <w:bottom w:val="nil"/>
              <w:right w:val="nil"/>
            </w:tcBorders>
            <w:noWrap/>
            <w:vAlign w:val="bottom"/>
            <w:hideMark/>
          </w:tcPr>
          <w:p w14:paraId="79DE2EB1"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10504177.81</w:t>
            </w:r>
          </w:p>
        </w:tc>
        <w:tc>
          <w:tcPr>
            <w:tcW w:w="651" w:type="pct"/>
            <w:tcBorders>
              <w:top w:val="nil"/>
              <w:left w:val="nil"/>
              <w:bottom w:val="nil"/>
              <w:right w:val="nil"/>
            </w:tcBorders>
            <w:noWrap/>
            <w:vAlign w:val="bottom"/>
            <w:hideMark/>
          </w:tcPr>
          <w:p w14:paraId="5BB22AF8"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10504178</w:t>
            </w:r>
          </w:p>
        </w:tc>
        <w:tc>
          <w:tcPr>
            <w:tcW w:w="818" w:type="pct"/>
            <w:tcBorders>
              <w:top w:val="nil"/>
              <w:left w:val="nil"/>
              <w:bottom w:val="nil"/>
              <w:right w:val="nil"/>
            </w:tcBorders>
            <w:noWrap/>
            <w:vAlign w:val="bottom"/>
            <w:hideMark/>
          </w:tcPr>
          <w:p w14:paraId="5D2750DF"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31.41829941</w:t>
            </w:r>
          </w:p>
        </w:tc>
        <w:tc>
          <w:tcPr>
            <w:tcW w:w="891" w:type="pct"/>
            <w:tcBorders>
              <w:top w:val="nil"/>
              <w:left w:val="nil"/>
              <w:bottom w:val="nil"/>
              <w:right w:val="nil"/>
            </w:tcBorders>
            <w:noWrap/>
            <w:vAlign w:val="bottom"/>
            <w:hideMark/>
          </w:tcPr>
          <w:p w14:paraId="4856609D"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2.80725E-06</w:t>
            </w:r>
          </w:p>
        </w:tc>
      </w:tr>
      <w:tr w:rsidR="00AB439D" w:rsidRPr="001A08CC" w14:paraId="08F769AE" w14:textId="77777777" w:rsidTr="00AB439D">
        <w:trPr>
          <w:trHeight w:val="20"/>
        </w:trPr>
        <w:tc>
          <w:tcPr>
            <w:tcW w:w="1056" w:type="pct"/>
            <w:tcBorders>
              <w:top w:val="nil"/>
              <w:left w:val="nil"/>
              <w:bottom w:val="nil"/>
              <w:right w:val="nil"/>
            </w:tcBorders>
            <w:noWrap/>
            <w:vAlign w:val="bottom"/>
            <w:hideMark/>
          </w:tcPr>
          <w:p w14:paraId="10170EE0"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Residual</w:t>
            </w:r>
          </w:p>
        </w:tc>
        <w:tc>
          <w:tcPr>
            <w:tcW w:w="734" w:type="pct"/>
            <w:tcBorders>
              <w:top w:val="nil"/>
              <w:left w:val="nil"/>
              <w:bottom w:val="nil"/>
              <w:right w:val="nil"/>
            </w:tcBorders>
            <w:noWrap/>
            <w:vAlign w:val="bottom"/>
            <w:hideMark/>
          </w:tcPr>
          <w:p w14:paraId="5FA263B1"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34</w:t>
            </w:r>
          </w:p>
        </w:tc>
        <w:tc>
          <w:tcPr>
            <w:tcW w:w="850" w:type="pct"/>
            <w:tcBorders>
              <w:top w:val="nil"/>
              <w:left w:val="nil"/>
              <w:bottom w:val="nil"/>
              <w:right w:val="nil"/>
            </w:tcBorders>
            <w:noWrap/>
            <w:vAlign w:val="bottom"/>
            <w:hideMark/>
          </w:tcPr>
          <w:p w14:paraId="73D75F9B"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11367325.8</w:t>
            </w:r>
          </w:p>
        </w:tc>
        <w:tc>
          <w:tcPr>
            <w:tcW w:w="651" w:type="pct"/>
            <w:tcBorders>
              <w:top w:val="nil"/>
              <w:left w:val="nil"/>
              <w:bottom w:val="nil"/>
              <w:right w:val="nil"/>
            </w:tcBorders>
            <w:noWrap/>
            <w:vAlign w:val="bottom"/>
            <w:hideMark/>
          </w:tcPr>
          <w:p w14:paraId="287BA323"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334333.1</w:t>
            </w:r>
          </w:p>
        </w:tc>
        <w:tc>
          <w:tcPr>
            <w:tcW w:w="818" w:type="pct"/>
            <w:tcBorders>
              <w:top w:val="nil"/>
              <w:left w:val="nil"/>
              <w:bottom w:val="nil"/>
              <w:right w:val="nil"/>
            </w:tcBorders>
            <w:noWrap/>
            <w:vAlign w:val="bottom"/>
            <w:hideMark/>
          </w:tcPr>
          <w:p w14:paraId="2A2E49DC"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p>
        </w:tc>
        <w:tc>
          <w:tcPr>
            <w:tcW w:w="891" w:type="pct"/>
            <w:tcBorders>
              <w:top w:val="nil"/>
              <w:left w:val="nil"/>
              <w:bottom w:val="nil"/>
              <w:right w:val="nil"/>
            </w:tcBorders>
            <w:noWrap/>
            <w:vAlign w:val="bottom"/>
            <w:hideMark/>
          </w:tcPr>
          <w:p w14:paraId="4CD45616" w14:textId="77777777" w:rsidR="00AB439D" w:rsidRPr="001A08CC" w:rsidRDefault="00AB439D" w:rsidP="00AB439D">
            <w:pPr>
              <w:spacing w:after="0" w:line="240" w:lineRule="auto"/>
              <w:rPr>
                <w:rFonts w:ascii="Times New Roman" w:eastAsia="Times New Roman" w:hAnsi="Times New Roman" w:cs="Times New Roman"/>
                <w:sz w:val="20"/>
                <w:szCs w:val="18"/>
                <w:lang w:eastAsia="en-IN"/>
              </w:rPr>
            </w:pPr>
          </w:p>
        </w:tc>
      </w:tr>
      <w:tr w:rsidR="00AB439D" w:rsidRPr="001A08CC" w14:paraId="5450C8E1" w14:textId="77777777" w:rsidTr="00AB439D">
        <w:trPr>
          <w:trHeight w:val="20"/>
        </w:trPr>
        <w:tc>
          <w:tcPr>
            <w:tcW w:w="1056" w:type="pct"/>
            <w:tcBorders>
              <w:top w:val="nil"/>
              <w:left w:val="nil"/>
              <w:bottom w:val="single" w:sz="8" w:space="0" w:color="auto"/>
              <w:right w:val="nil"/>
            </w:tcBorders>
            <w:noWrap/>
            <w:vAlign w:val="bottom"/>
            <w:hideMark/>
          </w:tcPr>
          <w:p w14:paraId="169DE9F7"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Total</w:t>
            </w:r>
          </w:p>
        </w:tc>
        <w:tc>
          <w:tcPr>
            <w:tcW w:w="734" w:type="pct"/>
            <w:tcBorders>
              <w:top w:val="nil"/>
              <w:left w:val="nil"/>
              <w:bottom w:val="single" w:sz="8" w:space="0" w:color="auto"/>
              <w:right w:val="nil"/>
            </w:tcBorders>
            <w:noWrap/>
            <w:vAlign w:val="bottom"/>
            <w:hideMark/>
          </w:tcPr>
          <w:p w14:paraId="43257395"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35</w:t>
            </w:r>
          </w:p>
        </w:tc>
        <w:tc>
          <w:tcPr>
            <w:tcW w:w="850" w:type="pct"/>
            <w:tcBorders>
              <w:top w:val="nil"/>
              <w:left w:val="nil"/>
              <w:bottom w:val="single" w:sz="8" w:space="0" w:color="auto"/>
              <w:right w:val="nil"/>
            </w:tcBorders>
            <w:noWrap/>
            <w:vAlign w:val="bottom"/>
            <w:hideMark/>
          </w:tcPr>
          <w:p w14:paraId="0ED00694"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21871503.6</w:t>
            </w:r>
          </w:p>
        </w:tc>
        <w:tc>
          <w:tcPr>
            <w:tcW w:w="651" w:type="pct"/>
            <w:tcBorders>
              <w:top w:val="nil"/>
              <w:left w:val="nil"/>
              <w:bottom w:val="single" w:sz="8" w:space="0" w:color="auto"/>
              <w:right w:val="nil"/>
            </w:tcBorders>
            <w:noWrap/>
            <w:vAlign w:val="bottom"/>
            <w:hideMark/>
          </w:tcPr>
          <w:p w14:paraId="5D99215F"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w:t>
            </w:r>
          </w:p>
        </w:tc>
        <w:tc>
          <w:tcPr>
            <w:tcW w:w="818" w:type="pct"/>
            <w:tcBorders>
              <w:top w:val="nil"/>
              <w:left w:val="nil"/>
              <w:bottom w:val="single" w:sz="8" w:space="0" w:color="auto"/>
              <w:right w:val="nil"/>
            </w:tcBorders>
            <w:noWrap/>
            <w:vAlign w:val="bottom"/>
            <w:hideMark/>
          </w:tcPr>
          <w:p w14:paraId="56A22FE6"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w:t>
            </w:r>
          </w:p>
        </w:tc>
        <w:tc>
          <w:tcPr>
            <w:tcW w:w="891" w:type="pct"/>
            <w:tcBorders>
              <w:top w:val="nil"/>
              <w:left w:val="nil"/>
              <w:bottom w:val="single" w:sz="8" w:space="0" w:color="auto"/>
              <w:right w:val="nil"/>
            </w:tcBorders>
            <w:noWrap/>
            <w:vAlign w:val="bottom"/>
            <w:hideMark/>
          </w:tcPr>
          <w:p w14:paraId="27146419"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w:t>
            </w:r>
          </w:p>
        </w:tc>
      </w:tr>
    </w:tbl>
    <w:p w14:paraId="42B21B65" w14:textId="2A3CF8EF" w:rsidR="00F16F6F" w:rsidRPr="00F16F6F" w:rsidRDefault="00F16F6F" w:rsidP="00F16F6F">
      <w:pPr>
        <w:pStyle w:val="Caption"/>
        <w:keepNext/>
        <w:spacing w:before="240"/>
        <w:rPr>
          <w:rFonts w:ascii="Times New Roman" w:hAnsi="Times New Roman" w:cs="Times New Roman"/>
          <w:i w:val="0"/>
          <w:iCs w:val="0"/>
          <w:color w:val="auto"/>
          <w:lang w:val="en-US"/>
        </w:rPr>
      </w:pPr>
      <w:r w:rsidRPr="00F16F6F">
        <w:rPr>
          <w:rFonts w:ascii="Times New Roman" w:hAnsi="Times New Roman" w:cs="Times New Roman"/>
          <w:b/>
          <w:i w:val="0"/>
          <w:iCs w:val="0"/>
          <w:color w:val="auto"/>
          <w:lang w:val="en-US"/>
        </w:rPr>
        <w:t xml:space="preserve">Table </w:t>
      </w:r>
      <w:r w:rsidRPr="00F16F6F">
        <w:rPr>
          <w:rFonts w:ascii="Times New Roman" w:hAnsi="Times New Roman" w:cs="Times New Roman"/>
          <w:b/>
          <w:i w:val="0"/>
          <w:iCs w:val="0"/>
          <w:color w:val="auto"/>
          <w:lang w:val="en-US"/>
        </w:rPr>
        <w:fldChar w:fldCharType="begin"/>
      </w:r>
      <w:r w:rsidRPr="00F16F6F">
        <w:rPr>
          <w:rFonts w:ascii="Times New Roman" w:hAnsi="Times New Roman" w:cs="Times New Roman"/>
          <w:b/>
          <w:i w:val="0"/>
          <w:iCs w:val="0"/>
          <w:color w:val="auto"/>
          <w:lang w:val="en-US"/>
        </w:rPr>
        <w:instrText xml:space="preserve"> SEQ Table \* ARABIC </w:instrText>
      </w:r>
      <w:r w:rsidRPr="00F16F6F">
        <w:rPr>
          <w:rFonts w:ascii="Times New Roman" w:hAnsi="Times New Roman" w:cs="Times New Roman"/>
          <w:b/>
          <w:i w:val="0"/>
          <w:iCs w:val="0"/>
          <w:color w:val="auto"/>
          <w:lang w:val="en-US"/>
        </w:rPr>
        <w:fldChar w:fldCharType="separate"/>
      </w:r>
      <w:r w:rsidRPr="00F16F6F">
        <w:rPr>
          <w:rFonts w:ascii="Times New Roman" w:hAnsi="Times New Roman" w:cs="Times New Roman"/>
          <w:b/>
          <w:i w:val="0"/>
          <w:iCs w:val="0"/>
          <w:color w:val="auto"/>
          <w:lang w:val="en-US"/>
        </w:rPr>
        <w:t>4</w:t>
      </w:r>
      <w:r w:rsidRPr="00F16F6F">
        <w:rPr>
          <w:rFonts w:ascii="Times New Roman" w:hAnsi="Times New Roman" w:cs="Times New Roman"/>
          <w:b/>
          <w:i w:val="0"/>
          <w:iCs w:val="0"/>
          <w:color w:val="auto"/>
          <w:lang w:val="en-US"/>
        </w:rPr>
        <w:fldChar w:fldCharType="end"/>
      </w:r>
      <w:r w:rsidRPr="00F16F6F">
        <w:rPr>
          <w:rFonts w:ascii="Times New Roman" w:hAnsi="Times New Roman" w:cs="Times New Roman"/>
          <w:i w:val="0"/>
          <w:iCs w:val="0"/>
          <w:color w:val="auto"/>
          <w:lang w:val="en-US"/>
        </w:rPr>
        <w:t>: Coefficients, standard error, t-stat and p value</w:t>
      </w:r>
    </w:p>
    <w:tbl>
      <w:tblPr>
        <w:tblW w:w="5000" w:type="pct"/>
        <w:jc w:val="center"/>
        <w:tblLayout w:type="fixed"/>
        <w:tblLook w:val="04A0" w:firstRow="1" w:lastRow="0" w:firstColumn="1" w:lastColumn="0" w:noHBand="0" w:noVBand="1"/>
      </w:tblPr>
      <w:tblGrid>
        <w:gridCol w:w="992"/>
        <w:gridCol w:w="993"/>
        <w:gridCol w:w="993"/>
        <w:gridCol w:w="850"/>
        <w:gridCol w:w="941"/>
        <w:gridCol w:w="1002"/>
        <w:gridCol w:w="1002"/>
        <w:gridCol w:w="1164"/>
        <w:gridCol w:w="1089"/>
      </w:tblGrid>
      <w:tr w:rsidR="00AB439D" w:rsidRPr="001A08CC" w14:paraId="491D3282" w14:textId="77777777" w:rsidTr="00AB0FF5">
        <w:trPr>
          <w:trHeight w:val="300"/>
          <w:jc w:val="center"/>
        </w:trPr>
        <w:tc>
          <w:tcPr>
            <w:tcW w:w="550" w:type="pct"/>
            <w:tcBorders>
              <w:top w:val="single" w:sz="8" w:space="0" w:color="auto"/>
              <w:left w:val="nil"/>
              <w:bottom w:val="single" w:sz="4" w:space="0" w:color="auto"/>
              <w:right w:val="nil"/>
            </w:tcBorders>
            <w:noWrap/>
            <w:vAlign w:val="center"/>
            <w:hideMark/>
          </w:tcPr>
          <w:p w14:paraId="034A8766" w14:textId="7AAFF418"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p>
        </w:tc>
        <w:tc>
          <w:tcPr>
            <w:tcW w:w="550" w:type="pct"/>
            <w:tcBorders>
              <w:top w:val="single" w:sz="8" w:space="0" w:color="auto"/>
              <w:left w:val="nil"/>
              <w:bottom w:val="single" w:sz="4" w:space="0" w:color="auto"/>
              <w:right w:val="nil"/>
            </w:tcBorders>
            <w:noWrap/>
            <w:vAlign w:val="center"/>
            <w:hideMark/>
          </w:tcPr>
          <w:p w14:paraId="5D3909C7"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Coefficients</w:t>
            </w:r>
          </w:p>
        </w:tc>
        <w:tc>
          <w:tcPr>
            <w:tcW w:w="550" w:type="pct"/>
            <w:tcBorders>
              <w:top w:val="single" w:sz="8" w:space="0" w:color="auto"/>
              <w:left w:val="nil"/>
              <w:bottom w:val="single" w:sz="4" w:space="0" w:color="auto"/>
              <w:right w:val="nil"/>
            </w:tcBorders>
            <w:noWrap/>
            <w:vAlign w:val="center"/>
            <w:hideMark/>
          </w:tcPr>
          <w:p w14:paraId="7038FA33"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Standard Error</w:t>
            </w:r>
          </w:p>
        </w:tc>
        <w:tc>
          <w:tcPr>
            <w:tcW w:w="471" w:type="pct"/>
            <w:tcBorders>
              <w:top w:val="single" w:sz="8" w:space="0" w:color="auto"/>
              <w:left w:val="nil"/>
              <w:bottom w:val="single" w:sz="4" w:space="0" w:color="auto"/>
              <w:right w:val="nil"/>
            </w:tcBorders>
            <w:noWrap/>
            <w:vAlign w:val="center"/>
            <w:hideMark/>
          </w:tcPr>
          <w:p w14:paraId="54E35E61"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t Stat</w:t>
            </w:r>
          </w:p>
        </w:tc>
        <w:tc>
          <w:tcPr>
            <w:tcW w:w="521" w:type="pct"/>
            <w:tcBorders>
              <w:top w:val="single" w:sz="8" w:space="0" w:color="auto"/>
              <w:left w:val="nil"/>
              <w:bottom w:val="single" w:sz="4" w:space="0" w:color="auto"/>
              <w:right w:val="nil"/>
            </w:tcBorders>
            <w:noWrap/>
            <w:vAlign w:val="center"/>
            <w:hideMark/>
          </w:tcPr>
          <w:p w14:paraId="31A87FCA"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P-value</w:t>
            </w:r>
          </w:p>
        </w:tc>
        <w:tc>
          <w:tcPr>
            <w:tcW w:w="555" w:type="pct"/>
            <w:tcBorders>
              <w:top w:val="single" w:sz="8" w:space="0" w:color="auto"/>
              <w:left w:val="nil"/>
              <w:bottom w:val="single" w:sz="4" w:space="0" w:color="auto"/>
              <w:right w:val="nil"/>
            </w:tcBorders>
            <w:noWrap/>
            <w:vAlign w:val="center"/>
            <w:hideMark/>
          </w:tcPr>
          <w:p w14:paraId="283B25FA"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Lower 95%</w:t>
            </w:r>
          </w:p>
        </w:tc>
        <w:tc>
          <w:tcPr>
            <w:tcW w:w="555" w:type="pct"/>
            <w:tcBorders>
              <w:top w:val="single" w:sz="8" w:space="0" w:color="auto"/>
              <w:left w:val="nil"/>
              <w:bottom w:val="single" w:sz="4" w:space="0" w:color="auto"/>
              <w:right w:val="nil"/>
            </w:tcBorders>
            <w:noWrap/>
            <w:vAlign w:val="center"/>
            <w:hideMark/>
          </w:tcPr>
          <w:p w14:paraId="002CA724"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Upper 95%</w:t>
            </w:r>
          </w:p>
        </w:tc>
        <w:tc>
          <w:tcPr>
            <w:tcW w:w="645" w:type="pct"/>
            <w:tcBorders>
              <w:top w:val="single" w:sz="8" w:space="0" w:color="auto"/>
              <w:left w:val="nil"/>
              <w:bottom w:val="single" w:sz="4" w:space="0" w:color="auto"/>
              <w:right w:val="nil"/>
            </w:tcBorders>
            <w:noWrap/>
            <w:vAlign w:val="center"/>
            <w:hideMark/>
          </w:tcPr>
          <w:p w14:paraId="4C14AFD9"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Lower 95.0%</w:t>
            </w:r>
          </w:p>
        </w:tc>
        <w:tc>
          <w:tcPr>
            <w:tcW w:w="603" w:type="pct"/>
            <w:tcBorders>
              <w:top w:val="single" w:sz="8" w:space="0" w:color="auto"/>
              <w:left w:val="nil"/>
              <w:bottom w:val="single" w:sz="4" w:space="0" w:color="auto"/>
              <w:right w:val="nil"/>
            </w:tcBorders>
            <w:noWrap/>
            <w:vAlign w:val="center"/>
            <w:hideMark/>
          </w:tcPr>
          <w:p w14:paraId="50AAF245"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Upper 95.0%</w:t>
            </w:r>
          </w:p>
        </w:tc>
      </w:tr>
      <w:tr w:rsidR="00AB439D" w:rsidRPr="00AE1FE2" w14:paraId="08B17AB1" w14:textId="77777777" w:rsidTr="00AB0FF5">
        <w:trPr>
          <w:trHeight w:val="20"/>
          <w:jc w:val="center"/>
        </w:trPr>
        <w:tc>
          <w:tcPr>
            <w:tcW w:w="550" w:type="pct"/>
            <w:tcBorders>
              <w:top w:val="nil"/>
              <w:left w:val="nil"/>
              <w:bottom w:val="nil"/>
              <w:right w:val="nil"/>
            </w:tcBorders>
            <w:noWrap/>
            <w:vAlign w:val="center"/>
            <w:hideMark/>
          </w:tcPr>
          <w:p w14:paraId="00277F3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Intercept</w:t>
            </w:r>
          </w:p>
        </w:tc>
        <w:tc>
          <w:tcPr>
            <w:tcW w:w="550" w:type="pct"/>
            <w:tcBorders>
              <w:top w:val="nil"/>
              <w:left w:val="nil"/>
              <w:bottom w:val="nil"/>
              <w:right w:val="nil"/>
            </w:tcBorders>
            <w:noWrap/>
            <w:vAlign w:val="center"/>
            <w:hideMark/>
          </w:tcPr>
          <w:p w14:paraId="0648409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-98924.12</w:t>
            </w:r>
          </w:p>
        </w:tc>
        <w:tc>
          <w:tcPr>
            <w:tcW w:w="550" w:type="pct"/>
            <w:tcBorders>
              <w:top w:val="nil"/>
              <w:left w:val="nil"/>
              <w:bottom w:val="nil"/>
              <w:right w:val="nil"/>
            </w:tcBorders>
            <w:noWrap/>
            <w:vAlign w:val="center"/>
            <w:hideMark/>
          </w:tcPr>
          <w:p w14:paraId="1CE2B202"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18623.25</w:t>
            </w:r>
          </w:p>
        </w:tc>
        <w:tc>
          <w:tcPr>
            <w:tcW w:w="471" w:type="pct"/>
            <w:tcBorders>
              <w:top w:val="nil"/>
              <w:left w:val="nil"/>
              <w:bottom w:val="nil"/>
              <w:right w:val="nil"/>
            </w:tcBorders>
            <w:noWrap/>
            <w:vAlign w:val="center"/>
            <w:hideMark/>
          </w:tcPr>
          <w:p w14:paraId="3FD3ADB6"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-5.31</w:t>
            </w:r>
          </w:p>
        </w:tc>
        <w:tc>
          <w:tcPr>
            <w:tcW w:w="521" w:type="pct"/>
            <w:tcBorders>
              <w:top w:val="nil"/>
              <w:left w:val="nil"/>
              <w:bottom w:val="nil"/>
              <w:right w:val="nil"/>
            </w:tcBorders>
            <w:noWrap/>
            <w:vAlign w:val="center"/>
            <w:hideMark/>
          </w:tcPr>
          <w:p w14:paraId="36BBEE81"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6.76079E-06</w:t>
            </w:r>
          </w:p>
        </w:tc>
        <w:tc>
          <w:tcPr>
            <w:tcW w:w="555" w:type="pct"/>
            <w:tcBorders>
              <w:top w:val="nil"/>
              <w:left w:val="nil"/>
              <w:bottom w:val="nil"/>
              <w:right w:val="nil"/>
            </w:tcBorders>
            <w:noWrap/>
            <w:vAlign w:val="center"/>
            <w:hideMark/>
          </w:tcPr>
          <w:p w14:paraId="62B9A2AD"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-136771.13</w:t>
            </w:r>
          </w:p>
        </w:tc>
        <w:tc>
          <w:tcPr>
            <w:tcW w:w="555" w:type="pct"/>
            <w:tcBorders>
              <w:top w:val="nil"/>
              <w:left w:val="nil"/>
              <w:bottom w:val="nil"/>
              <w:right w:val="nil"/>
            </w:tcBorders>
            <w:noWrap/>
            <w:vAlign w:val="center"/>
            <w:hideMark/>
          </w:tcPr>
          <w:p w14:paraId="06A2C28F"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-61077.12</w:t>
            </w:r>
          </w:p>
        </w:tc>
        <w:tc>
          <w:tcPr>
            <w:tcW w:w="645" w:type="pct"/>
            <w:tcBorders>
              <w:top w:val="nil"/>
              <w:left w:val="nil"/>
              <w:bottom w:val="nil"/>
              <w:right w:val="nil"/>
            </w:tcBorders>
            <w:noWrap/>
            <w:vAlign w:val="center"/>
            <w:hideMark/>
          </w:tcPr>
          <w:p w14:paraId="2D0E972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-136771.13</w:t>
            </w:r>
          </w:p>
        </w:tc>
        <w:tc>
          <w:tcPr>
            <w:tcW w:w="603" w:type="pct"/>
            <w:tcBorders>
              <w:top w:val="nil"/>
              <w:left w:val="nil"/>
              <w:bottom w:val="nil"/>
              <w:right w:val="nil"/>
            </w:tcBorders>
            <w:noWrap/>
            <w:vAlign w:val="center"/>
            <w:hideMark/>
          </w:tcPr>
          <w:p w14:paraId="23C99DA5"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-61077.12</w:t>
            </w:r>
          </w:p>
        </w:tc>
      </w:tr>
      <w:tr w:rsidR="00AB439D" w:rsidRPr="00AE1FE2" w14:paraId="1EDDC25B" w14:textId="77777777" w:rsidTr="00AB0FF5">
        <w:trPr>
          <w:trHeight w:val="175"/>
          <w:jc w:val="center"/>
        </w:trPr>
        <w:tc>
          <w:tcPr>
            <w:tcW w:w="550" w:type="pct"/>
            <w:tcBorders>
              <w:top w:val="nil"/>
              <w:left w:val="nil"/>
              <w:bottom w:val="single" w:sz="8" w:space="0" w:color="auto"/>
              <w:right w:val="nil"/>
            </w:tcBorders>
            <w:noWrap/>
            <w:vAlign w:val="center"/>
            <w:hideMark/>
          </w:tcPr>
          <w:p w14:paraId="1BBC912D"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Year</w:t>
            </w:r>
          </w:p>
        </w:tc>
        <w:tc>
          <w:tcPr>
            <w:tcW w:w="550" w:type="pct"/>
            <w:tcBorders>
              <w:top w:val="nil"/>
              <w:left w:val="nil"/>
              <w:bottom w:val="single" w:sz="8" w:space="0" w:color="auto"/>
              <w:right w:val="nil"/>
            </w:tcBorders>
            <w:noWrap/>
            <w:vAlign w:val="center"/>
            <w:hideMark/>
          </w:tcPr>
          <w:p w14:paraId="2C1A19A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52.00</w:t>
            </w:r>
          </w:p>
        </w:tc>
        <w:tc>
          <w:tcPr>
            <w:tcW w:w="550" w:type="pct"/>
            <w:tcBorders>
              <w:top w:val="nil"/>
              <w:left w:val="nil"/>
              <w:bottom w:val="single" w:sz="8" w:space="0" w:color="auto"/>
              <w:right w:val="nil"/>
            </w:tcBorders>
            <w:noWrap/>
            <w:vAlign w:val="center"/>
            <w:hideMark/>
          </w:tcPr>
          <w:p w14:paraId="0056FF40"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9.28</w:t>
            </w:r>
          </w:p>
        </w:tc>
        <w:tc>
          <w:tcPr>
            <w:tcW w:w="471" w:type="pct"/>
            <w:tcBorders>
              <w:top w:val="nil"/>
              <w:left w:val="nil"/>
              <w:bottom w:val="single" w:sz="8" w:space="0" w:color="auto"/>
              <w:right w:val="nil"/>
            </w:tcBorders>
            <w:noWrap/>
            <w:vAlign w:val="center"/>
            <w:hideMark/>
          </w:tcPr>
          <w:p w14:paraId="248AFD17"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5.61</w:t>
            </w:r>
          </w:p>
        </w:tc>
        <w:tc>
          <w:tcPr>
            <w:tcW w:w="521" w:type="pct"/>
            <w:tcBorders>
              <w:top w:val="nil"/>
              <w:left w:val="nil"/>
              <w:bottom w:val="single" w:sz="8" w:space="0" w:color="auto"/>
              <w:right w:val="nil"/>
            </w:tcBorders>
            <w:noWrap/>
            <w:vAlign w:val="center"/>
            <w:hideMark/>
          </w:tcPr>
          <w:p w14:paraId="031C0FBC"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2.80725E-06</w:t>
            </w:r>
          </w:p>
        </w:tc>
        <w:tc>
          <w:tcPr>
            <w:tcW w:w="555" w:type="pct"/>
            <w:tcBorders>
              <w:top w:val="nil"/>
              <w:left w:val="nil"/>
              <w:bottom w:val="single" w:sz="8" w:space="0" w:color="auto"/>
              <w:right w:val="nil"/>
            </w:tcBorders>
            <w:noWrap/>
            <w:vAlign w:val="center"/>
            <w:hideMark/>
          </w:tcPr>
          <w:p w14:paraId="66945FE2"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33.15</w:t>
            </w:r>
          </w:p>
        </w:tc>
        <w:tc>
          <w:tcPr>
            <w:tcW w:w="555" w:type="pct"/>
            <w:tcBorders>
              <w:top w:val="nil"/>
              <w:left w:val="nil"/>
              <w:bottom w:val="single" w:sz="8" w:space="0" w:color="auto"/>
              <w:right w:val="nil"/>
            </w:tcBorders>
            <w:noWrap/>
            <w:vAlign w:val="center"/>
            <w:hideMark/>
          </w:tcPr>
          <w:p w14:paraId="652F50F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70.85</w:t>
            </w:r>
          </w:p>
        </w:tc>
        <w:tc>
          <w:tcPr>
            <w:tcW w:w="645" w:type="pct"/>
            <w:tcBorders>
              <w:top w:val="nil"/>
              <w:left w:val="nil"/>
              <w:bottom w:val="single" w:sz="8" w:space="0" w:color="auto"/>
              <w:right w:val="nil"/>
            </w:tcBorders>
            <w:noWrap/>
            <w:vAlign w:val="center"/>
            <w:hideMark/>
          </w:tcPr>
          <w:p w14:paraId="63423234"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33.15</w:t>
            </w:r>
          </w:p>
        </w:tc>
        <w:tc>
          <w:tcPr>
            <w:tcW w:w="603" w:type="pct"/>
            <w:tcBorders>
              <w:top w:val="nil"/>
              <w:left w:val="nil"/>
              <w:bottom w:val="single" w:sz="8" w:space="0" w:color="auto"/>
              <w:right w:val="nil"/>
            </w:tcBorders>
            <w:noWrap/>
            <w:vAlign w:val="center"/>
            <w:hideMark/>
          </w:tcPr>
          <w:p w14:paraId="7D8CD53F"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70.85</w:t>
            </w:r>
          </w:p>
        </w:tc>
      </w:tr>
    </w:tbl>
    <w:p w14:paraId="05147100" w14:textId="77777777" w:rsidR="006F4D36" w:rsidRPr="006F4D36" w:rsidRDefault="006F4D36" w:rsidP="006F4D36">
      <w:pPr>
        <w:pStyle w:val="ListParagraph"/>
        <w:rPr>
          <w:rFonts w:ascii="Times New Roman" w:hAnsi="Times New Roman" w:cs="Times New Roman"/>
          <w:b/>
          <w:bCs/>
          <w:sz w:val="24"/>
          <w:szCs w:val="24"/>
        </w:rPr>
      </w:pPr>
    </w:p>
    <w:p w14:paraId="5B255FCF" w14:textId="0AEB22D7" w:rsidR="006F4D36" w:rsidRPr="00F635C4" w:rsidRDefault="006F4D36" w:rsidP="006F4D36">
      <w:pPr>
        <w:pStyle w:val="ListParagraph"/>
        <w:numPr>
          <w:ilvl w:val="1"/>
          <w:numId w:val="6"/>
        </w:numPr>
        <w:spacing w:before="240" w:line="360" w:lineRule="auto"/>
        <w:jc w:val="both"/>
        <w:rPr>
          <w:rFonts w:ascii="Times New Roman" w:hAnsi="Times New Roman" w:cs="Times New Roman"/>
          <w:b/>
          <w:bCs/>
          <w:sz w:val="20"/>
          <w:szCs w:val="24"/>
        </w:rPr>
      </w:pPr>
      <w:r w:rsidRPr="00F635C4">
        <w:rPr>
          <w:rFonts w:ascii="Times New Roman" w:hAnsi="Times New Roman" w:cs="Times New Roman"/>
          <w:b/>
          <w:bCs/>
          <w:sz w:val="20"/>
          <w:szCs w:val="24"/>
        </w:rPr>
        <w:t>Future prediction of KMC</w:t>
      </w:r>
    </w:p>
    <w:p w14:paraId="73A7A125" w14:textId="71F8DE59" w:rsidR="00096858" w:rsidRDefault="000A5B17" w:rsidP="00096858">
      <w:pPr>
        <w:spacing w:before="240" w:line="360" w:lineRule="auto"/>
        <w:jc w:val="both"/>
        <w:rPr>
          <w:rFonts w:ascii="Times New Roman" w:hAnsi="Times New Roman" w:cs="Times New Roman"/>
          <w:sz w:val="20"/>
          <w:szCs w:val="20"/>
        </w:rPr>
      </w:pPr>
      <w:r w:rsidRPr="000A5B17">
        <w:rPr>
          <w:rFonts w:ascii="Times New Roman" w:hAnsi="Times New Roman" w:cs="Times New Roman"/>
          <w:sz w:val="20"/>
          <w:szCs w:val="20"/>
        </w:rPr>
        <w:lastRenderedPageBreak/>
        <w:t>The Mann–Kendall analysis reveals a statistically significant increasing trend in built-up area within the KMC region from 1990 to 2025. The positive Z-statistic (Z = 3.75) and very low p-value (</w:t>
      </w:r>
      <w:r w:rsidR="00EA4DF8" w:rsidRPr="00EA4DF8">
        <w:rPr>
          <w:rFonts w:ascii="Times New Roman" w:hAnsi="Times New Roman" w:cs="Times New Roman"/>
          <w:bCs/>
          <w:i/>
          <w:iCs/>
          <w:sz w:val="20"/>
          <w:szCs w:val="24"/>
        </w:rPr>
        <w:t>P</w:t>
      </w:r>
      <w:r w:rsidRPr="000A5B17">
        <w:rPr>
          <w:rFonts w:ascii="Times New Roman" w:hAnsi="Times New Roman" w:cs="Times New Roman"/>
          <w:sz w:val="20"/>
          <w:szCs w:val="20"/>
        </w:rPr>
        <w:t xml:space="preserve"> &lt; 0.001) confirm that the observed trend is highly significant, indicating a persistent expansion of urban land over time. The Kendall’s Tau coefficient (τ = 0.445) suggests a moderate to strong positive association, reflecting a consistent upward trajectory despite short-term fluctuations. The positive S-statistic (S = 265) further reinforces the dominance of increasing trends in the time series. The Sen’s slope estimator indicates an average annual increase of approximately 47.65 ha/year, highlighting steady urban growth. These findings are consistent with established urbanisation patterns reported in rapidly developing cities, where long-term land-use change is driven by population growth and infrastructure expansion. Similar statistically significant increasing trends in built-up areas have been reported using Mann–Kendall and Sen’s slope approaches in urban studies</w:t>
      </w:r>
      <w:r w:rsidR="00AD2A52">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GFmY2JlMjctNDU2MC00YjEwLWEzMjktY2NlZjFkMzNlMTl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2090835311"/>
          <w:placeholder>
            <w:docPart w:val="DefaultPlaceholder_-1854013440"/>
          </w:placeholder>
        </w:sdtPr>
        <w:sdtEndPr/>
        <w:sdtContent>
          <w:r w:rsidR="00AD2A52" w:rsidRPr="00AD2A52">
            <w:rPr>
              <w:rFonts w:ascii="Times New Roman" w:hAnsi="Times New Roman" w:cs="Times New Roman"/>
              <w:color w:val="000000"/>
              <w:sz w:val="20"/>
              <w:szCs w:val="20"/>
            </w:rPr>
            <w:t>(Mandal et al., 2019)</w:t>
          </w:r>
        </w:sdtContent>
      </w:sdt>
      <w:r w:rsidR="00096858" w:rsidRPr="00096858">
        <w:rPr>
          <w:rFonts w:ascii="Times New Roman" w:hAnsi="Times New Roman" w:cs="Times New Roman"/>
          <w:sz w:val="20"/>
          <w:szCs w:val="20"/>
        </w:rPr>
        <w:t>, demonstrating the robustness of non-parametric trend detection in capturing urban dynamics.</w:t>
      </w:r>
    </w:p>
    <w:p w14:paraId="0264E4C9" w14:textId="43CE160D" w:rsidR="00D2739A" w:rsidRPr="005949C6" w:rsidRDefault="00D2739A" w:rsidP="002A7A95">
      <w:pPr>
        <w:pStyle w:val="Caption"/>
        <w:keepNext/>
        <w:rPr>
          <w:rFonts w:ascii="Times New Roman" w:hAnsi="Times New Roman" w:cs="Times New Roman"/>
          <w:i w:val="0"/>
          <w:iCs w:val="0"/>
          <w:color w:val="auto"/>
        </w:rPr>
      </w:pPr>
      <w:r w:rsidRPr="005949C6">
        <w:rPr>
          <w:rFonts w:ascii="Times New Roman" w:hAnsi="Times New Roman" w:cs="Times New Roman"/>
          <w:b/>
          <w:bCs/>
          <w:i w:val="0"/>
          <w:iCs w:val="0"/>
          <w:color w:val="auto"/>
        </w:rPr>
        <w:t xml:space="preserve">Table </w:t>
      </w:r>
      <w:r w:rsidRPr="005949C6">
        <w:rPr>
          <w:rFonts w:ascii="Times New Roman" w:hAnsi="Times New Roman" w:cs="Times New Roman"/>
          <w:b/>
          <w:bCs/>
          <w:i w:val="0"/>
          <w:iCs w:val="0"/>
          <w:color w:val="auto"/>
        </w:rPr>
        <w:fldChar w:fldCharType="begin"/>
      </w:r>
      <w:r w:rsidRPr="005949C6">
        <w:rPr>
          <w:rFonts w:ascii="Times New Roman" w:hAnsi="Times New Roman" w:cs="Times New Roman"/>
          <w:b/>
          <w:bCs/>
          <w:i w:val="0"/>
          <w:iCs w:val="0"/>
          <w:color w:val="auto"/>
        </w:rPr>
        <w:instrText xml:space="preserve"> SEQ Table \* ARABIC </w:instrText>
      </w:r>
      <w:r w:rsidRPr="005949C6">
        <w:rPr>
          <w:rFonts w:ascii="Times New Roman" w:hAnsi="Times New Roman" w:cs="Times New Roman"/>
          <w:b/>
          <w:bCs/>
          <w:i w:val="0"/>
          <w:iCs w:val="0"/>
          <w:color w:val="auto"/>
        </w:rPr>
        <w:fldChar w:fldCharType="separate"/>
      </w:r>
      <w:r w:rsidR="00F16F6F">
        <w:rPr>
          <w:rFonts w:ascii="Times New Roman" w:hAnsi="Times New Roman" w:cs="Times New Roman"/>
          <w:b/>
          <w:bCs/>
          <w:i w:val="0"/>
          <w:iCs w:val="0"/>
          <w:noProof/>
          <w:color w:val="auto"/>
        </w:rPr>
        <w:t>5</w:t>
      </w:r>
      <w:r w:rsidRPr="005949C6">
        <w:rPr>
          <w:rFonts w:ascii="Times New Roman" w:hAnsi="Times New Roman" w:cs="Times New Roman"/>
          <w:b/>
          <w:bCs/>
          <w:i w:val="0"/>
          <w:iCs w:val="0"/>
          <w:color w:val="auto"/>
        </w:rPr>
        <w:fldChar w:fldCharType="end"/>
      </w:r>
      <w:r w:rsidRPr="005949C6">
        <w:rPr>
          <w:rFonts w:ascii="Times New Roman" w:hAnsi="Times New Roman" w:cs="Times New Roman"/>
          <w:i w:val="0"/>
          <w:iCs w:val="0"/>
          <w:color w:val="auto"/>
          <w:lang w:val="en-US"/>
        </w:rPr>
        <w:t>: Results of the Mann–Kendall trend test and Sen’s slope estimator for built-up area dynamics (1990–2025)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1581"/>
        <w:gridCol w:w="4493"/>
      </w:tblGrid>
      <w:tr w:rsidR="00D2739A" w:rsidRPr="00D2739A" w14:paraId="43DF249A" w14:textId="77777777" w:rsidTr="002A7A95">
        <w:trPr>
          <w:trHeight w:val="197"/>
        </w:trPr>
        <w:tc>
          <w:tcPr>
            <w:tcW w:w="1635" w:type="pct"/>
            <w:tcBorders>
              <w:top w:val="single" w:sz="4" w:space="0" w:color="auto"/>
              <w:bottom w:val="single" w:sz="4" w:space="0" w:color="auto"/>
            </w:tcBorders>
            <w:vAlign w:val="center"/>
          </w:tcPr>
          <w:p w14:paraId="081557E1" w14:textId="6FE8E2FC"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Parameter</w:t>
            </w:r>
          </w:p>
        </w:tc>
        <w:tc>
          <w:tcPr>
            <w:tcW w:w="876" w:type="pct"/>
            <w:tcBorders>
              <w:top w:val="single" w:sz="4" w:space="0" w:color="auto"/>
              <w:bottom w:val="single" w:sz="4" w:space="0" w:color="auto"/>
            </w:tcBorders>
            <w:vAlign w:val="center"/>
          </w:tcPr>
          <w:p w14:paraId="35D9011F" w14:textId="5458DC2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Value</w:t>
            </w:r>
          </w:p>
        </w:tc>
        <w:tc>
          <w:tcPr>
            <w:tcW w:w="2489" w:type="pct"/>
            <w:tcBorders>
              <w:top w:val="single" w:sz="4" w:space="0" w:color="auto"/>
              <w:bottom w:val="single" w:sz="4" w:space="0" w:color="auto"/>
            </w:tcBorders>
            <w:vAlign w:val="center"/>
          </w:tcPr>
          <w:p w14:paraId="610CD1F2" w14:textId="70038349"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Interpretation</w:t>
            </w:r>
          </w:p>
        </w:tc>
      </w:tr>
      <w:tr w:rsidR="00D2739A" w:rsidRPr="00D2739A" w14:paraId="0621FB92" w14:textId="77777777" w:rsidTr="002A7A95">
        <w:trPr>
          <w:trHeight w:val="288"/>
        </w:trPr>
        <w:tc>
          <w:tcPr>
            <w:tcW w:w="1635" w:type="pct"/>
            <w:tcBorders>
              <w:top w:val="single" w:sz="4" w:space="0" w:color="auto"/>
            </w:tcBorders>
            <w:vAlign w:val="center"/>
          </w:tcPr>
          <w:p w14:paraId="628C132A" w14:textId="51D078A9"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Trend</w:t>
            </w:r>
          </w:p>
        </w:tc>
        <w:tc>
          <w:tcPr>
            <w:tcW w:w="876" w:type="pct"/>
            <w:tcBorders>
              <w:top w:val="single" w:sz="4" w:space="0" w:color="auto"/>
            </w:tcBorders>
            <w:vAlign w:val="center"/>
          </w:tcPr>
          <w:p w14:paraId="32C82FB0" w14:textId="45B1D006"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Increasing</w:t>
            </w:r>
          </w:p>
        </w:tc>
        <w:tc>
          <w:tcPr>
            <w:tcW w:w="2489" w:type="pct"/>
            <w:tcBorders>
              <w:top w:val="single" w:sz="4" w:space="0" w:color="auto"/>
            </w:tcBorders>
            <w:vAlign w:val="center"/>
          </w:tcPr>
          <w:p w14:paraId="44DA4F53" w14:textId="51864DD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Positive monotonic trend</w:t>
            </w:r>
          </w:p>
        </w:tc>
      </w:tr>
      <w:tr w:rsidR="00D2739A" w:rsidRPr="00D2739A" w14:paraId="3FAE100E" w14:textId="77777777" w:rsidTr="002A7A95">
        <w:trPr>
          <w:trHeight w:val="288"/>
        </w:trPr>
        <w:tc>
          <w:tcPr>
            <w:tcW w:w="1635" w:type="pct"/>
            <w:vAlign w:val="center"/>
          </w:tcPr>
          <w:p w14:paraId="60BCD067" w14:textId="2865453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h (Significance)</w:t>
            </w:r>
          </w:p>
        </w:tc>
        <w:tc>
          <w:tcPr>
            <w:tcW w:w="876" w:type="pct"/>
            <w:vAlign w:val="center"/>
          </w:tcPr>
          <w:p w14:paraId="4693DA61" w14:textId="501E12F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True</w:t>
            </w:r>
          </w:p>
        </w:tc>
        <w:tc>
          <w:tcPr>
            <w:tcW w:w="2489" w:type="pct"/>
            <w:vAlign w:val="center"/>
          </w:tcPr>
          <w:p w14:paraId="312DA8B6" w14:textId="2CCA9DD2"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Trend is statistically significant</w:t>
            </w:r>
          </w:p>
        </w:tc>
      </w:tr>
      <w:tr w:rsidR="00D2739A" w:rsidRPr="00D2739A" w14:paraId="5E4A2202" w14:textId="77777777" w:rsidTr="002A7A95">
        <w:trPr>
          <w:trHeight w:val="288"/>
        </w:trPr>
        <w:tc>
          <w:tcPr>
            <w:tcW w:w="1635" w:type="pct"/>
            <w:vAlign w:val="center"/>
          </w:tcPr>
          <w:p w14:paraId="13AABCEF" w14:textId="74154013"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p-value</w:t>
            </w:r>
          </w:p>
        </w:tc>
        <w:tc>
          <w:tcPr>
            <w:tcW w:w="876" w:type="pct"/>
            <w:vAlign w:val="center"/>
          </w:tcPr>
          <w:p w14:paraId="181EDA1E" w14:textId="6E48215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0.00018</w:t>
            </w:r>
          </w:p>
        </w:tc>
        <w:tc>
          <w:tcPr>
            <w:tcW w:w="2489" w:type="pct"/>
            <w:vAlign w:val="center"/>
          </w:tcPr>
          <w:p w14:paraId="72A27AB3" w14:textId="33D1C767"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 xml:space="preserve">Significant at </w:t>
            </w:r>
            <w:r w:rsidR="00EA4DF8" w:rsidRPr="00EA4DF8">
              <w:rPr>
                <w:rFonts w:ascii="Times New Roman" w:hAnsi="Times New Roman" w:cs="Times New Roman"/>
                <w:bCs/>
                <w:i/>
                <w:iCs/>
                <w:sz w:val="20"/>
                <w:szCs w:val="24"/>
              </w:rPr>
              <w:t>P</w:t>
            </w:r>
            <w:r w:rsidRPr="00D2739A">
              <w:rPr>
                <w:rFonts w:ascii="Times New Roman" w:hAnsi="Times New Roman" w:cs="Times New Roman"/>
                <w:sz w:val="20"/>
                <w:szCs w:val="20"/>
              </w:rPr>
              <w:t xml:space="preserve"> &lt; 0.001</w:t>
            </w:r>
          </w:p>
        </w:tc>
      </w:tr>
      <w:tr w:rsidR="00D2739A" w:rsidRPr="00D2739A" w14:paraId="1FB34400" w14:textId="77777777" w:rsidTr="002A7A95">
        <w:trPr>
          <w:trHeight w:val="288"/>
        </w:trPr>
        <w:tc>
          <w:tcPr>
            <w:tcW w:w="1635" w:type="pct"/>
            <w:vAlign w:val="center"/>
          </w:tcPr>
          <w:p w14:paraId="5D077FAA" w14:textId="4B6291F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Z-statistic</w:t>
            </w:r>
          </w:p>
        </w:tc>
        <w:tc>
          <w:tcPr>
            <w:tcW w:w="876" w:type="pct"/>
            <w:vAlign w:val="center"/>
          </w:tcPr>
          <w:p w14:paraId="03B98DE7" w14:textId="1F879132"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3.749</w:t>
            </w:r>
          </w:p>
        </w:tc>
        <w:tc>
          <w:tcPr>
            <w:tcW w:w="2489" w:type="pct"/>
            <w:vAlign w:val="center"/>
          </w:tcPr>
          <w:p w14:paraId="0085950A" w14:textId="2ED9EF6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Strong positive trend</w:t>
            </w:r>
          </w:p>
        </w:tc>
      </w:tr>
      <w:tr w:rsidR="00D2739A" w:rsidRPr="00D2739A" w14:paraId="68356B81" w14:textId="77777777" w:rsidTr="002A7A95">
        <w:trPr>
          <w:trHeight w:val="288"/>
        </w:trPr>
        <w:tc>
          <w:tcPr>
            <w:tcW w:w="1635" w:type="pct"/>
            <w:vAlign w:val="center"/>
          </w:tcPr>
          <w:p w14:paraId="3B4483A7" w14:textId="79C2EE47"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Kendall’s Tau (τ)</w:t>
            </w:r>
          </w:p>
        </w:tc>
        <w:tc>
          <w:tcPr>
            <w:tcW w:w="876" w:type="pct"/>
            <w:vAlign w:val="center"/>
          </w:tcPr>
          <w:p w14:paraId="4E7B5FDE" w14:textId="463C1726"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0.445</w:t>
            </w:r>
          </w:p>
        </w:tc>
        <w:tc>
          <w:tcPr>
            <w:tcW w:w="2489" w:type="pct"/>
            <w:vAlign w:val="center"/>
          </w:tcPr>
          <w:p w14:paraId="6E19A0A9" w14:textId="0A50E24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Moderate to strong correlation</w:t>
            </w:r>
          </w:p>
        </w:tc>
      </w:tr>
      <w:tr w:rsidR="00D2739A" w:rsidRPr="00D2739A" w14:paraId="38985353" w14:textId="77777777" w:rsidTr="002A7A95">
        <w:trPr>
          <w:trHeight w:val="288"/>
        </w:trPr>
        <w:tc>
          <w:tcPr>
            <w:tcW w:w="1635" w:type="pct"/>
            <w:vAlign w:val="center"/>
          </w:tcPr>
          <w:p w14:paraId="7435F7C8" w14:textId="5C06611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S-statistic</w:t>
            </w:r>
          </w:p>
        </w:tc>
        <w:tc>
          <w:tcPr>
            <w:tcW w:w="876" w:type="pct"/>
            <w:vAlign w:val="center"/>
          </w:tcPr>
          <w:p w14:paraId="556FA000" w14:textId="7BC877C3"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265</w:t>
            </w:r>
          </w:p>
        </w:tc>
        <w:tc>
          <w:tcPr>
            <w:tcW w:w="2489" w:type="pct"/>
            <w:vAlign w:val="center"/>
          </w:tcPr>
          <w:p w14:paraId="365A1304" w14:textId="54A77910"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Dominance of increasing pairs</w:t>
            </w:r>
          </w:p>
        </w:tc>
      </w:tr>
      <w:tr w:rsidR="00D2739A" w:rsidRPr="00D2739A" w14:paraId="661AE8B5" w14:textId="77777777" w:rsidTr="002A7A95">
        <w:trPr>
          <w:trHeight w:val="288"/>
        </w:trPr>
        <w:tc>
          <w:tcPr>
            <w:tcW w:w="1635" w:type="pct"/>
            <w:vAlign w:val="center"/>
          </w:tcPr>
          <w:p w14:paraId="2F7BF59D" w14:textId="37DC3327"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Variance of S</w:t>
            </w:r>
          </w:p>
        </w:tc>
        <w:tc>
          <w:tcPr>
            <w:tcW w:w="876" w:type="pct"/>
            <w:vAlign w:val="center"/>
          </w:tcPr>
          <w:p w14:paraId="418A5224" w14:textId="15A33EE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4958.33</w:t>
            </w:r>
          </w:p>
        </w:tc>
        <w:tc>
          <w:tcPr>
            <w:tcW w:w="2489" w:type="pct"/>
            <w:vAlign w:val="center"/>
          </w:tcPr>
          <w:p w14:paraId="727DFB34" w14:textId="32B1E92F"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Variability of S</w:t>
            </w:r>
          </w:p>
        </w:tc>
      </w:tr>
      <w:tr w:rsidR="00D2739A" w:rsidRPr="00D2739A" w14:paraId="6634235E" w14:textId="77777777" w:rsidTr="002A7A95">
        <w:trPr>
          <w:trHeight w:val="288"/>
        </w:trPr>
        <w:tc>
          <w:tcPr>
            <w:tcW w:w="1635" w:type="pct"/>
            <w:vAlign w:val="center"/>
          </w:tcPr>
          <w:p w14:paraId="678346E3" w14:textId="6E4B76C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Sen’s Slope (ha/year)</w:t>
            </w:r>
          </w:p>
        </w:tc>
        <w:tc>
          <w:tcPr>
            <w:tcW w:w="876" w:type="pct"/>
            <w:vAlign w:val="center"/>
          </w:tcPr>
          <w:p w14:paraId="3243524D" w14:textId="6019A8A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47.65</w:t>
            </w:r>
          </w:p>
        </w:tc>
        <w:tc>
          <w:tcPr>
            <w:tcW w:w="2489" w:type="pct"/>
            <w:vAlign w:val="center"/>
          </w:tcPr>
          <w:p w14:paraId="5BB913A9" w14:textId="53681D8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Annual rate of built-up expansion</w:t>
            </w:r>
          </w:p>
        </w:tc>
      </w:tr>
      <w:tr w:rsidR="00D2739A" w:rsidRPr="00D2739A" w14:paraId="4973A42A" w14:textId="77777777" w:rsidTr="002A7A95">
        <w:trPr>
          <w:trHeight w:val="288"/>
        </w:trPr>
        <w:tc>
          <w:tcPr>
            <w:tcW w:w="1635" w:type="pct"/>
            <w:vAlign w:val="center"/>
          </w:tcPr>
          <w:p w14:paraId="0569C818" w14:textId="5C42B956"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Intercept</w:t>
            </w:r>
          </w:p>
        </w:tc>
        <w:tc>
          <w:tcPr>
            <w:tcW w:w="876" w:type="pct"/>
            <w:vAlign w:val="center"/>
          </w:tcPr>
          <w:p w14:paraId="462DF58B" w14:textId="06CCEF8A"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4754.06</w:t>
            </w:r>
          </w:p>
        </w:tc>
        <w:tc>
          <w:tcPr>
            <w:tcW w:w="2489" w:type="pct"/>
            <w:vAlign w:val="center"/>
          </w:tcPr>
          <w:p w14:paraId="6C31B181" w14:textId="7F0E25B2"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Baseline value</w:t>
            </w:r>
          </w:p>
        </w:tc>
      </w:tr>
    </w:tbl>
    <w:p w14:paraId="364D9E03" w14:textId="77777777" w:rsidR="002A7A95" w:rsidRPr="005949C6" w:rsidRDefault="002A7A95" w:rsidP="002A7A95">
      <w:pPr>
        <w:pStyle w:val="Caption"/>
        <w:keepNext/>
        <w:spacing w:before="240"/>
        <w:rPr>
          <w:rFonts w:ascii="Times New Roman" w:hAnsi="Times New Roman" w:cs="Times New Roman"/>
          <w:i w:val="0"/>
          <w:iCs w:val="0"/>
          <w:color w:val="auto"/>
          <w:lang w:val="en-US"/>
        </w:rPr>
      </w:pPr>
      <w:r w:rsidRPr="005949C6">
        <w:rPr>
          <w:rFonts w:ascii="Times New Roman" w:hAnsi="Times New Roman" w:cs="Times New Roman"/>
          <w:b/>
          <w:bCs/>
          <w:i w:val="0"/>
          <w:iCs w:val="0"/>
          <w:color w:val="auto"/>
          <w:lang w:val="en-US"/>
        </w:rPr>
        <w:t xml:space="preserve">Table </w:t>
      </w:r>
      <w:r w:rsidRPr="005949C6">
        <w:rPr>
          <w:rFonts w:ascii="Times New Roman" w:hAnsi="Times New Roman" w:cs="Times New Roman"/>
          <w:b/>
          <w:bCs/>
          <w:i w:val="0"/>
          <w:iCs w:val="0"/>
          <w:color w:val="auto"/>
          <w:lang w:val="en-US"/>
        </w:rPr>
        <w:fldChar w:fldCharType="begin"/>
      </w:r>
      <w:r w:rsidRPr="005949C6">
        <w:rPr>
          <w:rFonts w:ascii="Times New Roman" w:hAnsi="Times New Roman" w:cs="Times New Roman"/>
          <w:b/>
          <w:bCs/>
          <w:i w:val="0"/>
          <w:iCs w:val="0"/>
          <w:color w:val="auto"/>
          <w:lang w:val="en-US"/>
        </w:rPr>
        <w:instrText xml:space="preserve"> SEQ Table \* ARABIC </w:instrText>
      </w:r>
      <w:r w:rsidRPr="005949C6">
        <w:rPr>
          <w:rFonts w:ascii="Times New Roman" w:hAnsi="Times New Roman" w:cs="Times New Roman"/>
          <w:b/>
          <w:bCs/>
          <w:i w:val="0"/>
          <w:iCs w:val="0"/>
          <w:color w:val="auto"/>
          <w:lang w:val="en-US"/>
        </w:rPr>
        <w:fldChar w:fldCharType="separate"/>
      </w:r>
      <w:r w:rsidR="00F16F6F">
        <w:rPr>
          <w:rFonts w:ascii="Times New Roman" w:hAnsi="Times New Roman" w:cs="Times New Roman"/>
          <w:b/>
          <w:bCs/>
          <w:i w:val="0"/>
          <w:iCs w:val="0"/>
          <w:noProof/>
          <w:color w:val="auto"/>
          <w:lang w:val="en-US"/>
        </w:rPr>
        <w:t>6</w:t>
      </w:r>
      <w:r w:rsidRPr="005949C6">
        <w:rPr>
          <w:rFonts w:ascii="Times New Roman" w:hAnsi="Times New Roman" w:cs="Times New Roman"/>
          <w:b/>
          <w:bCs/>
          <w:i w:val="0"/>
          <w:iCs w:val="0"/>
          <w:color w:val="auto"/>
          <w:lang w:val="en-US"/>
        </w:rPr>
        <w:fldChar w:fldCharType="end"/>
      </w:r>
      <w:r w:rsidRPr="005949C6">
        <w:rPr>
          <w:rFonts w:ascii="Times New Roman" w:hAnsi="Times New Roman" w:cs="Times New Roman"/>
          <w:i w:val="0"/>
          <w:iCs w:val="0"/>
          <w:color w:val="auto"/>
          <w:lang w:val="en-US"/>
        </w:rPr>
        <w:t>: Long-term projections of built-up area based on Sen’s slope linear extrapolation.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600"/>
      </w:tblGrid>
      <w:tr w:rsidR="002A7A95" w:rsidRPr="001A08CC" w14:paraId="26A33675" w14:textId="77777777" w:rsidTr="005978F1">
        <w:tc>
          <w:tcPr>
            <w:tcW w:w="1525" w:type="dxa"/>
            <w:tcBorders>
              <w:top w:val="single" w:sz="4" w:space="0" w:color="auto"/>
              <w:bottom w:val="single" w:sz="4" w:space="0" w:color="auto"/>
            </w:tcBorders>
            <w:vAlign w:val="center"/>
          </w:tcPr>
          <w:p w14:paraId="5AB3AB96"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Year</w:t>
            </w:r>
          </w:p>
        </w:tc>
        <w:tc>
          <w:tcPr>
            <w:tcW w:w="3600" w:type="dxa"/>
            <w:tcBorders>
              <w:top w:val="single" w:sz="4" w:space="0" w:color="auto"/>
              <w:bottom w:val="single" w:sz="4" w:space="0" w:color="auto"/>
            </w:tcBorders>
            <w:vAlign w:val="center"/>
          </w:tcPr>
          <w:p w14:paraId="39CA72CF"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Predicted Built-up Area (ha)</w:t>
            </w:r>
          </w:p>
        </w:tc>
      </w:tr>
      <w:tr w:rsidR="002A7A95" w:rsidRPr="001A08CC" w14:paraId="21BDC683" w14:textId="77777777" w:rsidTr="005978F1">
        <w:tc>
          <w:tcPr>
            <w:tcW w:w="1525" w:type="dxa"/>
            <w:tcBorders>
              <w:top w:val="single" w:sz="4" w:space="0" w:color="auto"/>
            </w:tcBorders>
            <w:vAlign w:val="center"/>
          </w:tcPr>
          <w:p w14:paraId="5E6CF660"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2030</w:t>
            </w:r>
          </w:p>
        </w:tc>
        <w:tc>
          <w:tcPr>
            <w:tcW w:w="3600" w:type="dxa"/>
            <w:tcBorders>
              <w:top w:val="single" w:sz="4" w:space="0" w:color="auto"/>
            </w:tcBorders>
            <w:vAlign w:val="center"/>
          </w:tcPr>
          <w:p w14:paraId="1534B2D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6436.74</w:t>
            </w:r>
          </w:p>
        </w:tc>
      </w:tr>
      <w:tr w:rsidR="002A7A95" w:rsidRPr="001A08CC" w14:paraId="4B3523EB" w14:textId="77777777" w:rsidTr="005978F1">
        <w:tc>
          <w:tcPr>
            <w:tcW w:w="1525" w:type="dxa"/>
            <w:vAlign w:val="center"/>
          </w:tcPr>
          <w:p w14:paraId="0875525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2040</w:t>
            </w:r>
          </w:p>
        </w:tc>
        <w:tc>
          <w:tcPr>
            <w:tcW w:w="3600" w:type="dxa"/>
            <w:vAlign w:val="center"/>
          </w:tcPr>
          <w:p w14:paraId="17E51A7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6913.29</w:t>
            </w:r>
          </w:p>
        </w:tc>
      </w:tr>
      <w:tr w:rsidR="002A7A95" w:rsidRPr="001A08CC" w14:paraId="6736D8A8" w14:textId="77777777" w:rsidTr="005978F1">
        <w:tc>
          <w:tcPr>
            <w:tcW w:w="1525" w:type="dxa"/>
            <w:vAlign w:val="center"/>
          </w:tcPr>
          <w:p w14:paraId="50AFBC4C"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2050</w:t>
            </w:r>
          </w:p>
        </w:tc>
        <w:tc>
          <w:tcPr>
            <w:tcW w:w="3600" w:type="dxa"/>
            <w:vAlign w:val="center"/>
          </w:tcPr>
          <w:p w14:paraId="00D785D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7389.84</w:t>
            </w:r>
          </w:p>
        </w:tc>
      </w:tr>
      <w:tr w:rsidR="002A7A95" w:rsidRPr="001A08CC" w14:paraId="7C083515" w14:textId="77777777" w:rsidTr="005978F1">
        <w:tc>
          <w:tcPr>
            <w:tcW w:w="1525" w:type="dxa"/>
            <w:vAlign w:val="center"/>
          </w:tcPr>
          <w:p w14:paraId="3E22846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2060</w:t>
            </w:r>
          </w:p>
        </w:tc>
        <w:tc>
          <w:tcPr>
            <w:tcW w:w="3600" w:type="dxa"/>
            <w:vAlign w:val="center"/>
          </w:tcPr>
          <w:p w14:paraId="4D3EC494"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7866.38</w:t>
            </w:r>
          </w:p>
        </w:tc>
      </w:tr>
      <w:tr w:rsidR="002A7A95" w:rsidRPr="001A08CC" w14:paraId="76BC1BDB" w14:textId="77777777" w:rsidTr="005978F1">
        <w:tc>
          <w:tcPr>
            <w:tcW w:w="1525" w:type="dxa"/>
            <w:vAlign w:val="center"/>
          </w:tcPr>
          <w:p w14:paraId="61E9663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2070</w:t>
            </w:r>
          </w:p>
        </w:tc>
        <w:tc>
          <w:tcPr>
            <w:tcW w:w="3600" w:type="dxa"/>
            <w:vAlign w:val="center"/>
          </w:tcPr>
          <w:p w14:paraId="5203CC29"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8342.93</w:t>
            </w:r>
          </w:p>
        </w:tc>
      </w:tr>
      <w:tr w:rsidR="002A7A95" w:rsidRPr="001A08CC" w14:paraId="272C3430" w14:textId="77777777" w:rsidTr="005978F1">
        <w:tc>
          <w:tcPr>
            <w:tcW w:w="1525" w:type="dxa"/>
            <w:vAlign w:val="center"/>
          </w:tcPr>
          <w:p w14:paraId="29858E0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2080</w:t>
            </w:r>
          </w:p>
        </w:tc>
        <w:tc>
          <w:tcPr>
            <w:tcW w:w="3600" w:type="dxa"/>
            <w:vAlign w:val="center"/>
          </w:tcPr>
          <w:p w14:paraId="03A68AEC"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8819.47</w:t>
            </w:r>
          </w:p>
        </w:tc>
      </w:tr>
      <w:tr w:rsidR="002A7A95" w:rsidRPr="001A08CC" w14:paraId="0A6E7E4B" w14:textId="77777777" w:rsidTr="005978F1">
        <w:tc>
          <w:tcPr>
            <w:tcW w:w="1525" w:type="dxa"/>
            <w:vAlign w:val="center"/>
          </w:tcPr>
          <w:p w14:paraId="65DACE9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2090</w:t>
            </w:r>
          </w:p>
        </w:tc>
        <w:tc>
          <w:tcPr>
            <w:tcW w:w="3600" w:type="dxa"/>
            <w:vAlign w:val="center"/>
          </w:tcPr>
          <w:p w14:paraId="163500D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9296.02</w:t>
            </w:r>
          </w:p>
        </w:tc>
      </w:tr>
      <w:tr w:rsidR="002A7A95" w:rsidRPr="001A08CC" w14:paraId="4BDBAA87" w14:textId="77777777" w:rsidTr="005978F1">
        <w:tc>
          <w:tcPr>
            <w:tcW w:w="1525" w:type="dxa"/>
            <w:vAlign w:val="center"/>
          </w:tcPr>
          <w:p w14:paraId="4BEFC795"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2100</w:t>
            </w:r>
          </w:p>
        </w:tc>
        <w:tc>
          <w:tcPr>
            <w:tcW w:w="3600" w:type="dxa"/>
            <w:vAlign w:val="center"/>
          </w:tcPr>
          <w:p w14:paraId="48C86BC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9772.57</w:t>
            </w:r>
          </w:p>
        </w:tc>
      </w:tr>
    </w:tbl>
    <w:p w14:paraId="79A447FA" w14:textId="2ECE614D" w:rsidR="006F4D36" w:rsidRDefault="00096858" w:rsidP="00096858">
      <w:pPr>
        <w:spacing w:before="240" w:line="360" w:lineRule="auto"/>
        <w:jc w:val="both"/>
        <w:rPr>
          <w:rFonts w:ascii="Times New Roman" w:hAnsi="Times New Roman" w:cs="Times New Roman"/>
          <w:sz w:val="20"/>
          <w:szCs w:val="20"/>
        </w:rPr>
      </w:pPr>
      <w:r w:rsidRPr="00096858">
        <w:rPr>
          <w:rFonts w:ascii="Times New Roman" w:hAnsi="Times New Roman" w:cs="Times New Roman"/>
          <w:sz w:val="20"/>
          <w:szCs w:val="20"/>
        </w:rPr>
        <w:t>The projected built-up area based on Sen’s slope indicates a continued expansion trend, reaching approximately 6,913 ha by 2040 and 9,772 ha by 2100. This near-linear increase suggests that urban growth in KMC is likely to persist if historical patterns remain unchanged. Comparable long-term projections of urban expansion have been documented in studies using remote sensing and geospatial modelling, which highlight the sustained conversion of non-built-up land into urban fabric in metropolitan regions</w:t>
      </w:r>
      <w:r w:rsidR="00CF0C6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DU0NDdhNzEtMWZmYy00NzdmLWEzYzMtOTk2NDc4YzM3NTAz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
          <w:id w:val="-789963931"/>
          <w:placeholder>
            <w:docPart w:val="DefaultPlaceholder_-1854013440"/>
          </w:placeholder>
        </w:sdtPr>
        <w:sdtEndPr/>
        <w:sdtContent>
          <w:r w:rsidR="00AD2A52" w:rsidRPr="00AD2A52">
            <w:rPr>
              <w:rFonts w:ascii="Times New Roman" w:hAnsi="Times New Roman" w:cs="Times New Roman"/>
              <w:color w:val="000000"/>
              <w:sz w:val="20"/>
              <w:szCs w:val="20"/>
            </w:rPr>
            <w:t>(Angel et al., 2011; Seto et al., 2012)</w:t>
          </w:r>
        </w:sdtContent>
      </w:sdt>
      <w:r w:rsidRPr="00096858">
        <w:rPr>
          <w:rFonts w:ascii="Times New Roman" w:hAnsi="Times New Roman" w:cs="Times New Roman"/>
          <w:sz w:val="20"/>
          <w:szCs w:val="20"/>
        </w:rPr>
        <w:t>. The observed growth trajectory aligns with findings from Indian urban contexts, where continuous densification and peri-urban expansion contribute to increasing built-up extents</w:t>
      </w:r>
      <w:r w:rsidR="00CF0C6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UwZGY4YjAtMDg3Yy00NTAyLTliYWItMzg5ZGNhZWRiMjk3IiwicHJvcGVydGllcyI6eyJub3RlSW5kZXgiOjB9LCJpc0VkaXRlZCI6ZmFsc2UsIm1hbnVhbE92ZXJyaWRlIjp7ImlzTWFudWFsbHlPdmVycmlkZGVuIjpmYWxzZSwiY2l0ZXByb2NUZXh0IjoiKFRhdWJlbmLDtmNrIGV0IGFsLiwgMjAwO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XX0="/>
          <w:id w:val="-1559473200"/>
          <w:placeholder>
            <w:docPart w:val="DefaultPlaceholder_-1854013440"/>
          </w:placeholder>
        </w:sdtPr>
        <w:sdtEndPr/>
        <w:sdtContent>
          <w:r w:rsidR="00AD2A52" w:rsidRPr="00AD2A52">
            <w:rPr>
              <w:rFonts w:ascii="Times New Roman" w:hAnsi="Times New Roman" w:cs="Times New Roman"/>
              <w:color w:val="000000"/>
              <w:sz w:val="20"/>
              <w:szCs w:val="20"/>
            </w:rPr>
            <w:t>(Taubenböck et al., 2009)</w:t>
          </w:r>
        </w:sdtContent>
      </w:sdt>
      <w:r w:rsidRPr="00096858">
        <w:rPr>
          <w:rFonts w:ascii="Times New Roman" w:hAnsi="Times New Roman" w:cs="Times New Roman"/>
          <w:sz w:val="20"/>
          <w:szCs w:val="20"/>
        </w:rPr>
        <w:t xml:space="preserve">. However, it is important to note that the projections assume a monotonic trend and do not incorporate potential future interventions such as policy regulations, environmental constraints, or shifts in development patterns. Therefore, while the results provide a </w:t>
      </w:r>
      <w:r w:rsidRPr="00096858">
        <w:rPr>
          <w:rFonts w:ascii="Times New Roman" w:hAnsi="Times New Roman" w:cs="Times New Roman"/>
          <w:sz w:val="20"/>
          <w:szCs w:val="20"/>
        </w:rPr>
        <w:lastRenderedPageBreak/>
        <w:t>reliable baseline scenario, they should be interpreted within the broader framework of dynamic urban systems. The findings underscore the necessity for sustainable urban planning and land management strategies to mitigate environmental impacts and ensure balanced urban development in KMC.</w:t>
      </w:r>
    </w:p>
    <w:p w14:paraId="6546FB7D" w14:textId="77777777" w:rsidR="00F14AC8" w:rsidRDefault="00F14AC8" w:rsidP="0083379E">
      <w:pPr>
        <w:keepNext/>
        <w:spacing w:before="240" w:after="0" w:line="360" w:lineRule="auto"/>
        <w:jc w:val="center"/>
      </w:pPr>
      <w:r>
        <w:rPr>
          <w:rFonts w:ascii="Times New Roman" w:hAnsi="Times New Roman" w:cs="Times New Roman"/>
          <w:noProof/>
          <w:sz w:val="20"/>
          <w:szCs w:val="20"/>
          <w:lang w:eastAsia="en-IN"/>
        </w:rPr>
        <w:drawing>
          <wp:inline distT="0" distB="0" distL="0" distR="0" wp14:anchorId="587DC87D" wp14:editId="47FE2E66">
            <wp:extent cx="4669368" cy="2779668"/>
            <wp:effectExtent l="0" t="0" r="0" b="1905"/>
            <wp:docPr id="143671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5951" name="Picture 1436715951"/>
                    <pic:cNvPicPr/>
                  </pic:nvPicPr>
                  <pic:blipFill rotWithShape="1">
                    <a:blip r:embed="rId12" cstate="print">
                      <a:extLst>
                        <a:ext uri="{28A0092B-C50C-407E-A947-70E740481C1C}">
                          <a14:useLocalDpi xmlns:a14="http://schemas.microsoft.com/office/drawing/2010/main" val="0"/>
                        </a:ext>
                      </a:extLst>
                    </a:blip>
                    <a:srcRect t="6325"/>
                    <a:stretch>
                      <a:fillRect/>
                    </a:stretch>
                  </pic:blipFill>
                  <pic:spPr bwMode="auto">
                    <a:xfrm>
                      <a:off x="0" y="0"/>
                      <a:ext cx="4685047" cy="2789002"/>
                    </a:xfrm>
                    <a:prstGeom prst="rect">
                      <a:avLst/>
                    </a:prstGeom>
                    <a:ln>
                      <a:noFill/>
                    </a:ln>
                    <a:extLst>
                      <a:ext uri="{53640926-AAD7-44D8-BBD7-CCE9431645EC}">
                        <a14:shadowObscured xmlns:a14="http://schemas.microsoft.com/office/drawing/2010/main"/>
                      </a:ext>
                    </a:extLst>
                  </pic:spPr>
                </pic:pic>
              </a:graphicData>
            </a:graphic>
          </wp:inline>
        </w:drawing>
      </w:r>
    </w:p>
    <w:p w14:paraId="6F2AD016" w14:textId="77777777" w:rsidR="00F14AC8" w:rsidRPr="00F14AC8" w:rsidRDefault="00F14AC8" w:rsidP="00F14AC8">
      <w:pPr>
        <w:pStyle w:val="Caption"/>
        <w:jc w:val="center"/>
        <w:rPr>
          <w:rFonts w:ascii="Times New Roman" w:hAnsi="Times New Roman" w:cs="Times New Roman"/>
          <w:color w:val="auto"/>
          <w:sz w:val="20"/>
          <w:szCs w:val="20"/>
        </w:rPr>
      </w:pPr>
      <w:r w:rsidRPr="00F14AC8">
        <w:rPr>
          <w:rFonts w:ascii="Times New Roman" w:hAnsi="Times New Roman" w:cs="Times New Roman"/>
          <w:b/>
          <w:bCs/>
          <w:color w:val="auto"/>
        </w:rPr>
        <w:t xml:space="preserve">Figure </w:t>
      </w:r>
      <w:r w:rsidRPr="00F14AC8">
        <w:rPr>
          <w:rFonts w:ascii="Times New Roman" w:hAnsi="Times New Roman" w:cs="Times New Roman"/>
          <w:b/>
          <w:bCs/>
          <w:color w:val="auto"/>
        </w:rPr>
        <w:fldChar w:fldCharType="begin"/>
      </w:r>
      <w:r w:rsidRPr="00F14AC8">
        <w:rPr>
          <w:rFonts w:ascii="Times New Roman" w:hAnsi="Times New Roman" w:cs="Times New Roman"/>
          <w:b/>
          <w:bCs/>
          <w:color w:val="auto"/>
        </w:rPr>
        <w:instrText xml:space="preserve"> SEQ Figure \* ARABIC </w:instrText>
      </w:r>
      <w:r w:rsidRPr="00F14AC8">
        <w:rPr>
          <w:rFonts w:ascii="Times New Roman" w:hAnsi="Times New Roman" w:cs="Times New Roman"/>
          <w:b/>
          <w:bCs/>
          <w:color w:val="auto"/>
        </w:rPr>
        <w:fldChar w:fldCharType="separate"/>
      </w:r>
      <w:r w:rsidR="00287E0C">
        <w:rPr>
          <w:rFonts w:ascii="Times New Roman" w:hAnsi="Times New Roman" w:cs="Times New Roman"/>
          <w:b/>
          <w:bCs/>
          <w:noProof/>
          <w:color w:val="auto"/>
        </w:rPr>
        <w:t>5</w:t>
      </w:r>
      <w:r w:rsidRPr="00F14AC8">
        <w:rPr>
          <w:rFonts w:ascii="Times New Roman" w:hAnsi="Times New Roman" w:cs="Times New Roman"/>
          <w:b/>
          <w:bCs/>
          <w:color w:val="auto"/>
        </w:rPr>
        <w:fldChar w:fldCharType="end"/>
      </w:r>
      <w:r>
        <w:rPr>
          <w:rFonts w:ascii="Times New Roman" w:hAnsi="Times New Roman" w:cs="Times New Roman"/>
          <w:b/>
          <w:bCs/>
          <w:color w:val="auto"/>
        </w:rPr>
        <w:t>:</w:t>
      </w:r>
      <w:r w:rsidRPr="00F14AC8">
        <w:rPr>
          <w:rFonts w:ascii="Times New Roman" w:hAnsi="Times New Roman" w:cs="Times New Roman"/>
          <w:color w:val="auto"/>
          <w:lang w:val="en-US"/>
        </w:rPr>
        <w:t xml:space="preserve"> Linear trend-based forecast of the KMC urban area using Mann-Kendall and Sen's slope</w:t>
      </w:r>
    </w:p>
    <w:p w14:paraId="6B8C23A8" w14:textId="77777777" w:rsidR="00E92DD2" w:rsidRPr="00794CB5" w:rsidRDefault="00E92DD2" w:rsidP="00794CB5">
      <w:pPr>
        <w:pStyle w:val="ListParagraph"/>
        <w:numPr>
          <w:ilvl w:val="0"/>
          <w:numId w:val="6"/>
        </w:numPr>
        <w:spacing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Conclusions</w:t>
      </w:r>
    </w:p>
    <w:p w14:paraId="0609C14B" w14:textId="23916068" w:rsidR="00AB0FF5" w:rsidRPr="00AB0FF5" w:rsidRDefault="000A5B17" w:rsidP="00AB0FF5">
      <w:pPr>
        <w:spacing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This study provides a comprehensive assessment of urban expansion in the Kolkata Municipal Corporation (KMC) from 1990 to 2025 by integrating remote-sensing–based index analysis with statistical trend analysis. The NDBI results reveal a substantial increase in built-up area, characterised by both spatial intensification and outward expansion.</w:t>
      </w:r>
      <w:r w:rsidR="00AB0FF5" w:rsidRPr="00AB0FF5">
        <w:rPr>
          <w:rFonts w:ascii="Times New Roman" w:hAnsi="Times New Roman" w:cs="Times New Roman"/>
          <w:bCs/>
          <w:sz w:val="20"/>
          <w:szCs w:val="24"/>
        </w:rPr>
        <w:t xml:space="preserve"> The Mann–Kendall test confirms that this growth is statistically significant and monotonic, while the Sen’s slope quantifies a steady annual increase of approximately 47.65 ha/year. Complementary regression analysis further validates this trend, indicating a consistent and sustained urban growth trajectory.</w:t>
      </w:r>
    </w:p>
    <w:p w14:paraId="7A40D758" w14:textId="6EBA79BB" w:rsidR="00794CB5" w:rsidRDefault="00AB0FF5" w:rsidP="00AB0FF5">
      <w:pPr>
        <w:spacing w:line="360" w:lineRule="auto"/>
        <w:jc w:val="both"/>
        <w:rPr>
          <w:rFonts w:ascii="Times New Roman" w:hAnsi="Times New Roman" w:cs="Times New Roman"/>
          <w:bCs/>
          <w:sz w:val="20"/>
          <w:szCs w:val="24"/>
        </w:rPr>
      </w:pPr>
      <w:r w:rsidRPr="00AB0FF5">
        <w:rPr>
          <w:rFonts w:ascii="Times New Roman" w:hAnsi="Times New Roman" w:cs="Times New Roman"/>
          <w:bCs/>
          <w:sz w:val="20"/>
          <w:szCs w:val="24"/>
        </w:rPr>
        <w:t>The integration of spatial and statistical approaches demonstrates that urban expansion in KMC is both systematic and persistent, with projections indicating continued growth in the coming decades. However, such expansion poses significant challenges, including pressure on land resources, reduction of green spaces, and potential environmental degradation. While the applied methods provide a robust baseline for understanding long-term urban dynamics, future studies should incorporate additional variables such as socio-economic drivers, policy interventions, and climate-related factors to enhance predictive accuracy. Overall, the findings emphasize the urgent need for sustainable urban planning and land management strategies to balance development with environmental conservation in the KMC region.</w:t>
      </w:r>
    </w:p>
    <w:p w14:paraId="740611AB" w14:textId="77777777" w:rsidR="00726C6E" w:rsidRPr="00726C6E" w:rsidRDefault="00726C6E" w:rsidP="00AB0FF5">
      <w:pPr>
        <w:spacing w:line="360" w:lineRule="auto"/>
        <w:jc w:val="both"/>
        <w:rPr>
          <w:rFonts w:ascii="Times New Roman" w:hAnsi="Times New Roman" w:cs="Times New Roman"/>
          <w:b/>
          <w:bCs/>
          <w:sz w:val="24"/>
          <w:szCs w:val="24"/>
        </w:rPr>
      </w:pPr>
      <w:r w:rsidRPr="00726C6E">
        <w:rPr>
          <w:rFonts w:ascii="Times New Roman" w:hAnsi="Times New Roman" w:cs="Times New Roman"/>
          <w:b/>
          <w:bCs/>
          <w:sz w:val="24"/>
          <w:szCs w:val="24"/>
        </w:rPr>
        <w:t>Competing Interests</w:t>
      </w:r>
    </w:p>
    <w:p w14:paraId="07B6F8FD" w14:textId="29351226" w:rsidR="00726C6E" w:rsidRDefault="00726C6E" w:rsidP="00AB0FF5">
      <w:pPr>
        <w:spacing w:line="360" w:lineRule="auto"/>
        <w:jc w:val="both"/>
        <w:rPr>
          <w:rFonts w:ascii="Times New Roman" w:hAnsi="Times New Roman" w:cs="Times New Roman"/>
          <w:bCs/>
          <w:sz w:val="20"/>
          <w:szCs w:val="24"/>
        </w:rPr>
      </w:pPr>
      <w:r w:rsidRPr="00726C6E">
        <w:rPr>
          <w:rFonts w:ascii="Times New Roman" w:hAnsi="Times New Roman" w:cs="Times New Roman"/>
          <w:bCs/>
          <w:sz w:val="20"/>
          <w:szCs w:val="24"/>
        </w:rPr>
        <w:t>Authors have declared that no competing interests exist.</w:t>
      </w:r>
    </w:p>
    <w:p w14:paraId="65E72968" w14:textId="77777777" w:rsidR="000D0159" w:rsidRDefault="000D0159" w:rsidP="00AB0FF5">
      <w:pPr>
        <w:spacing w:line="360" w:lineRule="auto"/>
        <w:jc w:val="both"/>
        <w:rPr>
          <w:rFonts w:ascii="Times New Roman" w:hAnsi="Times New Roman" w:cs="Times New Roman"/>
          <w:bCs/>
          <w:sz w:val="20"/>
          <w:szCs w:val="24"/>
        </w:rPr>
      </w:pPr>
    </w:p>
    <w:p w14:paraId="754EA907" w14:textId="77777777" w:rsidR="000D0159" w:rsidRPr="00AB0FF5" w:rsidRDefault="000D0159" w:rsidP="00AB0FF5">
      <w:pPr>
        <w:spacing w:line="360" w:lineRule="auto"/>
        <w:jc w:val="both"/>
        <w:rPr>
          <w:rFonts w:ascii="Times New Roman" w:hAnsi="Times New Roman" w:cs="Times New Roman"/>
          <w:bCs/>
          <w:sz w:val="20"/>
          <w:szCs w:val="24"/>
        </w:rPr>
      </w:pPr>
    </w:p>
    <w:p w14:paraId="1037F7A9" w14:textId="77777777" w:rsidR="00E92DD2" w:rsidRDefault="00E92DD2" w:rsidP="00E92DD2">
      <w:pPr>
        <w:spacing w:line="360" w:lineRule="auto"/>
        <w:jc w:val="both"/>
        <w:rPr>
          <w:rFonts w:ascii="Times New Roman" w:hAnsi="Times New Roman" w:cs="Times New Roman"/>
          <w:b/>
          <w:bCs/>
          <w:sz w:val="24"/>
          <w:szCs w:val="24"/>
        </w:rPr>
      </w:pPr>
      <w:r w:rsidRPr="005C60B2">
        <w:rPr>
          <w:rFonts w:ascii="Times New Roman" w:hAnsi="Times New Roman" w:cs="Times New Roman"/>
          <w:b/>
          <w:bCs/>
          <w:sz w:val="24"/>
          <w:szCs w:val="24"/>
        </w:rPr>
        <w:lastRenderedPageBreak/>
        <w:t>References</w:t>
      </w:r>
    </w:p>
    <w:sdt>
      <w:sdtPr>
        <w:rPr>
          <w:rFonts w:ascii="Times New Roman" w:hAnsi="Times New Roman" w:cs="Times New Roman"/>
          <w:b/>
          <w:bCs/>
          <w:color w:val="000000"/>
          <w:sz w:val="20"/>
          <w:szCs w:val="24"/>
        </w:rPr>
        <w:tag w:val="MENDELEY_BIBLIOGRAPHY"/>
        <w:id w:val="485058661"/>
        <w:placeholder>
          <w:docPart w:val="DefaultPlaceholder_-1854013440"/>
        </w:placeholder>
      </w:sdtPr>
      <w:sdtEndPr/>
      <w:sdtContent>
        <w:p w14:paraId="192F7280" w14:textId="77777777" w:rsidR="00AD2A52" w:rsidRPr="00AD2A52" w:rsidRDefault="00AD2A52">
          <w:pPr>
            <w:autoSpaceDE w:val="0"/>
            <w:autoSpaceDN w:val="0"/>
            <w:ind w:hanging="480"/>
            <w:divId w:val="2084446581"/>
            <w:rPr>
              <w:rFonts w:ascii="Times New Roman" w:eastAsia="Times New Roman" w:hAnsi="Times New Roman" w:cs="Times New Roman"/>
              <w:color w:val="000000"/>
              <w:sz w:val="20"/>
              <w:szCs w:val="24"/>
            </w:rPr>
          </w:pPr>
          <w:r w:rsidRPr="00AD2A52">
            <w:rPr>
              <w:rFonts w:ascii="Times New Roman" w:eastAsia="Times New Roman" w:hAnsi="Times New Roman" w:cs="Times New Roman"/>
              <w:color w:val="000000"/>
              <w:sz w:val="20"/>
            </w:rPr>
            <w:t xml:space="preserve">Angel, S., Parent, J., Civco, D. L., Blei, A., &amp; Potere, D. (2011). The dimensions of global urban expansion: Estimates and projections for all countries, 2000–2050. </w:t>
          </w:r>
          <w:r w:rsidRPr="00AD2A52">
            <w:rPr>
              <w:rFonts w:ascii="Times New Roman" w:eastAsia="Times New Roman" w:hAnsi="Times New Roman" w:cs="Times New Roman"/>
              <w:i/>
              <w:iCs/>
              <w:color w:val="000000"/>
              <w:sz w:val="20"/>
            </w:rPr>
            <w:t>Progress in Planning</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75</w:t>
          </w:r>
          <w:r w:rsidRPr="00AD2A52">
            <w:rPr>
              <w:rFonts w:ascii="Times New Roman" w:eastAsia="Times New Roman" w:hAnsi="Times New Roman" w:cs="Times New Roman"/>
              <w:color w:val="000000"/>
              <w:sz w:val="20"/>
            </w:rPr>
            <w:t>(2), 53–107. https://doi.org/https://doi.org/10.1016/j.progress.2011.04.001</w:t>
          </w:r>
        </w:p>
        <w:p w14:paraId="4C485531" w14:textId="77777777" w:rsidR="00AD2A52" w:rsidRPr="00AD2A52" w:rsidRDefault="00AD2A52">
          <w:pPr>
            <w:autoSpaceDE w:val="0"/>
            <w:autoSpaceDN w:val="0"/>
            <w:ind w:hanging="480"/>
            <w:divId w:val="1566377284"/>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Chakraborti, D., Das, B., Rahman, M. M., Nayak, B., Pal, A., Sengupta, M. K., Ahamed, S., Hossain, Md. A., Chowdhury, U. K., Biswas, B. K., Saha, K. C., &amp; Dutta, R. N. (2017). Arsenic in groundwater of the Kolkata Municipal Corporation (KMC), India: Critical review and modes of mitigation. </w:t>
          </w:r>
          <w:r w:rsidRPr="00AD2A52">
            <w:rPr>
              <w:rFonts w:ascii="Times New Roman" w:eastAsia="Times New Roman" w:hAnsi="Times New Roman" w:cs="Times New Roman"/>
              <w:i/>
              <w:iCs/>
              <w:color w:val="000000"/>
              <w:sz w:val="20"/>
            </w:rPr>
            <w:t>Chemosphere</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180</w:t>
          </w:r>
          <w:r w:rsidRPr="00AD2A52">
            <w:rPr>
              <w:rFonts w:ascii="Times New Roman" w:eastAsia="Times New Roman" w:hAnsi="Times New Roman" w:cs="Times New Roman"/>
              <w:color w:val="000000"/>
              <w:sz w:val="20"/>
            </w:rPr>
            <w:t>, 437–447. https://doi.org/10.1016/j.chemosphere.2017.04.051</w:t>
          </w:r>
        </w:p>
        <w:p w14:paraId="0DF91797" w14:textId="77777777" w:rsidR="00AD2A52" w:rsidRPr="00AD2A52" w:rsidRDefault="00AD2A52">
          <w:pPr>
            <w:autoSpaceDE w:val="0"/>
            <w:autoSpaceDN w:val="0"/>
            <w:ind w:hanging="480"/>
            <w:divId w:val="13459714"/>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Gorai, N., Bandyopadhyay, J., Halder, B., Ahmed, M. F., Molla, A. H., &amp; Lei, T. M. T. (2024). Spatio-Temporal Variation in Landforms and Surface Urban Heat Island in Riverine Megacity. </w:t>
          </w:r>
          <w:r w:rsidRPr="00AD2A52">
            <w:rPr>
              <w:rFonts w:ascii="Times New Roman" w:eastAsia="Times New Roman" w:hAnsi="Times New Roman" w:cs="Times New Roman"/>
              <w:i/>
              <w:iCs/>
              <w:color w:val="000000"/>
              <w:sz w:val="20"/>
            </w:rPr>
            <w:t>Sustainability</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16</w:t>
          </w:r>
          <w:r w:rsidRPr="00AD2A52">
            <w:rPr>
              <w:rFonts w:ascii="Times New Roman" w:eastAsia="Times New Roman" w:hAnsi="Times New Roman" w:cs="Times New Roman"/>
              <w:color w:val="000000"/>
              <w:sz w:val="20"/>
            </w:rPr>
            <w:t>(8), 3383. https://doi.org/10.3390/su16083383</w:t>
          </w:r>
        </w:p>
        <w:p w14:paraId="280AA6B7" w14:textId="77777777" w:rsidR="00AD2A52" w:rsidRPr="00AD2A52" w:rsidRDefault="00AD2A52">
          <w:pPr>
            <w:autoSpaceDE w:val="0"/>
            <w:autoSpaceDN w:val="0"/>
            <w:ind w:hanging="480"/>
            <w:divId w:val="120853391"/>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Hamed, K. H., &amp; Ramachandra Rao, A. (1998). A modified Mann-Kendall trend test for autocorrelated data. </w:t>
          </w:r>
          <w:r w:rsidRPr="00AD2A52">
            <w:rPr>
              <w:rFonts w:ascii="Times New Roman" w:eastAsia="Times New Roman" w:hAnsi="Times New Roman" w:cs="Times New Roman"/>
              <w:i/>
              <w:iCs/>
              <w:color w:val="000000"/>
              <w:sz w:val="20"/>
            </w:rPr>
            <w:t>Journal of Hydrology</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204</w:t>
          </w:r>
          <w:r w:rsidRPr="00AD2A52">
            <w:rPr>
              <w:rFonts w:ascii="Times New Roman" w:eastAsia="Times New Roman" w:hAnsi="Times New Roman" w:cs="Times New Roman"/>
              <w:color w:val="000000"/>
              <w:sz w:val="20"/>
            </w:rPr>
            <w:t>(1), 182–196. https://doi.org/https://doi.org/10.1016/S0022-1694(97)00125-X</w:t>
          </w:r>
        </w:p>
        <w:p w14:paraId="3BAA906C" w14:textId="77777777" w:rsidR="00AD2A52" w:rsidRPr="00AD2A52" w:rsidRDefault="00AD2A52">
          <w:pPr>
            <w:autoSpaceDE w:val="0"/>
            <w:autoSpaceDN w:val="0"/>
            <w:ind w:hanging="480"/>
            <w:divId w:val="1556040553"/>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Mahata, D., Shekhar, S., &amp; Ravi, K. (2024). Urban expansion influences on land use and land cover changes in Kolkata metropolitan region: a geo-spatial study. </w:t>
          </w:r>
          <w:r w:rsidRPr="00AD2A52">
            <w:rPr>
              <w:rFonts w:ascii="Times New Roman" w:eastAsia="Times New Roman" w:hAnsi="Times New Roman" w:cs="Times New Roman"/>
              <w:i/>
              <w:iCs/>
              <w:color w:val="000000"/>
              <w:sz w:val="20"/>
            </w:rPr>
            <w:t>GeoJournal</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89</w:t>
          </w:r>
          <w:r w:rsidRPr="00AD2A52">
            <w:rPr>
              <w:rFonts w:ascii="Times New Roman" w:eastAsia="Times New Roman" w:hAnsi="Times New Roman" w:cs="Times New Roman"/>
              <w:color w:val="000000"/>
              <w:sz w:val="20"/>
            </w:rPr>
            <w:t>(6), 237. https://doi.org/10.1007/s10708-024-11236-x</w:t>
          </w:r>
        </w:p>
        <w:p w14:paraId="19736630" w14:textId="77777777" w:rsidR="00AD2A52" w:rsidRPr="00AD2A52" w:rsidRDefault="00AD2A52">
          <w:pPr>
            <w:autoSpaceDE w:val="0"/>
            <w:autoSpaceDN w:val="0"/>
            <w:ind w:hanging="480"/>
            <w:divId w:val="1034959621"/>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Mandal, J., Ghosh, N., &amp; Mukhopadhyay, A. (2019). Urban Growth Dynamics and Changing Land-Use Land-Cover of Megacity Kolkata and Its Environs. </w:t>
          </w:r>
          <w:r w:rsidRPr="00AD2A52">
            <w:rPr>
              <w:rFonts w:ascii="Times New Roman" w:eastAsia="Times New Roman" w:hAnsi="Times New Roman" w:cs="Times New Roman"/>
              <w:i/>
              <w:iCs/>
              <w:color w:val="000000"/>
              <w:sz w:val="20"/>
            </w:rPr>
            <w:t>Journal of the Indian Society of Remote Sensing</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47</w:t>
          </w:r>
          <w:r w:rsidRPr="00AD2A52">
            <w:rPr>
              <w:rFonts w:ascii="Times New Roman" w:eastAsia="Times New Roman" w:hAnsi="Times New Roman" w:cs="Times New Roman"/>
              <w:color w:val="000000"/>
              <w:sz w:val="20"/>
            </w:rPr>
            <w:t>(10), 1707–1725. https://doi.org/10.1007/s12524-019-01020-7</w:t>
          </w:r>
        </w:p>
        <w:p w14:paraId="7B2408F0" w14:textId="77777777" w:rsidR="00AD2A52" w:rsidRPr="00AD2A52" w:rsidRDefault="00AD2A52">
          <w:pPr>
            <w:autoSpaceDE w:val="0"/>
            <w:autoSpaceDN w:val="0"/>
            <w:ind w:hanging="480"/>
            <w:divId w:val="1495992787"/>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Seto, K. C., Güneralp, B., &amp; Hutyra, L. R. (2012). Global forecasts of urban expansion to 2030 and direct impacts on biodiversity and carbon pools. </w:t>
          </w:r>
          <w:r w:rsidRPr="00AD2A52">
            <w:rPr>
              <w:rFonts w:ascii="Times New Roman" w:eastAsia="Times New Roman" w:hAnsi="Times New Roman" w:cs="Times New Roman"/>
              <w:i/>
              <w:iCs/>
              <w:color w:val="000000"/>
              <w:sz w:val="20"/>
            </w:rPr>
            <w:t>Proceedings of the National Academy of Sciences</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109</w:t>
          </w:r>
          <w:r w:rsidRPr="00AD2A52">
            <w:rPr>
              <w:rFonts w:ascii="Times New Roman" w:eastAsia="Times New Roman" w:hAnsi="Times New Roman" w:cs="Times New Roman"/>
              <w:color w:val="000000"/>
              <w:sz w:val="20"/>
            </w:rPr>
            <w:t>(40), 16083–16088. https://doi.org/10.1073/pnas.1211658109</w:t>
          </w:r>
        </w:p>
        <w:p w14:paraId="3077E6A9" w14:textId="77777777" w:rsidR="00AD2A52" w:rsidRPr="00AD2A52" w:rsidRDefault="00AD2A52">
          <w:pPr>
            <w:autoSpaceDE w:val="0"/>
            <w:autoSpaceDN w:val="0"/>
            <w:ind w:hanging="480"/>
            <w:divId w:val="1555460157"/>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Taubenböck, H., Wegmann, M., Roth, A., Mehl, H., &amp; Dech, S. (2009). Urbanization in India – Spatiotemporal analysis using remote sensing data. </w:t>
          </w:r>
          <w:r w:rsidRPr="00AD2A52">
            <w:rPr>
              <w:rFonts w:ascii="Times New Roman" w:eastAsia="Times New Roman" w:hAnsi="Times New Roman" w:cs="Times New Roman"/>
              <w:i/>
              <w:iCs/>
              <w:color w:val="000000"/>
              <w:sz w:val="20"/>
            </w:rPr>
            <w:t>Computers, Environment and Urban Systems</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33</w:t>
          </w:r>
          <w:r w:rsidRPr="00AD2A52">
            <w:rPr>
              <w:rFonts w:ascii="Times New Roman" w:eastAsia="Times New Roman" w:hAnsi="Times New Roman" w:cs="Times New Roman"/>
              <w:color w:val="000000"/>
              <w:sz w:val="20"/>
            </w:rPr>
            <w:t>(3), 179–188. https://doi.org/10.1016/j.compenvurbsys.2008.09.003</w:t>
          </w:r>
        </w:p>
        <w:p w14:paraId="02D8A476" w14:textId="77777777" w:rsidR="00AD2A52" w:rsidRPr="00AD2A52" w:rsidRDefault="00AD2A52">
          <w:pPr>
            <w:autoSpaceDE w:val="0"/>
            <w:autoSpaceDN w:val="0"/>
            <w:ind w:hanging="480"/>
            <w:divId w:val="734203513"/>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Yue, S., &amp; Wang, C. (2004). The Mann-Kendall Test Modified by Effective Sample Size to Detect Trend in Serially Correlated Hydrological Series. </w:t>
          </w:r>
          <w:r w:rsidRPr="00AD2A52">
            <w:rPr>
              <w:rFonts w:ascii="Times New Roman" w:eastAsia="Times New Roman" w:hAnsi="Times New Roman" w:cs="Times New Roman"/>
              <w:i/>
              <w:iCs/>
              <w:color w:val="000000"/>
              <w:sz w:val="20"/>
            </w:rPr>
            <w:t>Water Resources Management</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18</w:t>
          </w:r>
          <w:r w:rsidRPr="00AD2A52">
            <w:rPr>
              <w:rFonts w:ascii="Times New Roman" w:eastAsia="Times New Roman" w:hAnsi="Times New Roman" w:cs="Times New Roman"/>
              <w:color w:val="000000"/>
              <w:sz w:val="20"/>
            </w:rPr>
            <w:t>(3), 201–218. https://doi.org/10.1023/B:WARM.0000043140.61082.60</w:t>
          </w:r>
        </w:p>
        <w:p w14:paraId="4C29E5C9" w14:textId="77777777" w:rsidR="00AD2A52" w:rsidRPr="00AD2A52" w:rsidRDefault="00AD2A52">
          <w:pPr>
            <w:autoSpaceDE w:val="0"/>
            <w:autoSpaceDN w:val="0"/>
            <w:ind w:hanging="480"/>
            <w:divId w:val="294220971"/>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Zha, Y., Gao, J., &amp; Ni, S. (2003). Use of normalized difference built-up index in automatically mapping urban areas from TM imagery. </w:t>
          </w:r>
          <w:r w:rsidRPr="00AD2A52">
            <w:rPr>
              <w:rFonts w:ascii="Times New Roman" w:eastAsia="Times New Roman" w:hAnsi="Times New Roman" w:cs="Times New Roman"/>
              <w:i/>
              <w:iCs/>
              <w:color w:val="000000"/>
              <w:sz w:val="20"/>
            </w:rPr>
            <w:t>International Journal of Remote Sensing</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24</w:t>
          </w:r>
          <w:r w:rsidRPr="00AD2A52">
            <w:rPr>
              <w:rFonts w:ascii="Times New Roman" w:eastAsia="Times New Roman" w:hAnsi="Times New Roman" w:cs="Times New Roman"/>
              <w:color w:val="000000"/>
              <w:sz w:val="20"/>
            </w:rPr>
            <w:t>(3), 583–594. https://doi.org/10.1080/01431160304987</w:t>
          </w:r>
        </w:p>
        <w:p w14:paraId="7E611C38" w14:textId="77777777" w:rsidR="00AD2A52" w:rsidRPr="00AD2A52" w:rsidRDefault="00AD2A52">
          <w:pPr>
            <w:autoSpaceDE w:val="0"/>
            <w:autoSpaceDN w:val="0"/>
            <w:ind w:hanging="480"/>
            <w:divId w:val="42875713"/>
            <w:rPr>
              <w:rFonts w:ascii="Times New Roman" w:eastAsia="Times New Roman" w:hAnsi="Times New Roman" w:cs="Times New Roman"/>
              <w:color w:val="000000"/>
              <w:sz w:val="20"/>
            </w:rPr>
          </w:pPr>
          <w:r w:rsidRPr="00AD2A52">
            <w:rPr>
              <w:rFonts w:ascii="Times New Roman" w:eastAsia="Times New Roman" w:hAnsi="Times New Roman" w:cs="Times New Roman"/>
              <w:color w:val="000000"/>
              <w:sz w:val="20"/>
            </w:rPr>
            <w:t xml:space="preserve">Zhang, Q., &amp; Seto, K. C. (2011). Mapping urbanization dynamics at regional and global scales using multi-temporal DMSP/OLS nighttime light data. </w:t>
          </w:r>
          <w:r w:rsidRPr="00AD2A52">
            <w:rPr>
              <w:rFonts w:ascii="Times New Roman" w:eastAsia="Times New Roman" w:hAnsi="Times New Roman" w:cs="Times New Roman"/>
              <w:i/>
              <w:iCs/>
              <w:color w:val="000000"/>
              <w:sz w:val="20"/>
            </w:rPr>
            <w:t>Remote Sensing of Environment</w:t>
          </w:r>
          <w:r w:rsidRPr="00AD2A52">
            <w:rPr>
              <w:rFonts w:ascii="Times New Roman" w:eastAsia="Times New Roman" w:hAnsi="Times New Roman" w:cs="Times New Roman"/>
              <w:color w:val="000000"/>
              <w:sz w:val="20"/>
            </w:rPr>
            <w:t xml:space="preserve">, </w:t>
          </w:r>
          <w:r w:rsidRPr="00AD2A52">
            <w:rPr>
              <w:rFonts w:ascii="Times New Roman" w:eastAsia="Times New Roman" w:hAnsi="Times New Roman" w:cs="Times New Roman"/>
              <w:i/>
              <w:iCs/>
              <w:color w:val="000000"/>
              <w:sz w:val="20"/>
            </w:rPr>
            <w:t>115</w:t>
          </w:r>
          <w:r w:rsidRPr="00AD2A52">
            <w:rPr>
              <w:rFonts w:ascii="Times New Roman" w:eastAsia="Times New Roman" w:hAnsi="Times New Roman" w:cs="Times New Roman"/>
              <w:color w:val="000000"/>
              <w:sz w:val="20"/>
            </w:rPr>
            <w:t>(9), 2320–2329. https://doi.org/10.1016/j.rse.2011.04.032</w:t>
          </w:r>
        </w:p>
        <w:p w14:paraId="39DE910F" w14:textId="6E849D22" w:rsidR="005A5B40" w:rsidRDefault="00AD2A52" w:rsidP="00E92DD2">
          <w:pPr>
            <w:spacing w:line="360" w:lineRule="auto"/>
            <w:jc w:val="both"/>
            <w:rPr>
              <w:rFonts w:ascii="Times New Roman" w:hAnsi="Times New Roman" w:cs="Times New Roman"/>
              <w:b/>
              <w:bCs/>
              <w:sz w:val="24"/>
              <w:szCs w:val="24"/>
            </w:rPr>
          </w:pPr>
          <w:r w:rsidRPr="00AD2A52">
            <w:rPr>
              <w:rFonts w:ascii="Times New Roman" w:eastAsia="Times New Roman" w:hAnsi="Times New Roman" w:cs="Times New Roman"/>
              <w:color w:val="000000"/>
              <w:sz w:val="20"/>
            </w:rPr>
            <w:t> </w:t>
          </w:r>
        </w:p>
      </w:sdtContent>
    </w:sdt>
    <w:sectPr w:rsidR="005A5B4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F2BC3" w14:textId="77777777" w:rsidR="00A1579C" w:rsidRDefault="00A1579C" w:rsidP="0038383C">
      <w:pPr>
        <w:spacing w:after="0" w:line="240" w:lineRule="auto"/>
      </w:pPr>
      <w:r>
        <w:separator/>
      </w:r>
    </w:p>
  </w:endnote>
  <w:endnote w:type="continuationSeparator" w:id="0">
    <w:p w14:paraId="3D09639A" w14:textId="77777777" w:rsidR="00A1579C" w:rsidRDefault="00A1579C" w:rsidP="00383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0122A" w14:textId="77777777" w:rsidR="0038383C" w:rsidRDefault="00383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060F7" w14:textId="77777777" w:rsidR="0038383C" w:rsidRDefault="00383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7B8FC" w14:textId="77777777" w:rsidR="0038383C" w:rsidRDefault="00383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EAFAC" w14:textId="77777777" w:rsidR="00A1579C" w:rsidRDefault="00A1579C" w:rsidP="0038383C">
      <w:pPr>
        <w:spacing w:after="0" w:line="240" w:lineRule="auto"/>
      </w:pPr>
      <w:r>
        <w:separator/>
      </w:r>
    </w:p>
  </w:footnote>
  <w:footnote w:type="continuationSeparator" w:id="0">
    <w:p w14:paraId="590C4F9B" w14:textId="77777777" w:rsidR="00A1579C" w:rsidRDefault="00A1579C" w:rsidP="00383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A10D5" w14:textId="74B3240C" w:rsidR="0038383C" w:rsidRDefault="0038383C">
    <w:pPr>
      <w:pStyle w:val="Header"/>
    </w:pPr>
    <w:r>
      <w:rPr>
        <w:noProof/>
      </w:rPr>
      <w:pict w14:anchorId="51F66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6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83CE" w14:textId="106B2D12" w:rsidR="0038383C" w:rsidRDefault="0038383C">
    <w:pPr>
      <w:pStyle w:val="Header"/>
    </w:pPr>
    <w:r>
      <w:rPr>
        <w:noProof/>
      </w:rPr>
      <w:pict w14:anchorId="6D23C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6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75A1" w14:textId="0B929A0E" w:rsidR="0038383C" w:rsidRDefault="0038383C">
    <w:pPr>
      <w:pStyle w:val="Header"/>
    </w:pPr>
    <w:r>
      <w:rPr>
        <w:noProof/>
      </w:rPr>
      <w:pict w14:anchorId="2524B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6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03E"/>
    <w:multiLevelType w:val="multilevel"/>
    <w:tmpl w:val="33C2099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CC2073"/>
    <w:multiLevelType w:val="multilevel"/>
    <w:tmpl w:val="3194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D037D"/>
    <w:multiLevelType w:val="multilevel"/>
    <w:tmpl w:val="20B89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B04D3"/>
    <w:multiLevelType w:val="multilevel"/>
    <w:tmpl w:val="AA4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5301C"/>
    <w:multiLevelType w:val="multilevel"/>
    <w:tmpl w:val="CCB6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A727C"/>
    <w:multiLevelType w:val="multilevel"/>
    <w:tmpl w:val="7D8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CB4EFD"/>
    <w:multiLevelType w:val="hybridMultilevel"/>
    <w:tmpl w:val="04FC7C7C"/>
    <w:lvl w:ilvl="0" w:tplc="46E299EC">
      <w:start w:val="1"/>
      <w:numFmt w:val="bullet"/>
      <w:lvlText w:val=""/>
      <w:lvlJc w:val="left"/>
      <w:pPr>
        <w:tabs>
          <w:tab w:val="num" w:pos="720"/>
        </w:tabs>
        <w:ind w:left="720" w:hanging="360"/>
      </w:pPr>
      <w:rPr>
        <w:rFonts w:ascii="Wingdings" w:hAnsi="Wingdings" w:hint="default"/>
      </w:rPr>
    </w:lvl>
    <w:lvl w:ilvl="1" w:tplc="7454409E" w:tentative="1">
      <w:start w:val="1"/>
      <w:numFmt w:val="bullet"/>
      <w:lvlText w:val=""/>
      <w:lvlJc w:val="left"/>
      <w:pPr>
        <w:tabs>
          <w:tab w:val="num" w:pos="1440"/>
        </w:tabs>
        <w:ind w:left="1440" w:hanging="360"/>
      </w:pPr>
      <w:rPr>
        <w:rFonts w:ascii="Wingdings" w:hAnsi="Wingdings" w:hint="default"/>
      </w:rPr>
    </w:lvl>
    <w:lvl w:ilvl="2" w:tplc="41D61D7C" w:tentative="1">
      <w:start w:val="1"/>
      <w:numFmt w:val="bullet"/>
      <w:lvlText w:val=""/>
      <w:lvlJc w:val="left"/>
      <w:pPr>
        <w:tabs>
          <w:tab w:val="num" w:pos="2160"/>
        </w:tabs>
        <w:ind w:left="2160" w:hanging="360"/>
      </w:pPr>
      <w:rPr>
        <w:rFonts w:ascii="Wingdings" w:hAnsi="Wingdings" w:hint="default"/>
      </w:rPr>
    </w:lvl>
    <w:lvl w:ilvl="3" w:tplc="9B04827A" w:tentative="1">
      <w:start w:val="1"/>
      <w:numFmt w:val="bullet"/>
      <w:lvlText w:val=""/>
      <w:lvlJc w:val="left"/>
      <w:pPr>
        <w:tabs>
          <w:tab w:val="num" w:pos="2880"/>
        </w:tabs>
        <w:ind w:left="2880" w:hanging="360"/>
      </w:pPr>
      <w:rPr>
        <w:rFonts w:ascii="Wingdings" w:hAnsi="Wingdings" w:hint="default"/>
      </w:rPr>
    </w:lvl>
    <w:lvl w:ilvl="4" w:tplc="17488186" w:tentative="1">
      <w:start w:val="1"/>
      <w:numFmt w:val="bullet"/>
      <w:lvlText w:val=""/>
      <w:lvlJc w:val="left"/>
      <w:pPr>
        <w:tabs>
          <w:tab w:val="num" w:pos="3600"/>
        </w:tabs>
        <w:ind w:left="3600" w:hanging="360"/>
      </w:pPr>
      <w:rPr>
        <w:rFonts w:ascii="Wingdings" w:hAnsi="Wingdings" w:hint="default"/>
      </w:rPr>
    </w:lvl>
    <w:lvl w:ilvl="5" w:tplc="685E3972" w:tentative="1">
      <w:start w:val="1"/>
      <w:numFmt w:val="bullet"/>
      <w:lvlText w:val=""/>
      <w:lvlJc w:val="left"/>
      <w:pPr>
        <w:tabs>
          <w:tab w:val="num" w:pos="4320"/>
        </w:tabs>
        <w:ind w:left="4320" w:hanging="360"/>
      </w:pPr>
      <w:rPr>
        <w:rFonts w:ascii="Wingdings" w:hAnsi="Wingdings" w:hint="default"/>
      </w:rPr>
    </w:lvl>
    <w:lvl w:ilvl="6" w:tplc="418E4F50" w:tentative="1">
      <w:start w:val="1"/>
      <w:numFmt w:val="bullet"/>
      <w:lvlText w:val=""/>
      <w:lvlJc w:val="left"/>
      <w:pPr>
        <w:tabs>
          <w:tab w:val="num" w:pos="5040"/>
        </w:tabs>
        <w:ind w:left="5040" w:hanging="360"/>
      </w:pPr>
      <w:rPr>
        <w:rFonts w:ascii="Wingdings" w:hAnsi="Wingdings" w:hint="default"/>
      </w:rPr>
    </w:lvl>
    <w:lvl w:ilvl="7" w:tplc="3DD810E2" w:tentative="1">
      <w:start w:val="1"/>
      <w:numFmt w:val="bullet"/>
      <w:lvlText w:val=""/>
      <w:lvlJc w:val="left"/>
      <w:pPr>
        <w:tabs>
          <w:tab w:val="num" w:pos="5760"/>
        </w:tabs>
        <w:ind w:left="5760" w:hanging="360"/>
      </w:pPr>
      <w:rPr>
        <w:rFonts w:ascii="Wingdings" w:hAnsi="Wingdings" w:hint="default"/>
      </w:rPr>
    </w:lvl>
    <w:lvl w:ilvl="8" w:tplc="F8C677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C62BA"/>
    <w:multiLevelType w:val="multilevel"/>
    <w:tmpl w:val="9246E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944A2"/>
    <w:multiLevelType w:val="multilevel"/>
    <w:tmpl w:val="69E6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F7920"/>
    <w:multiLevelType w:val="multilevel"/>
    <w:tmpl w:val="2F40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82128"/>
    <w:multiLevelType w:val="multilevel"/>
    <w:tmpl w:val="4B74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577B1"/>
    <w:multiLevelType w:val="multilevel"/>
    <w:tmpl w:val="417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83904"/>
    <w:multiLevelType w:val="multilevel"/>
    <w:tmpl w:val="1B2C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3160B"/>
    <w:multiLevelType w:val="multilevel"/>
    <w:tmpl w:val="BE2AEB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C6291"/>
    <w:multiLevelType w:val="multilevel"/>
    <w:tmpl w:val="319C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F784D"/>
    <w:multiLevelType w:val="multilevel"/>
    <w:tmpl w:val="EAC6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5E3F10"/>
    <w:multiLevelType w:val="multilevel"/>
    <w:tmpl w:val="26F0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3722A"/>
    <w:multiLevelType w:val="multilevel"/>
    <w:tmpl w:val="F5626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D77DC"/>
    <w:multiLevelType w:val="multilevel"/>
    <w:tmpl w:val="06AA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D145B"/>
    <w:multiLevelType w:val="multilevel"/>
    <w:tmpl w:val="4C3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8169B"/>
    <w:multiLevelType w:val="multilevel"/>
    <w:tmpl w:val="F90E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666318"/>
    <w:multiLevelType w:val="multilevel"/>
    <w:tmpl w:val="C28A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D69F0"/>
    <w:multiLevelType w:val="multilevel"/>
    <w:tmpl w:val="CC6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B599D"/>
    <w:multiLevelType w:val="multilevel"/>
    <w:tmpl w:val="425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400C07"/>
    <w:multiLevelType w:val="multilevel"/>
    <w:tmpl w:val="4614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224763"/>
    <w:multiLevelType w:val="multilevel"/>
    <w:tmpl w:val="D81E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17043A"/>
    <w:multiLevelType w:val="multilevel"/>
    <w:tmpl w:val="CC1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6D0412"/>
    <w:multiLevelType w:val="multilevel"/>
    <w:tmpl w:val="A0DA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003F56"/>
    <w:multiLevelType w:val="multilevel"/>
    <w:tmpl w:val="0C1E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EF7F62"/>
    <w:multiLevelType w:val="multilevel"/>
    <w:tmpl w:val="2C5E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373E98"/>
    <w:multiLevelType w:val="multilevel"/>
    <w:tmpl w:val="249C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0F0438"/>
    <w:multiLevelType w:val="multilevel"/>
    <w:tmpl w:val="2AB8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D65362"/>
    <w:multiLevelType w:val="multilevel"/>
    <w:tmpl w:val="23DA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1B1E21"/>
    <w:multiLevelType w:val="multilevel"/>
    <w:tmpl w:val="FE76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750312"/>
    <w:multiLevelType w:val="multilevel"/>
    <w:tmpl w:val="D664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8B5E17"/>
    <w:multiLevelType w:val="multilevel"/>
    <w:tmpl w:val="BEE0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482EB9"/>
    <w:multiLevelType w:val="multilevel"/>
    <w:tmpl w:val="38C0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C617DE"/>
    <w:multiLevelType w:val="multilevel"/>
    <w:tmpl w:val="AF06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9"/>
  </w:num>
  <w:num w:numId="3">
    <w:abstractNumId w:val="6"/>
  </w:num>
  <w:num w:numId="4">
    <w:abstractNumId w:val="32"/>
  </w:num>
  <w:num w:numId="5">
    <w:abstractNumId w:val="28"/>
  </w:num>
  <w:num w:numId="6">
    <w:abstractNumId w:val="0"/>
  </w:num>
  <w:num w:numId="7">
    <w:abstractNumId w:val="18"/>
  </w:num>
  <w:num w:numId="8">
    <w:abstractNumId w:val="24"/>
  </w:num>
  <w:num w:numId="9">
    <w:abstractNumId w:val="7"/>
  </w:num>
  <w:num w:numId="10">
    <w:abstractNumId w:val="17"/>
  </w:num>
  <w:num w:numId="11">
    <w:abstractNumId w:val="2"/>
  </w:num>
  <w:num w:numId="12">
    <w:abstractNumId w:val="3"/>
  </w:num>
  <w:num w:numId="13">
    <w:abstractNumId w:val="16"/>
  </w:num>
  <w:num w:numId="14">
    <w:abstractNumId w:val="22"/>
  </w:num>
  <w:num w:numId="15">
    <w:abstractNumId w:val="10"/>
  </w:num>
  <w:num w:numId="16">
    <w:abstractNumId w:val="37"/>
  </w:num>
  <w:num w:numId="17">
    <w:abstractNumId w:val="19"/>
  </w:num>
  <w:num w:numId="18">
    <w:abstractNumId w:val="30"/>
  </w:num>
  <w:num w:numId="19">
    <w:abstractNumId w:val="20"/>
  </w:num>
  <w:num w:numId="20">
    <w:abstractNumId w:val="8"/>
  </w:num>
  <w:num w:numId="21">
    <w:abstractNumId w:val="26"/>
  </w:num>
  <w:num w:numId="22">
    <w:abstractNumId w:val="34"/>
  </w:num>
  <w:num w:numId="23">
    <w:abstractNumId w:val="35"/>
  </w:num>
  <w:num w:numId="24">
    <w:abstractNumId w:val="5"/>
  </w:num>
  <w:num w:numId="25">
    <w:abstractNumId w:val="25"/>
  </w:num>
  <w:num w:numId="26">
    <w:abstractNumId w:val="23"/>
  </w:num>
  <w:num w:numId="27">
    <w:abstractNumId w:val="14"/>
  </w:num>
  <w:num w:numId="28">
    <w:abstractNumId w:val="11"/>
  </w:num>
  <w:num w:numId="29">
    <w:abstractNumId w:val="1"/>
  </w:num>
  <w:num w:numId="30">
    <w:abstractNumId w:val="27"/>
  </w:num>
  <w:num w:numId="31">
    <w:abstractNumId w:val="4"/>
  </w:num>
  <w:num w:numId="32">
    <w:abstractNumId w:val="33"/>
  </w:num>
  <w:num w:numId="33">
    <w:abstractNumId w:val="12"/>
  </w:num>
  <w:num w:numId="34">
    <w:abstractNumId w:val="15"/>
  </w:num>
  <w:num w:numId="35">
    <w:abstractNumId w:val="36"/>
  </w:num>
  <w:num w:numId="36">
    <w:abstractNumId w:val="21"/>
  </w:num>
  <w:num w:numId="37">
    <w:abstractNumId w:val="3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1C"/>
    <w:rsid w:val="000046CC"/>
    <w:rsid w:val="00012657"/>
    <w:rsid w:val="00012687"/>
    <w:rsid w:val="0004206E"/>
    <w:rsid w:val="000602ED"/>
    <w:rsid w:val="00065E88"/>
    <w:rsid w:val="000712D5"/>
    <w:rsid w:val="00096858"/>
    <w:rsid w:val="000A5B17"/>
    <w:rsid w:val="000C5235"/>
    <w:rsid w:val="000D0159"/>
    <w:rsid w:val="000E0F4A"/>
    <w:rsid w:val="000F1C08"/>
    <w:rsid w:val="000F6B46"/>
    <w:rsid w:val="0010411A"/>
    <w:rsid w:val="00120C48"/>
    <w:rsid w:val="0016008A"/>
    <w:rsid w:val="001A08CC"/>
    <w:rsid w:val="001A734F"/>
    <w:rsid w:val="001B2A9B"/>
    <w:rsid w:val="001E3D71"/>
    <w:rsid w:val="001E6B48"/>
    <w:rsid w:val="002020D8"/>
    <w:rsid w:val="00242A33"/>
    <w:rsid w:val="00252CCD"/>
    <w:rsid w:val="0025594C"/>
    <w:rsid w:val="002628C4"/>
    <w:rsid w:val="00280D62"/>
    <w:rsid w:val="00287E0C"/>
    <w:rsid w:val="002A7A95"/>
    <w:rsid w:val="002C51B0"/>
    <w:rsid w:val="002E03B8"/>
    <w:rsid w:val="002F042F"/>
    <w:rsid w:val="002F5806"/>
    <w:rsid w:val="00312944"/>
    <w:rsid w:val="003140AD"/>
    <w:rsid w:val="00317F14"/>
    <w:rsid w:val="00346823"/>
    <w:rsid w:val="003560EA"/>
    <w:rsid w:val="00371F50"/>
    <w:rsid w:val="0038383C"/>
    <w:rsid w:val="00391E6D"/>
    <w:rsid w:val="00395900"/>
    <w:rsid w:val="003A0176"/>
    <w:rsid w:val="003F3B26"/>
    <w:rsid w:val="004016F3"/>
    <w:rsid w:val="004044DD"/>
    <w:rsid w:val="00407667"/>
    <w:rsid w:val="00425127"/>
    <w:rsid w:val="00431DD2"/>
    <w:rsid w:val="00435AE3"/>
    <w:rsid w:val="004372F3"/>
    <w:rsid w:val="00444B29"/>
    <w:rsid w:val="004808B7"/>
    <w:rsid w:val="00482DE8"/>
    <w:rsid w:val="004C30EF"/>
    <w:rsid w:val="004C58D9"/>
    <w:rsid w:val="004D3705"/>
    <w:rsid w:val="004D7B33"/>
    <w:rsid w:val="004E0A48"/>
    <w:rsid w:val="00527646"/>
    <w:rsid w:val="0056007F"/>
    <w:rsid w:val="005652F5"/>
    <w:rsid w:val="005949C6"/>
    <w:rsid w:val="005978F1"/>
    <w:rsid w:val="005A5B40"/>
    <w:rsid w:val="005A73F5"/>
    <w:rsid w:val="005B1843"/>
    <w:rsid w:val="005D0A56"/>
    <w:rsid w:val="005D5AFB"/>
    <w:rsid w:val="0060495B"/>
    <w:rsid w:val="006334D1"/>
    <w:rsid w:val="0063447B"/>
    <w:rsid w:val="00634832"/>
    <w:rsid w:val="00634A2E"/>
    <w:rsid w:val="006562BF"/>
    <w:rsid w:val="00664D9A"/>
    <w:rsid w:val="00675FE5"/>
    <w:rsid w:val="006B366F"/>
    <w:rsid w:val="006D3515"/>
    <w:rsid w:val="006D7F75"/>
    <w:rsid w:val="006E3539"/>
    <w:rsid w:val="006F4D36"/>
    <w:rsid w:val="00726C6E"/>
    <w:rsid w:val="00737C4A"/>
    <w:rsid w:val="0074361C"/>
    <w:rsid w:val="00755623"/>
    <w:rsid w:val="0076785D"/>
    <w:rsid w:val="00773E74"/>
    <w:rsid w:val="00792F48"/>
    <w:rsid w:val="00794CB5"/>
    <w:rsid w:val="00795B03"/>
    <w:rsid w:val="007B41D8"/>
    <w:rsid w:val="008023F4"/>
    <w:rsid w:val="00823809"/>
    <w:rsid w:val="00827797"/>
    <w:rsid w:val="00830C70"/>
    <w:rsid w:val="0083379E"/>
    <w:rsid w:val="0085782C"/>
    <w:rsid w:val="0088030F"/>
    <w:rsid w:val="008A16AB"/>
    <w:rsid w:val="008D3F97"/>
    <w:rsid w:val="009075AB"/>
    <w:rsid w:val="00924732"/>
    <w:rsid w:val="00931C83"/>
    <w:rsid w:val="00932AAF"/>
    <w:rsid w:val="00934889"/>
    <w:rsid w:val="009573DB"/>
    <w:rsid w:val="00997564"/>
    <w:rsid w:val="009B4EC3"/>
    <w:rsid w:val="009B70DD"/>
    <w:rsid w:val="009C31A1"/>
    <w:rsid w:val="009D16E1"/>
    <w:rsid w:val="009F51AC"/>
    <w:rsid w:val="00A1579C"/>
    <w:rsid w:val="00A4153F"/>
    <w:rsid w:val="00A43E8C"/>
    <w:rsid w:val="00A54459"/>
    <w:rsid w:val="00A82CD5"/>
    <w:rsid w:val="00AB0FF5"/>
    <w:rsid w:val="00AB439D"/>
    <w:rsid w:val="00AC6CF3"/>
    <w:rsid w:val="00AD052C"/>
    <w:rsid w:val="00AD0AB7"/>
    <w:rsid w:val="00AD2A52"/>
    <w:rsid w:val="00AD35B0"/>
    <w:rsid w:val="00AE1FE2"/>
    <w:rsid w:val="00AF4735"/>
    <w:rsid w:val="00AF4F91"/>
    <w:rsid w:val="00AF6967"/>
    <w:rsid w:val="00B03025"/>
    <w:rsid w:val="00B91D83"/>
    <w:rsid w:val="00BA327E"/>
    <w:rsid w:val="00BB731C"/>
    <w:rsid w:val="00BD7BFE"/>
    <w:rsid w:val="00BE02B4"/>
    <w:rsid w:val="00BF6375"/>
    <w:rsid w:val="00C2207C"/>
    <w:rsid w:val="00C57130"/>
    <w:rsid w:val="00C85F95"/>
    <w:rsid w:val="00C953A3"/>
    <w:rsid w:val="00CA388A"/>
    <w:rsid w:val="00CA3EA8"/>
    <w:rsid w:val="00CB1481"/>
    <w:rsid w:val="00CB5BB2"/>
    <w:rsid w:val="00CC38DD"/>
    <w:rsid w:val="00CC5390"/>
    <w:rsid w:val="00CC5CD4"/>
    <w:rsid w:val="00CE4538"/>
    <w:rsid w:val="00CE5199"/>
    <w:rsid w:val="00CE592E"/>
    <w:rsid w:val="00CE7B2B"/>
    <w:rsid w:val="00CF0C6B"/>
    <w:rsid w:val="00D0237D"/>
    <w:rsid w:val="00D13B8C"/>
    <w:rsid w:val="00D14BE3"/>
    <w:rsid w:val="00D2739A"/>
    <w:rsid w:val="00D353EA"/>
    <w:rsid w:val="00D74029"/>
    <w:rsid w:val="00D80C77"/>
    <w:rsid w:val="00D965A9"/>
    <w:rsid w:val="00DC3DC9"/>
    <w:rsid w:val="00DF22D5"/>
    <w:rsid w:val="00DF5563"/>
    <w:rsid w:val="00E14F3F"/>
    <w:rsid w:val="00E17638"/>
    <w:rsid w:val="00E42E7D"/>
    <w:rsid w:val="00E52AF2"/>
    <w:rsid w:val="00E66735"/>
    <w:rsid w:val="00E75D12"/>
    <w:rsid w:val="00E80DE0"/>
    <w:rsid w:val="00E90EF9"/>
    <w:rsid w:val="00E92DD2"/>
    <w:rsid w:val="00E94423"/>
    <w:rsid w:val="00EA0ABF"/>
    <w:rsid w:val="00EA15DA"/>
    <w:rsid w:val="00EA4DF8"/>
    <w:rsid w:val="00ED1FCF"/>
    <w:rsid w:val="00F07348"/>
    <w:rsid w:val="00F11F54"/>
    <w:rsid w:val="00F14AC8"/>
    <w:rsid w:val="00F16F6F"/>
    <w:rsid w:val="00F20658"/>
    <w:rsid w:val="00F2671E"/>
    <w:rsid w:val="00F435E7"/>
    <w:rsid w:val="00F635C4"/>
    <w:rsid w:val="00F64924"/>
    <w:rsid w:val="00F70874"/>
    <w:rsid w:val="00F74498"/>
    <w:rsid w:val="00F8499C"/>
    <w:rsid w:val="00FB3308"/>
    <w:rsid w:val="00FC283E"/>
    <w:rsid w:val="00FD4E95"/>
    <w:rsid w:val="00FE2613"/>
    <w:rsid w:val="00FF57FB"/>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F902B6"/>
  <w15:chartTrackingRefBased/>
  <w15:docId w15:val="{D6787925-8342-46FA-915B-2AA1D0F54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4D1"/>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link w:val="Heading2Char"/>
    <w:uiPriority w:val="9"/>
    <w:qFormat/>
    <w:rsid w:val="00482DE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A82C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2DE8"/>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482DE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82DE8"/>
    <w:rPr>
      <w:b/>
      <w:bCs/>
    </w:rPr>
  </w:style>
  <w:style w:type="character" w:styleId="HTMLCode">
    <w:name w:val="HTML Code"/>
    <w:basedOn w:val="DefaultParagraphFont"/>
    <w:uiPriority w:val="99"/>
    <w:semiHidden/>
    <w:unhideWhenUsed/>
    <w:rsid w:val="00482DE8"/>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6334D1"/>
    <w:rPr>
      <w:rFonts w:asciiTheme="majorHAnsi" w:eastAsiaTheme="majorEastAsia" w:hAnsiTheme="majorHAnsi" w:cstheme="majorBidi"/>
      <w:color w:val="2E74B5" w:themeColor="accent1" w:themeShade="BF"/>
      <w:sz w:val="32"/>
      <w:szCs w:val="32"/>
      <w:lang w:val="en-US"/>
    </w:rPr>
  </w:style>
  <w:style w:type="paragraph" w:styleId="Caption">
    <w:name w:val="caption"/>
    <w:basedOn w:val="Normal"/>
    <w:next w:val="Normal"/>
    <w:uiPriority w:val="35"/>
    <w:unhideWhenUsed/>
    <w:qFormat/>
    <w:rsid w:val="006334D1"/>
    <w:pPr>
      <w:spacing w:after="200" w:line="240" w:lineRule="auto"/>
    </w:pPr>
    <w:rPr>
      <w:i/>
      <w:iCs/>
      <w:color w:val="44546A" w:themeColor="text2"/>
      <w:sz w:val="18"/>
      <w:szCs w:val="18"/>
    </w:rPr>
  </w:style>
  <w:style w:type="character" w:styleId="Hyperlink">
    <w:name w:val="Hyperlink"/>
    <w:basedOn w:val="DefaultParagraphFont"/>
    <w:uiPriority w:val="99"/>
    <w:unhideWhenUsed/>
    <w:rsid w:val="006334D1"/>
    <w:rPr>
      <w:color w:val="0563C1" w:themeColor="hyperlink"/>
      <w:u w:val="single"/>
    </w:rPr>
  </w:style>
  <w:style w:type="character" w:styleId="FollowedHyperlink">
    <w:name w:val="FollowedHyperlink"/>
    <w:basedOn w:val="DefaultParagraphFont"/>
    <w:uiPriority w:val="99"/>
    <w:semiHidden/>
    <w:unhideWhenUsed/>
    <w:rsid w:val="006334D1"/>
    <w:rPr>
      <w:color w:val="954F72" w:themeColor="followedHyperlink"/>
      <w:u w:val="single"/>
    </w:rPr>
  </w:style>
  <w:style w:type="character" w:customStyle="1" w:styleId="UnresolvedMention1">
    <w:name w:val="Unresolved Mention1"/>
    <w:basedOn w:val="DefaultParagraphFont"/>
    <w:uiPriority w:val="99"/>
    <w:semiHidden/>
    <w:unhideWhenUsed/>
    <w:rsid w:val="006334D1"/>
    <w:rPr>
      <w:color w:val="605E5C"/>
      <w:shd w:val="clear" w:color="auto" w:fill="E1DFDD"/>
    </w:rPr>
  </w:style>
  <w:style w:type="paragraph" w:styleId="ListParagraph">
    <w:name w:val="List Paragraph"/>
    <w:basedOn w:val="Normal"/>
    <w:uiPriority w:val="34"/>
    <w:qFormat/>
    <w:rsid w:val="006334D1"/>
    <w:pPr>
      <w:ind w:left="720"/>
      <w:contextualSpacing/>
    </w:pPr>
  </w:style>
  <w:style w:type="table" w:styleId="ListTable4-Accent6">
    <w:name w:val="List Table 4 Accent 6"/>
    <w:basedOn w:val="TableNormal"/>
    <w:uiPriority w:val="49"/>
    <w:rsid w:val="006334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633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6334D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6334D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633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4D1"/>
  </w:style>
  <w:style w:type="paragraph" w:styleId="Footer">
    <w:name w:val="footer"/>
    <w:basedOn w:val="Normal"/>
    <w:link w:val="FooterChar"/>
    <w:uiPriority w:val="99"/>
    <w:unhideWhenUsed/>
    <w:rsid w:val="00633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4D1"/>
  </w:style>
  <w:style w:type="character" w:styleId="PlaceholderText">
    <w:name w:val="Placeholder Text"/>
    <w:basedOn w:val="DefaultParagraphFont"/>
    <w:uiPriority w:val="99"/>
    <w:semiHidden/>
    <w:rsid w:val="006334D1"/>
    <w:rPr>
      <w:color w:val="808080"/>
    </w:rPr>
  </w:style>
  <w:style w:type="character" w:customStyle="1" w:styleId="UnresolvedMention2">
    <w:name w:val="Unresolved Mention2"/>
    <w:basedOn w:val="DefaultParagraphFont"/>
    <w:uiPriority w:val="99"/>
    <w:semiHidden/>
    <w:unhideWhenUsed/>
    <w:rsid w:val="006334D1"/>
    <w:rPr>
      <w:color w:val="605E5C"/>
      <w:shd w:val="clear" w:color="auto" w:fill="E1DFDD"/>
    </w:rPr>
  </w:style>
  <w:style w:type="character" w:customStyle="1" w:styleId="UnresolvedMention3">
    <w:name w:val="Unresolved Mention3"/>
    <w:basedOn w:val="DefaultParagraphFont"/>
    <w:uiPriority w:val="99"/>
    <w:semiHidden/>
    <w:unhideWhenUsed/>
    <w:rsid w:val="006334D1"/>
    <w:rPr>
      <w:color w:val="605E5C"/>
      <w:shd w:val="clear" w:color="auto" w:fill="E1DFDD"/>
    </w:rPr>
  </w:style>
  <w:style w:type="character" w:styleId="LineNumber">
    <w:name w:val="line number"/>
    <w:basedOn w:val="DefaultParagraphFont"/>
    <w:uiPriority w:val="99"/>
    <w:semiHidden/>
    <w:unhideWhenUsed/>
    <w:rsid w:val="006334D1"/>
  </w:style>
  <w:style w:type="character" w:customStyle="1" w:styleId="UnresolvedMention4">
    <w:name w:val="Unresolved Mention4"/>
    <w:basedOn w:val="DefaultParagraphFont"/>
    <w:uiPriority w:val="99"/>
    <w:semiHidden/>
    <w:unhideWhenUsed/>
    <w:rsid w:val="006334D1"/>
    <w:rPr>
      <w:color w:val="605E5C"/>
      <w:shd w:val="clear" w:color="auto" w:fill="E1DFDD"/>
    </w:rPr>
  </w:style>
  <w:style w:type="table" w:styleId="PlainTable3">
    <w:name w:val="Plain Table 3"/>
    <w:basedOn w:val="TableNormal"/>
    <w:uiPriority w:val="43"/>
    <w:rsid w:val="006334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334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33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334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6334D1"/>
    <w:pPr>
      <w:spacing w:after="0" w:line="240" w:lineRule="auto"/>
    </w:pPr>
  </w:style>
  <w:style w:type="table" w:styleId="PlainTable4">
    <w:name w:val="Plain Table 4"/>
    <w:basedOn w:val="TableNormal"/>
    <w:uiPriority w:val="44"/>
    <w:rsid w:val="006334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6334D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34D1"/>
    <w:rPr>
      <w:rFonts w:ascii="Consolas" w:hAnsi="Consolas"/>
      <w:sz w:val="20"/>
      <w:szCs w:val="20"/>
    </w:rPr>
  </w:style>
  <w:style w:type="character" w:customStyle="1" w:styleId="Heading3Char">
    <w:name w:val="Heading 3 Char"/>
    <w:basedOn w:val="DefaultParagraphFont"/>
    <w:link w:val="Heading3"/>
    <w:uiPriority w:val="9"/>
    <w:semiHidden/>
    <w:rsid w:val="00A82CD5"/>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A82CD5"/>
    <w:rPr>
      <w:i/>
      <w:iCs/>
    </w:rPr>
  </w:style>
  <w:style w:type="character" w:customStyle="1" w:styleId="8">
    <w:name w:val="ͼ8"/>
    <w:basedOn w:val="DefaultParagraphFont"/>
    <w:rsid w:val="00A82CD5"/>
  </w:style>
  <w:style w:type="character" w:customStyle="1" w:styleId="e">
    <w:name w:val="ͼe"/>
    <w:basedOn w:val="DefaultParagraphFont"/>
    <w:rsid w:val="00A82CD5"/>
  </w:style>
  <w:style w:type="character" w:customStyle="1" w:styleId="6">
    <w:name w:val="ͼ6"/>
    <w:basedOn w:val="DefaultParagraphFont"/>
    <w:rsid w:val="00A82CD5"/>
  </w:style>
  <w:style w:type="character" w:customStyle="1" w:styleId="b">
    <w:name w:val="ͼb"/>
    <w:basedOn w:val="DefaultParagraphFont"/>
    <w:rsid w:val="00A82CD5"/>
  </w:style>
  <w:style w:type="character" w:customStyle="1" w:styleId="c">
    <w:name w:val="ͼc"/>
    <w:basedOn w:val="DefaultParagraphFont"/>
    <w:rsid w:val="00A82CD5"/>
  </w:style>
  <w:style w:type="character" w:customStyle="1" w:styleId="katex-mathml">
    <w:name w:val="katex-mathml"/>
    <w:basedOn w:val="DefaultParagraphFont"/>
    <w:rsid w:val="00A82CD5"/>
  </w:style>
  <w:style w:type="character" w:customStyle="1" w:styleId="mord">
    <w:name w:val="mord"/>
    <w:basedOn w:val="DefaultParagraphFont"/>
    <w:rsid w:val="00A82CD5"/>
  </w:style>
  <w:style w:type="character" w:customStyle="1" w:styleId="mrel">
    <w:name w:val="mrel"/>
    <w:basedOn w:val="DefaultParagraphFont"/>
    <w:rsid w:val="00A82CD5"/>
  </w:style>
  <w:style w:type="character" w:customStyle="1" w:styleId="mopen">
    <w:name w:val="mopen"/>
    <w:basedOn w:val="DefaultParagraphFont"/>
    <w:rsid w:val="00A82CD5"/>
  </w:style>
  <w:style w:type="character" w:customStyle="1" w:styleId="vlist-s">
    <w:name w:val="vlist-s"/>
    <w:basedOn w:val="DefaultParagraphFont"/>
    <w:rsid w:val="00A82CD5"/>
  </w:style>
  <w:style w:type="character" w:customStyle="1" w:styleId="mop">
    <w:name w:val="mop"/>
    <w:basedOn w:val="DefaultParagraphFont"/>
    <w:rsid w:val="00A82CD5"/>
  </w:style>
  <w:style w:type="character" w:customStyle="1" w:styleId="mbin">
    <w:name w:val="mbin"/>
    <w:basedOn w:val="DefaultParagraphFont"/>
    <w:rsid w:val="00A82CD5"/>
  </w:style>
  <w:style w:type="character" w:customStyle="1" w:styleId="mclose">
    <w:name w:val="mclose"/>
    <w:basedOn w:val="DefaultParagraphFont"/>
    <w:rsid w:val="00A82CD5"/>
  </w:style>
  <w:style w:type="character" w:customStyle="1" w:styleId="UnresolvedMention5">
    <w:name w:val="Unresolved Mention5"/>
    <w:basedOn w:val="DefaultParagraphFont"/>
    <w:uiPriority w:val="99"/>
    <w:semiHidden/>
    <w:unhideWhenUsed/>
    <w:rsid w:val="00096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500">
      <w:marLeft w:val="480"/>
      <w:marRight w:val="0"/>
      <w:marTop w:val="0"/>
      <w:marBottom w:val="0"/>
      <w:divBdr>
        <w:top w:val="none" w:sz="0" w:space="0" w:color="auto"/>
        <w:left w:val="none" w:sz="0" w:space="0" w:color="auto"/>
        <w:bottom w:val="none" w:sz="0" w:space="0" w:color="auto"/>
        <w:right w:val="none" w:sz="0" w:space="0" w:color="auto"/>
      </w:divBdr>
    </w:div>
    <w:div w:id="7098813">
      <w:marLeft w:val="480"/>
      <w:marRight w:val="0"/>
      <w:marTop w:val="0"/>
      <w:marBottom w:val="0"/>
      <w:divBdr>
        <w:top w:val="none" w:sz="0" w:space="0" w:color="auto"/>
        <w:left w:val="none" w:sz="0" w:space="0" w:color="auto"/>
        <w:bottom w:val="none" w:sz="0" w:space="0" w:color="auto"/>
        <w:right w:val="none" w:sz="0" w:space="0" w:color="auto"/>
      </w:divBdr>
    </w:div>
    <w:div w:id="13459714">
      <w:marLeft w:val="480"/>
      <w:marRight w:val="0"/>
      <w:marTop w:val="0"/>
      <w:marBottom w:val="0"/>
      <w:divBdr>
        <w:top w:val="none" w:sz="0" w:space="0" w:color="auto"/>
        <w:left w:val="none" w:sz="0" w:space="0" w:color="auto"/>
        <w:bottom w:val="none" w:sz="0" w:space="0" w:color="auto"/>
        <w:right w:val="none" w:sz="0" w:space="0" w:color="auto"/>
      </w:divBdr>
    </w:div>
    <w:div w:id="29234898">
      <w:marLeft w:val="480"/>
      <w:marRight w:val="0"/>
      <w:marTop w:val="0"/>
      <w:marBottom w:val="0"/>
      <w:divBdr>
        <w:top w:val="none" w:sz="0" w:space="0" w:color="auto"/>
        <w:left w:val="none" w:sz="0" w:space="0" w:color="auto"/>
        <w:bottom w:val="none" w:sz="0" w:space="0" w:color="auto"/>
        <w:right w:val="none" w:sz="0" w:space="0" w:color="auto"/>
      </w:divBdr>
    </w:div>
    <w:div w:id="33316627">
      <w:marLeft w:val="480"/>
      <w:marRight w:val="0"/>
      <w:marTop w:val="0"/>
      <w:marBottom w:val="0"/>
      <w:divBdr>
        <w:top w:val="none" w:sz="0" w:space="0" w:color="auto"/>
        <w:left w:val="none" w:sz="0" w:space="0" w:color="auto"/>
        <w:bottom w:val="none" w:sz="0" w:space="0" w:color="auto"/>
        <w:right w:val="none" w:sz="0" w:space="0" w:color="auto"/>
      </w:divBdr>
    </w:div>
    <w:div w:id="33897227">
      <w:marLeft w:val="480"/>
      <w:marRight w:val="0"/>
      <w:marTop w:val="0"/>
      <w:marBottom w:val="0"/>
      <w:divBdr>
        <w:top w:val="none" w:sz="0" w:space="0" w:color="auto"/>
        <w:left w:val="none" w:sz="0" w:space="0" w:color="auto"/>
        <w:bottom w:val="none" w:sz="0" w:space="0" w:color="auto"/>
        <w:right w:val="none" w:sz="0" w:space="0" w:color="auto"/>
      </w:divBdr>
    </w:div>
    <w:div w:id="42875713">
      <w:marLeft w:val="480"/>
      <w:marRight w:val="0"/>
      <w:marTop w:val="0"/>
      <w:marBottom w:val="0"/>
      <w:divBdr>
        <w:top w:val="none" w:sz="0" w:space="0" w:color="auto"/>
        <w:left w:val="none" w:sz="0" w:space="0" w:color="auto"/>
        <w:bottom w:val="none" w:sz="0" w:space="0" w:color="auto"/>
        <w:right w:val="none" w:sz="0" w:space="0" w:color="auto"/>
      </w:divBdr>
    </w:div>
    <w:div w:id="68314747">
      <w:marLeft w:val="480"/>
      <w:marRight w:val="0"/>
      <w:marTop w:val="0"/>
      <w:marBottom w:val="0"/>
      <w:divBdr>
        <w:top w:val="none" w:sz="0" w:space="0" w:color="auto"/>
        <w:left w:val="none" w:sz="0" w:space="0" w:color="auto"/>
        <w:bottom w:val="none" w:sz="0" w:space="0" w:color="auto"/>
        <w:right w:val="none" w:sz="0" w:space="0" w:color="auto"/>
      </w:divBdr>
    </w:div>
    <w:div w:id="84614611">
      <w:marLeft w:val="480"/>
      <w:marRight w:val="0"/>
      <w:marTop w:val="0"/>
      <w:marBottom w:val="0"/>
      <w:divBdr>
        <w:top w:val="none" w:sz="0" w:space="0" w:color="auto"/>
        <w:left w:val="none" w:sz="0" w:space="0" w:color="auto"/>
        <w:bottom w:val="none" w:sz="0" w:space="0" w:color="auto"/>
        <w:right w:val="none" w:sz="0" w:space="0" w:color="auto"/>
      </w:divBdr>
    </w:div>
    <w:div w:id="99640912">
      <w:marLeft w:val="480"/>
      <w:marRight w:val="0"/>
      <w:marTop w:val="0"/>
      <w:marBottom w:val="0"/>
      <w:divBdr>
        <w:top w:val="none" w:sz="0" w:space="0" w:color="auto"/>
        <w:left w:val="none" w:sz="0" w:space="0" w:color="auto"/>
        <w:bottom w:val="none" w:sz="0" w:space="0" w:color="auto"/>
        <w:right w:val="none" w:sz="0" w:space="0" w:color="auto"/>
      </w:divBdr>
    </w:div>
    <w:div w:id="100806542">
      <w:marLeft w:val="480"/>
      <w:marRight w:val="0"/>
      <w:marTop w:val="0"/>
      <w:marBottom w:val="0"/>
      <w:divBdr>
        <w:top w:val="none" w:sz="0" w:space="0" w:color="auto"/>
        <w:left w:val="none" w:sz="0" w:space="0" w:color="auto"/>
        <w:bottom w:val="none" w:sz="0" w:space="0" w:color="auto"/>
        <w:right w:val="none" w:sz="0" w:space="0" w:color="auto"/>
      </w:divBdr>
    </w:div>
    <w:div w:id="101148261">
      <w:marLeft w:val="480"/>
      <w:marRight w:val="0"/>
      <w:marTop w:val="0"/>
      <w:marBottom w:val="0"/>
      <w:divBdr>
        <w:top w:val="none" w:sz="0" w:space="0" w:color="auto"/>
        <w:left w:val="none" w:sz="0" w:space="0" w:color="auto"/>
        <w:bottom w:val="none" w:sz="0" w:space="0" w:color="auto"/>
        <w:right w:val="none" w:sz="0" w:space="0" w:color="auto"/>
      </w:divBdr>
    </w:div>
    <w:div w:id="120853391">
      <w:marLeft w:val="480"/>
      <w:marRight w:val="0"/>
      <w:marTop w:val="0"/>
      <w:marBottom w:val="0"/>
      <w:divBdr>
        <w:top w:val="none" w:sz="0" w:space="0" w:color="auto"/>
        <w:left w:val="none" w:sz="0" w:space="0" w:color="auto"/>
        <w:bottom w:val="none" w:sz="0" w:space="0" w:color="auto"/>
        <w:right w:val="none" w:sz="0" w:space="0" w:color="auto"/>
      </w:divBdr>
    </w:div>
    <w:div w:id="157119643">
      <w:marLeft w:val="480"/>
      <w:marRight w:val="0"/>
      <w:marTop w:val="0"/>
      <w:marBottom w:val="0"/>
      <w:divBdr>
        <w:top w:val="none" w:sz="0" w:space="0" w:color="auto"/>
        <w:left w:val="none" w:sz="0" w:space="0" w:color="auto"/>
        <w:bottom w:val="none" w:sz="0" w:space="0" w:color="auto"/>
        <w:right w:val="none" w:sz="0" w:space="0" w:color="auto"/>
      </w:divBdr>
    </w:div>
    <w:div w:id="179200002">
      <w:marLeft w:val="480"/>
      <w:marRight w:val="0"/>
      <w:marTop w:val="0"/>
      <w:marBottom w:val="0"/>
      <w:divBdr>
        <w:top w:val="none" w:sz="0" w:space="0" w:color="auto"/>
        <w:left w:val="none" w:sz="0" w:space="0" w:color="auto"/>
        <w:bottom w:val="none" w:sz="0" w:space="0" w:color="auto"/>
        <w:right w:val="none" w:sz="0" w:space="0" w:color="auto"/>
      </w:divBdr>
    </w:div>
    <w:div w:id="179322378">
      <w:marLeft w:val="480"/>
      <w:marRight w:val="0"/>
      <w:marTop w:val="0"/>
      <w:marBottom w:val="0"/>
      <w:divBdr>
        <w:top w:val="none" w:sz="0" w:space="0" w:color="auto"/>
        <w:left w:val="none" w:sz="0" w:space="0" w:color="auto"/>
        <w:bottom w:val="none" w:sz="0" w:space="0" w:color="auto"/>
        <w:right w:val="none" w:sz="0" w:space="0" w:color="auto"/>
      </w:divBdr>
    </w:div>
    <w:div w:id="199899259">
      <w:marLeft w:val="480"/>
      <w:marRight w:val="0"/>
      <w:marTop w:val="0"/>
      <w:marBottom w:val="0"/>
      <w:divBdr>
        <w:top w:val="none" w:sz="0" w:space="0" w:color="auto"/>
        <w:left w:val="none" w:sz="0" w:space="0" w:color="auto"/>
        <w:bottom w:val="none" w:sz="0" w:space="0" w:color="auto"/>
        <w:right w:val="none" w:sz="0" w:space="0" w:color="auto"/>
      </w:divBdr>
    </w:div>
    <w:div w:id="207954729">
      <w:marLeft w:val="480"/>
      <w:marRight w:val="0"/>
      <w:marTop w:val="0"/>
      <w:marBottom w:val="0"/>
      <w:divBdr>
        <w:top w:val="none" w:sz="0" w:space="0" w:color="auto"/>
        <w:left w:val="none" w:sz="0" w:space="0" w:color="auto"/>
        <w:bottom w:val="none" w:sz="0" w:space="0" w:color="auto"/>
        <w:right w:val="none" w:sz="0" w:space="0" w:color="auto"/>
      </w:divBdr>
    </w:div>
    <w:div w:id="208494056">
      <w:marLeft w:val="480"/>
      <w:marRight w:val="0"/>
      <w:marTop w:val="0"/>
      <w:marBottom w:val="0"/>
      <w:divBdr>
        <w:top w:val="none" w:sz="0" w:space="0" w:color="auto"/>
        <w:left w:val="none" w:sz="0" w:space="0" w:color="auto"/>
        <w:bottom w:val="none" w:sz="0" w:space="0" w:color="auto"/>
        <w:right w:val="none" w:sz="0" w:space="0" w:color="auto"/>
      </w:divBdr>
    </w:div>
    <w:div w:id="209270246">
      <w:marLeft w:val="480"/>
      <w:marRight w:val="0"/>
      <w:marTop w:val="0"/>
      <w:marBottom w:val="0"/>
      <w:divBdr>
        <w:top w:val="none" w:sz="0" w:space="0" w:color="auto"/>
        <w:left w:val="none" w:sz="0" w:space="0" w:color="auto"/>
        <w:bottom w:val="none" w:sz="0" w:space="0" w:color="auto"/>
        <w:right w:val="none" w:sz="0" w:space="0" w:color="auto"/>
      </w:divBdr>
    </w:div>
    <w:div w:id="213782839">
      <w:marLeft w:val="480"/>
      <w:marRight w:val="0"/>
      <w:marTop w:val="0"/>
      <w:marBottom w:val="0"/>
      <w:divBdr>
        <w:top w:val="none" w:sz="0" w:space="0" w:color="auto"/>
        <w:left w:val="none" w:sz="0" w:space="0" w:color="auto"/>
        <w:bottom w:val="none" w:sz="0" w:space="0" w:color="auto"/>
        <w:right w:val="none" w:sz="0" w:space="0" w:color="auto"/>
      </w:divBdr>
    </w:div>
    <w:div w:id="220100724">
      <w:marLeft w:val="480"/>
      <w:marRight w:val="0"/>
      <w:marTop w:val="0"/>
      <w:marBottom w:val="0"/>
      <w:divBdr>
        <w:top w:val="none" w:sz="0" w:space="0" w:color="auto"/>
        <w:left w:val="none" w:sz="0" w:space="0" w:color="auto"/>
        <w:bottom w:val="none" w:sz="0" w:space="0" w:color="auto"/>
        <w:right w:val="none" w:sz="0" w:space="0" w:color="auto"/>
      </w:divBdr>
    </w:div>
    <w:div w:id="236062684">
      <w:bodyDiv w:val="1"/>
      <w:marLeft w:val="0"/>
      <w:marRight w:val="0"/>
      <w:marTop w:val="0"/>
      <w:marBottom w:val="0"/>
      <w:divBdr>
        <w:top w:val="none" w:sz="0" w:space="0" w:color="auto"/>
        <w:left w:val="none" w:sz="0" w:space="0" w:color="auto"/>
        <w:bottom w:val="none" w:sz="0" w:space="0" w:color="auto"/>
        <w:right w:val="none" w:sz="0" w:space="0" w:color="auto"/>
      </w:divBdr>
    </w:div>
    <w:div w:id="236945142">
      <w:marLeft w:val="480"/>
      <w:marRight w:val="0"/>
      <w:marTop w:val="0"/>
      <w:marBottom w:val="0"/>
      <w:divBdr>
        <w:top w:val="none" w:sz="0" w:space="0" w:color="auto"/>
        <w:left w:val="none" w:sz="0" w:space="0" w:color="auto"/>
        <w:bottom w:val="none" w:sz="0" w:space="0" w:color="auto"/>
        <w:right w:val="none" w:sz="0" w:space="0" w:color="auto"/>
      </w:divBdr>
    </w:div>
    <w:div w:id="260602776">
      <w:marLeft w:val="480"/>
      <w:marRight w:val="0"/>
      <w:marTop w:val="0"/>
      <w:marBottom w:val="0"/>
      <w:divBdr>
        <w:top w:val="none" w:sz="0" w:space="0" w:color="auto"/>
        <w:left w:val="none" w:sz="0" w:space="0" w:color="auto"/>
        <w:bottom w:val="none" w:sz="0" w:space="0" w:color="auto"/>
        <w:right w:val="none" w:sz="0" w:space="0" w:color="auto"/>
      </w:divBdr>
    </w:div>
    <w:div w:id="270019261">
      <w:marLeft w:val="480"/>
      <w:marRight w:val="0"/>
      <w:marTop w:val="0"/>
      <w:marBottom w:val="0"/>
      <w:divBdr>
        <w:top w:val="none" w:sz="0" w:space="0" w:color="auto"/>
        <w:left w:val="none" w:sz="0" w:space="0" w:color="auto"/>
        <w:bottom w:val="none" w:sz="0" w:space="0" w:color="auto"/>
        <w:right w:val="none" w:sz="0" w:space="0" w:color="auto"/>
      </w:divBdr>
    </w:div>
    <w:div w:id="282922693">
      <w:marLeft w:val="480"/>
      <w:marRight w:val="0"/>
      <w:marTop w:val="0"/>
      <w:marBottom w:val="0"/>
      <w:divBdr>
        <w:top w:val="none" w:sz="0" w:space="0" w:color="auto"/>
        <w:left w:val="none" w:sz="0" w:space="0" w:color="auto"/>
        <w:bottom w:val="none" w:sz="0" w:space="0" w:color="auto"/>
        <w:right w:val="none" w:sz="0" w:space="0" w:color="auto"/>
      </w:divBdr>
    </w:div>
    <w:div w:id="294220971">
      <w:marLeft w:val="480"/>
      <w:marRight w:val="0"/>
      <w:marTop w:val="0"/>
      <w:marBottom w:val="0"/>
      <w:divBdr>
        <w:top w:val="none" w:sz="0" w:space="0" w:color="auto"/>
        <w:left w:val="none" w:sz="0" w:space="0" w:color="auto"/>
        <w:bottom w:val="none" w:sz="0" w:space="0" w:color="auto"/>
        <w:right w:val="none" w:sz="0" w:space="0" w:color="auto"/>
      </w:divBdr>
    </w:div>
    <w:div w:id="319891594">
      <w:marLeft w:val="480"/>
      <w:marRight w:val="0"/>
      <w:marTop w:val="0"/>
      <w:marBottom w:val="0"/>
      <w:divBdr>
        <w:top w:val="none" w:sz="0" w:space="0" w:color="auto"/>
        <w:left w:val="none" w:sz="0" w:space="0" w:color="auto"/>
        <w:bottom w:val="none" w:sz="0" w:space="0" w:color="auto"/>
        <w:right w:val="none" w:sz="0" w:space="0" w:color="auto"/>
      </w:divBdr>
    </w:div>
    <w:div w:id="359472861">
      <w:marLeft w:val="480"/>
      <w:marRight w:val="0"/>
      <w:marTop w:val="0"/>
      <w:marBottom w:val="0"/>
      <w:divBdr>
        <w:top w:val="none" w:sz="0" w:space="0" w:color="auto"/>
        <w:left w:val="none" w:sz="0" w:space="0" w:color="auto"/>
        <w:bottom w:val="none" w:sz="0" w:space="0" w:color="auto"/>
        <w:right w:val="none" w:sz="0" w:space="0" w:color="auto"/>
      </w:divBdr>
    </w:div>
    <w:div w:id="384641993">
      <w:marLeft w:val="480"/>
      <w:marRight w:val="0"/>
      <w:marTop w:val="0"/>
      <w:marBottom w:val="0"/>
      <w:divBdr>
        <w:top w:val="none" w:sz="0" w:space="0" w:color="auto"/>
        <w:left w:val="none" w:sz="0" w:space="0" w:color="auto"/>
        <w:bottom w:val="none" w:sz="0" w:space="0" w:color="auto"/>
        <w:right w:val="none" w:sz="0" w:space="0" w:color="auto"/>
      </w:divBdr>
    </w:div>
    <w:div w:id="412746803">
      <w:marLeft w:val="480"/>
      <w:marRight w:val="0"/>
      <w:marTop w:val="0"/>
      <w:marBottom w:val="0"/>
      <w:divBdr>
        <w:top w:val="none" w:sz="0" w:space="0" w:color="auto"/>
        <w:left w:val="none" w:sz="0" w:space="0" w:color="auto"/>
        <w:bottom w:val="none" w:sz="0" w:space="0" w:color="auto"/>
        <w:right w:val="none" w:sz="0" w:space="0" w:color="auto"/>
      </w:divBdr>
    </w:div>
    <w:div w:id="449516548">
      <w:marLeft w:val="480"/>
      <w:marRight w:val="0"/>
      <w:marTop w:val="0"/>
      <w:marBottom w:val="0"/>
      <w:divBdr>
        <w:top w:val="none" w:sz="0" w:space="0" w:color="auto"/>
        <w:left w:val="none" w:sz="0" w:space="0" w:color="auto"/>
        <w:bottom w:val="none" w:sz="0" w:space="0" w:color="auto"/>
        <w:right w:val="none" w:sz="0" w:space="0" w:color="auto"/>
      </w:divBdr>
    </w:div>
    <w:div w:id="455803035">
      <w:marLeft w:val="480"/>
      <w:marRight w:val="0"/>
      <w:marTop w:val="0"/>
      <w:marBottom w:val="0"/>
      <w:divBdr>
        <w:top w:val="none" w:sz="0" w:space="0" w:color="auto"/>
        <w:left w:val="none" w:sz="0" w:space="0" w:color="auto"/>
        <w:bottom w:val="none" w:sz="0" w:space="0" w:color="auto"/>
        <w:right w:val="none" w:sz="0" w:space="0" w:color="auto"/>
      </w:divBdr>
    </w:div>
    <w:div w:id="463082638">
      <w:marLeft w:val="480"/>
      <w:marRight w:val="0"/>
      <w:marTop w:val="0"/>
      <w:marBottom w:val="0"/>
      <w:divBdr>
        <w:top w:val="none" w:sz="0" w:space="0" w:color="auto"/>
        <w:left w:val="none" w:sz="0" w:space="0" w:color="auto"/>
        <w:bottom w:val="none" w:sz="0" w:space="0" w:color="auto"/>
        <w:right w:val="none" w:sz="0" w:space="0" w:color="auto"/>
      </w:divBdr>
    </w:div>
    <w:div w:id="463351106">
      <w:marLeft w:val="480"/>
      <w:marRight w:val="0"/>
      <w:marTop w:val="0"/>
      <w:marBottom w:val="0"/>
      <w:divBdr>
        <w:top w:val="none" w:sz="0" w:space="0" w:color="auto"/>
        <w:left w:val="none" w:sz="0" w:space="0" w:color="auto"/>
        <w:bottom w:val="none" w:sz="0" w:space="0" w:color="auto"/>
        <w:right w:val="none" w:sz="0" w:space="0" w:color="auto"/>
      </w:divBdr>
    </w:div>
    <w:div w:id="468405495">
      <w:marLeft w:val="480"/>
      <w:marRight w:val="0"/>
      <w:marTop w:val="0"/>
      <w:marBottom w:val="0"/>
      <w:divBdr>
        <w:top w:val="none" w:sz="0" w:space="0" w:color="auto"/>
        <w:left w:val="none" w:sz="0" w:space="0" w:color="auto"/>
        <w:bottom w:val="none" w:sz="0" w:space="0" w:color="auto"/>
        <w:right w:val="none" w:sz="0" w:space="0" w:color="auto"/>
      </w:divBdr>
    </w:div>
    <w:div w:id="472217226">
      <w:marLeft w:val="480"/>
      <w:marRight w:val="0"/>
      <w:marTop w:val="0"/>
      <w:marBottom w:val="0"/>
      <w:divBdr>
        <w:top w:val="none" w:sz="0" w:space="0" w:color="auto"/>
        <w:left w:val="none" w:sz="0" w:space="0" w:color="auto"/>
        <w:bottom w:val="none" w:sz="0" w:space="0" w:color="auto"/>
        <w:right w:val="none" w:sz="0" w:space="0" w:color="auto"/>
      </w:divBdr>
    </w:div>
    <w:div w:id="479003523">
      <w:marLeft w:val="480"/>
      <w:marRight w:val="0"/>
      <w:marTop w:val="0"/>
      <w:marBottom w:val="0"/>
      <w:divBdr>
        <w:top w:val="none" w:sz="0" w:space="0" w:color="auto"/>
        <w:left w:val="none" w:sz="0" w:space="0" w:color="auto"/>
        <w:bottom w:val="none" w:sz="0" w:space="0" w:color="auto"/>
        <w:right w:val="none" w:sz="0" w:space="0" w:color="auto"/>
      </w:divBdr>
    </w:div>
    <w:div w:id="480000777">
      <w:marLeft w:val="480"/>
      <w:marRight w:val="0"/>
      <w:marTop w:val="0"/>
      <w:marBottom w:val="0"/>
      <w:divBdr>
        <w:top w:val="none" w:sz="0" w:space="0" w:color="auto"/>
        <w:left w:val="none" w:sz="0" w:space="0" w:color="auto"/>
        <w:bottom w:val="none" w:sz="0" w:space="0" w:color="auto"/>
        <w:right w:val="none" w:sz="0" w:space="0" w:color="auto"/>
      </w:divBdr>
    </w:div>
    <w:div w:id="480656548">
      <w:marLeft w:val="480"/>
      <w:marRight w:val="0"/>
      <w:marTop w:val="0"/>
      <w:marBottom w:val="0"/>
      <w:divBdr>
        <w:top w:val="none" w:sz="0" w:space="0" w:color="auto"/>
        <w:left w:val="none" w:sz="0" w:space="0" w:color="auto"/>
        <w:bottom w:val="none" w:sz="0" w:space="0" w:color="auto"/>
        <w:right w:val="none" w:sz="0" w:space="0" w:color="auto"/>
      </w:divBdr>
    </w:div>
    <w:div w:id="481391260">
      <w:marLeft w:val="480"/>
      <w:marRight w:val="0"/>
      <w:marTop w:val="0"/>
      <w:marBottom w:val="0"/>
      <w:divBdr>
        <w:top w:val="none" w:sz="0" w:space="0" w:color="auto"/>
        <w:left w:val="none" w:sz="0" w:space="0" w:color="auto"/>
        <w:bottom w:val="none" w:sz="0" w:space="0" w:color="auto"/>
        <w:right w:val="none" w:sz="0" w:space="0" w:color="auto"/>
      </w:divBdr>
    </w:div>
    <w:div w:id="483933136">
      <w:marLeft w:val="480"/>
      <w:marRight w:val="0"/>
      <w:marTop w:val="0"/>
      <w:marBottom w:val="0"/>
      <w:divBdr>
        <w:top w:val="none" w:sz="0" w:space="0" w:color="auto"/>
        <w:left w:val="none" w:sz="0" w:space="0" w:color="auto"/>
        <w:bottom w:val="none" w:sz="0" w:space="0" w:color="auto"/>
        <w:right w:val="none" w:sz="0" w:space="0" w:color="auto"/>
      </w:divBdr>
    </w:div>
    <w:div w:id="485979911">
      <w:marLeft w:val="480"/>
      <w:marRight w:val="0"/>
      <w:marTop w:val="0"/>
      <w:marBottom w:val="0"/>
      <w:divBdr>
        <w:top w:val="none" w:sz="0" w:space="0" w:color="auto"/>
        <w:left w:val="none" w:sz="0" w:space="0" w:color="auto"/>
        <w:bottom w:val="none" w:sz="0" w:space="0" w:color="auto"/>
        <w:right w:val="none" w:sz="0" w:space="0" w:color="auto"/>
      </w:divBdr>
    </w:div>
    <w:div w:id="491217888">
      <w:marLeft w:val="480"/>
      <w:marRight w:val="0"/>
      <w:marTop w:val="0"/>
      <w:marBottom w:val="0"/>
      <w:divBdr>
        <w:top w:val="none" w:sz="0" w:space="0" w:color="auto"/>
        <w:left w:val="none" w:sz="0" w:space="0" w:color="auto"/>
        <w:bottom w:val="none" w:sz="0" w:space="0" w:color="auto"/>
        <w:right w:val="none" w:sz="0" w:space="0" w:color="auto"/>
      </w:divBdr>
    </w:div>
    <w:div w:id="494763445">
      <w:marLeft w:val="480"/>
      <w:marRight w:val="0"/>
      <w:marTop w:val="0"/>
      <w:marBottom w:val="0"/>
      <w:divBdr>
        <w:top w:val="none" w:sz="0" w:space="0" w:color="auto"/>
        <w:left w:val="none" w:sz="0" w:space="0" w:color="auto"/>
        <w:bottom w:val="none" w:sz="0" w:space="0" w:color="auto"/>
        <w:right w:val="none" w:sz="0" w:space="0" w:color="auto"/>
      </w:divBdr>
    </w:div>
    <w:div w:id="496924451">
      <w:bodyDiv w:val="1"/>
      <w:marLeft w:val="0"/>
      <w:marRight w:val="0"/>
      <w:marTop w:val="0"/>
      <w:marBottom w:val="0"/>
      <w:divBdr>
        <w:top w:val="none" w:sz="0" w:space="0" w:color="auto"/>
        <w:left w:val="none" w:sz="0" w:space="0" w:color="auto"/>
        <w:bottom w:val="none" w:sz="0" w:space="0" w:color="auto"/>
        <w:right w:val="none" w:sz="0" w:space="0" w:color="auto"/>
      </w:divBdr>
    </w:div>
    <w:div w:id="516041596">
      <w:marLeft w:val="480"/>
      <w:marRight w:val="0"/>
      <w:marTop w:val="0"/>
      <w:marBottom w:val="0"/>
      <w:divBdr>
        <w:top w:val="none" w:sz="0" w:space="0" w:color="auto"/>
        <w:left w:val="none" w:sz="0" w:space="0" w:color="auto"/>
        <w:bottom w:val="none" w:sz="0" w:space="0" w:color="auto"/>
        <w:right w:val="none" w:sz="0" w:space="0" w:color="auto"/>
      </w:divBdr>
    </w:div>
    <w:div w:id="528882034">
      <w:marLeft w:val="480"/>
      <w:marRight w:val="0"/>
      <w:marTop w:val="0"/>
      <w:marBottom w:val="0"/>
      <w:divBdr>
        <w:top w:val="none" w:sz="0" w:space="0" w:color="auto"/>
        <w:left w:val="none" w:sz="0" w:space="0" w:color="auto"/>
        <w:bottom w:val="none" w:sz="0" w:space="0" w:color="auto"/>
        <w:right w:val="none" w:sz="0" w:space="0" w:color="auto"/>
      </w:divBdr>
    </w:div>
    <w:div w:id="579099176">
      <w:marLeft w:val="480"/>
      <w:marRight w:val="0"/>
      <w:marTop w:val="0"/>
      <w:marBottom w:val="0"/>
      <w:divBdr>
        <w:top w:val="none" w:sz="0" w:space="0" w:color="auto"/>
        <w:left w:val="none" w:sz="0" w:space="0" w:color="auto"/>
        <w:bottom w:val="none" w:sz="0" w:space="0" w:color="auto"/>
        <w:right w:val="none" w:sz="0" w:space="0" w:color="auto"/>
      </w:divBdr>
    </w:div>
    <w:div w:id="586959494">
      <w:marLeft w:val="480"/>
      <w:marRight w:val="0"/>
      <w:marTop w:val="0"/>
      <w:marBottom w:val="0"/>
      <w:divBdr>
        <w:top w:val="none" w:sz="0" w:space="0" w:color="auto"/>
        <w:left w:val="none" w:sz="0" w:space="0" w:color="auto"/>
        <w:bottom w:val="none" w:sz="0" w:space="0" w:color="auto"/>
        <w:right w:val="none" w:sz="0" w:space="0" w:color="auto"/>
      </w:divBdr>
    </w:div>
    <w:div w:id="588856221">
      <w:marLeft w:val="480"/>
      <w:marRight w:val="0"/>
      <w:marTop w:val="0"/>
      <w:marBottom w:val="0"/>
      <w:divBdr>
        <w:top w:val="none" w:sz="0" w:space="0" w:color="auto"/>
        <w:left w:val="none" w:sz="0" w:space="0" w:color="auto"/>
        <w:bottom w:val="none" w:sz="0" w:space="0" w:color="auto"/>
        <w:right w:val="none" w:sz="0" w:space="0" w:color="auto"/>
      </w:divBdr>
    </w:div>
    <w:div w:id="595675544">
      <w:marLeft w:val="480"/>
      <w:marRight w:val="0"/>
      <w:marTop w:val="0"/>
      <w:marBottom w:val="0"/>
      <w:divBdr>
        <w:top w:val="none" w:sz="0" w:space="0" w:color="auto"/>
        <w:left w:val="none" w:sz="0" w:space="0" w:color="auto"/>
        <w:bottom w:val="none" w:sz="0" w:space="0" w:color="auto"/>
        <w:right w:val="none" w:sz="0" w:space="0" w:color="auto"/>
      </w:divBdr>
    </w:div>
    <w:div w:id="602080163">
      <w:marLeft w:val="480"/>
      <w:marRight w:val="0"/>
      <w:marTop w:val="0"/>
      <w:marBottom w:val="0"/>
      <w:divBdr>
        <w:top w:val="none" w:sz="0" w:space="0" w:color="auto"/>
        <w:left w:val="none" w:sz="0" w:space="0" w:color="auto"/>
        <w:bottom w:val="none" w:sz="0" w:space="0" w:color="auto"/>
        <w:right w:val="none" w:sz="0" w:space="0" w:color="auto"/>
      </w:divBdr>
    </w:div>
    <w:div w:id="616984836">
      <w:marLeft w:val="480"/>
      <w:marRight w:val="0"/>
      <w:marTop w:val="0"/>
      <w:marBottom w:val="0"/>
      <w:divBdr>
        <w:top w:val="none" w:sz="0" w:space="0" w:color="auto"/>
        <w:left w:val="none" w:sz="0" w:space="0" w:color="auto"/>
        <w:bottom w:val="none" w:sz="0" w:space="0" w:color="auto"/>
        <w:right w:val="none" w:sz="0" w:space="0" w:color="auto"/>
      </w:divBdr>
    </w:div>
    <w:div w:id="625817408">
      <w:marLeft w:val="480"/>
      <w:marRight w:val="0"/>
      <w:marTop w:val="0"/>
      <w:marBottom w:val="0"/>
      <w:divBdr>
        <w:top w:val="none" w:sz="0" w:space="0" w:color="auto"/>
        <w:left w:val="none" w:sz="0" w:space="0" w:color="auto"/>
        <w:bottom w:val="none" w:sz="0" w:space="0" w:color="auto"/>
        <w:right w:val="none" w:sz="0" w:space="0" w:color="auto"/>
      </w:divBdr>
    </w:div>
    <w:div w:id="633028253">
      <w:marLeft w:val="480"/>
      <w:marRight w:val="0"/>
      <w:marTop w:val="0"/>
      <w:marBottom w:val="0"/>
      <w:divBdr>
        <w:top w:val="none" w:sz="0" w:space="0" w:color="auto"/>
        <w:left w:val="none" w:sz="0" w:space="0" w:color="auto"/>
        <w:bottom w:val="none" w:sz="0" w:space="0" w:color="auto"/>
        <w:right w:val="none" w:sz="0" w:space="0" w:color="auto"/>
      </w:divBdr>
    </w:div>
    <w:div w:id="656690351">
      <w:marLeft w:val="480"/>
      <w:marRight w:val="0"/>
      <w:marTop w:val="0"/>
      <w:marBottom w:val="0"/>
      <w:divBdr>
        <w:top w:val="none" w:sz="0" w:space="0" w:color="auto"/>
        <w:left w:val="none" w:sz="0" w:space="0" w:color="auto"/>
        <w:bottom w:val="none" w:sz="0" w:space="0" w:color="auto"/>
        <w:right w:val="none" w:sz="0" w:space="0" w:color="auto"/>
      </w:divBdr>
    </w:div>
    <w:div w:id="662972357">
      <w:marLeft w:val="480"/>
      <w:marRight w:val="0"/>
      <w:marTop w:val="0"/>
      <w:marBottom w:val="0"/>
      <w:divBdr>
        <w:top w:val="none" w:sz="0" w:space="0" w:color="auto"/>
        <w:left w:val="none" w:sz="0" w:space="0" w:color="auto"/>
        <w:bottom w:val="none" w:sz="0" w:space="0" w:color="auto"/>
        <w:right w:val="none" w:sz="0" w:space="0" w:color="auto"/>
      </w:divBdr>
    </w:div>
    <w:div w:id="681010000">
      <w:marLeft w:val="480"/>
      <w:marRight w:val="0"/>
      <w:marTop w:val="0"/>
      <w:marBottom w:val="0"/>
      <w:divBdr>
        <w:top w:val="none" w:sz="0" w:space="0" w:color="auto"/>
        <w:left w:val="none" w:sz="0" w:space="0" w:color="auto"/>
        <w:bottom w:val="none" w:sz="0" w:space="0" w:color="auto"/>
        <w:right w:val="none" w:sz="0" w:space="0" w:color="auto"/>
      </w:divBdr>
    </w:div>
    <w:div w:id="706879720">
      <w:marLeft w:val="480"/>
      <w:marRight w:val="0"/>
      <w:marTop w:val="0"/>
      <w:marBottom w:val="0"/>
      <w:divBdr>
        <w:top w:val="none" w:sz="0" w:space="0" w:color="auto"/>
        <w:left w:val="none" w:sz="0" w:space="0" w:color="auto"/>
        <w:bottom w:val="none" w:sz="0" w:space="0" w:color="auto"/>
        <w:right w:val="none" w:sz="0" w:space="0" w:color="auto"/>
      </w:divBdr>
    </w:div>
    <w:div w:id="726536878">
      <w:marLeft w:val="480"/>
      <w:marRight w:val="0"/>
      <w:marTop w:val="0"/>
      <w:marBottom w:val="0"/>
      <w:divBdr>
        <w:top w:val="none" w:sz="0" w:space="0" w:color="auto"/>
        <w:left w:val="none" w:sz="0" w:space="0" w:color="auto"/>
        <w:bottom w:val="none" w:sz="0" w:space="0" w:color="auto"/>
        <w:right w:val="none" w:sz="0" w:space="0" w:color="auto"/>
      </w:divBdr>
    </w:div>
    <w:div w:id="731192719">
      <w:marLeft w:val="480"/>
      <w:marRight w:val="0"/>
      <w:marTop w:val="0"/>
      <w:marBottom w:val="0"/>
      <w:divBdr>
        <w:top w:val="none" w:sz="0" w:space="0" w:color="auto"/>
        <w:left w:val="none" w:sz="0" w:space="0" w:color="auto"/>
        <w:bottom w:val="none" w:sz="0" w:space="0" w:color="auto"/>
        <w:right w:val="none" w:sz="0" w:space="0" w:color="auto"/>
      </w:divBdr>
    </w:div>
    <w:div w:id="733964129">
      <w:marLeft w:val="480"/>
      <w:marRight w:val="0"/>
      <w:marTop w:val="0"/>
      <w:marBottom w:val="0"/>
      <w:divBdr>
        <w:top w:val="none" w:sz="0" w:space="0" w:color="auto"/>
        <w:left w:val="none" w:sz="0" w:space="0" w:color="auto"/>
        <w:bottom w:val="none" w:sz="0" w:space="0" w:color="auto"/>
        <w:right w:val="none" w:sz="0" w:space="0" w:color="auto"/>
      </w:divBdr>
    </w:div>
    <w:div w:id="734203513">
      <w:marLeft w:val="480"/>
      <w:marRight w:val="0"/>
      <w:marTop w:val="0"/>
      <w:marBottom w:val="0"/>
      <w:divBdr>
        <w:top w:val="none" w:sz="0" w:space="0" w:color="auto"/>
        <w:left w:val="none" w:sz="0" w:space="0" w:color="auto"/>
        <w:bottom w:val="none" w:sz="0" w:space="0" w:color="auto"/>
        <w:right w:val="none" w:sz="0" w:space="0" w:color="auto"/>
      </w:divBdr>
    </w:div>
    <w:div w:id="744492202">
      <w:marLeft w:val="480"/>
      <w:marRight w:val="0"/>
      <w:marTop w:val="0"/>
      <w:marBottom w:val="0"/>
      <w:divBdr>
        <w:top w:val="none" w:sz="0" w:space="0" w:color="auto"/>
        <w:left w:val="none" w:sz="0" w:space="0" w:color="auto"/>
        <w:bottom w:val="none" w:sz="0" w:space="0" w:color="auto"/>
        <w:right w:val="none" w:sz="0" w:space="0" w:color="auto"/>
      </w:divBdr>
    </w:div>
    <w:div w:id="777919314">
      <w:marLeft w:val="480"/>
      <w:marRight w:val="0"/>
      <w:marTop w:val="0"/>
      <w:marBottom w:val="0"/>
      <w:divBdr>
        <w:top w:val="none" w:sz="0" w:space="0" w:color="auto"/>
        <w:left w:val="none" w:sz="0" w:space="0" w:color="auto"/>
        <w:bottom w:val="none" w:sz="0" w:space="0" w:color="auto"/>
        <w:right w:val="none" w:sz="0" w:space="0" w:color="auto"/>
      </w:divBdr>
    </w:div>
    <w:div w:id="796724905">
      <w:marLeft w:val="480"/>
      <w:marRight w:val="0"/>
      <w:marTop w:val="0"/>
      <w:marBottom w:val="0"/>
      <w:divBdr>
        <w:top w:val="none" w:sz="0" w:space="0" w:color="auto"/>
        <w:left w:val="none" w:sz="0" w:space="0" w:color="auto"/>
        <w:bottom w:val="none" w:sz="0" w:space="0" w:color="auto"/>
        <w:right w:val="none" w:sz="0" w:space="0" w:color="auto"/>
      </w:divBdr>
    </w:div>
    <w:div w:id="806430635">
      <w:marLeft w:val="480"/>
      <w:marRight w:val="0"/>
      <w:marTop w:val="0"/>
      <w:marBottom w:val="0"/>
      <w:divBdr>
        <w:top w:val="none" w:sz="0" w:space="0" w:color="auto"/>
        <w:left w:val="none" w:sz="0" w:space="0" w:color="auto"/>
        <w:bottom w:val="none" w:sz="0" w:space="0" w:color="auto"/>
        <w:right w:val="none" w:sz="0" w:space="0" w:color="auto"/>
      </w:divBdr>
    </w:div>
    <w:div w:id="816455331">
      <w:marLeft w:val="480"/>
      <w:marRight w:val="0"/>
      <w:marTop w:val="0"/>
      <w:marBottom w:val="0"/>
      <w:divBdr>
        <w:top w:val="none" w:sz="0" w:space="0" w:color="auto"/>
        <w:left w:val="none" w:sz="0" w:space="0" w:color="auto"/>
        <w:bottom w:val="none" w:sz="0" w:space="0" w:color="auto"/>
        <w:right w:val="none" w:sz="0" w:space="0" w:color="auto"/>
      </w:divBdr>
    </w:div>
    <w:div w:id="841235715">
      <w:marLeft w:val="480"/>
      <w:marRight w:val="0"/>
      <w:marTop w:val="0"/>
      <w:marBottom w:val="0"/>
      <w:divBdr>
        <w:top w:val="none" w:sz="0" w:space="0" w:color="auto"/>
        <w:left w:val="none" w:sz="0" w:space="0" w:color="auto"/>
        <w:bottom w:val="none" w:sz="0" w:space="0" w:color="auto"/>
        <w:right w:val="none" w:sz="0" w:space="0" w:color="auto"/>
      </w:divBdr>
    </w:div>
    <w:div w:id="886382195">
      <w:marLeft w:val="480"/>
      <w:marRight w:val="0"/>
      <w:marTop w:val="0"/>
      <w:marBottom w:val="0"/>
      <w:divBdr>
        <w:top w:val="none" w:sz="0" w:space="0" w:color="auto"/>
        <w:left w:val="none" w:sz="0" w:space="0" w:color="auto"/>
        <w:bottom w:val="none" w:sz="0" w:space="0" w:color="auto"/>
        <w:right w:val="none" w:sz="0" w:space="0" w:color="auto"/>
      </w:divBdr>
    </w:div>
    <w:div w:id="895317750">
      <w:marLeft w:val="480"/>
      <w:marRight w:val="0"/>
      <w:marTop w:val="0"/>
      <w:marBottom w:val="0"/>
      <w:divBdr>
        <w:top w:val="none" w:sz="0" w:space="0" w:color="auto"/>
        <w:left w:val="none" w:sz="0" w:space="0" w:color="auto"/>
        <w:bottom w:val="none" w:sz="0" w:space="0" w:color="auto"/>
        <w:right w:val="none" w:sz="0" w:space="0" w:color="auto"/>
      </w:divBdr>
    </w:div>
    <w:div w:id="905602247">
      <w:marLeft w:val="480"/>
      <w:marRight w:val="0"/>
      <w:marTop w:val="0"/>
      <w:marBottom w:val="0"/>
      <w:divBdr>
        <w:top w:val="none" w:sz="0" w:space="0" w:color="auto"/>
        <w:left w:val="none" w:sz="0" w:space="0" w:color="auto"/>
        <w:bottom w:val="none" w:sz="0" w:space="0" w:color="auto"/>
        <w:right w:val="none" w:sz="0" w:space="0" w:color="auto"/>
      </w:divBdr>
    </w:div>
    <w:div w:id="917203679">
      <w:marLeft w:val="480"/>
      <w:marRight w:val="0"/>
      <w:marTop w:val="0"/>
      <w:marBottom w:val="0"/>
      <w:divBdr>
        <w:top w:val="none" w:sz="0" w:space="0" w:color="auto"/>
        <w:left w:val="none" w:sz="0" w:space="0" w:color="auto"/>
        <w:bottom w:val="none" w:sz="0" w:space="0" w:color="auto"/>
        <w:right w:val="none" w:sz="0" w:space="0" w:color="auto"/>
      </w:divBdr>
    </w:div>
    <w:div w:id="941456764">
      <w:marLeft w:val="480"/>
      <w:marRight w:val="0"/>
      <w:marTop w:val="0"/>
      <w:marBottom w:val="0"/>
      <w:divBdr>
        <w:top w:val="none" w:sz="0" w:space="0" w:color="auto"/>
        <w:left w:val="none" w:sz="0" w:space="0" w:color="auto"/>
        <w:bottom w:val="none" w:sz="0" w:space="0" w:color="auto"/>
        <w:right w:val="none" w:sz="0" w:space="0" w:color="auto"/>
      </w:divBdr>
    </w:div>
    <w:div w:id="943417296">
      <w:marLeft w:val="480"/>
      <w:marRight w:val="0"/>
      <w:marTop w:val="0"/>
      <w:marBottom w:val="0"/>
      <w:divBdr>
        <w:top w:val="none" w:sz="0" w:space="0" w:color="auto"/>
        <w:left w:val="none" w:sz="0" w:space="0" w:color="auto"/>
        <w:bottom w:val="none" w:sz="0" w:space="0" w:color="auto"/>
        <w:right w:val="none" w:sz="0" w:space="0" w:color="auto"/>
      </w:divBdr>
    </w:div>
    <w:div w:id="944926356">
      <w:marLeft w:val="480"/>
      <w:marRight w:val="0"/>
      <w:marTop w:val="0"/>
      <w:marBottom w:val="0"/>
      <w:divBdr>
        <w:top w:val="none" w:sz="0" w:space="0" w:color="auto"/>
        <w:left w:val="none" w:sz="0" w:space="0" w:color="auto"/>
        <w:bottom w:val="none" w:sz="0" w:space="0" w:color="auto"/>
        <w:right w:val="none" w:sz="0" w:space="0" w:color="auto"/>
      </w:divBdr>
    </w:div>
    <w:div w:id="949362555">
      <w:bodyDiv w:val="1"/>
      <w:marLeft w:val="0"/>
      <w:marRight w:val="0"/>
      <w:marTop w:val="0"/>
      <w:marBottom w:val="0"/>
      <w:divBdr>
        <w:top w:val="none" w:sz="0" w:space="0" w:color="auto"/>
        <w:left w:val="none" w:sz="0" w:space="0" w:color="auto"/>
        <w:bottom w:val="none" w:sz="0" w:space="0" w:color="auto"/>
        <w:right w:val="none" w:sz="0" w:space="0" w:color="auto"/>
      </w:divBdr>
    </w:div>
    <w:div w:id="950476815">
      <w:marLeft w:val="480"/>
      <w:marRight w:val="0"/>
      <w:marTop w:val="0"/>
      <w:marBottom w:val="0"/>
      <w:divBdr>
        <w:top w:val="none" w:sz="0" w:space="0" w:color="auto"/>
        <w:left w:val="none" w:sz="0" w:space="0" w:color="auto"/>
        <w:bottom w:val="none" w:sz="0" w:space="0" w:color="auto"/>
        <w:right w:val="none" w:sz="0" w:space="0" w:color="auto"/>
      </w:divBdr>
    </w:div>
    <w:div w:id="997731955">
      <w:marLeft w:val="480"/>
      <w:marRight w:val="0"/>
      <w:marTop w:val="0"/>
      <w:marBottom w:val="0"/>
      <w:divBdr>
        <w:top w:val="none" w:sz="0" w:space="0" w:color="auto"/>
        <w:left w:val="none" w:sz="0" w:space="0" w:color="auto"/>
        <w:bottom w:val="none" w:sz="0" w:space="0" w:color="auto"/>
        <w:right w:val="none" w:sz="0" w:space="0" w:color="auto"/>
      </w:divBdr>
    </w:div>
    <w:div w:id="1000502222">
      <w:marLeft w:val="480"/>
      <w:marRight w:val="0"/>
      <w:marTop w:val="0"/>
      <w:marBottom w:val="0"/>
      <w:divBdr>
        <w:top w:val="none" w:sz="0" w:space="0" w:color="auto"/>
        <w:left w:val="none" w:sz="0" w:space="0" w:color="auto"/>
        <w:bottom w:val="none" w:sz="0" w:space="0" w:color="auto"/>
        <w:right w:val="none" w:sz="0" w:space="0" w:color="auto"/>
      </w:divBdr>
    </w:div>
    <w:div w:id="1025979806">
      <w:marLeft w:val="480"/>
      <w:marRight w:val="0"/>
      <w:marTop w:val="0"/>
      <w:marBottom w:val="0"/>
      <w:divBdr>
        <w:top w:val="none" w:sz="0" w:space="0" w:color="auto"/>
        <w:left w:val="none" w:sz="0" w:space="0" w:color="auto"/>
        <w:bottom w:val="none" w:sz="0" w:space="0" w:color="auto"/>
        <w:right w:val="none" w:sz="0" w:space="0" w:color="auto"/>
      </w:divBdr>
    </w:div>
    <w:div w:id="1034959621">
      <w:marLeft w:val="480"/>
      <w:marRight w:val="0"/>
      <w:marTop w:val="0"/>
      <w:marBottom w:val="0"/>
      <w:divBdr>
        <w:top w:val="none" w:sz="0" w:space="0" w:color="auto"/>
        <w:left w:val="none" w:sz="0" w:space="0" w:color="auto"/>
        <w:bottom w:val="none" w:sz="0" w:space="0" w:color="auto"/>
        <w:right w:val="none" w:sz="0" w:space="0" w:color="auto"/>
      </w:divBdr>
    </w:div>
    <w:div w:id="1038241657">
      <w:marLeft w:val="480"/>
      <w:marRight w:val="0"/>
      <w:marTop w:val="0"/>
      <w:marBottom w:val="0"/>
      <w:divBdr>
        <w:top w:val="none" w:sz="0" w:space="0" w:color="auto"/>
        <w:left w:val="none" w:sz="0" w:space="0" w:color="auto"/>
        <w:bottom w:val="none" w:sz="0" w:space="0" w:color="auto"/>
        <w:right w:val="none" w:sz="0" w:space="0" w:color="auto"/>
      </w:divBdr>
    </w:div>
    <w:div w:id="1057899987">
      <w:marLeft w:val="480"/>
      <w:marRight w:val="0"/>
      <w:marTop w:val="0"/>
      <w:marBottom w:val="0"/>
      <w:divBdr>
        <w:top w:val="none" w:sz="0" w:space="0" w:color="auto"/>
        <w:left w:val="none" w:sz="0" w:space="0" w:color="auto"/>
        <w:bottom w:val="none" w:sz="0" w:space="0" w:color="auto"/>
        <w:right w:val="none" w:sz="0" w:space="0" w:color="auto"/>
      </w:divBdr>
    </w:div>
    <w:div w:id="1066955746">
      <w:marLeft w:val="480"/>
      <w:marRight w:val="0"/>
      <w:marTop w:val="0"/>
      <w:marBottom w:val="0"/>
      <w:divBdr>
        <w:top w:val="none" w:sz="0" w:space="0" w:color="auto"/>
        <w:left w:val="none" w:sz="0" w:space="0" w:color="auto"/>
        <w:bottom w:val="none" w:sz="0" w:space="0" w:color="auto"/>
        <w:right w:val="none" w:sz="0" w:space="0" w:color="auto"/>
      </w:divBdr>
    </w:div>
    <w:div w:id="1073506756">
      <w:marLeft w:val="480"/>
      <w:marRight w:val="0"/>
      <w:marTop w:val="0"/>
      <w:marBottom w:val="0"/>
      <w:divBdr>
        <w:top w:val="none" w:sz="0" w:space="0" w:color="auto"/>
        <w:left w:val="none" w:sz="0" w:space="0" w:color="auto"/>
        <w:bottom w:val="none" w:sz="0" w:space="0" w:color="auto"/>
        <w:right w:val="none" w:sz="0" w:space="0" w:color="auto"/>
      </w:divBdr>
    </w:div>
    <w:div w:id="1081290871">
      <w:bodyDiv w:val="1"/>
      <w:marLeft w:val="0"/>
      <w:marRight w:val="0"/>
      <w:marTop w:val="0"/>
      <w:marBottom w:val="0"/>
      <w:divBdr>
        <w:top w:val="none" w:sz="0" w:space="0" w:color="auto"/>
        <w:left w:val="none" w:sz="0" w:space="0" w:color="auto"/>
        <w:bottom w:val="none" w:sz="0" w:space="0" w:color="auto"/>
        <w:right w:val="none" w:sz="0" w:space="0" w:color="auto"/>
      </w:divBdr>
    </w:div>
    <w:div w:id="1111362714">
      <w:marLeft w:val="480"/>
      <w:marRight w:val="0"/>
      <w:marTop w:val="0"/>
      <w:marBottom w:val="0"/>
      <w:divBdr>
        <w:top w:val="none" w:sz="0" w:space="0" w:color="auto"/>
        <w:left w:val="none" w:sz="0" w:space="0" w:color="auto"/>
        <w:bottom w:val="none" w:sz="0" w:space="0" w:color="auto"/>
        <w:right w:val="none" w:sz="0" w:space="0" w:color="auto"/>
      </w:divBdr>
    </w:div>
    <w:div w:id="1134132882">
      <w:marLeft w:val="480"/>
      <w:marRight w:val="0"/>
      <w:marTop w:val="0"/>
      <w:marBottom w:val="0"/>
      <w:divBdr>
        <w:top w:val="none" w:sz="0" w:space="0" w:color="auto"/>
        <w:left w:val="none" w:sz="0" w:space="0" w:color="auto"/>
        <w:bottom w:val="none" w:sz="0" w:space="0" w:color="auto"/>
        <w:right w:val="none" w:sz="0" w:space="0" w:color="auto"/>
      </w:divBdr>
    </w:div>
    <w:div w:id="1136099091">
      <w:marLeft w:val="480"/>
      <w:marRight w:val="0"/>
      <w:marTop w:val="0"/>
      <w:marBottom w:val="0"/>
      <w:divBdr>
        <w:top w:val="none" w:sz="0" w:space="0" w:color="auto"/>
        <w:left w:val="none" w:sz="0" w:space="0" w:color="auto"/>
        <w:bottom w:val="none" w:sz="0" w:space="0" w:color="auto"/>
        <w:right w:val="none" w:sz="0" w:space="0" w:color="auto"/>
      </w:divBdr>
    </w:div>
    <w:div w:id="1139684679">
      <w:marLeft w:val="480"/>
      <w:marRight w:val="0"/>
      <w:marTop w:val="0"/>
      <w:marBottom w:val="0"/>
      <w:divBdr>
        <w:top w:val="none" w:sz="0" w:space="0" w:color="auto"/>
        <w:left w:val="none" w:sz="0" w:space="0" w:color="auto"/>
        <w:bottom w:val="none" w:sz="0" w:space="0" w:color="auto"/>
        <w:right w:val="none" w:sz="0" w:space="0" w:color="auto"/>
      </w:divBdr>
    </w:div>
    <w:div w:id="1143931454">
      <w:marLeft w:val="480"/>
      <w:marRight w:val="0"/>
      <w:marTop w:val="0"/>
      <w:marBottom w:val="0"/>
      <w:divBdr>
        <w:top w:val="none" w:sz="0" w:space="0" w:color="auto"/>
        <w:left w:val="none" w:sz="0" w:space="0" w:color="auto"/>
        <w:bottom w:val="none" w:sz="0" w:space="0" w:color="auto"/>
        <w:right w:val="none" w:sz="0" w:space="0" w:color="auto"/>
      </w:divBdr>
    </w:div>
    <w:div w:id="1144738580">
      <w:marLeft w:val="480"/>
      <w:marRight w:val="0"/>
      <w:marTop w:val="0"/>
      <w:marBottom w:val="0"/>
      <w:divBdr>
        <w:top w:val="none" w:sz="0" w:space="0" w:color="auto"/>
        <w:left w:val="none" w:sz="0" w:space="0" w:color="auto"/>
        <w:bottom w:val="none" w:sz="0" w:space="0" w:color="auto"/>
        <w:right w:val="none" w:sz="0" w:space="0" w:color="auto"/>
      </w:divBdr>
    </w:div>
    <w:div w:id="1155756773">
      <w:marLeft w:val="480"/>
      <w:marRight w:val="0"/>
      <w:marTop w:val="0"/>
      <w:marBottom w:val="0"/>
      <w:divBdr>
        <w:top w:val="none" w:sz="0" w:space="0" w:color="auto"/>
        <w:left w:val="none" w:sz="0" w:space="0" w:color="auto"/>
        <w:bottom w:val="none" w:sz="0" w:space="0" w:color="auto"/>
        <w:right w:val="none" w:sz="0" w:space="0" w:color="auto"/>
      </w:divBdr>
    </w:div>
    <w:div w:id="1159924376">
      <w:bodyDiv w:val="1"/>
      <w:marLeft w:val="0"/>
      <w:marRight w:val="0"/>
      <w:marTop w:val="0"/>
      <w:marBottom w:val="0"/>
      <w:divBdr>
        <w:top w:val="none" w:sz="0" w:space="0" w:color="auto"/>
        <w:left w:val="none" w:sz="0" w:space="0" w:color="auto"/>
        <w:bottom w:val="none" w:sz="0" w:space="0" w:color="auto"/>
        <w:right w:val="none" w:sz="0" w:space="0" w:color="auto"/>
      </w:divBdr>
    </w:div>
    <w:div w:id="1161311365">
      <w:marLeft w:val="480"/>
      <w:marRight w:val="0"/>
      <w:marTop w:val="0"/>
      <w:marBottom w:val="0"/>
      <w:divBdr>
        <w:top w:val="none" w:sz="0" w:space="0" w:color="auto"/>
        <w:left w:val="none" w:sz="0" w:space="0" w:color="auto"/>
        <w:bottom w:val="none" w:sz="0" w:space="0" w:color="auto"/>
        <w:right w:val="none" w:sz="0" w:space="0" w:color="auto"/>
      </w:divBdr>
    </w:div>
    <w:div w:id="1165317114">
      <w:marLeft w:val="480"/>
      <w:marRight w:val="0"/>
      <w:marTop w:val="0"/>
      <w:marBottom w:val="0"/>
      <w:divBdr>
        <w:top w:val="none" w:sz="0" w:space="0" w:color="auto"/>
        <w:left w:val="none" w:sz="0" w:space="0" w:color="auto"/>
        <w:bottom w:val="none" w:sz="0" w:space="0" w:color="auto"/>
        <w:right w:val="none" w:sz="0" w:space="0" w:color="auto"/>
      </w:divBdr>
    </w:div>
    <w:div w:id="1170758275">
      <w:marLeft w:val="480"/>
      <w:marRight w:val="0"/>
      <w:marTop w:val="0"/>
      <w:marBottom w:val="0"/>
      <w:divBdr>
        <w:top w:val="none" w:sz="0" w:space="0" w:color="auto"/>
        <w:left w:val="none" w:sz="0" w:space="0" w:color="auto"/>
        <w:bottom w:val="none" w:sz="0" w:space="0" w:color="auto"/>
        <w:right w:val="none" w:sz="0" w:space="0" w:color="auto"/>
      </w:divBdr>
    </w:div>
    <w:div w:id="1189022133">
      <w:marLeft w:val="480"/>
      <w:marRight w:val="0"/>
      <w:marTop w:val="0"/>
      <w:marBottom w:val="0"/>
      <w:divBdr>
        <w:top w:val="none" w:sz="0" w:space="0" w:color="auto"/>
        <w:left w:val="none" w:sz="0" w:space="0" w:color="auto"/>
        <w:bottom w:val="none" w:sz="0" w:space="0" w:color="auto"/>
        <w:right w:val="none" w:sz="0" w:space="0" w:color="auto"/>
      </w:divBdr>
    </w:div>
    <w:div w:id="1201551712">
      <w:marLeft w:val="480"/>
      <w:marRight w:val="0"/>
      <w:marTop w:val="0"/>
      <w:marBottom w:val="0"/>
      <w:divBdr>
        <w:top w:val="none" w:sz="0" w:space="0" w:color="auto"/>
        <w:left w:val="none" w:sz="0" w:space="0" w:color="auto"/>
        <w:bottom w:val="none" w:sz="0" w:space="0" w:color="auto"/>
        <w:right w:val="none" w:sz="0" w:space="0" w:color="auto"/>
      </w:divBdr>
    </w:div>
    <w:div w:id="1221132774">
      <w:marLeft w:val="480"/>
      <w:marRight w:val="0"/>
      <w:marTop w:val="0"/>
      <w:marBottom w:val="0"/>
      <w:divBdr>
        <w:top w:val="none" w:sz="0" w:space="0" w:color="auto"/>
        <w:left w:val="none" w:sz="0" w:space="0" w:color="auto"/>
        <w:bottom w:val="none" w:sz="0" w:space="0" w:color="auto"/>
        <w:right w:val="none" w:sz="0" w:space="0" w:color="auto"/>
      </w:divBdr>
    </w:div>
    <w:div w:id="1221597869">
      <w:bodyDiv w:val="1"/>
      <w:marLeft w:val="0"/>
      <w:marRight w:val="0"/>
      <w:marTop w:val="0"/>
      <w:marBottom w:val="0"/>
      <w:divBdr>
        <w:top w:val="none" w:sz="0" w:space="0" w:color="auto"/>
        <w:left w:val="none" w:sz="0" w:space="0" w:color="auto"/>
        <w:bottom w:val="none" w:sz="0" w:space="0" w:color="auto"/>
        <w:right w:val="none" w:sz="0" w:space="0" w:color="auto"/>
      </w:divBdr>
      <w:divsChild>
        <w:div w:id="1084568440">
          <w:marLeft w:val="0"/>
          <w:marRight w:val="0"/>
          <w:marTop w:val="0"/>
          <w:marBottom w:val="0"/>
          <w:divBdr>
            <w:top w:val="none" w:sz="0" w:space="0" w:color="auto"/>
            <w:left w:val="none" w:sz="0" w:space="0" w:color="auto"/>
            <w:bottom w:val="none" w:sz="0" w:space="0" w:color="auto"/>
            <w:right w:val="none" w:sz="0" w:space="0" w:color="auto"/>
          </w:divBdr>
          <w:divsChild>
            <w:div w:id="88695216">
              <w:marLeft w:val="0"/>
              <w:marRight w:val="0"/>
              <w:marTop w:val="0"/>
              <w:marBottom w:val="0"/>
              <w:divBdr>
                <w:top w:val="none" w:sz="0" w:space="0" w:color="auto"/>
                <w:left w:val="none" w:sz="0" w:space="0" w:color="auto"/>
                <w:bottom w:val="none" w:sz="0" w:space="0" w:color="auto"/>
                <w:right w:val="none" w:sz="0" w:space="0" w:color="auto"/>
              </w:divBdr>
              <w:divsChild>
                <w:div w:id="1970936420">
                  <w:marLeft w:val="0"/>
                  <w:marRight w:val="0"/>
                  <w:marTop w:val="0"/>
                  <w:marBottom w:val="0"/>
                  <w:divBdr>
                    <w:top w:val="none" w:sz="0" w:space="0" w:color="auto"/>
                    <w:left w:val="none" w:sz="0" w:space="0" w:color="auto"/>
                    <w:bottom w:val="none" w:sz="0" w:space="0" w:color="auto"/>
                    <w:right w:val="none" w:sz="0" w:space="0" w:color="auto"/>
                  </w:divBdr>
                  <w:divsChild>
                    <w:div w:id="467019034">
                      <w:marLeft w:val="0"/>
                      <w:marRight w:val="0"/>
                      <w:marTop w:val="0"/>
                      <w:marBottom w:val="0"/>
                      <w:divBdr>
                        <w:top w:val="none" w:sz="0" w:space="0" w:color="auto"/>
                        <w:left w:val="none" w:sz="0" w:space="0" w:color="auto"/>
                        <w:bottom w:val="none" w:sz="0" w:space="0" w:color="auto"/>
                        <w:right w:val="none" w:sz="0" w:space="0" w:color="auto"/>
                      </w:divBdr>
                      <w:divsChild>
                        <w:div w:id="942760654">
                          <w:marLeft w:val="0"/>
                          <w:marRight w:val="0"/>
                          <w:marTop w:val="0"/>
                          <w:marBottom w:val="0"/>
                          <w:divBdr>
                            <w:top w:val="none" w:sz="0" w:space="0" w:color="auto"/>
                            <w:left w:val="none" w:sz="0" w:space="0" w:color="auto"/>
                            <w:bottom w:val="none" w:sz="0" w:space="0" w:color="auto"/>
                            <w:right w:val="none" w:sz="0" w:space="0" w:color="auto"/>
                          </w:divBdr>
                          <w:divsChild>
                            <w:div w:id="952327469">
                              <w:marLeft w:val="0"/>
                              <w:marRight w:val="0"/>
                              <w:marTop w:val="0"/>
                              <w:marBottom w:val="0"/>
                              <w:divBdr>
                                <w:top w:val="none" w:sz="0" w:space="0" w:color="auto"/>
                                <w:left w:val="none" w:sz="0" w:space="0" w:color="auto"/>
                                <w:bottom w:val="none" w:sz="0" w:space="0" w:color="auto"/>
                                <w:right w:val="none" w:sz="0" w:space="0" w:color="auto"/>
                              </w:divBdr>
                              <w:divsChild>
                                <w:div w:id="1616598287">
                                  <w:marLeft w:val="0"/>
                                  <w:marRight w:val="0"/>
                                  <w:marTop w:val="0"/>
                                  <w:marBottom w:val="0"/>
                                  <w:divBdr>
                                    <w:top w:val="none" w:sz="0" w:space="0" w:color="auto"/>
                                    <w:left w:val="none" w:sz="0" w:space="0" w:color="auto"/>
                                    <w:bottom w:val="none" w:sz="0" w:space="0" w:color="auto"/>
                                    <w:right w:val="none" w:sz="0" w:space="0" w:color="auto"/>
                                  </w:divBdr>
                                  <w:divsChild>
                                    <w:div w:id="858860519">
                                      <w:marLeft w:val="0"/>
                                      <w:marRight w:val="0"/>
                                      <w:marTop w:val="0"/>
                                      <w:marBottom w:val="0"/>
                                      <w:divBdr>
                                        <w:top w:val="none" w:sz="0" w:space="0" w:color="auto"/>
                                        <w:left w:val="none" w:sz="0" w:space="0" w:color="auto"/>
                                        <w:bottom w:val="none" w:sz="0" w:space="0" w:color="auto"/>
                                        <w:right w:val="none" w:sz="0" w:space="0" w:color="auto"/>
                                      </w:divBdr>
                                      <w:divsChild>
                                        <w:div w:id="860046816">
                                          <w:marLeft w:val="0"/>
                                          <w:marRight w:val="0"/>
                                          <w:marTop w:val="0"/>
                                          <w:marBottom w:val="0"/>
                                          <w:divBdr>
                                            <w:top w:val="none" w:sz="0" w:space="0" w:color="auto"/>
                                            <w:left w:val="none" w:sz="0" w:space="0" w:color="auto"/>
                                            <w:bottom w:val="none" w:sz="0" w:space="0" w:color="auto"/>
                                            <w:right w:val="none" w:sz="0" w:space="0" w:color="auto"/>
                                          </w:divBdr>
                                          <w:divsChild>
                                            <w:div w:id="1086344272">
                                              <w:marLeft w:val="0"/>
                                              <w:marRight w:val="0"/>
                                              <w:marTop w:val="0"/>
                                              <w:marBottom w:val="0"/>
                                              <w:divBdr>
                                                <w:top w:val="none" w:sz="0" w:space="0" w:color="auto"/>
                                                <w:left w:val="none" w:sz="0" w:space="0" w:color="auto"/>
                                                <w:bottom w:val="none" w:sz="0" w:space="0" w:color="auto"/>
                                                <w:right w:val="none" w:sz="0" w:space="0" w:color="auto"/>
                                              </w:divBdr>
                                              <w:divsChild>
                                                <w:div w:id="1129591169">
                                                  <w:marLeft w:val="0"/>
                                                  <w:marRight w:val="0"/>
                                                  <w:marTop w:val="0"/>
                                                  <w:marBottom w:val="0"/>
                                                  <w:divBdr>
                                                    <w:top w:val="none" w:sz="0" w:space="0" w:color="auto"/>
                                                    <w:left w:val="none" w:sz="0" w:space="0" w:color="auto"/>
                                                    <w:bottom w:val="none" w:sz="0" w:space="0" w:color="auto"/>
                                                    <w:right w:val="none" w:sz="0" w:space="0" w:color="auto"/>
                                                  </w:divBdr>
                                                  <w:divsChild>
                                                    <w:div w:id="688992248">
                                                      <w:marLeft w:val="0"/>
                                                      <w:marRight w:val="0"/>
                                                      <w:marTop w:val="0"/>
                                                      <w:marBottom w:val="0"/>
                                                      <w:divBdr>
                                                        <w:top w:val="none" w:sz="0" w:space="0" w:color="auto"/>
                                                        <w:left w:val="none" w:sz="0" w:space="0" w:color="auto"/>
                                                        <w:bottom w:val="none" w:sz="0" w:space="0" w:color="auto"/>
                                                        <w:right w:val="none" w:sz="0" w:space="0" w:color="auto"/>
                                                      </w:divBdr>
                                                      <w:divsChild>
                                                        <w:div w:id="11526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236990">
          <w:marLeft w:val="0"/>
          <w:marRight w:val="0"/>
          <w:marTop w:val="0"/>
          <w:marBottom w:val="0"/>
          <w:divBdr>
            <w:top w:val="none" w:sz="0" w:space="0" w:color="auto"/>
            <w:left w:val="none" w:sz="0" w:space="0" w:color="auto"/>
            <w:bottom w:val="none" w:sz="0" w:space="0" w:color="auto"/>
            <w:right w:val="none" w:sz="0" w:space="0" w:color="auto"/>
          </w:divBdr>
          <w:divsChild>
            <w:div w:id="1117524942">
              <w:marLeft w:val="0"/>
              <w:marRight w:val="0"/>
              <w:marTop w:val="0"/>
              <w:marBottom w:val="0"/>
              <w:divBdr>
                <w:top w:val="none" w:sz="0" w:space="0" w:color="auto"/>
                <w:left w:val="none" w:sz="0" w:space="0" w:color="auto"/>
                <w:bottom w:val="none" w:sz="0" w:space="0" w:color="auto"/>
                <w:right w:val="none" w:sz="0" w:space="0" w:color="auto"/>
              </w:divBdr>
              <w:divsChild>
                <w:div w:id="469060548">
                  <w:marLeft w:val="0"/>
                  <w:marRight w:val="0"/>
                  <w:marTop w:val="0"/>
                  <w:marBottom w:val="0"/>
                  <w:divBdr>
                    <w:top w:val="none" w:sz="0" w:space="0" w:color="auto"/>
                    <w:left w:val="none" w:sz="0" w:space="0" w:color="auto"/>
                    <w:bottom w:val="none" w:sz="0" w:space="0" w:color="auto"/>
                    <w:right w:val="none" w:sz="0" w:space="0" w:color="auto"/>
                  </w:divBdr>
                  <w:divsChild>
                    <w:div w:id="437068366">
                      <w:marLeft w:val="0"/>
                      <w:marRight w:val="0"/>
                      <w:marTop w:val="0"/>
                      <w:marBottom w:val="0"/>
                      <w:divBdr>
                        <w:top w:val="none" w:sz="0" w:space="0" w:color="auto"/>
                        <w:left w:val="none" w:sz="0" w:space="0" w:color="auto"/>
                        <w:bottom w:val="none" w:sz="0" w:space="0" w:color="auto"/>
                        <w:right w:val="none" w:sz="0" w:space="0" w:color="auto"/>
                      </w:divBdr>
                      <w:divsChild>
                        <w:div w:id="1078942103">
                          <w:marLeft w:val="0"/>
                          <w:marRight w:val="0"/>
                          <w:marTop w:val="0"/>
                          <w:marBottom w:val="0"/>
                          <w:divBdr>
                            <w:top w:val="none" w:sz="0" w:space="0" w:color="auto"/>
                            <w:left w:val="none" w:sz="0" w:space="0" w:color="auto"/>
                            <w:bottom w:val="none" w:sz="0" w:space="0" w:color="auto"/>
                            <w:right w:val="none" w:sz="0" w:space="0" w:color="auto"/>
                          </w:divBdr>
                          <w:divsChild>
                            <w:div w:id="1842816698">
                              <w:marLeft w:val="0"/>
                              <w:marRight w:val="0"/>
                              <w:marTop w:val="0"/>
                              <w:marBottom w:val="0"/>
                              <w:divBdr>
                                <w:top w:val="none" w:sz="0" w:space="0" w:color="auto"/>
                                <w:left w:val="none" w:sz="0" w:space="0" w:color="auto"/>
                                <w:bottom w:val="none" w:sz="0" w:space="0" w:color="auto"/>
                                <w:right w:val="none" w:sz="0" w:space="0" w:color="auto"/>
                              </w:divBdr>
                              <w:divsChild>
                                <w:div w:id="2049598200">
                                  <w:marLeft w:val="0"/>
                                  <w:marRight w:val="0"/>
                                  <w:marTop w:val="0"/>
                                  <w:marBottom w:val="0"/>
                                  <w:divBdr>
                                    <w:top w:val="none" w:sz="0" w:space="0" w:color="auto"/>
                                    <w:left w:val="none" w:sz="0" w:space="0" w:color="auto"/>
                                    <w:bottom w:val="none" w:sz="0" w:space="0" w:color="auto"/>
                                    <w:right w:val="none" w:sz="0" w:space="0" w:color="auto"/>
                                  </w:divBdr>
                                  <w:divsChild>
                                    <w:div w:id="1574240569">
                                      <w:marLeft w:val="0"/>
                                      <w:marRight w:val="0"/>
                                      <w:marTop w:val="0"/>
                                      <w:marBottom w:val="0"/>
                                      <w:divBdr>
                                        <w:top w:val="none" w:sz="0" w:space="0" w:color="auto"/>
                                        <w:left w:val="none" w:sz="0" w:space="0" w:color="auto"/>
                                        <w:bottom w:val="none" w:sz="0" w:space="0" w:color="auto"/>
                                        <w:right w:val="none" w:sz="0" w:space="0" w:color="auto"/>
                                      </w:divBdr>
                                      <w:divsChild>
                                        <w:div w:id="881140100">
                                          <w:marLeft w:val="0"/>
                                          <w:marRight w:val="0"/>
                                          <w:marTop w:val="0"/>
                                          <w:marBottom w:val="0"/>
                                          <w:divBdr>
                                            <w:top w:val="none" w:sz="0" w:space="0" w:color="auto"/>
                                            <w:left w:val="none" w:sz="0" w:space="0" w:color="auto"/>
                                            <w:bottom w:val="none" w:sz="0" w:space="0" w:color="auto"/>
                                            <w:right w:val="none" w:sz="0" w:space="0" w:color="auto"/>
                                          </w:divBdr>
                                          <w:divsChild>
                                            <w:div w:id="755394875">
                                              <w:marLeft w:val="0"/>
                                              <w:marRight w:val="0"/>
                                              <w:marTop w:val="0"/>
                                              <w:marBottom w:val="0"/>
                                              <w:divBdr>
                                                <w:top w:val="none" w:sz="0" w:space="0" w:color="auto"/>
                                                <w:left w:val="none" w:sz="0" w:space="0" w:color="auto"/>
                                                <w:bottom w:val="none" w:sz="0" w:space="0" w:color="auto"/>
                                                <w:right w:val="none" w:sz="0" w:space="0" w:color="auto"/>
                                              </w:divBdr>
                                              <w:divsChild>
                                                <w:div w:id="1087651709">
                                                  <w:marLeft w:val="0"/>
                                                  <w:marRight w:val="0"/>
                                                  <w:marTop w:val="0"/>
                                                  <w:marBottom w:val="0"/>
                                                  <w:divBdr>
                                                    <w:top w:val="none" w:sz="0" w:space="0" w:color="auto"/>
                                                    <w:left w:val="none" w:sz="0" w:space="0" w:color="auto"/>
                                                    <w:bottom w:val="none" w:sz="0" w:space="0" w:color="auto"/>
                                                    <w:right w:val="none" w:sz="0" w:space="0" w:color="auto"/>
                                                  </w:divBdr>
                                                  <w:divsChild>
                                                    <w:div w:id="1946762673">
                                                      <w:marLeft w:val="0"/>
                                                      <w:marRight w:val="0"/>
                                                      <w:marTop w:val="0"/>
                                                      <w:marBottom w:val="0"/>
                                                      <w:divBdr>
                                                        <w:top w:val="none" w:sz="0" w:space="0" w:color="auto"/>
                                                        <w:left w:val="none" w:sz="0" w:space="0" w:color="auto"/>
                                                        <w:bottom w:val="none" w:sz="0" w:space="0" w:color="auto"/>
                                                        <w:right w:val="none" w:sz="0" w:space="0" w:color="auto"/>
                                                      </w:divBdr>
                                                      <w:divsChild>
                                                        <w:div w:id="19124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700454">
          <w:marLeft w:val="0"/>
          <w:marRight w:val="0"/>
          <w:marTop w:val="0"/>
          <w:marBottom w:val="0"/>
          <w:divBdr>
            <w:top w:val="none" w:sz="0" w:space="0" w:color="auto"/>
            <w:left w:val="none" w:sz="0" w:space="0" w:color="auto"/>
            <w:bottom w:val="none" w:sz="0" w:space="0" w:color="auto"/>
            <w:right w:val="none" w:sz="0" w:space="0" w:color="auto"/>
          </w:divBdr>
          <w:divsChild>
            <w:div w:id="405036325">
              <w:marLeft w:val="0"/>
              <w:marRight w:val="0"/>
              <w:marTop w:val="0"/>
              <w:marBottom w:val="0"/>
              <w:divBdr>
                <w:top w:val="none" w:sz="0" w:space="0" w:color="auto"/>
                <w:left w:val="none" w:sz="0" w:space="0" w:color="auto"/>
                <w:bottom w:val="none" w:sz="0" w:space="0" w:color="auto"/>
                <w:right w:val="none" w:sz="0" w:space="0" w:color="auto"/>
              </w:divBdr>
            </w:div>
          </w:divsChild>
        </w:div>
        <w:div w:id="1007245337">
          <w:marLeft w:val="0"/>
          <w:marRight w:val="0"/>
          <w:marTop w:val="0"/>
          <w:marBottom w:val="0"/>
          <w:divBdr>
            <w:top w:val="none" w:sz="0" w:space="0" w:color="auto"/>
            <w:left w:val="none" w:sz="0" w:space="0" w:color="auto"/>
            <w:bottom w:val="none" w:sz="0" w:space="0" w:color="auto"/>
            <w:right w:val="none" w:sz="0" w:space="0" w:color="auto"/>
          </w:divBdr>
          <w:divsChild>
            <w:div w:id="1326203687">
              <w:marLeft w:val="0"/>
              <w:marRight w:val="0"/>
              <w:marTop w:val="0"/>
              <w:marBottom w:val="0"/>
              <w:divBdr>
                <w:top w:val="none" w:sz="0" w:space="0" w:color="auto"/>
                <w:left w:val="none" w:sz="0" w:space="0" w:color="auto"/>
                <w:bottom w:val="none" w:sz="0" w:space="0" w:color="auto"/>
                <w:right w:val="none" w:sz="0" w:space="0" w:color="auto"/>
              </w:divBdr>
              <w:divsChild>
                <w:div w:id="452676502">
                  <w:marLeft w:val="0"/>
                  <w:marRight w:val="0"/>
                  <w:marTop w:val="0"/>
                  <w:marBottom w:val="0"/>
                  <w:divBdr>
                    <w:top w:val="none" w:sz="0" w:space="0" w:color="auto"/>
                    <w:left w:val="none" w:sz="0" w:space="0" w:color="auto"/>
                    <w:bottom w:val="none" w:sz="0" w:space="0" w:color="auto"/>
                    <w:right w:val="none" w:sz="0" w:space="0" w:color="auto"/>
                  </w:divBdr>
                  <w:divsChild>
                    <w:div w:id="407192344">
                      <w:marLeft w:val="0"/>
                      <w:marRight w:val="0"/>
                      <w:marTop w:val="0"/>
                      <w:marBottom w:val="0"/>
                      <w:divBdr>
                        <w:top w:val="none" w:sz="0" w:space="0" w:color="auto"/>
                        <w:left w:val="none" w:sz="0" w:space="0" w:color="auto"/>
                        <w:bottom w:val="none" w:sz="0" w:space="0" w:color="auto"/>
                        <w:right w:val="none" w:sz="0" w:space="0" w:color="auto"/>
                      </w:divBdr>
                      <w:divsChild>
                        <w:div w:id="797651582">
                          <w:marLeft w:val="0"/>
                          <w:marRight w:val="0"/>
                          <w:marTop w:val="0"/>
                          <w:marBottom w:val="0"/>
                          <w:divBdr>
                            <w:top w:val="none" w:sz="0" w:space="0" w:color="auto"/>
                            <w:left w:val="none" w:sz="0" w:space="0" w:color="auto"/>
                            <w:bottom w:val="none" w:sz="0" w:space="0" w:color="auto"/>
                            <w:right w:val="none" w:sz="0" w:space="0" w:color="auto"/>
                          </w:divBdr>
                          <w:divsChild>
                            <w:div w:id="1193422002">
                              <w:marLeft w:val="0"/>
                              <w:marRight w:val="0"/>
                              <w:marTop w:val="0"/>
                              <w:marBottom w:val="0"/>
                              <w:divBdr>
                                <w:top w:val="none" w:sz="0" w:space="0" w:color="auto"/>
                                <w:left w:val="none" w:sz="0" w:space="0" w:color="auto"/>
                                <w:bottom w:val="none" w:sz="0" w:space="0" w:color="auto"/>
                                <w:right w:val="none" w:sz="0" w:space="0" w:color="auto"/>
                              </w:divBdr>
                              <w:divsChild>
                                <w:div w:id="2024436132">
                                  <w:marLeft w:val="0"/>
                                  <w:marRight w:val="0"/>
                                  <w:marTop w:val="0"/>
                                  <w:marBottom w:val="0"/>
                                  <w:divBdr>
                                    <w:top w:val="none" w:sz="0" w:space="0" w:color="auto"/>
                                    <w:left w:val="none" w:sz="0" w:space="0" w:color="auto"/>
                                    <w:bottom w:val="none" w:sz="0" w:space="0" w:color="auto"/>
                                    <w:right w:val="none" w:sz="0" w:space="0" w:color="auto"/>
                                  </w:divBdr>
                                  <w:divsChild>
                                    <w:div w:id="506595762">
                                      <w:marLeft w:val="0"/>
                                      <w:marRight w:val="0"/>
                                      <w:marTop w:val="0"/>
                                      <w:marBottom w:val="0"/>
                                      <w:divBdr>
                                        <w:top w:val="none" w:sz="0" w:space="0" w:color="auto"/>
                                        <w:left w:val="none" w:sz="0" w:space="0" w:color="auto"/>
                                        <w:bottom w:val="none" w:sz="0" w:space="0" w:color="auto"/>
                                        <w:right w:val="none" w:sz="0" w:space="0" w:color="auto"/>
                                      </w:divBdr>
                                      <w:divsChild>
                                        <w:div w:id="674572558">
                                          <w:marLeft w:val="0"/>
                                          <w:marRight w:val="0"/>
                                          <w:marTop w:val="0"/>
                                          <w:marBottom w:val="0"/>
                                          <w:divBdr>
                                            <w:top w:val="none" w:sz="0" w:space="0" w:color="auto"/>
                                            <w:left w:val="none" w:sz="0" w:space="0" w:color="auto"/>
                                            <w:bottom w:val="none" w:sz="0" w:space="0" w:color="auto"/>
                                            <w:right w:val="none" w:sz="0" w:space="0" w:color="auto"/>
                                          </w:divBdr>
                                          <w:divsChild>
                                            <w:div w:id="1527594329">
                                              <w:marLeft w:val="0"/>
                                              <w:marRight w:val="0"/>
                                              <w:marTop w:val="0"/>
                                              <w:marBottom w:val="0"/>
                                              <w:divBdr>
                                                <w:top w:val="none" w:sz="0" w:space="0" w:color="auto"/>
                                                <w:left w:val="none" w:sz="0" w:space="0" w:color="auto"/>
                                                <w:bottom w:val="none" w:sz="0" w:space="0" w:color="auto"/>
                                                <w:right w:val="none" w:sz="0" w:space="0" w:color="auto"/>
                                              </w:divBdr>
                                              <w:divsChild>
                                                <w:div w:id="2074428630">
                                                  <w:marLeft w:val="0"/>
                                                  <w:marRight w:val="0"/>
                                                  <w:marTop w:val="0"/>
                                                  <w:marBottom w:val="0"/>
                                                  <w:divBdr>
                                                    <w:top w:val="none" w:sz="0" w:space="0" w:color="auto"/>
                                                    <w:left w:val="none" w:sz="0" w:space="0" w:color="auto"/>
                                                    <w:bottom w:val="none" w:sz="0" w:space="0" w:color="auto"/>
                                                    <w:right w:val="none" w:sz="0" w:space="0" w:color="auto"/>
                                                  </w:divBdr>
                                                  <w:divsChild>
                                                    <w:div w:id="1641180918">
                                                      <w:marLeft w:val="0"/>
                                                      <w:marRight w:val="0"/>
                                                      <w:marTop w:val="0"/>
                                                      <w:marBottom w:val="0"/>
                                                      <w:divBdr>
                                                        <w:top w:val="none" w:sz="0" w:space="0" w:color="auto"/>
                                                        <w:left w:val="none" w:sz="0" w:space="0" w:color="auto"/>
                                                        <w:bottom w:val="none" w:sz="0" w:space="0" w:color="auto"/>
                                                        <w:right w:val="none" w:sz="0" w:space="0" w:color="auto"/>
                                                      </w:divBdr>
                                                      <w:divsChild>
                                                        <w:div w:id="480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135601">
      <w:marLeft w:val="480"/>
      <w:marRight w:val="0"/>
      <w:marTop w:val="0"/>
      <w:marBottom w:val="0"/>
      <w:divBdr>
        <w:top w:val="none" w:sz="0" w:space="0" w:color="auto"/>
        <w:left w:val="none" w:sz="0" w:space="0" w:color="auto"/>
        <w:bottom w:val="none" w:sz="0" w:space="0" w:color="auto"/>
        <w:right w:val="none" w:sz="0" w:space="0" w:color="auto"/>
      </w:divBdr>
    </w:div>
    <w:div w:id="1268344845">
      <w:marLeft w:val="480"/>
      <w:marRight w:val="0"/>
      <w:marTop w:val="0"/>
      <w:marBottom w:val="0"/>
      <w:divBdr>
        <w:top w:val="none" w:sz="0" w:space="0" w:color="auto"/>
        <w:left w:val="none" w:sz="0" w:space="0" w:color="auto"/>
        <w:bottom w:val="none" w:sz="0" w:space="0" w:color="auto"/>
        <w:right w:val="none" w:sz="0" w:space="0" w:color="auto"/>
      </w:divBdr>
    </w:div>
    <w:div w:id="1283344383">
      <w:marLeft w:val="480"/>
      <w:marRight w:val="0"/>
      <w:marTop w:val="0"/>
      <w:marBottom w:val="0"/>
      <w:divBdr>
        <w:top w:val="none" w:sz="0" w:space="0" w:color="auto"/>
        <w:left w:val="none" w:sz="0" w:space="0" w:color="auto"/>
        <w:bottom w:val="none" w:sz="0" w:space="0" w:color="auto"/>
        <w:right w:val="none" w:sz="0" w:space="0" w:color="auto"/>
      </w:divBdr>
    </w:div>
    <w:div w:id="1294752687">
      <w:marLeft w:val="480"/>
      <w:marRight w:val="0"/>
      <w:marTop w:val="0"/>
      <w:marBottom w:val="0"/>
      <w:divBdr>
        <w:top w:val="none" w:sz="0" w:space="0" w:color="auto"/>
        <w:left w:val="none" w:sz="0" w:space="0" w:color="auto"/>
        <w:bottom w:val="none" w:sz="0" w:space="0" w:color="auto"/>
        <w:right w:val="none" w:sz="0" w:space="0" w:color="auto"/>
      </w:divBdr>
    </w:div>
    <w:div w:id="1316374375">
      <w:marLeft w:val="480"/>
      <w:marRight w:val="0"/>
      <w:marTop w:val="0"/>
      <w:marBottom w:val="0"/>
      <w:divBdr>
        <w:top w:val="none" w:sz="0" w:space="0" w:color="auto"/>
        <w:left w:val="none" w:sz="0" w:space="0" w:color="auto"/>
        <w:bottom w:val="none" w:sz="0" w:space="0" w:color="auto"/>
        <w:right w:val="none" w:sz="0" w:space="0" w:color="auto"/>
      </w:divBdr>
    </w:div>
    <w:div w:id="1342123361">
      <w:marLeft w:val="480"/>
      <w:marRight w:val="0"/>
      <w:marTop w:val="0"/>
      <w:marBottom w:val="0"/>
      <w:divBdr>
        <w:top w:val="none" w:sz="0" w:space="0" w:color="auto"/>
        <w:left w:val="none" w:sz="0" w:space="0" w:color="auto"/>
        <w:bottom w:val="none" w:sz="0" w:space="0" w:color="auto"/>
        <w:right w:val="none" w:sz="0" w:space="0" w:color="auto"/>
      </w:divBdr>
    </w:div>
    <w:div w:id="1368674105">
      <w:marLeft w:val="480"/>
      <w:marRight w:val="0"/>
      <w:marTop w:val="0"/>
      <w:marBottom w:val="0"/>
      <w:divBdr>
        <w:top w:val="none" w:sz="0" w:space="0" w:color="auto"/>
        <w:left w:val="none" w:sz="0" w:space="0" w:color="auto"/>
        <w:bottom w:val="none" w:sz="0" w:space="0" w:color="auto"/>
        <w:right w:val="none" w:sz="0" w:space="0" w:color="auto"/>
      </w:divBdr>
    </w:div>
    <w:div w:id="1385761420">
      <w:bodyDiv w:val="1"/>
      <w:marLeft w:val="0"/>
      <w:marRight w:val="0"/>
      <w:marTop w:val="0"/>
      <w:marBottom w:val="0"/>
      <w:divBdr>
        <w:top w:val="none" w:sz="0" w:space="0" w:color="auto"/>
        <w:left w:val="none" w:sz="0" w:space="0" w:color="auto"/>
        <w:bottom w:val="none" w:sz="0" w:space="0" w:color="auto"/>
        <w:right w:val="none" w:sz="0" w:space="0" w:color="auto"/>
      </w:divBdr>
      <w:divsChild>
        <w:div w:id="779485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3885446">
          <w:marLeft w:val="0"/>
          <w:marRight w:val="0"/>
          <w:marTop w:val="0"/>
          <w:marBottom w:val="0"/>
          <w:divBdr>
            <w:top w:val="none" w:sz="0" w:space="0" w:color="auto"/>
            <w:left w:val="none" w:sz="0" w:space="0" w:color="auto"/>
            <w:bottom w:val="none" w:sz="0" w:space="0" w:color="auto"/>
            <w:right w:val="none" w:sz="0" w:space="0" w:color="auto"/>
          </w:divBdr>
          <w:divsChild>
            <w:div w:id="570043279">
              <w:marLeft w:val="0"/>
              <w:marRight w:val="0"/>
              <w:marTop w:val="0"/>
              <w:marBottom w:val="0"/>
              <w:divBdr>
                <w:top w:val="none" w:sz="0" w:space="0" w:color="auto"/>
                <w:left w:val="none" w:sz="0" w:space="0" w:color="auto"/>
                <w:bottom w:val="none" w:sz="0" w:space="0" w:color="auto"/>
                <w:right w:val="none" w:sz="0" w:space="0" w:color="auto"/>
              </w:divBdr>
              <w:divsChild>
                <w:div w:id="1490711788">
                  <w:marLeft w:val="0"/>
                  <w:marRight w:val="0"/>
                  <w:marTop w:val="0"/>
                  <w:marBottom w:val="0"/>
                  <w:divBdr>
                    <w:top w:val="none" w:sz="0" w:space="0" w:color="auto"/>
                    <w:left w:val="none" w:sz="0" w:space="0" w:color="auto"/>
                    <w:bottom w:val="none" w:sz="0" w:space="0" w:color="auto"/>
                    <w:right w:val="none" w:sz="0" w:space="0" w:color="auto"/>
                  </w:divBdr>
                  <w:divsChild>
                    <w:div w:id="2059738516">
                      <w:marLeft w:val="0"/>
                      <w:marRight w:val="0"/>
                      <w:marTop w:val="0"/>
                      <w:marBottom w:val="0"/>
                      <w:divBdr>
                        <w:top w:val="none" w:sz="0" w:space="0" w:color="auto"/>
                        <w:left w:val="none" w:sz="0" w:space="0" w:color="auto"/>
                        <w:bottom w:val="none" w:sz="0" w:space="0" w:color="auto"/>
                        <w:right w:val="none" w:sz="0" w:space="0" w:color="auto"/>
                      </w:divBdr>
                      <w:divsChild>
                        <w:div w:id="1123042709">
                          <w:marLeft w:val="0"/>
                          <w:marRight w:val="0"/>
                          <w:marTop w:val="0"/>
                          <w:marBottom w:val="0"/>
                          <w:divBdr>
                            <w:top w:val="none" w:sz="0" w:space="0" w:color="auto"/>
                            <w:left w:val="none" w:sz="0" w:space="0" w:color="auto"/>
                            <w:bottom w:val="none" w:sz="0" w:space="0" w:color="auto"/>
                            <w:right w:val="none" w:sz="0" w:space="0" w:color="auto"/>
                          </w:divBdr>
                          <w:divsChild>
                            <w:div w:id="844252053">
                              <w:marLeft w:val="0"/>
                              <w:marRight w:val="0"/>
                              <w:marTop w:val="0"/>
                              <w:marBottom w:val="0"/>
                              <w:divBdr>
                                <w:top w:val="none" w:sz="0" w:space="0" w:color="auto"/>
                                <w:left w:val="none" w:sz="0" w:space="0" w:color="auto"/>
                                <w:bottom w:val="none" w:sz="0" w:space="0" w:color="auto"/>
                                <w:right w:val="none" w:sz="0" w:space="0" w:color="auto"/>
                              </w:divBdr>
                              <w:divsChild>
                                <w:div w:id="2061780454">
                                  <w:marLeft w:val="0"/>
                                  <w:marRight w:val="0"/>
                                  <w:marTop w:val="0"/>
                                  <w:marBottom w:val="0"/>
                                  <w:divBdr>
                                    <w:top w:val="none" w:sz="0" w:space="0" w:color="auto"/>
                                    <w:left w:val="none" w:sz="0" w:space="0" w:color="auto"/>
                                    <w:bottom w:val="none" w:sz="0" w:space="0" w:color="auto"/>
                                    <w:right w:val="none" w:sz="0" w:space="0" w:color="auto"/>
                                  </w:divBdr>
                                  <w:divsChild>
                                    <w:div w:id="592666871">
                                      <w:marLeft w:val="0"/>
                                      <w:marRight w:val="0"/>
                                      <w:marTop w:val="0"/>
                                      <w:marBottom w:val="0"/>
                                      <w:divBdr>
                                        <w:top w:val="none" w:sz="0" w:space="0" w:color="auto"/>
                                        <w:left w:val="none" w:sz="0" w:space="0" w:color="auto"/>
                                        <w:bottom w:val="none" w:sz="0" w:space="0" w:color="auto"/>
                                        <w:right w:val="none" w:sz="0" w:space="0" w:color="auto"/>
                                      </w:divBdr>
                                      <w:divsChild>
                                        <w:div w:id="49112025">
                                          <w:marLeft w:val="0"/>
                                          <w:marRight w:val="0"/>
                                          <w:marTop w:val="0"/>
                                          <w:marBottom w:val="0"/>
                                          <w:divBdr>
                                            <w:top w:val="none" w:sz="0" w:space="0" w:color="auto"/>
                                            <w:left w:val="none" w:sz="0" w:space="0" w:color="auto"/>
                                            <w:bottom w:val="none" w:sz="0" w:space="0" w:color="auto"/>
                                            <w:right w:val="none" w:sz="0" w:space="0" w:color="auto"/>
                                          </w:divBdr>
                                          <w:divsChild>
                                            <w:div w:id="427964436">
                                              <w:marLeft w:val="0"/>
                                              <w:marRight w:val="0"/>
                                              <w:marTop w:val="0"/>
                                              <w:marBottom w:val="0"/>
                                              <w:divBdr>
                                                <w:top w:val="none" w:sz="0" w:space="0" w:color="auto"/>
                                                <w:left w:val="none" w:sz="0" w:space="0" w:color="auto"/>
                                                <w:bottom w:val="none" w:sz="0" w:space="0" w:color="auto"/>
                                                <w:right w:val="none" w:sz="0" w:space="0" w:color="auto"/>
                                              </w:divBdr>
                                              <w:divsChild>
                                                <w:div w:id="1221818347">
                                                  <w:marLeft w:val="0"/>
                                                  <w:marRight w:val="0"/>
                                                  <w:marTop w:val="0"/>
                                                  <w:marBottom w:val="0"/>
                                                  <w:divBdr>
                                                    <w:top w:val="none" w:sz="0" w:space="0" w:color="auto"/>
                                                    <w:left w:val="none" w:sz="0" w:space="0" w:color="auto"/>
                                                    <w:bottom w:val="none" w:sz="0" w:space="0" w:color="auto"/>
                                                    <w:right w:val="none" w:sz="0" w:space="0" w:color="auto"/>
                                                  </w:divBdr>
                                                  <w:divsChild>
                                                    <w:div w:id="678970508">
                                                      <w:marLeft w:val="0"/>
                                                      <w:marRight w:val="0"/>
                                                      <w:marTop w:val="0"/>
                                                      <w:marBottom w:val="0"/>
                                                      <w:divBdr>
                                                        <w:top w:val="none" w:sz="0" w:space="0" w:color="auto"/>
                                                        <w:left w:val="none" w:sz="0" w:space="0" w:color="auto"/>
                                                        <w:bottom w:val="none" w:sz="0" w:space="0" w:color="auto"/>
                                                        <w:right w:val="none" w:sz="0" w:space="0" w:color="auto"/>
                                                      </w:divBdr>
                                                      <w:divsChild>
                                                        <w:div w:id="11510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657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7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075392">
      <w:marLeft w:val="480"/>
      <w:marRight w:val="0"/>
      <w:marTop w:val="0"/>
      <w:marBottom w:val="0"/>
      <w:divBdr>
        <w:top w:val="none" w:sz="0" w:space="0" w:color="auto"/>
        <w:left w:val="none" w:sz="0" w:space="0" w:color="auto"/>
        <w:bottom w:val="none" w:sz="0" w:space="0" w:color="auto"/>
        <w:right w:val="none" w:sz="0" w:space="0" w:color="auto"/>
      </w:divBdr>
    </w:div>
    <w:div w:id="1437822940">
      <w:marLeft w:val="480"/>
      <w:marRight w:val="0"/>
      <w:marTop w:val="0"/>
      <w:marBottom w:val="0"/>
      <w:divBdr>
        <w:top w:val="none" w:sz="0" w:space="0" w:color="auto"/>
        <w:left w:val="none" w:sz="0" w:space="0" w:color="auto"/>
        <w:bottom w:val="none" w:sz="0" w:space="0" w:color="auto"/>
        <w:right w:val="none" w:sz="0" w:space="0" w:color="auto"/>
      </w:divBdr>
    </w:div>
    <w:div w:id="1454516772">
      <w:marLeft w:val="480"/>
      <w:marRight w:val="0"/>
      <w:marTop w:val="0"/>
      <w:marBottom w:val="0"/>
      <w:divBdr>
        <w:top w:val="none" w:sz="0" w:space="0" w:color="auto"/>
        <w:left w:val="none" w:sz="0" w:space="0" w:color="auto"/>
        <w:bottom w:val="none" w:sz="0" w:space="0" w:color="auto"/>
        <w:right w:val="none" w:sz="0" w:space="0" w:color="auto"/>
      </w:divBdr>
    </w:div>
    <w:div w:id="1486966432">
      <w:marLeft w:val="480"/>
      <w:marRight w:val="0"/>
      <w:marTop w:val="0"/>
      <w:marBottom w:val="0"/>
      <w:divBdr>
        <w:top w:val="none" w:sz="0" w:space="0" w:color="auto"/>
        <w:left w:val="none" w:sz="0" w:space="0" w:color="auto"/>
        <w:bottom w:val="none" w:sz="0" w:space="0" w:color="auto"/>
        <w:right w:val="none" w:sz="0" w:space="0" w:color="auto"/>
      </w:divBdr>
    </w:div>
    <w:div w:id="1495991209">
      <w:marLeft w:val="480"/>
      <w:marRight w:val="0"/>
      <w:marTop w:val="0"/>
      <w:marBottom w:val="0"/>
      <w:divBdr>
        <w:top w:val="none" w:sz="0" w:space="0" w:color="auto"/>
        <w:left w:val="none" w:sz="0" w:space="0" w:color="auto"/>
        <w:bottom w:val="none" w:sz="0" w:space="0" w:color="auto"/>
        <w:right w:val="none" w:sz="0" w:space="0" w:color="auto"/>
      </w:divBdr>
    </w:div>
    <w:div w:id="1495992787">
      <w:marLeft w:val="480"/>
      <w:marRight w:val="0"/>
      <w:marTop w:val="0"/>
      <w:marBottom w:val="0"/>
      <w:divBdr>
        <w:top w:val="none" w:sz="0" w:space="0" w:color="auto"/>
        <w:left w:val="none" w:sz="0" w:space="0" w:color="auto"/>
        <w:bottom w:val="none" w:sz="0" w:space="0" w:color="auto"/>
        <w:right w:val="none" w:sz="0" w:space="0" w:color="auto"/>
      </w:divBdr>
    </w:div>
    <w:div w:id="1500345195">
      <w:marLeft w:val="480"/>
      <w:marRight w:val="0"/>
      <w:marTop w:val="0"/>
      <w:marBottom w:val="0"/>
      <w:divBdr>
        <w:top w:val="none" w:sz="0" w:space="0" w:color="auto"/>
        <w:left w:val="none" w:sz="0" w:space="0" w:color="auto"/>
        <w:bottom w:val="none" w:sz="0" w:space="0" w:color="auto"/>
        <w:right w:val="none" w:sz="0" w:space="0" w:color="auto"/>
      </w:divBdr>
    </w:div>
    <w:div w:id="1533690530">
      <w:marLeft w:val="480"/>
      <w:marRight w:val="0"/>
      <w:marTop w:val="0"/>
      <w:marBottom w:val="0"/>
      <w:divBdr>
        <w:top w:val="none" w:sz="0" w:space="0" w:color="auto"/>
        <w:left w:val="none" w:sz="0" w:space="0" w:color="auto"/>
        <w:bottom w:val="none" w:sz="0" w:space="0" w:color="auto"/>
        <w:right w:val="none" w:sz="0" w:space="0" w:color="auto"/>
      </w:divBdr>
    </w:div>
    <w:div w:id="1555460157">
      <w:marLeft w:val="480"/>
      <w:marRight w:val="0"/>
      <w:marTop w:val="0"/>
      <w:marBottom w:val="0"/>
      <w:divBdr>
        <w:top w:val="none" w:sz="0" w:space="0" w:color="auto"/>
        <w:left w:val="none" w:sz="0" w:space="0" w:color="auto"/>
        <w:bottom w:val="none" w:sz="0" w:space="0" w:color="auto"/>
        <w:right w:val="none" w:sz="0" w:space="0" w:color="auto"/>
      </w:divBdr>
    </w:div>
    <w:div w:id="1556040553">
      <w:marLeft w:val="480"/>
      <w:marRight w:val="0"/>
      <w:marTop w:val="0"/>
      <w:marBottom w:val="0"/>
      <w:divBdr>
        <w:top w:val="none" w:sz="0" w:space="0" w:color="auto"/>
        <w:left w:val="none" w:sz="0" w:space="0" w:color="auto"/>
        <w:bottom w:val="none" w:sz="0" w:space="0" w:color="auto"/>
        <w:right w:val="none" w:sz="0" w:space="0" w:color="auto"/>
      </w:divBdr>
    </w:div>
    <w:div w:id="1566377284">
      <w:marLeft w:val="480"/>
      <w:marRight w:val="0"/>
      <w:marTop w:val="0"/>
      <w:marBottom w:val="0"/>
      <w:divBdr>
        <w:top w:val="none" w:sz="0" w:space="0" w:color="auto"/>
        <w:left w:val="none" w:sz="0" w:space="0" w:color="auto"/>
        <w:bottom w:val="none" w:sz="0" w:space="0" w:color="auto"/>
        <w:right w:val="none" w:sz="0" w:space="0" w:color="auto"/>
      </w:divBdr>
    </w:div>
    <w:div w:id="1580091654">
      <w:marLeft w:val="480"/>
      <w:marRight w:val="0"/>
      <w:marTop w:val="0"/>
      <w:marBottom w:val="0"/>
      <w:divBdr>
        <w:top w:val="none" w:sz="0" w:space="0" w:color="auto"/>
        <w:left w:val="none" w:sz="0" w:space="0" w:color="auto"/>
        <w:bottom w:val="none" w:sz="0" w:space="0" w:color="auto"/>
        <w:right w:val="none" w:sz="0" w:space="0" w:color="auto"/>
      </w:divBdr>
    </w:div>
    <w:div w:id="1620988357">
      <w:marLeft w:val="480"/>
      <w:marRight w:val="0"/>
      <w:marTop w:val="0"/>
      <w:marBottom w:val="0"/>
      <w:divBdr>
        <w:top w:val="none" w:sz="0" w:space="0" w:color="auto"/>
        <w:left w:val="none" w:sz="0" w:space="0" w:color="auto"/>
        <w:bottom w:val="none" w:sz="0" w:space="0" w:color="auto"/>
        <w:right w:val="none" w:sz="0" w:space="0" w:color="auto"/>
      </w:divBdr>
    </w:div>
    <w:div w:id="1649554640">
      <w:marLeft w:val="480"/>
      <w:marRight w:val="0"/>
      <w:marTop w:val="0"/>
      <w:marBottom w:val="0"/>
      <w:divBdr>
        <w:top w:val="none" w:sz="0" w:space="0" w:color="auto"/>
        <w:left w:val="none" w:sz="0" w:space="0" w:color="auto"/>
        <w:bottom w:val="none" w:sz="0" w:space="0" w:color="auto"/>
        <w:right w:val="none" w:sz="0" w:space="0" w:color="auto"/>
      </w:divBdr>
    </w:div>
    <w:div w:id="1656370682">
      <w:marLeft w:val="480"/>
      <w:marRight w:val="0"/>
      <w:marTop w:val="0"/>
      <w:marBottom w:val="0"/>
      <w:divBdr>
        <w:top w:val="none" w:sz="0" w:space="0" w:color="auto"/>
        <w:left w:val="none" w:sz="0" w:space="0" w:color="auto"/>
        <w:bottom w:val="none" w:sz="0" w:space="0" w:color="auto"/>
        <w:right w:val="none" w:sz="0" w:space="0" w:color="auto"/>
      </w:divBdr>
    </w:div>
    <w:div w:id="1656836456">
      <w:marLeft w:val="480"/>
      <w:marRight w:val="0"/>
      <w:marTop w:val="0"/>
      <w:marBottom w:val="0"/>
      <w:divBdr>
        <w:top w:val="none" w:sz="0" w:space="0" w:color="auto"/>
        <w:left w:val="none" w:sz="0" w:space="0" w:color="auto"/>
        <w:bottom w:val="none" w:sz="0" w:space="0" w:color="auto"/>
        <w:right w:val="none" w:sz="0" w:space="0" w:color="auto"/>
      </w:divBdr>
    </w:div>
    <w:div w:id="1659073539">
      <w:marLeft w:val="480"/>
      <w:marRight w:val="0"/>
      <w:marTop w:val="0"/>
      <w:marBottom w:val="0"/>
      <w:divBdr>
        <w:top w:val="none" w:sz="0" w:space="0" w:color="auto"/>
        <w:left w:val="none" w:sz="0" w:space="0" w:color="auto"/>
        <w:bottom w:val="none" w:sz="0" w:space="0" w:color="auto"/>
        <w:right w:val="none" w:sz="0" w:space="0" w:color="auto"/>
      </w:divBdr>
    </w:div>
    <w:div w:id="1664775684">
      <w:bodyDiv w:val="1"/>
      <w:marLeft w:val="0"/>
      <w:marRight w:val="0"/>
      <w:marTop w:val="0"/>
      <w:marBottom w:val="0"/>
      <w:divBdr>
        <w:top w:val="none" w:sz="0" w:space="0" w:color="auto"/>
        <w:left w:val="none" w:sz="0" w:space="0" w:color="auto"/>
        <w:bottom w:val="none" w:sz="0" w:space="0" w:color="auto"/>
        <w:right w:val="none" w:sz="0" w:space="0" w:color="auto"/>
      </w:divBdr>
    </w:div>
    <w:div w:id="1665818281">
      <w:marLeft w:val="480"/>
      <w:marRight w:val="0"/>
      <w:marTop w:val="0"/>
      <w:marBottom w:val="0"/>
      <w:divBdr>
        <w:top w:val="none" w:sz="0" w:space="0" w:color="auto"/>
        <w:left w:val="none" w:sz="0" w:space="0" w:color="auto"/>
        <w:bottom w:val="none" w:sz="0" w:space="0" w:color="auto"/>
        <w:right w:val="none" w:sz="0" w:space="0" w:color="auto"/>
      </w:divBdr>
    </w:div>
    <w:div w:id="1685473952">
      <w:marLeft w:val="480"/>
      <w:marRight w:val="0"/>
      <w:marTop w:val="0"/>
      <w:marBottom w:val="0"/>
      <w:divBdr>
        <w:top w:val="none" w:sz="0" w:space="0" w:color="auto"/>
        <w:left w:val="none" w:sz="0" w:space="0" w:color="auto"/>
        <w:bottom w:val="none" w:sz="0" w:space="0" w:color="auto"/>
        <w:right w:val="none" w:sz="0" w:space="0" w:color="auto"/>
      </w:divBdr>
    </w:div>
    <w:div w:id="1708067101">
      <w:marLeft w:val="480"/>
      <w:marRight w:val="0"/>
      <w:marTop w:val="0"/>
      <w:marBottom w:val="0"/>
      <w:divBdr>
        <w:top w:val="none" w:sz="0" w:space="0" w:color="auto"/>
        <w:left w:val="none" w:sz="0" w:space="0" w:color="auto"/>
        <w:bottom w:val="none" w:sz="0" w:space="0" w:color="auto"/>
        <w:right w:val="none" w:sz="0" w:space="0" w:color="auto"/>
      </w:divBdr>
    </w:div>
    <w:div w:id="1741246004">
      <w:marLeft w:val="480"/>
      <w:marRight w:val="0"/>
      <w:marTop w:val="0"/>
      <w:marBottom w:val="0"/>
      <w:divBdr>
        <w:top w:val="none" w:sz="0" w:space="0" w:color="auto"/>
        <w:left w:val="none" w:sz="0" w:space="0" w:color="auto"/>
        <w:bottom w:val="none" w:sz="0" w:space="0" w:color="auto"/>
        <w:right w:val="none" w:sz="0" w:space="0" w:color="auto"/>
      </w:divBdr>
    </w:div>
    <w:div w:id="1745225546">
      <w:marLeft w:val="480"/>
      <w:marRight w:val="0"/>
      <w:marTop w:val="0"/>
      <w:marBottom w:val="0"/>
      <w:divBdr>
        <w:top w:val="none" w:sz="0" w:space="0" w:color="auto"/>
        <w:left w:val="none" w:sz="0" w:space="0" w:color="auto"/>
        <w:bottom w:val="none" w:sz="0" w:space="0" w:color="auto"/>
        <w:right w:val="none" w:sz="0" w:space="0" w:color="auto"/>
      </w:divBdr>
    </w:div>
    <w:div w:id="1763839916">
      <w:marLeft w:val="480"/>
      <w:marRight w:val="0"/>
      <w:marTop w:val="0"/>
      <w:marBottom w:val="0"/>
      <w:divBdr>
        <w:top w:val="none" w:sz="0" w:space="0" w:color="auto"/>
        <w:left w:val="none" w:sz="0" w:space="0" w:color="auto"/>
        <w:bottom w:val="none" w:sz="0" w:space="0" w:color="auto"/>
        <w:right w:val="none" w:sz="0" w:space="0" w:color="auto"/>
      </w:divBdr>
    </w:div>
    <w:div w:id="1781534926">
      <w:marLeft w:val="480"/>
      <w:marRight w:val="0"/>
      <w:marTop w:val="0"/>
      <w:marBottom w:val="0"/>
      <w:divBdr>
        <w:top w:val="none" w:sz="0" w:space="0" w:color="auto"/>
        <w:left w:val="none" w:sz="0" w:space="0" w:color="auto"/>
        <w:bottom w:val="none" w:sz="0" w:space="0" w:color="auto"/>
        <w:right w:val="none" w:sz="0" w:space="0" w:color="auto"/>
      </w:divBdr>
    </w:div>
    <w:div w:id="1805075863">
      <w:marLeft w:val="480"/>
      <w:marRight w:val="0"/>
      <w:marTop w:val="0"/>
      <w:marBottom w:val="0"/>
      <w:divBdr>
        <w:top w:val="none" w:sz="0" w:space="0" w:color="auto"/>
        <w:left w:val="none" w:sz="0" w:space="0" w:color="auto"/>
        <w:bottom w:val="none" w:sz="0" w:space="0" w:color="auto"/>
        <w:right w:val="none" w:sz="0" w:space="0" w:color="auto"/>
      </w:divBdr>
    </w:div>
    <w:div w:id="1810517071">
      <w:marLeft w:val="480"/>
      <w:marRight w:val="0"/>
      <w:marTop w:val="0"/>
      <w:marBottom w:val="0"/>
      <w:divBdr>
        <w:top w:val="none" w:sz="0" w:space="0" w:color="auto"/>
        <w:left w:val="none" w:sz="0" w:space="0" w:color="auto"/>
        <w:bottom w:val="none" w:sz="0" w:space="0" w:color="auto"/>
        <w:right w:val="none" w:sz="0" w:space="0" w:color="auto"/>
      </w:divBdr>
    </w:div>
    <w:div w:id="1815173949">
      <w:marLeft w:val="480"/>
      <w:marRight w:val="0"/>
      <w:marTop w:val="0"/>
      <w:marBottom w:val="0"/>
      <w:divBdr>
        <w:top w:val="none" w:sz="0" w:space="0" w:color="auto"/>
        <w:left w:val="none" w:sz="0" w:space="0" w:color="auto"/>
        <w:bottom w:val="none" w:sz="0" w:space="0" w:color="auto"/>
        <w:right w:val="none" w:sz="0" w:space="0" w:color="auto"/>
      </w:divBdr>
    </w:div>
    <w:div w:id="1827939652">
      <w:marLeft w:val="480"/>
      <w:marRight w:val="0"/>
      <w:marTop w:val="0"/>
      <w:marBottom w:val="0"/>
      <w:divBdr>
        <w:top w:val="none" w:sz="0" w:space="0" w:color="auto"/>
        <w:left w:val="none" w:sz="0" w:space="0" w:color="auto"/>
        <w:bottom w:val="none" w:sz="0" w:space="0" w:color="auto"/>
        <w:right w:val="none" w:sz="0" w:space="0" w:color="auto"/>
      </w:divBdr>
    </w:div>
    <w:div w:id="1832329318">
      <w:marLeft w:val="480"/>
      <w:marRight w:val="0"/>
      <w:marTop w:val="0"/>
      <w:marBottom w:val="0"/>
      <w:divBdr>
        <w:top w:val="none" w:sz="0" w:space="0" w:color="auto"/>
        <w:left w:val="none" w:sz="0" w:space="0" w:color="auto"/>
        <w:bottom w:val="none" w:sz="0" w:space="0" w:color="auto"/>
        <w:right w:val="none" w:sz="0" w:space="0" w:color="auto"/>
      </w:divBdr>
    </w:div>
    <w:div w:id="1832793501">
      <w:marLeft w:val="480"/>
      <w:marRight w:val="0"/>
      <w:marTop w:val="0"/>
      <w:marBottom w:val="0"/>
      <w:divBdr>
        <w:top w:val="none" w:sz="0" w:space="0" w:color="auto"/>
        <w:left w:val="none" w:sz="0" w:space="0" w:color="auto"/>
        <w:bottom w:val="none" w:sz="0" w:space="0" w:color="auto"/>
        <w:right w:val="none" w:sz="0" w:space="0" w:color="auto"/>
      </w:divBdr>
    </w:div>
    <w:div w:id="1861356783">
      <w:marLeft w:val="480"/>
      <w:marRight w:val="0"/>
      <w:marTop w:val="0"/>
      <w:marBottom w:val="0"/>
      <w:divBdr>
        <w:top w:val="none" w:sz="0" w:space="0" w:color="auto"/>
        <w:left w:val="none" w:sz="0" w:space="0" w:color="auto"/>
        <w:bottom w:val="none" w:sz="0" w:space="0" w:color="auto"/>
        <w:right w:val="none" w:sz="0" w:space="0" w:color="auto"/>
      </w:divBdr>
    </w:div>
    <w:div w:id="1861695965">
      <w:bodyDiv w:val="1"/>
      <w:marLeft w:val="0"/>
      <w:marRight w:val="0"/>
      <w:marTop w:val="0"/>
      <w:marBottom w:val="0"/>
      <w:divBdr>
        <w:top w:val="none" w:sz="0" w:space="0" w:color="auto"/>
        <w:left w:val="none" w:sz="0" w:space="0" w:color="auto"/>
        <w:bottom w:val="none" w:sz="0" w:space="0" w:color="auto"/>
        <w:right w:val="none" w:sz="0" w:space="0" w:color="auto"/>
      </w:divBdr>
    </w:div>
    <w:div w:id="1873347531">
      <w:marLeft w:val="480"/>
      <w:marRight w:val="0"/>
      <w:marTop w:val="0"/>
      <w:marBottom w:val="0"/>
      <w:divBdr>
        <w:top w:val="none" w:sz="0" w:space="0" w:color="auto"/>
        <w:left w:val="none" w:sz="0" w:space="0" w:color="auto"/>
        <w:bottom w:val="none" w:sz="0" w:space="0" w:color="auto"/>
        <w:right w:val="none" w:sz="0" w:space="0" w:color="auto"/>
      </w:divBdr>
    </w:div>
    <w:div w:id="1876960182">
      <w:marLeft w:val="480"/>
      <w:marRight w:val="0"/>
      <w:marTop w:val="0"/>
      <w:marBottom w:val="0"/>
      <w:divBdr>
        <w:top w:val="none" w:sz="0" w:space="0" w:color="auto"/>
        <w:left w:val="none" w:sz="0" w:space="0" w:color="auto"/>
        <w:bottom w:val="none" w:sz="0" w:space="0" w:color="auto"/>
        <w:right w:val="none" w:sz="0" w:space="0" w:color="auto"/>
      </w:divBdr>
    </w:div>
    <w:div w:id="1877964670">
      <w:marLeft w:val="480"/>
      <w:marRight w:val="0"/>
      <w:marTop w:val="0"/>
      <w:marBottom w:val="0"/>
      <w:divBdr>
        <w:top w:val="none" w:sz="0" w:space="0" w:color="auto"/>
        <w:left w:val="none" w:sz="0" w:space="0" w:color="auto"/>
        <w:bottom w:val="none" w:sz="0" w:space="0" w:color="auto"/>
        <w:right w:val="none" w:sz="0" w:space="0" w:color="auto"/>
      </w:divBdr>
    </w:div>
    <w:div w:id="1892225275">
      <w:marLeft w:val="480"/>
      <w:marRight w:val="0"/>
      <w:marTop w:val="0"/>
      <w:marBottom w:val="0"/>
      <w:divBdr>
        <w:top w:val="none" w:sz="0" w:space="0" w:color="auto"/>
        <w:left w:val="none" w:sz="0" w:space="0" w:color="auto"/>
        <w:bottom w:val="none" w:sz="0" w:space="0" w:color="auto"/>
        <w:right w:val="none" w:sz="0" w:space="0" w:color="auto"/>
      </w:divBdr>
    </w:div>
    <w:div w:id="1946228459">
      <w:marLeft w:val="480"/>
      <w:marRight w:val="0"/>
      <w:marTop w:val="0"/>
      <w:marBottom w:val="0"/>
      <w:divBdr>
        <w:top w:val="none" w:sz="0" w:space="0" w:color="auto"/>
        <w:left w:val="none" w:sz="0" w:space="0" w:color="auto"/>
        <w:bottom w:val="none" w:sz="0" w:space="0" w:color="auto"/>
        <w:right w:val="none" w:sz="0" w:space="0" w:color="auto"/>
      </w:divBdr>
    </w:div>
    <w:div w:id="1982494000">
      <w:marLeft w:val="480"/>
      <w:marRight w:val="0"/>
      <w:marTop w:val="0"/>
      <w:marBottom w:val="0"/>
      <w:divBdr>
        <w:top w:val="none" w:sz="0" w:space="0" w:color="auto"/>
        <w:left w:val="none" w:sz="0" w:space="0" w:color="auto"/>
        <w:bottom w:val="none" w:sz="0" w:space="0" w:color="auto"/>
        <w:right w:val="none" w:sz="0" w:space="0" w:color="auto"/>
      </w:divBdr>
    </w:div>
    <w:div w:id="2006544113">
      <w:marLeft w:val="480"/>
      <w:marRight w:val="0"/>
      <w:marTop w:val="0"/>
      <w:marBottom w:val="0"/>
      <w:divBdr>
        <w:top w:val="none" w:sz="0" w:space="0" w:color="auto"/>
        <w:left w:val="none" w:sz="0" w:space="0" w:color="auto"/>
        <w:bottom w:val="none" w:sz="0" w:space="0" w:color="auto"/>
        <w:right w:val="none" w:sz="0" w:space="0" w:color="auto"/>
      </w:divBdr>
    </w:div>
    <w:div w:id="2084446581">
      <w:marLeft w:val="480"/>
      <w:marRight w:val="0"/>
      <w:marTop w:val="0"/>
      <w:marBottom w:val="0"/>
      <w:divBdr>
        <w:top w:val="none" w:sz="0" w:space="0" w:color="auto"/>
        <w:left w:val="none" w:sz="0" w:space="0" w:color="auto"/>
        <w:bottom w:val="none" w:sz="0" w:space="0" w:color="auto"/>
        <w:right w:val="none" w:sz="0" w:space="0" w:color="auto"/>
      </w:divBdr>
    </w:div>
    <w:div w:id="2088263627">
      <w:marLeft w:val="480"/>
      <w:marRight w:val="0"/>
      <w:marTop w:val="0"/>
      <w:marBottom w:val="0"/>
      <w:divBdr>
        <w:top w:val="none" w:sz="0" w:space="0" w:color="auto"/>
        <w:left w:val="none" w:sz="0" w:space="0" w:color="auto"/>
        <w:bottom w:val="none" w:sz="0" w:space="0" w:color="auto"/>
        <w:right w:val="none" w:sz="0" w:space="0" w:color="auto"/>
      </w:divBdr>
    </w:div>
    <w:div w:id="2098288507">
      <w:marLeft w:val="480"/>
      <w:marRight w:val="0"/>
      <w:marTop w:val="0"/>
      <w:marBottom w:val="0"/>
      <w:divBdr>
        <w:top w:val="none" w:sz="0" w:space="0" w:color="auto"/>
        <w:left w:val="none" w:sz="0" w:space="0" w:color="auto"/>
        <w:bottom w:val="none" w:sz="0" w:space="0" w:color="auto"/>
        <w:right w:val="none" w:sz="0" w:space="0" w:color="auto"/>
      </w:divBdr>
    </w:div>
    <w:div w:id="2098549985">
      <w:marLeft w:val="480"/>
      <w:marRight w:val="0"/>
      <w:marTop w:val="0"/>
      <w:marBottom w:val="0"/>
      <w:divBdr>
        <w:top w:val="none" w:sz="0" w:space="0" w:color="auto"/>
        <w:left w:val="none" w:sz="0" w:space="0" w:color="auto"/>
        <w:bottom w:val="none" w:sz="0" w:space="0" w:color="auto"/>
        <w:right w:val="none" w:sz="0" w:space="0" w:color="auto"/>
      </w:divBdr>
    </w:div>
    <w:div w:id="2105497044">
      <w:marLeft w:val="480"/>
      <w:marRight w:val="0"/>
      <w:marTop w:val="0"/>
      <w:marBottom w:val="0"/>
      <w:divBdr>
        <w:top w:val="none" w:sz="0" w:space="0" w:color="auto"/>
        <w:left w:val="none" w:sz="0" w:space="0" w:color="auto"/>
        <w:bottom w:val="none" w:sz="0" w:space="0" w:color="auto"/>
        <w:right w:val="none" w:sz="0" w:space="0" w:color="auto"/>
      </w:divBdr>
    </w:div>
    <w:div w:id="2114396362">
      <w:marLeft w:val="480"/>
      <w:marRight w:val="0"/>
      <w:marTop w:val="0"/>
      <w:marBottom w:val="0"/>
      <w:divBdr>
        <w:top w:val="none" w:sz="0" w:space="0" w:color="auto"/>
        <w:left w:val="none" w:sz="0" w:space="0" w:color="auto"/>
        <w:bottom w:val="none" w:sz="0" w:space="0" w:color="auto"/>
        <w:right w:val="none" w:sz="0" w:space="0" w:color="auto"/>
      </w:divBdr>
    </w:div>
    <w:div w:id="213899018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E:\14.%20OTHER\14.%20KMC_Water_Dynamics\10.%20KMC%20Builtup\03.%20Statistics\KMC_NDBI_Are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3113285081791"/>
          <c:y val="4.6002158539639341E-2"/>
          <c:w val="0.842530820011135"/>
          <c:h val="0.77733045823536051"/>
        </c:manualLayout>
      </c:layout>
      <c:scatterChart>
        <c:scatterStyle val="lineMarker"/>
        <c:varyColors val="0"/>
        <c:ser>
          <c:idx val="0"/>
          <c:order val="0"/>
          <c:tx>
            <c:strRef>
              <c:f>'ee-chart (14)'!$B$1</c:f>
              <c:strCache>
                <c:ptCount val="1"/>
                <c:pt idx="0">
                  <c:v>Urban Area (ha)</c:v>
                </c:pt>
              </c:strCache>
            </c:strRef>
          </c:tx>
          <c:spPr>
            <a:ln w="19050" cap="rnd">
              <a:solidFill>
                <a:srgbClr val="FF0000"/>
              </a:solidFill>
              <a:round/>
            </a:ln>
            <a:effectLst/>
          </c:spPr>
          <c:marker>
            <c:symbol val="circle"/>
            <c:size val="6"/>
            <c:spPr>
              <a:solidFill>
                <a:schemeClr val="accent2">
                  <a:lumMod val="75000"/>
                </a:schemeClr>
              </a:solidFill>
              <a:ln w="9525">
                <a:solidFill>
                  <a:srgbClr val="C00000"/>
                </a:solidFill>
              </a:ln>
              <a:effectLst/>
            </c:spPr>
          </c:marker>
          <c:trendline>
            <c:spPr>
              <a:ln w="25400" cap="rnd">
                <a:solidFill>
                  <a:schemeClr val="accent1"/>
                </a:solidFill>
                <a:prstDash val="sysDot"/>
              </a:ln>
              <a:effectLst/>
            </c:spPr>
            <c:trendlineType val="linear"/>
            <c:dispRSqr val="1"/>
            <c:dispEq val="1"/>
            <c:trendlineLbl>
              <c:layout>
                <c:manualLayout>
                  <c:x val="-0.25151525583543805"/>
                  <c:y val="0.25092592592592594"/>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'ee-chart (14)'!$A$2:$A$37</c:f>
              <c:numCache>
                <c:formatCode>0</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xVal>
          <c:yVal>
            <c:numRef>
              <c:f>'ee-chart (14)'!$B$2:$B$37</c:f>
              <c:numCache>
                <c:formatCode>#,##0.00</c:formatCode>
                <c:ptCount val="36"/>
                <c:pt idx="0">
                  <c:v>4153.6540000000005</c:v>
                </c:pt>
                <c:pt idx="1">
                  <c:v>4455.4870000000001</c:v>
                </c:pt>
                <c:pt idx="2">
                  <c:v>2881.9769999999999</c:v>
                </c:pt>
                <c:pt idx="3">
                  <c:v>4503.7539999999999</c:v>
                </c:pt>
                <c:pt idx="4">
                  <c:v>4353.9780000000001</c:v>
                </c:pt>
                <c:pt idx="5">
                  <c:v>4602.5680000000002</c:v>
                </c:pt>
                <c:pt idx="6">
                  <c:v>4983.8339999999998</c:v>
                </c:pt>
                <c:pt idx="7">
                  <c:v>5493.7330000000002</c:v>
                </c:pt>
                <c:pt idx="8">
                  <c:v>4485.72</c:v>
                </c:pt>
                <c:pt idx="9">
                  <c:v>6473.7520000000004</c:v>
                </c:pt>
                <c:pt idx="10">
                  <c:v>4921.9179999999997</c:v>
                </c:pt>
                <c:pt idx="11">
                  <c:v>6010.6170000000002</c:v>
                </c:pt>
                <c:pt idx="12">
                  <c:v>5194.8339999999998</c:v>
                </c:pt>
                <c:pt idx="13">
                  <c:v>6221.4440000000004</c:v>
                </c:pt>
                <c:pt idx="14">
                  <c:v>5065.915</c:v>
                </c:pt>
                <c:pt idx="15">
                  <c:v>5671.1</c:v>
                </c:pt>
                <c:pt idx="16">
                  <c:v>6251.7370000000001</c:v>
                </c:pt>
                <c:pt idx="17">
                  <c:v>5562.7569999999996</c:v>
                </c:pt>
                <c:pt idx="18">
                  <c:v>5835.7489999999998</c:v>
                </c:pt>
                <c:pt idx="19">
                  <c:v>5585.0230000000001</c:v>
                </c:pt>
                <c:pt idx="20">
                  <c:v>5571.8869999999997</c:v>
                </c:pt>
                <c:pt idx="21">
                  <c:v>6385.5910000000003</c:v>
                </c:pt>
                <c:pt idx="22">
                  <c:v>5527.6989999999996</c:v>
                </c:pt>
                <c:pt idx="23">
                  <c:v>5492.3010000000004</c:v>
                </c:pt>
                <c:pt idx="24">
                  <c:v>5860.558</c:v>
                </c:pt>
                <c:pt idx="25">
                  <c:v>5564.19</c:v>
                </c:pt>
                <c:pt idx="26">
                  <c:v>5112.6660000000002</c:v>
                </c:pt>
                <c:pt idx="27">
                  <c:v>5942.6509999999998</c:v>
                </c:pt>
                <c:pt idx="28">
                  <c:v>5556.1580000000004</c:v>
                </c:pt>
                <c:pt idx="29">
                  <c:v>5493.0140000000001</c:v>
                </c:pt>
                <c:pt idx="30">
                  <c:v>6449.81</c:v>
                </c:pt>
                <c:pt idx="31">
                  <c:v>6444.8450000000003</c:v>
                </c:pt>
                <c:pt idx="32">
                  <c:v>6204.527</c:v>
                </c:pt>
                <c:pt idx="33">
                  <c:v>5918.5680000000002</c:v>
                </c:pt>
                <c:pt idx="34">
                  <c:v>6184.9480000000003</c:v>
                </c:pt>
                <c:pt idx="35">
                  <c:v>6198.4669999999996</c:v>
                </c:pt>
              </c:numCache>
            </c:numRef>
          </c:yVal>
          <c:smooth val="0"/>
          <c:extLst>
            <c:ext xmlns:c16="http://schemas.microsoft.com/office/drawing/2014/chart" uri="{C3380CC4-5D6E-409C-BE32-E72D297353CC}">
              <c16:uniqueId val="{00000001-424A-469E-95A1-0B54B71A76C1}"/>
            </c:ext>
          </c:extLst>
        </c:ser>
        <c:dLbls>
          <c:showLegendKey val="0"/>
          <c:showVal val="0"/>
          <c:showCatName val="0"/>
          <c:showSerName val="0"/>
          <c:showPercent val="0"/>
          <c:showBubbleSize val="0"/>
        </c:dLbls>
        <c:axId val="-620695600"/>
        <c:axId val="-620694512"/>
      </c:scatterChart>
      <c:valAx>
        <c:axId val="-620695600"/>
        <c:scaling>
          <c:orientation val="minMax"/>
          <c:max val="2025"/>
          <c:min val="1990"/>
        </c:scaling>
        <c:delete val="0"/>
        <c:axPos val="b"/>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50" b="1"/>
                  <a:t>Years</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0694512"/>
        <c:crosses val="autoZero"/>
        <c:crossBetween val="midCat"/>
        <c:majorUnit val="5"/>
      </c:valAx>
      <c:valAx>
        <c:axId val="-620694512"/>
        <c:scaling>
          <c:orientation val="minMax"/>
          <c:min val="2000"/>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50" b="1"/>
                  <a:t>Area (ha)</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0695600"/>
        <c:crosses val="autoZero"/>
        <c:crossBetween val="midCat"/>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FADD651-1D0C-4B10-9710-D98541FBDD93}"/>
      </w:docPartPr>
      <w:docPartBody>
        <w:p w:rsidR="007D587F" w:rsidRDefault="00443AB2">
          <w:r w:rsidRPr="00031B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AB2"/>
    <w:rsid w:val="003E0229"/>
    <w:rsid w:val="00443AB2"/>
    <w:rsid w:val="007D587F"/>
    <w:rsid w:val="00B03025"/>
    <w:rsid w:val="00B52011"/>
    <w:rsid w:val="00BA327E"/>
    <w:rsid w:val="00FC6FBA"/>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30"/>
        <w:lang w:val="en-IN" w:eastAsia="en-IN" w:bidi="bn-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3A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60BAAD-21C1-41D8-8EF6-1116532FE35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6681304500"/>
    <we:property name="MENDELEY_CITATIONS" value="[{&quot;citationID&quot;:&quot;MENDELEY_CITATION_11011015-91b9-4533-8e46-3f3c98de9b89&quot;,&quot;properties&quot;:{&quot;noteIndex&quot;:0},&quot;isEdited&quot;:false,&quot;manualOverride&quot;:{&quot;isManuallyOverridden&quot;:false,&quot;citeprocText&quot;:&quot;(Zha et al., 2003)&quot;,&quot;manualOverrideText&quot;:&quot;&quot;},&quot;citationTag&quot;:&quot;MENDELEY_CITATION_v3_eyJjaXRhdGlvbklEIjoiTUVOREVMRVlfQ0lUQVRJT05fMTEwMTEwMTUtOTFiOS00NTMzLThlNDYtM2YzYzk4ZGU5Yjg5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quot;,&quot;citationItems&quot;:[{&quot;id&quot;:&quot;e077aa4c-a854-358e-bd3f-234a3451445a&quot;,&quot;itemData&quot;:{&quot;type&quot;:&quot;article-journal&quot;,&quot;id&quot;:&quot;e077aa4c-a854-358e-bd3f-234a3451445a&quot;,&quot;title&quot;:&quot;Use of normalized difference built-up index in automatically mapping urban areas from TM imagery&quot;,&quot;author&quot;:[{&quot;family&quot;:&quot;Zha&quot;,&quot;given&quot;:&quot;Y&quot;,&quot;parse-names&quot;:false,&quot;dropping-particle&quot;:&quot;&quot;,&quot;non-dropping-particle&quot;:&quot;&quot;},{&quot;family&quot;:&quot;Gao&quot;,&quot;given&quot;:&quot;J&quot;,&quot;parse-names&quot;:false,&quot;dropping-particle&quot;:&quot;&quot;,&quot;non-dropping-particle&quot;:&quot;&quot;},{&quot;family&quot;:&quot;Ni&quot;,&quot;given&quot;:&quot;S&quot;,&quot;parse-names&quot;:false,&quot;dropping-particle&quot;:&quot;&quot;,&quot;non-dropping-particle&quot;:&quot;&quot;}],&quot;container-title&quot;:&quot;International Journal of Remote Sensing&quot;,&quot;container-title-short&quot;:&quot;Int. J. Remote Sens.&quot;,&quot;DOI&quot;:&quot;10.1080/01431160304987&quot;,&quot;ISSN&quot;:&quot;0143-1161&quot;,&quot;URL&quot;:&quot;https://doi.org/10.1080/01431160304987&quot;,&quot;issued&quot;:{&quot;date-parts&quot;:[[2003,1,26]]},&quot;page&quot;:&quot;583-594&quot;,&quot;publisher&quot;:&quot;Taylor &amp; Francis&quot;,&quot;issue&quot;:&quot;3&quot;,&quot;volume&quot;:&quot;24&quot;},&quot;isTemporary&quot;:false,&quot;suppress-author&quot;:false,&quot;composite&quot;:false,&quot;author-only&quot;:false}]},{&quot;citationID&quot;:&quot;MENDELEY_CITATION_6d048647-fa68-4f13-a299-a91afab3fe9b&quot;,&quot;properties&quot;:{&quot;noteIndex&quot;:0},&quot;isEdited&quot;:false,&quot;manualOverride&quot;:{&quot;isManuallyOverridden&quot;:false,&quot;citeprocText&quot;:&quot;(Hamed &amp;#38; Ramachandra Rao, 1998; Yue &amp;#38; Wang, 2004)&quot;,&quot;manualOverrideText&quot;:&quot;&quot;},&quot;citationTag&quot;:&quot;MENDELEY_CITATION_v3_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&quot;,&quot;citationItems&quot;:[{&quot;id&quot;:&quot;81402c77-9231-3262-9a2b-7602e6e09db8&quot;,&quot;itemData&quot;:{&quot;type&quot;:&quot;article-journal&quot;,&quot;id&quot;:&quot;81402c77-9231-3262-9a2b-7602e6e09db8&quot;,&quot;title&quot;:&quot;A modified Mann-Kendall trend test for autocorrelated data&quot;,&quot;author&quot;:[{&quot;family&quot;:&quot;Hamed&quot;,&quot;given&quot;:&quot;Khaled H&quot;,&quot;parse-names&quot;:false,&quot;dropping-particle&quot;:&quot;&quot;,&quot;non-dropping-particle&quot;:&quot;&quot;},{&quot;family&quot;:&quot;Ramachandra Rao&quot;,&quot;given&quot;:&quot;A&quot;,&quot;parse-names&quot;:false,&quot;dropping-particle&quot;:&quot;&quot;,&quot;non-dropping-particle&quot;:&quot;&quot;}],&quot;container-title&quot;:&quot;Journal of Hydrology&quot;,&quot;container-title-short&quot;:&quot;J. Hydrol. (Amst).&quot;,&quot;DOI&quot;:&quot;https://doi.org/10.1016/S0022-1694(97)00125-X&quot;,&quot;ISSN&quot;:&quot;0022-1694&quot;,&quot;URL&quot;:&quot;https://www.sciencedirect.com/science/article/pii/S002216949700125X&quot;,&quot;issued&quot;:{&quot;date-parts&quot;:[[1998]]},&quot;page&quot;:&quot;182-196&quot;,&quot;abstract&quot;:&quot;One of the commonly used tools for detecting changes in climatic and hydrologic time series is trend analysis. A number of statistical tests exist to assess the significance of trends in time series. One of the commonly used non-parametric trend tests is the Mann-Kendall trend test. The null hypothesis in the Mann-Kendall test is that the data are independent and randomly ordered. However, the existence of positive autocorrelation in the data increases the probability of detecting trends when actually none exist, and vice versa. Although this is a well-known fact, few studies have addressed this issue, and autocorrelation in the data is often ignored. In this study, the effect of autocorrelation on the variance of the Mann-Kendall trend test statistic is discussed. A theoretical relationship is derived to calculate the variance of the Mann-Kendall test statistic for autocorrelated data. The special cases of AR(1) and MA(1) dependence are discussed as examples. An approximation to the theoretical relationship is also presented in order to reduce computation time for long time series. Based on the modified value of the variance of the Mann-Kendall trend test statistic, a modified non-parametric trend test which is suitable for autocorrelated data is proposed. The accuracy of the modified test in terms of its empirical significance level was found to be superior to that of the original Mann-Kendall trend test without any loss of power. The modified test is applied to rainfall as well as streamflow data to demonstrate its performance as compared to the original Mann-Kendall trend test.&quot;,&quot;issue&quot;:&quot;1&quot;,&quot;volume&quot;:&quot;204&quot;},&quot;isTemporary&quot;:false},{&quot;id&quot;:&quot;4de62ed6-cbb8-3819-a112-bd444d9a8458&quot;,&quot;itemData&quot;:{&quot;type&quot;:&quot;article-journal&quot;,&quot;id&quot;:&quot;4de62ed6-cbb8-3819-a112-bd444d9a8458&quot;,&quot;title&quot;:&quot;The Mann-Kendall Test Modified by Effective Sample Size to Detect Trend in Serially Correlated Hydrological Series&quot;,&quot;author&quot;:[{&quot;family&quot;:&quot;Yue&quot;,&quot;given&quot;:&quot;Sheng&quot;,&quot;parse-names&quot;:false,&quot;dropping-particle&quot;:&quot;&quot;,&quot;non-dropping-particle&quot;:&quot;&quot;},{&quot;family&quot;:&quot;Wang&quot;,&quot;given&quot;:&quot;ChunYuan&quot;,&quot;parse-names&quot;:false,&quot;dropping-particle&quot;:&quot;&quot;,&quot;non-dropping-particle&quot;:&quot;&quot;}],&quot;container-title&quot;:&quot;Water Resources Management&quot;,&quot;DOI&quot;:&quot;10.1023/B:WARM.0000043140.61082.60&quot;,&quot;ISSN&quot;:&quot;0920-4741&quot;,&quot;URL&quot;:&quot;https://doi.org/10.1023/B:WARM.0000043140.61082.60&quot;,&quot;issued&quot;:{&quot;date-parts&quot;:[[2004,6]]},&quot;page&quot;:&quot;201-218&quot;,&quot;abstract&quot;:&quot;The non-parametric Mann-Kendall (MK) statistical test has been popularly used to assess the significance of trend in hydrological time series. The test requires sample data to be serially independent. When sample data are serially correlated, the presence of serial correlation in time series will affect the ability of the test to correctly assess the significance of trend. To eliminate the effect of serial correlation on the MK test, effective sample size (ESS) has been proposed to modify the MK statistic. This study investigates the ability of ESS to eliminate the influence of serial correlation on the MK test by Monte Carlo simulation. Simulation demonstrates that when no trend exists within time series, ESS can effectively limit the effect of serial correlation on the MK test. When trend exists within time series, the existence of trend will contaminate the estimate of the magnitude of sample serial correlation, and ESS computed from the contaminated serial correlation cannot properly eliminate the effect of serial correlation on the MK test. However, if ESS is computed from the sample serial correlation that is estimated from the detrended series, ESS can still effectively reduce the influence of serial correlation on the MK test.&quot;,&quot;issue&quot;:&quot;3&quot;,&quot;volume&quot;:&quot;18&quot;,&quot;container-title-short&quot;:&quot;&quot;},&quot;isTemporary&quot;:false}]},{&quot;citationID&quot;:&quot;MENDELEY_CITATION_751eb2ee-699b-4562-9ed7-7094eae0ab3a&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NzUxZWIyZWUtNjk5Yi00NTYyLTllZDctNzA5NGVhZTBhYjN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db7f3c9b-f6ab-4f3f-888a-bd39bbb1b649&quot;,&quot;properties&quot;:{&quot;noteIndex&quot;:0},&quot;isEdited&quot;:false,&quot;manualOverride&quot;:{&quot;isManuallyOverridden&quot;:false,&quot;citeprocText&quot;:&quot;(Taubenböck et al., 2009; Zhang &amp;#38; Seto, 2011)&quot;,&quot;manualOverrideText&quot;:&quot;&quot;},&quot;citationTag&quot;:&quot;MENDELEY_CITATION_v3_eyJjaXRhdGlvbklEIjoiTUVOREVMRVlfQ0lUQVRJT05fZGI3ZjNjOWItZjZhYi00ZjNmLTg4OGEtYmQzOWJiYjFiNjQ5IiwicHJvcGVydGllcyI6eyJub3RlSW5kZXgiOjB9LCJpc0VkaXRlZCI6ZmFsc2UsIm1hbnVhbE92ZXJyaWRlIjp7ImlzTWFudWFsbHlPdmVycmlkZGVuIjpmYWxzZSwiY2l0ZXByb2NUZXh0IjoiKFRhdWJlbmLDtmNrIGV0IGFsLiwgMjAwOTsgWmhhbmcgJiMzODsgU2V0bywgMjAxM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&quot;,&quot;citationItems&quot;:[{&quot;id&quot;:&quot;29a7225d-a780-336c-98b7-64ab2977e63f&quot;,&quot;itemData&quot;:{&quot;type&quot;:&quot;article-journal&quot;,&quot;id&quot;:&quot;29a7225d-a780-336c-98b7-64ab2977e63f&quot;,&quot;title&quot;:&quot;Urbanization in India – Spatiotemporal analysis using remote sensing data&quot;,&quot;author&quot;:[{&quot;family&quot;:&quot;Taubenböck&quot;,&quot;given&quot;:&quot;H&quot;,&quot;parse-names&quot;:false,&quot;dropping-particle&quot;:&quot;&quot;,&quot;non-dropping-particle&quot;:&quot;&quot;},{&quot;family&quot;:&quot;Wegmann&quot;,&quot;given&quot;:&quot;M&quot;,&quot;parse-names&quot;:false,&quot;dropping-particle&quot;:&quot;&quot;,&quot;non-dropping-particle&quot;:&quot;&quot;},{&quot;family&quot;:&quot;Roth&quot;,&quot;given&quot;:&quot;A&quot;,&quot;parse-names&quot;:false,&quot;dropping-particle&quot;:&quot;&quot;,&quot;non-dropping-particle&quot;:&quot;&quot;},{&quot;family&quot;:&quot;Mehl&quot;,&quot;given&quot;:&quot;H&quot;,&quot;parse-names&quot;:false,&quot;dropping-particle&quot;:&quot;&quot;,&quot;non-dropping-particle&quot;:&quot;&quot;},{&quot;family&quot;:&quot;Dech&quot;,&quot;given&quot;:&quot;S&quot;,&quot;parse-names&quot;:false,&quot;dropping-particle&quot;:&quot;&quot;,&quot;non-dropping-particle&quot;:&quot;&quot;}],&quot;container-title&quot;:&quot;Computers, Environment and Urban Systems&quot;,&quot;container-title-short&quot;:&quot;Comput. Environ. Urban Syst.&quot;,&quot;DOI&quot;:&quot;10.1016/j.compenvurbsys.2008.09.003&quot;,&quot;ISSN&quot;:&quot;01989715&quot;,&quot;URL&quot;:&quot;https://www.sciencedirect.com/science/article/pii/S0198971508000604&quot;,&quot;issued&quot;:{&quot;date-parts&quot;:[[2009,5]]},&quot;page&quot;:&quot;179-188&quot;,&quot;abstract&quot;:&quot;Urbanization is arguably the most dramatic form of irreversible land transformation. Though urbanization is a worldwide phenomenon, it is especially prevalent in India, where urban areas have experienced an unprecedented rate of growth over the last 30 years. In this uncontrolled situation, city planners lack tools to measure, monitor, and understand urban sprawl processes. Multitemporal remote sensing has become an important data-gathering tool for analysing these changes. By using time-series of Landsat data, we classify urban footprints since the 1970s. This lets us detect temporal and spatial urban sprawl, redensification and urban development in the tremendously growing 12 largest Indian urban agglomerations. A multi-scale analysis aims to identify spatiotemporal urban types. At city level, the combination of absolute parameters (e.g. areal growth or built-up density) and landscape metrics (e.g. SHAPE index) quantitatively characterise the spatial pattern of the cities. Spider charts can display the spatial urban types at three time stages, showing temporal development and helping the reader compare all cities based on normalized scales. In addition, gradient analysis provides insight into location-based spatiotemporal patterns of urbanization. Therefore, we analyse zones defining the urban core versus the urban edges. The study aims to detect similarities and differences in spatial growth in the large Indian urban agglomerations. These cities in the same cultural area range from 2.5 million inhabitants to 20 million (in the metropolitan region of Mumbai). The results paint a characteristic picture of spatial pattern, gradients and landscape metrics, and thus illustrate spatial growth and future modelling of urban development in India.&quot;,&quot;issue&quot;:&quot;3&quot;,&quot;volume&quot;:&quot;33&quot;},&quot;isTemporary&quot;:false},{&quot;id&quot;:&quot;7a5de18d-7fbd-3582-8363-be722463edf1&quot;,&quot;itemData&quot;:{&quot;type&quot;:&quot;article-journal&quot;,&quot;id&quot;:&quot;7a5de18d-7fbd-3582-8363-be722463edf1&quot;,&quot;title&quot;:&quot;Mapping urbanization dynamics at regional and global scales using multi-temporal DMSP/OLS nighttime light data&quot;,&quot;author&quot;:[{&quot;family&quot;:&quot;Zhang&quot;,&quot;given&quot;:&quot;Qingling&quot;,&quot;parse-names&quot;:false,&quot;dropping-particle&quot;:&quot;&quot;,&quot;non-dropping-particle&quot;:&quot;&quot;},{&quot;family&quot;:&quot;Seto&quot;,&quot;given&quot;:&quot;Karen C&quot;,&quot;parse-names&quot;:false,&quot;dropping-particle&quot;:&quot;&quot;,&quot;non-dropping-particle&quot;:&quot;&quot;}],&quot;container-title&quot;:&quot;Remote Sensing of Environment&quot;,&quot;container-title-short&quot;:&quot;Remote Sens. Environ.&quot;,&quot;DOI&quot;:&quot;10.1016/j.rse.2011.04.032&quot;,&quot;ISSN&quot;:&quot;00344257&quot;,&quot;URL&quot;:&quot;https://www.sciencedirect.com/science/article/pii/S003442571100160X&quot;,&quot;issued&quot;:{&quot;date-parts&quot;:[[2011,9]]},&quot;page&quot;:&quot;2320-2329&quot;,&quot;abstract&quot;:&quot;Urban areas concentrate people, economic activity, and the built environment. As such, urbanization is simultaneously a demographic, economic, and land-use change phenomenon. Historically, the remote sensing community has used optical remote sensing data to map urban areas and the expansion of urban land-cover for individual cities, with little research focused on regional and global scale patterns of urban change. However, recent research indicates that urbanization at regional scales is growing in importance for economics, policy, land use planning, and conservation. Therefore, there is an urgent need to understand and monitor urbanization dynamics at regional and global scales. Here, we illustrate the use of multi-temporal nighttime light (NTL) data from the U.S Air Force Defense Meteorological Satellites Program/Operational Linescan System (DMSP/OLS) to monitor urban change at regional and global scales. We use independently derived data on population, land use and land cover to test the ability of multi-temporal NTL data to measure regional and global urban growth over time. We apply an iterative unsupervised classification method on multi-temporal NTL data from 1992 to 2008 to map urbanization dynamics in India, China, Japan, and the United States. For two-year intervals between 1992 and 2000, India consistently experienced higher rates of urban growth than China, and both countries exceeded the urban growth rates of the United States and Japan. This is not surprising given that the populations of India and China were growing faster than those of the U.S. and Japan during those periods. For two-year intervals between 2000 and 2008, China experienced higher rates of urban growth than India. Results show that the multi-temporal NTL provides a regional and potentially global measure of the spatial and temporal changes in urbanization dynamics for countries at certain levels of GDP and population-driven growth.&quot;,&quot;issue&quot;:&quot;9&quot;,&quot;volume&quot;:&quot;115&quot;},&quot;isTemporary&quot;:false}]},{&quot;citationID&quot;:&quot;MENDELEY_CITATION_651396d3-e031-4d60-ab45-1bafa4c4048d&quot;,&quot;properties&quot;:{&quot;noteIndex&quot;:0},&quot;isEdited&quot;:false,&quot;manualOverride&quot;:{&quot;isManuallyOverridden&quot;:false,&quot;citeprocText&quot;:&quot;(Angel et al., 2011; Seto et al., 2012)&quot;,&quot;manualOverrideText&quot;:&quot;&quot;},&quot;citationTag&quot;:&quot;MENDELEY_CITATION_v3_eyJjaXRhdGlvbklEIjoiTUVOREVMRVlfQ0lUQVRJT05fNjUxMzk2ZDMtZTAzMS00ZDYwLWFiNDUtMWJhZmE0YzQwNDhk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quot;,&quot;citationItems&quot;:[{&quot;id&quot;:&quot;c2d80f48-5af4-38b2-97d4-1281f1c92329&quot;,&quot;itemData&quot;:{&quot;type&quot;:&quot;article-journal&quot;,&quot;id&quot;:&quot;c2d80f48-5af4-38b2-97d4-1281f1c92329&quot;,&quot;title&quot;:&quot;The dimensions of global urban expansion: Estimates and projections for all countries, 2000–2050&quot;,&quot;author&quot;:[{&quot;family&quot;:&quot;Angel&quot;,&quot;given&quot;:&quot;Shlomo&quot;,&quot;parse-names&quot;:false,&quot;dropping-particle&quot;:&quot;&quot;,&quot;non-dropping-particle&quot;:&quot;&quot;},{&quot;family&quot;:&quot;Parent&quot;,&quot;given&quot;:&quot;Jason&quot;,&quot;parse-names&quot;:false,&quot;dropping-particle&quot;:&quot;&quot;,&quot;non-dropping-particle&quot;:&quot;&quot;},{&quot;family&quot;:&quot;Civco&quot;,&quot;given&quot;:&quot;Daniel L&quot;,&quot;parse-names&quot;:false,&quot;dropping-particle&quot;:&quot;&quot;,&quot;non-dropping-particle&quot;:&quot;&quot;},{&quot;family&quot;:&quot;Blei&quot;,&quot;given&quot;:&quot;Alexander&quot;,&quot;parse-names&quot;:false,&quot;dropping-particle&quot;:&quot;&quot;,&quot;non-dropping-particle&quot;:&quot;&quot;},{&quot;family&quot;:&quot;Potere&quot;,&quot;given&quot;:&quot;David&quot;,&quot;parse-names&quot;:false,&quot;dropping-particle&quot;:&quot;&quot;,&quot;non-dropping-particle&quot;:&quot;&quot;}],&quot;container-title&quot;:&quot;Progress in Planning&quot;,&quot;container-title-short&quot;:&quot;Prog. Plann.&quot;,&quot;DOI&quot;:&quot;https://doi.org/10.1016/j.progress.2011.04.001&quot;,&quot;ISSN&quot;:&quot;0305-9006&quot;,&quot;URL&quot;:&quot;https://www.sciencedirect.com/science/article/pii/S0305900611000109&quot;,&quot;issued&quot;:{&quot;date-parts&quot;:[[2011]]},&quot;page&quot;:&quot;53-107&quot;,&quot;abstract&quot;:&quot;Our study of the expansion of a representative sample of 30 cities showed that 28 of them expanded more than 16-fold during the twentieth century. More generally, cities are now expanding at twice their population growth rates, on average, and now cover almost 0.5% of the planet's land area. We created a new dataset comprising the universe of all 3646 named metropolitan agglomerations and cities that had populations in excess of 100,000 in the year 2000, their populations in that year, and their built-up area identified in the Mod500 map, currently the best of eight satellite-based global maps of urban land cover. Using this dataset, we estimated urban land cover in smaller cities and towns in all countries and calculated total urban land cover in every country in the year 2000. We then employed multiple regression models that could explain more than 90% of the variations in our urban land cover estimates amongst countries. Then, using U.N. urban population projections in combination with three realistic density change scenarios based on our previous global and historical study of densities, we projected urban land cover in every country and world region from 2000 to 2050. According to our medium projection, urban land cover in developing countries will increase from 300,000km2 in 2000 to 770,000km2 in 2030 and to 1,200,000km2 in 2050. Containing this expansion is likely to fail. Minimal preparations for accommodating it – realistic projection of urban land needs, the extension of metropolitan boundaries, acquiring the rights-of-way for an arterial road grid that can carry infrastructure and public transport, and the selective protection of open space from incursion by formal and informal land development – are now in order.&quot;,&quot;issue&quot;:&quot;2&quot;,&quot;volume&quot;:&quot;75&quot;},&quot;isTemporary&quot;:false},{&quot;id&quot;:&quot;efce1806-01fa-381a-874b-e9eb237eee75&quot;,&quot;itemData&quot;:{&quot;type&quot;:&quot;article-journal&quot;,&quot;id&quot;:&quot;efce1806-01fa-381a-874b-e9eb237eee75&quot;,&quot;title&quot;:&quot;Global forecasts of urban expansion to 2030 and direct impacts on biodiversity and carbon pools&quot;,&quot;author&quot;:[{&quot;family&quot;:&quot;Seto&quot;,&quot;given&quot;:&quot;Karen C&quot;,&quot;parse-names&quot;:false,&quot;dropping-particle&quot;:&quot;&quot;,&quot;non-dropping-particle&quot;:&quot;&quot;},{&quot;family&quot;:&quot;Güneralp&quot;,&quot;given&quot;:&quot;Burak&quot;,&quot;parse-names&quot;:false,&quot;dropping-particle&quot;:&quot;&quot;,&quot;non-dropping-particle&quot;:&quot;&quot;},{&quot;family&quot;:&quot;Hutyra&quot;,&quot;given&quot;:&quot;Lucy R&quot;,&quot;parse-names&quot;:false,&quot;dropping-particle&quot;:&quot;&quot;,&quot;non-dropping-particle&quot;:&quot;&quot;}],&quot;container-title&quot;:&quot;Proceedings of the National Academy of Sciences&quot;,&quot;DOI&quot;:&quot;10.1073/pnas.1211658109&quot;,&quot;ISSN&quot;:&quot;0027-8424&quot;,&quot;URL&quot;:&quot;https://doi.org/10.1073/pnas.1211658109&quot;,&quot;issued&quot;:{&quot;date-parts&quot;:[[2012,10,2]]},&quot;page&quot;:&quot;16083-16088&quot;,&quot;abstract&quot;:&quo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 2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 −1 ), equal to ∼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quot;,&quot;publisher&quot;:&quot;Proceedings of the National Academy of Sciences&quot;,&quot;issue&quot;:&quot;40&quot;,&quot;volume&quot;:&quot;109&quot;,&quot;container-title-short&quot;:&quot;&quot;},&quot;isTemporary&quot;:false}]},{&quot;citationID&quot;:&quot;MENDELEY_CITATION_aeddc4ed-9f85-4dfb-93a0-f03e2b81ffda&quot;,&quot;properties&quot;:{&quot;noteIndex&quot;:0},&quot;isEdited&quot;:false,&quot;manualOverride&quot;:{&quot;isManuallyOverridden&quot;:false,&quot;citeprocText&quot;:&quot;(Gorai et al., 2024)&quot;,&quot;manualOverrideText&quot;:&quot;&quot;},&quot;citationTag&quot;:&quot;MENDELEY_CITATION_v3_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&quot;,&quot;citationItems&quot;:[{&quot;id&quot;:&quot;36dca493-f5fa-3a65-86a6-26e71fcd003b&quot;,&quot;itemData&quot;:{&quot;type&quot;:&quot;article-journal&quot;,&quot;id&quot;:&quot;36dca493-f5fa-3a65-86a6-26e71fcd003b&quot;,&quot;title&quot;:&quot;Spatio-Temporal Variation in Landforms and Surface Urban Heat Island in Riverine Megacity&quot;,&quot;author&quot;:[{&quot;family&quot;:&quot;Gorai&quot;,&quot;given&quot;:&quot;Namita&quot;,&quot;parse-names&quot;:false,&quot;dropping-particle&quot;:&quot;&quot;,&quot;non-dropping-particle&quot;:&quot;&quot;},{&quot;family&quot;:&quot;Bandyopadhyay&quot;,&quot;given&quot;:&quot;Jatisankar&quot;,&quot;parse-names&quot;:false,&quot;dropping-particle&quot;:&quot;&quot;,&quot;non-dropping-particle&quot;:&quot;&quot;},{&quot;family&quot;:&quot;Halder&quot;,&quot;given&quot;:&quot;Bijay&quot;,&quot;parse-names&quot;:false,&quot;dropping-particle&quot;:&quot;&quot;,&quot;non-dropping-particle&quot;:&quot;&quot;},{&quot;family&quot;:&quot;Ahmed&quot;,&quot;given&quot;:&quot;Minhaz Farid&quot;,&quot;parse-names&quot;:false,&quot;dropping-particle&quot;:&quot;&quot;,&quot;non-dropping-particle&quot;:&quot;&quot;},{&quot;family&quot;:&quot;Molla&quot;,&quot;given&quot;:&quot;Altaf Hossain&quot;,&quot;parse-names&quot;:false,&quot;dropping-particle&quot;:&quot;&quot;,&quot;non-dropping-particle&quot;:&quot;&quot;},{&quot;family&quot;:&quot;Lei&quot;,&quot;given&quot;:&quot;Thomas M T&quot;,&quot;parse-names&quot;:false,&quot;dropping-particle&quot;:&quot;&quot;,&quot;non-dropping-particle&quot;:&quot;&quot;}],&quot;container-title&quot;:&quot;Sustainability&quot;,&quot;container-title-short&quot;:&quot;Sustainability&quot;,&quot;DOI&quot;:&quot;10.3390/su16083383&quot;,&quot;ISBN&quot;:&quot;2071-1050&quot;,&quot;ISSN&quot;:&quot;2071-1050&quot;,&quot;URL&quot;:&quot;https://www.mdpi.com/2071-1050/16/8/3383&quot;,&quot;issued&quot;:{&quot;date-parts&quot;:[[2024,4,18]]},&quot;page&quot;:&quot;3383&quot;,&quot;abstract&quot;:&quot;Rapid urbanization and changing climatic procedures can activate the present surface urban heat island (SUHI) effect. An SUHI was considered by temperature alterations among urban and rural surroundings. The urban zones were frequently warmer than the rural regions because of population pressure, urbanization, vegetation insufficiency, industrialization, and transportation systems. This investigation analyses the Surface-UHI (SUHI) influence in Kolkata Municipal Corporation (KMC), India. Growing land surface temperature (LST) may cause an SUHI and impact ecological conditions in urban regions. The urban thermal field variation index (UTFVI) served as a qualitative and quantitative barrier to the SUHI susceptibility. The maximum likelihood approach was used in conjunction with supervised classification techniques to identify variations in land use and land cover (LULC) over a chosen year. The outcomes designated a reduction of around 1354.86 Ha, 653.31 Ha, 2286.9 Ha, and 434.16 Ha for vegetation, bare land, grassland, and water bodies, correspondingly. Temporarily, from the years 1991–2021, the built-up area increased by 4729.23 Ha. The highest LST increased by around 7.72 °C, while the lowest LST increased by around 5.81 °C from 1991 to 2021. The vegetation index and LST showed a negative link, according to the correlation analyses; however, the built-up index showed an experimentally measured positive correlation. This inquiry will compel the administration, urban planners, and stakeholders to observe humanistic activities and thus confirm sustainable urban expansion.&quot;,&quot;issue&quot;:&quot;8&quot;,&quot;volume&quot;:&quot;16&quot;},&quot;isTemporary&quot;:false}]},{&quot;citationID&quot;:&quot;MENDELEY_CITATION_379a9aa5-ca74-4ef4-91a9-7930eab09a41&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Mzc5YTlhYTUtY2E3NC00ZWY0LTkxYTktNzkzMGVhYjA5YTQx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7a811e3c-9331-4903-9eb1-30874fd52b2c&quot;,&quot;properties&quot;:{&quot;noteIndex&quot;:0},&quot;isEdited&quot;:false,&quot;manualOverride&quot;:{&quot;isManuallyOverridden&quot;:false,&quot;citeprocText&quot;:&quot;(Chakraborti et al., 2017)&quot;,&quot;manualOverrideText&quot;:&quot;&quot;},&quot;citationTag&quot;:&quot;MENDELEY_CITATION_v3_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&quot;,&quot;citationItems&quot;:[{&quot;id&quot;:&quot;7c80fc97-8a08-36eb-9896-f764080e81c2&quot;,&quot;itemData&quot;:{&quot;type&quot;:&quot;article-journal&quot;,&quot;id&quot;:&quot;7c80fc97-8a08-36eb-9896-f764080e81c2&quot;,&quot;title&quot;:&quot;Arsenic in groundwater of the Kolkata Municipal Corporation (KMC), India: Critical review and modes of mitigation&quot;,&quot;author&quot;:[{&quot;family&quot;:&quot;Chakraborti&quot;,&quot;given&quot;:&quot;Dipankar&quot;,&quot;parse-names&quot;:false,&quot;dropping-particle&quot;:&quot;&quot;,&quot;non-dropping-particle&quot;:&quot;&quot;},{&quot;family&quot;:&quot;Das&quot;,&quot;given&quot;:&quot;Bhaskar&quot;,&quot;parse-names&quot;:false,&quot;dropping-particle&quot;:&quot;&quot;,&quot;non-dropping-particle&quot;:&quot;&quot;},{&quot;family&quot;:&quot;Rahman&quot;,&quot;given&quot;:&quot;Mohammad Mahmudur&quot;,&quot;parse-names&quot;:false,&quot;dropping-particle&quot;:&quot;&quot;,&quot;non-dropping-particle&quot;:&quot;&quot;},{&quot;family&quot;:&quot;Nayak&quot;,&quot;given&quot;:&quot;Bishwajit&quot;,&quot;parse-names&quot;:false,&quot;dropping-particle&quot;:&quot;&quot;,&quot;non-dropping-particle&quot;:&quot;&quot;},{&quot;family&quot;:&quot;Pal&quot;,&quot;given&quot;:&quot;Arup&quot;,&quot;parse-names&quot;:false,&quot;dropping-particle&quot;:&quot;&quot;,&quot;non-dropping-particle&quot;:&quot;&quot;},{&quot;family&quot;:&quot;Sengupta&quot;,&quot;given&quot;:&quot;Mrinal K&quot;,&quot;parse-names&quot;:false,&quot;dropping-particle&quot;:&quot;&quot;,&quot;non-dropping-particle&quot;:&quot;&quot;},{&quot;family&quot;:&quot;Ahamed&quot;,&quot;given&quot;:&quot;Sad&quot;,&quot;parse-names&quot;:false,&quot;dropping-particle&quot;:&quot;&quot;,&quot;non-dropping-particle&quot;:&quot;&quot;},{&quot;family&quot;:&quot;Hossain&quot;,&quot;given&quot;:&quot;Md. Amir&quot;,&quot;parse-names&quot;:false,&quot;dropping-particle&quot;:&quot;&quot;,&quot;non-dropping-particle&quot;:&quot;&quot;},{&quot;family&quot;:&quot;Chowdhury&quot;,&quot;given&quot;:&quot;Uttam K&quot;,&quot;parse-names&quot;:false,&quot;dropping-particle&quot;:&quot;&quot;,&quot;non-dropping-particle&quot;:&quot;&quot;},{&quot;family&quot;:&quot;Biswas&quot;,&quot;given&quot;:&quot;Bhajan Kumar&quot;,&quot;parse-names&quot;:false,&quot;dropping-particle&quot;:&quot;&quot;,&quot;non-dropping-particle&quot;:&quot;&quot;},{&quot;family&quot;:&quot;Saha&quot;,&quot;given&quot;:&quot;Khitish Chandra&quot;,&quot;parse-names&quot;:false,&quot;dropping-particle&quot;:&quot;&quot;,&quot;non-dropping-particle&quot;:&quot;&quot;},{&quot;family&quot;:&quot;Dutta&quot;,&quot;given&quot;:&quot;R.N.&quot;,&quot;parse-names&quot;:false,&quot;dropping-particle&quot;:&quot;&quot;,&quot;non-dropping-particle&quot;:&quot;&quot;}],&quot;container-title&quot;:&quot;Chemosphere&quot;,&quot;container-title-short&quot;:&quot;Chemosphere&quot;,&quot;DOI&quot;:&quot;10.1016/j.chemosphere.2017.04.051&quot;,&quot;ISSN&quot;:&quot;00456535&quot;,&quot;URL&quot;:&quot;https://www.sciencedirect.com/science/article/pii/S0045653517305751&quot;,&quot;issued&quot;:{&quot;date-parts&quot;:[[2017,8]]},&quot;page&quot;:&quot;437-447&quot;,&quot;abstract&quot;:&quot;This study represents the first comprehensive report of groundwater arsenic contamination status in the Kolkata Municipal Corporation (KMC). During the past 23 years, 4210 groundwater samples were analysed from all 141 wards in the KMC: 14.2% and 5.2% samples had arsenic &gt;10 μg/l and &gt;50 μg/l, respectively, representing 77 and 37 wards. The study shows that the number of arsenic contaminated samples (and wards) in the southern part of the KMC exceeds that of other parts of the city. The daily intake of arsenic from drinking water was estimated as 0.95 μg per kg bw and the cancer risk was estimated as 1425/106. Analyses of biological samples (hair, nail and urine) showed elevated concentrations of arsenic indicating the presence of subclinical arsenic poisoning, predicting an enhanced lifetime cancer risk for the population in southern part of the KMC. In the KMC, groundwater is not a sustainable source of freshwater due to arsenic, high iron, hardness and total dissolved solids. Its continued use is impelled by the lack of an adequate infrastructure to treat and supply surface water and in some wards the unaccounted for water (UFW) is even &gt;45% incurred during distribution. The rare imposition of a water tax makes the water supply systems unsustainable and fosters indifference to water conservation. To mitigate the arsenic problem, continuous groundwater monitoring for pollutants, a treated surface water supply with strict policy implications, rainwater harvesting in the urban areas and introduction of water taxes seem to be long-term visible solutions.&quot;,&quot;volume&quot;:&quot;180&quot;},&quot;isTemporary&quot;:false,&quot;suppress-author&quot;:false,&quot;composite&quot;:false,&quot;author-only&quot;:false}]},{&quot;citationID&quot;:&quot;MENDELEY_CITATION_b3bcc0b0-746a-455d-a601-eb51de221b99&quot;,&quot;properties&quot;:{&quot;noteIndex&quot;:0},&quot;isEdited&quot;:false,&quot;manualOverride&quot;:{&quot;isManuallyOverridden&quot;:false,&quot;citeprocText&quot;:&quot;(Mahata et al., 2024)&quot;,&quot;manualOverrideText&quot;:&quot;&quot;},&quot;citationTag&quot;:&quot;MENDELEY_CITATION_v3_eyJjaXRhdGlvbklEIjoiTUVOREVMRVlfQ0lUQVRJT05fYjNiY2MwYjAtNzQ2YS00NTVkLWE2MDEtZWI1MWRlMjIxYjk5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quot;,&quot;citationItems&quot;:[{&quot;id&quot;:&quot;bb3f1268-70b4-33b7-9b1b-872f3e1b4578&quot;,&quot;itemData&quot;:{&quot;type&quot;:&quot;article-journal&quot;,&quot;id&quot;:&quot;bb3f1268-70b4-33b7-9b1b-872f3e1b4578&quot;,&quot;title&quot;:&quot;Urban expansion influences on land use and land cover changes in Kolkata metropolitan region: a geo-spatial study&quot;,&quot;author&quot;:[{&quot;family&quot;:&quot;Mahata&quot;,&quot;given&quot;:&quot;Dinabandhu&quot;,&quot;parse-names&quot;:false,&quot;dropping-particle&quot;:&quot;&quot;,&quot;non-dropping-particle&quot;:&quot;&quot;},{&quot;family&quot;:&quot;Shekhar&quot;,&quot;given&quot;:&quot;Sulochana&quot;,&quot;parse-names&quot;:false,&quot;dropping-particle&quot;:&quot;&quot;,&quot;non-dropping-particle&quot;:&quot;&quot;},{&quot;family&quot;:&quot;Ravi&quot;,&quot;given&quot;:&quot;Kannan&quot;,&quot;parse-names&quot;:false,&quot;dropping-particle&quot;:&quot;&quot;,&quot;non-dropping-particle&quot;:&quot;&quot;}],&quot;container-title&quot;:&quot;GeoJournal&quot;,&quot;container-title-short&quot;:&quot;GeoJournal&quot;,&quot;DOI&quot;:&quot;10.1007/s10708-024-11236-x&quot;,&quot;ISSN&quot;:&quot;1572-9893&quot;,&quot;URL&quot;:&quot;https://doi.org/10.1007/s10708-024-11236-x&quot;,&quot;issued&quot;:{&quot;date-parts&quot;:[[2024,10,23]]},&quot;page&quot;:&quot;237&quot;,&quot;abstract&quot;:&quot;The relentless march of urban expansion has ushered in profound and transformative alterations in land-use changes and recording huge environmental decline in the domain of metropolitan areas. This current study, as a beacon of exploration, strives to unfurl the intricate nature of urban expansion and spatio-temporal mosaic of land use dynamics evolution in Kolkata Metropolitan Region. The population data was gleaned from Census of India and annals of Kolkata Metropolitan Development Authority documents. Similarly, temporal satellite images have been used for this study, which were downloaded from the Landsat Archive Level 1 data products of the United States Geological Survey (USGS) Earth Explorer. Multi-temporal satellite images were analysed with the aid of Geographical Information Systems and the insightful inspection of Remote Sensing spatial data analysis methods. The maximum likelihood supervised classification methods were used for categorization of specific land cover and land use pattern. The analysis in the study identified the changes in the land-use patten and the land-cover by deploying post-classification change detection and GIS-based spatial analysis methods. After scrutinising the study outcomes, it was found that built-up areas had been drastically increased. The tapestry of fallow land, agricultural land, open space, natural vegetation cover, and wetlands have been sacrificed at the expense of the rapid growth of the built-up area. The study result shows the land use and land cover change; in 1991, the built-up area was 18.9%, and in 2021 it reached 48.5%. This study manifested that the swift surge in the built-up area and in the tendrils of urban expansion took place from 1991 to 2021. Focus Group Discussions complemented with in-depth interview results threw light on the direct correlation between urban expansion and unequivocal shifts in the pattern of land use in the metropolitan region. Kolkata Metropolitan Region's planning system should work on comprehensive framework that would be in harmony with the exacerbated vulnerability of land to environmental deterioration stemming from urban sprawl.&quot;,&quot;issue&quot;:&quot;6&quot;,&quot;volume&quot;:&quot;89&quot;},&quot;isTemporary&quot;:false,&quot;suppress-author&quot;:false,&quot;composite&quot;:false,&quot;author-only&quot;:false}]},{&quot;citationID&quot;:&quot;MENDELEY_CITATION_d057caea-210c-4042-82bd-68d9993a337a&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ZDA1N2NhZWEtMjEwYy00MDQyLTgyYmQtNjhkOTk5M2EzMzd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4a1c9ca2-bb79-401c-b64a-348a16446502&quot;,&quot;properties&quot;:{&quot;noteIndex&quot;:0},&quot;isEdited&quot;:false,&quot;manualOverride&quot;:{&quot;isManuallyOverridden&quot;:false,&quot;citeprocText&quot;:&quot;(Mahata et al., 2024)&quot;,&quot;manualOverrideText&quot;:&quot;&quot;},&quot;citationTag&quot;:&quot;MENDELEY_CITATION_v3_eyJjaXRhdGlvbklEIjoiTUVOREVMRVlfQ0lUQVRJT05fNGExYzljYTItYmI3OS00MDFjLWI2NGEtMzQ4YTE2NDQ2NTAy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quot;,&quot;citationItems&quot;:[{&quot;id&quot;:&quot;bb3f1268-70b4-33b7-9b1b-872f3e1b4578&quot;,&quot;itemData&quot;:{&quot;type&quot;:&quot;article-journal&quot;,&quot;id&quot;:&quot;bb3f1268-70b4-33b7-9b1b-872f3e1b4578&quot;,&quot;title&quot;:&quot;Urban expansion influences on land use and land cover changes in Kolkata metropolitan region: a geo-spatial study&quot;,&quot;author&quot;:[{&quot;family&quot;:&quot;Mahata&quot;,&quot;given&quot;:&quot;Dinabandhu&quot;,&quot;parse-names&quot;:false,&quot;dropping-particle&quot;:&quot;&quot;,&quot;non-dropping-particle&quot;:&quot;&quot;},{&quot;family&quot;:&quot;Shekhar&quot;,&quot;given&quot;:&quot;Sulochana&quot;,&quot;parse-names&quot;:false,&quot;dropping-particle&quot;:&quot;&quot;,&quot;non-dropping-particle&quot;:&quot;&quot;},{&quot;family&quot;:&quot;Ravi&quot;,&quot;given&quot;:&quot;Kannan&quot;,&quot;parse-names&quot;:false,&quot;dropping-particle&quot;:&quot;&quot;,&quot;non-dropping-particle&quot;:&quot;&quot;}],&quot;container-title&quot;:&quot;GeoJournal&quot;,&quot;container-title-short&quot;:&quot;GeoJournal&quot;,&quot;DOI&quot;:&quot;10.1007/s10708-024-11236-x&quot;,&quot;ISSN&quot;:&quot;1572-9893&quot;,&quot;URL&quot;:&quot;https://doi.org/10.1007/s10708-024-11236-x&quot;,&quot;issued&quot;:{&quot;date-parts&quot;:[[2024,10,23]]},&quot;page&quot;:&quot;237&quot;,&quot;abstract&quot;:&quot;The relentless march of urban expansion has ushered in profound and transformative alterations in land-use changes and recording huge environmental decline in the domain of metropolitan areas. This current study, as a beacon of exploration, strives to unfurl the intricate nature of urban expansion and spatio-temporal mosaic of land use dynamics evolution in Kolkata Metropolitan Region. The population data was gleaned from Census of India and annals of Kolkata Metropolitan Development Authority documents. Similarly, temporal satellite images have been used for this study, which were downloaded from the Landsat Archive Level 1 data products of the United States Geological Survey (USGS) Earth Explorer. Multi-temporal satellite images were analysed with the aid of Geographical Information Systems and the insightful inspection of Remote Sensing spatial data analysis methods. The maximum likelihood supervised classification methods were used for categorization of specific land cover and land use pattern. The analysis in the study identified the changes in the land-use patten and the land-cover by deploying post-classification change detection and GIS-based spatial analysis methods. After scrutinising the study outcomes, it was found that built-up areas had been drastically increased. The tapestry of fallow land, agricultural land, open space, natural vegetation cover, and wetlands have been sacrificed at the expense of the rapid growth of the built-up area. The study result shows the land use and land cover change; in 1991, the built-up area was 18.9%, and in 2021 it reached 48.5%. This study manifested that the swift surge in the built-up area and in the tendrils of urban expansion took place from 1991 to 2021. Focus Group Discussions complemented with in-depth interview results threw light on the direct correlation between urban expansion and unequivocal shifts in the pattern of land use in the metropolitan region. Kolkata Metropolitan Region's planning system should work on comprehensive framework that would be in harmony with the exacerbated vulnerability of land to environmental deterioration stemming from urban sprawl.&quot;,&quot;issue&quot;:&quot;6&quot;,&quot;volume&quot;:&quot;89&quot;},&quot;isTemporary&quot;:false,&quot;suppress-author&quot;:false,&quot;composite&quot;:false,&quot;author-only&quot;:false}]},{&quot;citationID&quot;:&quot;MENDELEY_CITATION_58a8a5ed-3ce6-477c-9f89-4477a8dbf826&quot;,&quot;properties&quot;:{&quot;noteIndex&quot;:0},&quot;isEdited&quot;:false,&quot;manualOverride&quot;:{&quot;isManuallyOverridden&quot;:false,&quot;citeprocText&quot;:&quot;(Zha et al., 2003)&quot;,&quot;manualOverrideText&quot;:&quot;&quot;},&quot;citationTag&quot;:&quot;MENDELEY_CITATION_v3_eyJjaXRhdGlvbklEIjoiTUVOREVMRVlfQ0lUQVRJT05fNThhOGE1ZWQtM2NlNi00NzdjLTlmODktNDQ3N2E4ZGJmODI2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quot;,&quot;citationItems&quot;:[{&quot;id&quot;:&quot;e077aa4c-a854-358e-bd3f-234a3451445a&quot;,&quot;itemData&quot;:{&quot;type&quot;:&quot;article-journal&quot;,&quot;id&quot;:&quot;e077aa4c-a854-358e-bd3f-234a3451445a&quot;,&quot;title&quot;:&quot;Use of normalized difference built-up index in automatically mapping urban areas from TM imagery&quot;,&quot;author&quot;:[{&quot;family&quot;:&quot;Zha&quot;,&quot;given&quot;:&quot;Y&quot;,&quot;parse-names&quot;:false,&quot;dropping-particle&quot;:&quot;&quot;,&quot;non-dropping-particle&quot;:&quot;&quot;},{&quot;family&quot;:&quot;Gao&quot;,&quot;given&quot;:&quot;J&quot;,&quot;parse-names&quot;:false,&quot;dropping-particle&quot;:&quot;&quot;,&quot;non-dropping-particle&quot;:&quot;&quot;},{&quot;family&quot;:&quot;Ni&quot;,&quot;given&quot;:&quot;S&quot;,&quot;parse-names&quot;:false,&quot;dropping-particle&quot;:&quot;&quot;,&quot;non-dropping-particle&quot;:&quot;&quot;}],&quot;container-title&quot;:&quot;International Journal of Remote Sensing&quot;,&quot;container-title-short&quot;:&quot;Int. J. Remote Sens.&quot;,&quot;DOI&quot;:&quot;10.1080/01431160304987&quot;,&quot;ISSN&quot;:&quot;0143-1161&quot;,&quot;URL&quot;:&quot;https://doi.org/10.1080/01431160304987&quot;,&quot;issued&quot;:{&quot;date-parts&quot;:[[2003,1,26]]},&quot;page&quot;:&quot;583-594&quot;,&quot;publisher&quot;:&quot;Taylor &amp; Francis&quot;,&quot;issue&quot;:&quot;3&quot;,&quot;volume&quot;:&quot;24&quot;},&quot;isTemporary&quot;:false,&quot;suppress-author&quot;:false,&quot;composite&quot;:false,&quot;author-only&quot;:false}]},{&quot;citationID&quot;:&quot;MENDELEY_CITATION_7eccc6a4-a7a6-490f-ac16-b9e8464e2a40&quot;,&quot;properties&quot;:{&quot;noteIndex&quot;:0},&quot;isEdited&quot;:false,&quot;manualOverride&quot;:{&quot;isManuallyOverridden&quot;:false,&quot;citeprocText&quot;:&quot;(Zha et al., 2003)&quot;,&quot;manualOverrideText&quot;:&quot;&quot;},&quot;citationTag&quot;:&quot;MENDELEY_CITATION_v3_eyJjaXRhdGlvbklEIjoiTUVOREVMRVlfQ0lUQVRJT05fN2VjY2M2YTQtYTdhNi00OTBmLWFjMTYtYjllODQ2NGUyYTQw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quot;,&quot;citationItems&quot;:[{&quot;id&quot;:&quot;e077aa4c-a854-358e-bd3f-234a3451445a&quot;,&quot;itemData&quot;:{&quot;type&quot;:&quot;article-journal&quot;,&quot;id&quot;:&quot;e077aa4c-a854-358e-bd3f-234a3451445a&quot;,&quot;title&quot;:&quot;Use of normalized difference built-up index in automatically mapping urban areas from TM imagery&quot;,&quot;author&quot;:[{&quot;family&quot;:&quot;Zha&quot;,&quot;given&quot;:&quot;Y&quot;,&quot;parse-names&quot;:false,&quot;dropping-particle&quot;:&quot;&quot;,&quot;non-dropping-particle&quot;:&quot;&quot;},{&quot;family&quot;:&quot;Gao&quot;,&quot;given&quot;:&quot;J&quot;,&quot;parse-names&quot;:false,&quot;dropping-particle&quot;:&quot;&quot;,&quot;non-dropping-particle&quot;:&quot;&quot;},{&quot;family&quot;:&quot;Ni&quot;,&quot;given&quot;:&quot;S&quot;,&quot;parse-names&quot;:false,&quot;dropping-particle&quot;:&quot;&quot;,&quot;non-dropping-particle&quot;:&quot;&quot;}],&quot;container-title&quot;:&quot;International Journal of Remote Sensing&quot;,&quot;container-title-short&quot;:&quot;Int. J. Remote Sens.&quot;,&quot;DOI&quot;:&quot;10.1080/01431160304987&quot;,&quot;ISSN&quot;:&quot;0143-1161&quot;,&quot;URL&quot;:&quot;https://doi.org/10.1080/01431160304987&quot;,&quot;issued&quot;:{&quot;date-parts&quot;:[[2003,1,26]]},&quot;page&quot;:&quot;583-594&quot;,&quot;publisher&quot;:&quot;Taylor &amp; Francis&quot;,&quot;issue&quot;:&quot;3&quot;,&quot;volume&quot;:&quot;24&quot;},&quot;isTemporary&quot;:false,&quot;suppress-author&quot;:false,&quot;composite&quot;:false,&quot;author-only&quot;:false}]},{&quot;citationID&quot;:&quot;MENDELEY_CITATION_4a78d186-0084-400b-9c64-2db12eb498ba&quot;,&quot;properties&quot;:{&quot;noteIndex&quot;:0},&quot;isEdited&quot;:false,&quot;manualOverride&quot;:{&quot;isManuallyOverridden&quot;:false,&quot;citeprocText&quot;:&quot;(Seto et al., 2012; Taubenböck et al., 2009)&quot;,&quot;manualOverrideText&quot;:&quot;&quot;},&quot;citationTag&quot;:&quot;MENDELEY_CITATION_v3_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&quot;,&quot;citationItems&quot;:[{&quot;id&quot;:&quot;29a7225d-a780-336c-98b7-64ab2977e63f&quot;,&quot;itemData&quot;:{&quot;type&quot;:&quot;article-journal&quot;,&quot;id&quot;:&quot;29a7225d-a780-336c-98b7-64ab2977e63f&quot;,&quot;title&quot;:&quot;Urbanization in India – Spatiotemporal analysis using remote sensing data&quot;,&quot;author&quot;:[{&quot;family&quot;:&quot;Taubenböck&quot;,&quot;given&quot;:&quot;H&quot;,&quot;parse-names&quot;:false,&quot;dropping-particle&quot;:&quot;&quot;,&quot;non-dropping-particle&quot;:&quot;&quot;},{&quot;family&quot;:&quot;Wegmann&quot;,&quot;given&quot;:&quot;M&quot;,&quot;parse-names&quot;:false,&quot;dropping-particle&quot;:&quot;&quot;,&quot;non-dropping-particle&quot;:&quot;&quot;},{&quot;family&quot;:&quot;Roth&quot;,&quot;given&quot;:&quot;A&quot;,&quot;parse-names&quot;:false,&quot;dropping-particle&quot;:&quot;&quot;,&quot;non-dropping-particle&quot;:&quot;&quot;},{&quot;family&quot;:&quot;Mehl&quot;,&quot;given&quot;:&quot;H&quot;,&quot;parse-names&quot;:false,&quot;dropping-particle&quot;:&quot;&quot;,&quot;non-dropping-particle&quot;:&quot;&quot;},{&quot;family&quot;:&quot;Dech&quot;,&quot;given&quot;:&quot;S&quot;,&quot;parse-names&quot;:false,&quot;dropping-particle&quot;:&quot;&quot;,&quot;non-dropping-particle&quot;:&quot;&quot;}],&quot;container-title&quot;:&quot;Computers, Environment and Urban Systems&quot;,&quot;container-title-short&quot;:&quot;Comput. Environ. Urban Syst.&quot;,&quot;DOI&quot;:&quot;10.1016/j.compenvurbsys.2008.09.003&quot;,&quot;ISSN&quot;:&quot;01989715&quot;,&quot;URL&quot;:&quot;https://www.sciencedirect.com/science/article/pii/S0198971508000604&quot;,&quot;issued&quot;:{&quot;date-parts&quot;:[[2009,5]]},&quot;page&quot;:&quot;179-188&quot;,&quot;abstract&quot;:&quot;Urbanization is arguably the most dramatic form of irreversible land transformation. Though urbanization is a worldwide phenomenon, it is especially prevalent in India, where urban areas have experienced an unprecedented rate of growth over the last 30 years. In this uncontrolled situation, city planners lack tools to measure, monitor, and understand urban sprawl processes. Multitemporal remote sensing has become an important data-gathering tool for analysing these changes. By using time-series of Landsat data, we classify urban footprints since the 1970s. This lets us detect temporal and spatial urban sprawl, redensification and urban development in the tremendously growing 12 largest Indian urban agglomerations. A multi-scale analysis aims to identify spatiotemporal urban types. At city level, the combination of absolute parameters (e.g. areal growth or built-up density) and landscape metrics (e.g. SHAPE index) quantitatively characterise the spatial pattern of the cities. Spider charts can display the spatial urban types at three time stages, showing temporal development and helping the reader compare all cities based on normalized scales. In addition, gradient analysis provides insight into location-based spatiotemporal patterns of urbanization. Therefore, we analyse zones defining the urban core versus the urban edges. The study aims to detect similarities and differences in spatial growth in the large Indian urban agglomerations. These cities in the same cultural area range from 2.5 million inhabitants to 20 million (in the metropolitan region of Mumbai). The results paint a characteristic picture of spatial pattern, gradients and landscape metrics, and thus illustrate spatial growth and future modelling of urban development in India.&quot;,&quot;issue&quot;:&quot;3&quot;,&quot;volume&quot;:&quot;33&quot;},&quot;isTemporary&quot;:false},{&quot;id&quot;:&quot;efce1806-01fa-381a-874b-e9eb237eee75&quot;,&quot;itemData&quot;:{&quot;type&quot;:&quot;article-journal&quot;,&quot;id&quot;:&quot;efce1806-01fa-381a-874b-e9eb237eee75&quot;,&quot;title&quot;:&quot;Global forecasts of urban expansion to 2030 and direct impacts on biodiversity and carbon pools&quot;,&quot;author&quot;:[{&quot;family&quot;:&quot;Seto&quot;,&quot;given&quot;:&quot;Karen C&quot;,&quot;parse-names&quot;:false,&quot;dropping-particle&quot;:&quot;&quot;,&quot;non-dropping-particle&quot;:&quot;&quot;},{&quot;family&quot;:&quot;Güneralp&quot;,&quot;given&quot;:&quot;Burak&quot;,&quot;parse-names&quot;:false,&quot;dropping-particle&quot;:&quot;&quot;,&quot;non-dropping-particle&quot;:&quot;&quot;},{&quot;family&quot;:&quot;Hutyra&quot;,&quot;given&quot;:&quot;Lucy R&quot;,&quot;parse-names&quot;:false,&quot;dropping-particle&quot;:&quot;&quot;,&quot;non-dropping-particle&quot;:&quot;&quot;}],&quot;container-title&quot;:&quot;Proceedings of the National Academy of Sciences&quot;,&quot;DOI&quot;:&quot;10.1073/pnas.1211658109&quot;,&quot;ISSN&quot;:&quot;0027-8424&quot;,&quot;URL&quot;:&quot;https://doi.org/10.1073/pnas.1211658109&quot;,&quot;issued&quot;:{&quot;date-parts&quot;:[[2012,10,2]]},&quot;page&quot;:&quot;16083-16088&quot;,&quot;abstract&quot;:&quo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 2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 −1 ), equal to ∼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quot;,&quot;publisher&quot;:&quot;Proceedings of the National Academy of Sciences&quot;,&quot;issue&quot;:&quot;40&quot;,&quot;volume&quot;:&quot;109&quot;,&quot;container-title-short&quot;:&quot;&quot;},&quot;isTemporary&quot;:false}]},{&quot;citationID&quot;:&quot;MENDELEY_CITATION_0afcbe27-4560-4b10-a329-ccef1d33e19a&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MGFmY2JlMjctNDU2MC00YjEwLWEzMjktY2NlZjFkMzNlMTl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05447a71-1ffc-477f-a3c3-996478c37503&quot;,&quot;properties&quot;:{&quot;noteIndex&quot;:0},&quot;isEdited&quot;:false,&quot;manualOverride&quot;:{&quot;isManuallyOverridden&quot;:false,&quot;citeprocText&quot;:&quot;(Angel et al., 2011; Seto et al., 2012)&quot;,&quot;manualOverrideText&quot;:&quot;&quot;},&quot;citationTag&quot;:&quot;MENDELEY_CITATION_v3_eyJjaXRhdGlvbklEIjoiTUVOREVMRVlfQ0lUQVRJT05fMDU0NDdhNzEtMWZmYy00NzdmLWEzYzMtOTk2NDc4YzM3NTAz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quot;,&quot;citationItems&quot;:[{&quot;id&quot;:&quot;c2d80f48-5af4-38b2-97d4-1281f1c92329&quot;,&quot;itemData&quot;:{&quot;type&quot;:&quot;article-journal&quot;,&quot;id&quot;:&quot;c2d80f48-5af4-38b2-97d4-1281f1c92329&quot;,&quot;title&quot;:&quot;The dimensions of global urban expansion: Estimates and projections for all countries, 2000–2050&quot;,&quot;author&quot;:[{&quot;family&quot;:&quot;Angel&quot;,&quot;given&quot;:&quot;Shlomo&quot;,&quot;parse-names&quot;:false,&quot;dropping-particle&quot;:&quot;&quot;,&quot;non-dropping-particle&quot;:&quot;&quot;},{&quot;family&quot;:&quot;Parent&quot;,&quot;given&quot;:&quot;Jason&quot;,&quot;parse-names&quot;:false,&quot;dropping-particle&quot;:&quot;&quot;,&quot;non-dropping-particle&quot;:&quot;&quot;},{&quot;family&quot;:&quot;Civco&quot;,&quot;given&quot;:&quot;Daniel L&quot;,&quot;parse-names&quot;:false,&quot;dropping-particle&quot;:&quot;&quot;,&quot;non-dropping-particle&quot;:&quot;&quot;},{&quot;family&quot;:&quot;Blei&quot;,&quot;given&quot;:&quot;Alexander&quot;,&quot;parse-names&quot;:false,&quot;dropping-particle&quot;:&quot;&quot;,&quot;non-dropping-particle&quot;:&quot;&quot;},{&quot;family&quot;:&quot;Potere&quot;,&quot;given&quot;:&quot;David&quot;,&quot;parse-names&quot;:false,&quot;dropping-particle&quot;:&quot;&quot;,&quot;non-dropping-particle&quot;:&quot;&quot;}],&quot;container-title&quot;:&quot;Progress in Planning&quot;,&quot;container-title-short&quot;:&quot;Prog. Plann.&quot;,&quot;DOI&quot;:&quot;https://doi.org/10.1016/j.progress.2011.04.001&quot;,&quot;ISSN&quot;:&quot;0305-9006&quot;,&quot;URL&quot;:&quot;https://www.sciencedirect.com/science/article/pii/S0305900611000109&quot;,&quot;issued&quot;:{&quot;date-parts&quot;:[[2011]]},&quot;page&quot;:&quot;53-107&quot;,&quot;abstract&quot;:&quot;Our study of the expansion of a representative sample of 30 cities showed that 28 of them expanded more than 16-fold during the twentieth century. More generally, cities are now expanding at twice their population growth rates, on average, and now cover almost 0.5% of the planet's land area. We created a new dataset comprising the universe of all 3646 named metropolitan agglomerations and cities that had populations in excess of 100,000 in the year 2000, their populations in that year, and their built-up area identified in the Mod500 map, currently the best of eight satellite-based global maps of urban land cover. Using this dataset, we estimated urban land cover in smaller cities and towns in all countries and calculated total urban land cover in every country in the year 2000. We then employed multiple regression models that could explain more than 90% of the variations in our urban land cover estimates amongst countries. Then, using U.N. urban population projections in combination with three realistic density change scenarios based on our previous global and historical study of densities, we projected urban land cover in every country and world region from 2000 to 2050. According to our medium projection, urban land cover in developing countries will increase from 300,000km2 in 2000 to 770,000km2 in 2030 and to 1,200,000km2 in 2050. Containing this expansion is likely to fail. Minimal preparations for accommodating it – realistic projection of urban land needs, the extension of metropolitan boundaries, acquiring the rights-of-way for an arterial road grid that can carry infrastructure and public transport, and the selective protection of open space from incursion by formal and informal land development – are now in order.&quot;,&quot;issue&quot;:&quot;2&quot;,&quot;volume&quot;:&quot;75&quot;},&quot;isTemporary&quot;:false},{&quot;id&quot;:&quot;efce1806-01fa-381a-874b-e9eb237eee75&quot;,&quot;itemData&quot;:{&quot;type&quot;:&quot;article-journal&quot;,&quot;id&quot;:&quot;efce1806-01fa-381a-874b-e9eb237eee75&quot;,&quot;title&quot;:&quot;Global forecasts of urban expansion to 2030 and direct impacts on biodiversity and carbon pools&quot;,&quot;author&quot;:[{&quot;family&quot;:&quot;Seto&quot;,&quot;given&quot;:&quot;Karen C&quot;,&quot;parse-names&quot;:false,&quot;dropping-particle&quot;:&quot;&quot;,&quot;non-dropping-particle&quot;:&quot;&quot;},{&quot;family&quot;:&quot;Güneralp&quot;,&quot;given&quot;:&quot;Burak&quot;,&quot;parse-names&quot;:false,&quot;dropping-particle&quot;:&quot;&quot;,&quot;non-dropping-particle&quot;:&quot;&quot;},{&quot;family&quot;:&quot;Hutyra&quot;,&quot;given&quot;:&quot;Lucy R&quot;,&quot;parse-names&quot;:false,&quot;dropping-particle&quot;:&quot;&quot;,&quot;non-dropping-particle&quot;:&quot;&quot;}],&quot;container-title&quot;:&quot;Proceedings of the National Academy of Sciences&quot;,&quot;DOI&quot;:&quot;10.1073/pnas.1211658109&quot;,&quot;ISSN&quot;:&quot;0027-8424&quot;,&quot;URL&quot;:&quot;https://doi.org/10.1073/pnas.1211658109&quot;,&quot;issued&quot;:{&quot;date-parts&quot;:[[2012,10,2]]},&quot;page&quot;:&quot;16083-16088&quot;,&quot;abstract&quot;:&quo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 2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 −1 ), equal to ∼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quot;,&quot;publisher&quot;:&quot;Proceedings of the National Academy of Sciences&quot;,&quot;issue&quot;:&quot;40&quot;,&quot;volume&quot;:&quot;109&quot;,&quot;container-title-short&quot;:&quot;&quot;},&quot;isTemporary&quot;:false}]},{&quot;citationID&quot;:&quot;MENDELEY_CITATION_450df8b0-087c-4502-9bab-389dcaedb297&quot;,&quot;properties&quot;:{&quot;noteIndex&quot;:0},&quot;isEdited&quot;:false,&quot;manualOverride&quot;:{&quot;isManuallyOverridden&quot;:false,&quot;citeprocText&quot;:&quot;(Taubenböck et al., 2009)&quot;,&quot;manualOverrideText&quot;:&quot;&quot;},&quot;citationTag&quot;:&quot;MENDELEY_CITATION_v3_eyJjaXRhdGlvbklEIjoiTUVOREVMRVlfQ0lUQVRJT05fNDUwZGY4YjAtMDg3Yy00NTAyLTliYWItMzg5ZGNhZWRiMjk3IiwicHJvcGVydGllcyI6eyJub3RlSW5kZXgiOjB9LCJpc0VkaXRlZCI6ZmFsc2UsIm1hbnVhbE92ZXJyaWRlIjp7ImlzTWFudWFsbHlPdmVycmlkZGVuIjpmYWxzZSwiY2l0ZXByb2NUZXh0IjoiKFRhdWJlbmLDtmNrIGV0IGFsLiwgMjAwO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XX0=&quot;,&quot;citationItems&quot;:[{&quot;id&quot;:&quot;29a7225d-a780-336c-98b7-64ab2977e63f&quot;,&quot;itemData&quot;:{&quot;type&quot;:&quot;article-journal&quot;,&quot;id&quot;:&quot;29a7225d-a780-336c-98b7-64ab2977e63f&quot;,&quot;title&quot;:&quot;Urbanization in India – Spatiotemporal analysis using remote sensing data&quot;,&quot;author&quot;:[{&quot;family&quot;:&quot;Taubenböck&quot;,&quot;given&quot;:&quot;H&quot;,&quot;parse-names&quot;:false,&quot;dropping-particle&quot;:&quot;&quot;,&quot;non-dropping-particle&quot;:&quot;&quot;},{&quot;family&quot;:&quot;Wegmann&quot;,&quot;given&quot;:&quot;M&quot;,&quot;parse-names&quot;:false,&quot;dropping-particle&quot;:&quot;&quot;,&quot;non-dropping-particle&quot;:&quot;&quot;},{&quot;family&quot;:&quot;Roth&quot;,&quot;given&quot;:&quot;A&quot;,&quot;parse-names&quot;:false,&quot;dropping-particle&quot;:&quot;&quot;,&quot;non-dropping-particle&quot;:&quot;&quot;},{&quot;family&quot;:&quot;Mehl&quot;,&quot;given&quot;:&quot;H&quot;,&quot;parse-names&quot;:false,&quot;dropping-particle&quot;:&quot;&quot;,&quot;non-dropping-particle&quot;:&quot;&quot;},{&quot;family&quot;:&quot;Dech&quot;,&quot;given&quot;:&quot;S&quot;,&quot;parse-names&quot;:false,&quot;dropping-particle&quot;:&quot;&quot;,&quot;non-dropping-particle&quot;:&quot;&quot;}],&quot;container-title&quot;:&quot;Computers, Environment and Urban Systems&quot;,&quot;container-title-short&quot;:&quot;Comput. Environ. Urban Syst.&quot;,&quot;DOI&quot;:&quot;10.1016/j.compenvurbsys.2008.09.003&quot;,&quot;ISSN&quot;:&quot;01989715&quot;,&quot;URL&quot;:&quot;https://www.sciencedirect.com/science/article/pii/S0198971508000604&quot;,&quot;issued&quot;:{&quot;date-parts&quot;:[[2009,5]]},&quot;page&quot;:&quot;179-188&quot;,&quot;abstract&quot;:&quot;Urbanization is arguably the most dramatic form of irreversible land transformation. Though urbanization is a worldwide phenomenon, it is especially prevalent in India, where urban areas have experienced an unprecedented rate of growth over the last 30 years. In this uncontrolled situation, city planners lack tools to measure, monitor, and understand urban sprawl processes. Multitemporal remote sensing has become an important data-gathering tool for analysing these changes. By using time-series of Landsat data, we classify urban footprints since the 1970s. This lets us detect temporal and spatial urban sprawl, redensification and urban development in the tremendously growing 12 largest Indian urban agglomerations. A multi-scale analysis aims to identify spatiotemporal urban types. At city level, the combination of absolute parameters (e.g. areal growth or built-up density) and landscape metrics (e.g. SHAPE index) quantitatively characterise the spatial pattern of the cities. Spider charts can display the spatial urban types at three time stages, showing temporal development and helping the reader compare all cities based on normalized scales. In addition, gradient analysis provides insight into location-based spatiotemporal patterns of urbanization. Therefore, we analyse zones defining the urban core versus the urban edges. The study aims to detect similarities and differences in spatial growth in the large Indian urban agglomerations. These cities in the same cultural area range from 2.5 million inhabitants to 20 million (in the metropolitan region of Mumbai). The results paint a characteristic picture of spatial pattern, gradients and landscape metrics, and thus illustrate spatial growth and future modelling of urban development in India.&quot;,&quot;issue&quot;:&quot;3&quot;,&quot;volume&quot;:&quot;33&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CECBB-4280-4C14-819A-585A12905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3300</TotalTime>
  <Pages>11</Pages>
  <Words>3859</Words>
  <Characters>21999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Beependra</dc:creator>
  <cp:keywords/>
  <dc:description/>
  <cp:lastModifiedBy>SDI 1084</cp:lastModifiedBy>
  <cp:revision>114</cp:revision>
  <dcterms:created xsi:type="dcterms:W3CDTF">2026-04-17T13:56:00Z</dcterms:created>
  <dcterms:modified xsi:type="dcterms:W3CDTF">2026-04-21T10:59:00Z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745e1167-d88c-4a49-a157-5849f00c649b</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 (in-text citations)</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