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F53CF" w14:textId="77777777" w:rsidR="009C766A" w:rsidRPr="009C766A" w:rsidRDefault="009C766A" w:rsidP="009C766A">
      <w:pPr>
        <w:spacing w:before="400" w:after="240"/>
        <w:jc w:val="center"/>
        <w:rPr>
          <w:b/>
          <w:bCs/>
          <w:i/>
          <w:iCs/>
          <w:sz w:val="36"/>
          <w:szCs w:val="36"/>
          <w:u w:val="single"/>
        </w:rPr>
      </w:pPr>
      <w:r w:rsidRPr="009C766A">
        <w:rPr>
          <w:b/>
          <w:bCs/>
          <w:i/>
          <w:iCs/>
          <w:sz w:val="36"/>
          <w:szCs w:val="36"/>
          <w:u w:val="single"/>
        </w:rPr>
        <w:t>Review Article</w:t>
      </w:r>
    </w:p>
    <w:p w14:paraId="58589669" w14:textId="77777777" w:rsidR="001F7C3D" w:rsidRPr="00D238A6" w:rsidRDefault="00D238A6">
      <w:pPr>
        <w:spacing w:before="400" w:after="240"/>
        <w:jc w:val="center"/>
        <w:rPr>
          <w:lang w:val="en-GB"/>
        </w:rPr>
      </w:pPr>
      <w:r>
        <w:rPr>
          <w:b/>
          <w:bCs/>
          <w:sz w:val="36"/>
          <w:szCs w:val="36"/>
          <w:lang w:val="en-GB"/>
        </w:rPr>
        <w:t xml:space="preserve">Interlink of </w:t>
      </w:r>
      <w:r w:rsidR="008C2088" w:rsidRPr="00D238A6">
        <w:rPr>
          <w:b/>
          <w:bCs/>
          <w:sz w:val="36"/>
          <w:szCs w:val="36"/>
          <w:lang w:val="en-GB"/>
        </w:rPr>
        <w:t>Geopolitics of Climate Change and Biodiversity Protection</w:t>
      </w:r>
    </w:p>
    <w:p w14:paraId="598F2BE2" w14:textId="77777777" w:rsidR="001F7C3D" w:rsidRPr="00D238A6" w:rsidRDefault="001F7C3D">
      <w:pPr>
        <w:spacing w:before="60" w:after="60"/>
        <w:rPr>
          <w:lang w:val="en-GB"/>
        </w:rPr>
      </w:pPr>
    </w:p>
    <w:p w14:paraId="649372F6" w14:textId="77777777" w:rsidR="001F7C3D" w:rsidRPr="00D238A6" w:rsidRDefault="008C2088">
      <w:pPr>
        <w:spacing w:before="240" w:after="160"/>
        <w:jc w:val="center"/>
        <w:rPr>
          <w:lang w:val="en-GB"/>
        </w:rPr>
      </w:pPr>
      <w:r w:rsidRPr="00D238A6">
        <w:rPr>
          <w:b/>
          <w:bCs/>
          <w:sz w:val="28"/>
          <w:szCs w:val="28"/>
          <w:lang w:val="en-GB"/>
        </w:rPr>
        <w:t>Abstract</w:t>
      </w:r>
    </w:p>
    <w:p w14:paraId="07AE3CDC" w14:textId="77777777" w:rsidR="001F7C3D" w:rsidRPr="00D238A6" w:rsidRDefault="008C2088">
      <w:pPr>
        <w:spacing w:before="120" w:after="120" w:line="360" w:lineRule="auto"/>
        <w:ind w:firstLine="720"/>
        <w:jc w:val="both"/>
        <w:rPr>
          <w:lang w:val="en-GB"/>
        </w:rPr>
      </w:pPr>
      <w:r w:rsidRPr="00D238A6">
        <w:rPr>
          <w:lang w:val="en-GB"/>
        </w:rPr>
        <w:t>Climate change and biodiversity loss represent two of the most formidable environmental challenges confronting the international community in the twenty-first century. These crises are not discrete phenomena; rather, they are deeply intertwined through complex ecological, political, and socio-economic dynamics that span national boundaries and demand coordinated global responses. This review article examines the geopolitical dimensions of climate change and biodiversity protection, with particular emphasis on the manner in which international power relations, multilateral governance frameworks, and national interests shape the effectiveness of conservation and emissions-reduction efforts. Drawing upon a broad corpus of peer-reviewed literature and authoritative institutional reports published predominantly between 2007 and 2026, the article explores how the Intergovernmental Panel on Climate Change (IPCC) assessments, the Convention on Biological Diversity (CBD), the Paris Agreement, and the Kunming-Montreal Global Biodiversity Framework interact with one another within the arena of global environmental diplomacy. Special attention is given to the asymmetric vulnerabilities experienced by developing nations, the tensions between economic development imperatives and ecological protection, the role of non-state actors, and the emerging nexus between climate security and biodiversity. The review further interrogates how land-use change, deforestation, ocean governance, and the politics of carbon markets simultaneously serve as sites of geopolitical contestation and potential cooperation. The article concludes that durable progress in both climate stabilisation and biodiversity conservation requires institutionalised interlinkages between governance frameworks, equitable burden-sharing mechanisms, and a reconfiguration of international political will that transcends historical North-South divides. The findings carry significant implications for the design of future international environmental agreements and the integration of biodiversity into climate finance architectures.</w:t>
      </w:r>
    </w:p>
    <w:p w14:paraId="42617034" w14:textId="77777777" w:rsidR="001F7C3D" w:rsidRPr="00D238A6" w:rsidRDefault="001F7C3D">
      <w:pPr>
        <w:spacing w:before="60" w:after="60"/>
        <w:rPr>
          <w:lang w:val="en-GB"/>
        </w:rPr>
      </w:pPr>
    </w:p>
    <w:p w14:paraId="2F1A6225" w14:textId="77777777" w:rsidR="001F7C3D" w:rsidRPr="00D238A6" w:rsidRDefault="008C2088">
      <w:pPr>
        <w:spacing w:before="120" w:after="120"/>
        <w:rPr>
          <w:lang w:val="en-GB"/>
        </w:rPr>
      </w:pPr>
      <w:r w:rsidRPr="00D238A6">
        <w:rPr>
          <w:b/>
          <w:bCs/>
          <w:lang w:val="en-GB"/>
        </w:rPr>
        <w:t xml:space="preserve">Keywords: </w:t>
      </w:r>
      <w:r w:rsidRPr="00D238A6">
        <w:rPr>
          <w:lang w:val="en-GB"/>
        </w:rPr>
        <w:t>climate change; biodiversity loss; geopolitics; environmental governance; Paris Agreement; Convention on Biological Diversity; Kunming-Montreal Framework; ecosystem services; international relations; sustainable development</w:t>
      </w:r>
    </w:p>
    <w:p w14:paraId="2233E475" w14:textId="77777777" w:rsidR="001F7C3D" w:rsidRPr="00D238A6" w:rsidRDefault="001F7C3D">
      <w:pPr>
        <w:spacing w:before="60" w:after="60"/>
        <w:rPr>
          <w:lang w:val="en-GB"/>
        </w:rPr>
      </w:pPr>
    </w:p>
    <w:p w14:paraId="3BD02D21" w14:textId="77777777" w:rsidR="001F7C3D" w:rsidRPr="00D238A6" w:rsidRDefault="008C2088">
      <w:pPr>
        <w:pStyle w:val="Heading1"/>
        <w:rPr>
          <w:lang w:val="en-GB"/>
        </w:rPr>
      </w:pPr>
      <w:r w:rsidRPr="00D238A6">
        <w:rPr>
          <w:lang w:val="en-GB"/>
        </w:rPr>
        <w:t>1. Introduction</w:t>
      </w:r>
    </w:p>
    <w:p w14:paraId="3C600F8C" w14:textId="77777777" w:rsidR="001F7C3D" w:rsidRPr="00D238A6" w:rsidRDefault="008C2088">
      <w:pPr>
        <w:spacing w:before="120" w:after="120" w:line="360" w:lineRule="auto"/>
        <w:ind w:firstLine="720"/>
        <w:jc w:val="both"/>
        <w:rPr>
          <w:lang w:val="en-GB"/>
        </w:rPr>
      </w:pPr>
      <w:r w:rsidRPr="00D238A6">
        <w:rPr>
          <w:lang w:val="en-GB"/>
        </w:rPr>
        <w:t>The relationship between human civilisation and the natural world has grown increasingly fraught over the course of the industrial era. The accelerating pace of anthropogenic climate change and the concurrent collapse of global biodiversity are now widely recognised as existential threats that transcend the conventional boundaries of environmental science and enter the domain of international politics, security studies, and economic governance (IPBES, 2019; IPCC, 2023). The geopolitical dimension of these challenges is not incidental but fundamental: decisions about energy systems, land use, ocean governance, and resource exploitation are inescapably embedded within relations of power between and among states, corporations, indigenous communities, and multilateral institutions.</w:t>
      </w:r>
    </w:p>
    <w:p w14:paraId="4C414F6A" w14:textId="77777777" w:rsidR="001F7C3D" w:rsidRPr="00D238A6" w:rsidRDefault="008C2088">
      <w:pPr>
        <w:spacing w:before="120" w:after="120" w:line="360" w:lineRule="auto"/>
        <w:ind w:firstLine="720"/>
        <w:jc w:val="both"/>
        <w:rPr>
          <w:lang w:val="en-GB"/>
        </w:rPr>
      </w:pPr>
      <w:r w:rsidRPr="00D238A6">
        <w:rPr>
          <w:lang w:val="en-GB"/>
        </w:rPr>
        <w:t>The scientific evidence underpinning concern about both phenomena is now robust and compelling. The Intergovernmental Panel on Climate Change (IPCC) Sixth Assessment Report (AR6) concluded with unequivocal confidence that human influence has warmed the atmosphere, ocean, and land, and that widespread and rapid changes in the climate system are unprecedented over many thousands of years (IPCC, 2021). Simultaneously, the Intergovernmental Science-Policy Platform on Biodiversity and Ecosystem Services (IPBES) Global Assessment documented that approximately one million animal and plant species are now threatened with extinction, representing the fastest rate of species loss in human history (IPBES, 2019). These dual crises are not merely additive in their consequences; they interact synergistically, with climate change exacerbating habitat loss, species range shifts, coral bleaching, and ecosystem degradation, whilst biodiversity loss simultaneously undermines the capacity of natural systems to sequester carbon and buffer communities against climatic extremes (</w:t>
      </w:r>
      <w:proofErr w:type="spellStart"/>
      <w:r w:rsidRPr="00D238A6">
        <w:rPr>
          <w:lang w:val="en-GB"/>
        </w:rPr>
        <w:t>Pörtner</w:t>
      </w:r>
      <w:proofErr w:type="spellEnd"/>
      <w:r w:rsidRPr="00D238A6">
        <w:rPr>
          <w:lang w:val="en-GB"/>
        </w:rPr>
        <w:t xml:space="preserve"> et al., 2021).</w:t>
      </w:r>
    </w:p>
    <w:p w14:paraId="00908262" w14:textId="77777777" w:rsidR="001F7C3D" w:rsidRPr="00D238A6" w:rsidRDefault="008C2088">
      <w:pPr>
        <w:spacing w:before="120" w:after="120" w:line="360" w:lineRule="auto"/>
        <w:ind w:firstLine="720"/>
        <w:jc w:val="both"/>
        <w:rPr>
          <w:lang w:val="en-GB"/>
        </w:rPr>
      </w:pPr>
      <w:r w:rsidRPr="00D238A6">
        <w:rPr>
          <w:lang w:val="en-GB"/>
        </w:rPr>
        <w:t xml:space="preserve">International responses to these twin challenges have been institutionalised through a suite of multilateral agreements and frameworks. The United Nations Framework Convention on Climate Change (UNFCCC) and its subsidiary Paris Agreement of 2015 represent the primary </w:t>
      </w:r>
      <w:r w:rsidRPr="00D238A6">
        <w:rPr>
          <w:lang w:val="en-GB"/>
        </w:rPr>
        <w:lastRenderedPageBreak/>
        <w:t>architecture for global climate governance (UNFCCC, 2015). The Convention on Biological Diversity (CBD) and its associated Protocols, culminating in the adoption of the Kunming-Montreal Global Biodiversity Framework (GBF) in December 2022, constitute the primary institutional expression of global commitment to halting and reversing biodiversity loss (CBD, 2022). Yet despite these institutional achievements, implementation deficits are profound, and the geopolitical dynamics shaping state behaviour within these frameworks remain incompletely understood.</w:t>
      </w:r>
    </w:p>
    <w:p w14:paraId="42E69A28" w14:textId="77777777" w:rsidR="001F7C3D" w:rsidRPr="00D238A6" w:rsidRDefault="008C2088">
      <w:pPr>
        <w:spacing w:before="120" w:after="120" w:line="360" w:lineRule="auto"/>
        <w:ind w:firstLine="720"/>
        <w:jc w:val="both"/>
        <w:rPr>
          <w:lang w:val="en-GB"/>
        </w:rPr>
      </w:pPr>
      <w:r w:rsidRPr="00D238A6">
        <w:rPr>
          <w:lang w:val="en-GB"/>
        </w:rPr>
        <w:t>Geopolitics, traditionally concerned with the influence of geography upon political power and international relations, has increasingly been applied to environmental domains (Dalby, 2013). Environmental geopolitics examines how the distribution of natural resources, ecological vulnerabilities, and environmental governance responsibilities intersect with state power, national interests, and international order. In the context of climate change and biodiversity, geopolitical analysis illuminates why states with divergent histories of industrialisation, varying ecological endowments, and differing developmental aspirations often adopt conflicting positions in international negotiations, even when the underlying scientific case for action is broadly shared.</w:t>
      </w:r>
    </w:p>
    <w:p w14:paraId="23B4BEFC" w14:textId="77777777" w:rsidR="001F7C3D" w:rsidRPr="00D238A6" w:rsidRDefault="008C2088">
      <w:pPr>
        <w:spacing w:before="120" w:after="120" w:line="360" w:lineRule="auto"/>
        <w:ind w:firstLine="720"/>
        <w:jc w:val="both"/>
        <w:rPr>
          <w:lang w:val="en-GB"/>
        </w:rPr>
      </w:pPr>
      <w:r w:rsidRPr="00D238A6">
        <w:rPr>
          <w:lang w:val="en-GB"/>
        </w:rPr>
        <w:t>The nexus between climate change and biodiversity is increasingly prominent in academic and policy discourse, yet the explicitly geopolitical dimensions of this interlinkage remain underexplored in the review literature. Most existing scholarship addresses climate governance and biodiversity governance as parallel rather than interlinked domains, or focuses on ecological dynamics at the expense of political analysis. This article seeks to bridge that gap by synthesising existing scholarship on both domains through a geopolitical lens, examining how international power relations, institutional architectures, and national interests collectively shape the prospects for integrated environmental governance.</w:t>
      </w:r>
    </w:p>
    <w:p w14:paraId="680F8F4E" w14:textId="77777777" w:rsidR="001F7C3D" w:rsidRPr="00D238A6" w:rsidRDefault="008C2088">
      <w:pPr>
        <w:spacing w:before="120" w:after="120" w:line="360" w:lineRule="auto"/>
        <w:ind w:firstLine="720"/>
        <w:jc w:val="both"/>
        <w:rPr>
          <w:lang w:val="en-GB"/>
        </w:rPr>
      </w:pPr>
      <w:r w:rsidRPr="00D238A6">
        <w:rPr>
          <w:lang w:val="en-GB"/>
        </w:rPr>
        <w:t xml:space="preserve">The article proceeds as follows. Following an account of the methodology for literature selection in Section 2, Section 3 examines the theoretical and conceptual foundations of environmental geopolitics. Section 4 provides a historical overview of the multilateral architecture for climate and biodiversity governance. Section 5 analyses the interlinkages between climate change and biodiversity loss from a geopolitical perspective. Section 6 explores key thematic areas of geopolitical contestation and cooperation, including deforestation, ocean </w:t>
      </w:r>
      <w:r w:rsidRPr="00D238A6">
        <w:rPr>
          <w:lang w:val="en-GB"/>
        </w:rPr>
        <w:lastRenderedPageBreak/>
        <w:t>governance, and carbon markets. Section 7 addresses the role of non-state actors and subnational entities. Section 8 examines equity dimensions and North-South dynamics. Section 9 considers emerging geopolitical challenges at the climate-biodiversity nexus. Section 10 discusses pathways towards integrated governance, and Section 11 presents a discursive synthesis, with Section 12 offering conclusions and Section 13 acknowledging limitations.</w:t>
      </w:r>
    </w:p>
    <w:p w14:paraId="37F9814C" w14:textId="77777777" w:rsidR="001F7C3D" w:rsidRPr="00D238A6" w:rsidRDefault="008C2088">
      <w:pPr>
        <w:pStyle w:val="Heading2"/>
        <w:rPr>
          <w:lang w:val="en-GB"/>
        </w:rPr>
      </w:pPr>
      <w:r w:rsidRPr="00D238A6">
        <w:rPr>
          <w:sz w:val="24"/>
          <w:szCs w:val="24"/>
          <w:lang w:val="en-GB"/>
        </w:rPr>
        <w:t>1.1 Scope and Objectives of the Article</w:t>
      </w:r>
    </w:p>
    <w:p w14:paraId="79E211E7" w14:textId="77777777" w:rsidR="001F7C3D" w:rsidRPr="00D238A6" w:rsidRDefault="008C2088">
      <w:pPr>
        <w:spacing w:before="120" w:after="120" w:line="360" w:lineRule="auto"/>
        <w:ind w:firstLine="720"/>
        <w:jc w:val="both"/>
        <w:rPr>
          <w:lang w:val="en-GB"/>
        </w:rPr>
      </w:pPr>
      <w:r w:rsidRPr="00D238A6">
        <w:rPr>
          <w:lang w:val="en-GB"/>
        </w:rPr>
        <w:t>This review article is principally concerned with the geopolitical dimensions of the interlinkage between climate change and biodiversity protection at the international scale. It does not seek to provide a comprehensive review of the ecological science of climate-biodiversity interactions, nor does it offer a technical assessment of specific policy instruments. Its primary objective is to synthesise the scholarly and institutional literature on the political, diplomatic, and governance dimensions of the climate-biodiversity nexus, with particular attention to how geopolitical forces both constrain and enable effective environmental governance. The article aims to identify patterns of cooperation and conflict within international environmental diplomacy, to illuminate the equity dimensions of the current global governance architecture, and to explore prospects for more integrated institutional responses to the twin crises of climate change and biodiversity loss. Findings are intended to be of relevance to scholars of international relations and environmental politics, as well as to practitioners and policymakers engaged in multilateral environmental negotiations.</w:t>
      </w:r>
    </w:p>
    <w:p w14:paraId="70D5CE31" w14:textId="77777777" w:rsidR="001F7C3D" w:rsidRPr="00D238A6" w:rsidRDefault="001F7C3D">
      <w:pPr>
        <w:spacing w:before="60" w:after="60"/>
        <w:rPr>
          <w:lang w:val="en-GB"/>
        </w:rPr>
      </w:pPr>
    </w:p>
    <w:p w14:paraId="555410A1" w14:textId="77777777" w:rsidR="001F7C3D" w:rsidRPr="00D238A6" w:rsidRDefault="008C2088">
      <w:pPr>
        <w:pStyle w:val="Heading1"/>
        <w:rPr>
          <w:lang w:val="en-GB"/>
        </w:rPr>
      </w:pPr>
      <w:r w:rsidRPr="00D238A6">
        <w:rPr>
          <w:lang w:val="en-GB"/>
        </w:rPr>
        <w:t>2. Methods for Literature Selection</w:t>
      </w:r>
    </w:p>
    <w:p w14:paraId="150EE0CF" w14:textId="77777777" w:rsidR="001F7C3D" w:rsidRPr="00D238A6" w:rsidRDefault="008C2088">
      <w:pPr>
        <w:spacing w:before="120" w:after="120" w:line="360" w:lineRule="auto"/>
        <w:ind w:firstLine="720"/>
        <w:jc w:val="both"/>
        <w:rPr>
          <w:lang w:val="en-GB"/>
        </w:rPr>
      </w:pPr>
      <w:r w:rsidRPr="00D238A6">
        <w:rPr>
          <w:lang w:val="en-GB"/>
        </w:rPr>
        <w:t xml:space="preserve">This article adopts the form of a narrative review rather than a systematic review. This methodological choice reflects the broad, interdisciplinary, and inherently interpretive nature of the subject matter, which encompasses international relations theory, environmental politics, ecological science, and institutional analysis (Ferrari, 2015). A systematic review, with its emphasis on exhaustive search strategies, quantitative synthesis, and standardised appraisal of study quality, is most suited to well-defined empirical questions with a homogeneous body of primary literature. The geopolitics of climate change and biodiversity, by contrast, draws upon diverse epistemological traditions, methodological approaches, and document types, including peer-reviewed theoretical contributions, empirical case studies, quantitative assessments, and </w:t>
      </w:r>
      <w:r w:rsidRPr="00D238A6">
        <w:rPr>
          <w:lang w:val="en-GB"/>
        </w:rPr>
        <w:lastRenderedPageBreak/>
        <w:t>authoritative institutional reports, that resist meaningful aggregation through a single appraisal framework. A narrative approach therefore permits the kind of integrative, contextual, and critical synthesis appropriate to the subject (Green et al., 2006).</w:t>
      </w:r>
    </w:p>
    <w:p w14:paraId="76D32363" w14:textId="77777777" w:rsidR="001F7C3D" w:rsidRPr="00D238A6" w:rsidRDefault="008C2088">
      <w:pPr>
        <w:spacing w:before="120" w:after="120" w:line="360" w:lineRule="auto"/>
        <w:ind w:firstLine="720"/>
        <w:jc w:val="both"/>
        <w:rPr>
          <w:lang w:val="en-GB"/>
        </w:rPr>
      </w:pPr>
      <w:r w:rsidRPr="00D238A6">
        <w:rPr>
          <w:lang w:val="en-GB"/>
        </w:rPr>
        <w:t>Literature was identified through searches of four principal academic databases: Web of Science, Scopus, Google Scholar, and PubMed. Searches were conducted using combinations of the following terms: 'climate change geopolitics', 'biodiversity governance', 'climate-biodiversity nexus', 'environmental multilateralism', 'Paris Agreement', 'Convention on Biological Diversity', 'Kunming-Montreal Framework', 'global environmental governance', 'North-South environmental politics', 'deforestation geopolitics', 'ocean governance climate', 'carbon markets biodiversity', 'REDD+ governance', 'ecosystem services geopolitics', and 'climate security biodiversity'. Boolean operators (AND, OR) were employed to refine searches and to combine thematic terms. The principal date range for recent literature was restricted to 2007–2026, in alignment with the requirement for contemporaneous scholarship. However, foundational theoretical works and seminal empirical studies predating 2007 were incorporated where they were deemed essential to the conceptual scaffolding of the analysis.</w:t>
      </w:r>
    </w:p>
    <w:p w14:paraId="1D018407" w14:textId="77777777" w:rsidR="001F7C3D" w:rsidRPr="00D238A6" w:rsidRDefault="008C2088">
      <w:pPr>
        <w:spacing w:before="120" w:after="120" w:line="360" w:lineRule="auto"/>
        <w:ind w:firstLine="720"/>
        <w:jc w:val="both"/>
        <w:rPr>
          <w:lang w:val="en-GB"/>
        </w:rPr>
      </w:pPr>
      <w:r w:rsidRPr="00D238A6">
        <w:rPr>
          <w:lang w:val="en-GB"/>
        </w:rPr>
        <w:t>Inclusion criteria for peer-reviewed literature were: publication in an indexed academic journal; relevance to one or more of the thematic areas addressed in the article; and availability in the English language. Documents published in other languages were excluded, not because of any assumption about their scholarly merit, but because the capacity for verified interpretation was limited to English-language sources in this review. Institutional reports from bodies including the IPCC, IPBES, the CBD Secretariat, the United Nations Environment Programme (UNEP), the Food and Agriculture Organisation (FAO), and the World Bank were included where they provided authoritative, primary data or policy frameworks not available in the peer-reviewed literature. Books, grey literature, conference papers, and working papers without formal peer review were excluded from the primary reference corpus, though a small number of highly influential working documents from intergovernmental bodies were retained where no peer-reviewed equivalent existed.</w:t>
      </w:r>
    </w:p>
    <w:p w14:paraId="5E32CC25" w14:textId="77777777" w:rsidR="001F7C3D" w:rsidRPr="00D238A6" w:rsidRDefault="008C2088">
      <w:pPr>
        <w:spacing w:before="120" w:after="120" w:line="360" w:lineRule="auto"/>
        <w:ind w:firstLine="720"/>
        <w:jc w:val="both"/>
        <w:rPr>
          <w:lang w:val="en-GB"/>
        </w:rPr>
      </w:pPr>
      <w:r w:rsidRPr="00D238A6">
        <w:rPr>
          <w:lang w:val="en-GB"/>
        </w:rPr>
        <w:t xml:space="preserve">A basic screening workflow was applied to identify relevant materials. Initial searches yielded several hundred candidate documents across the databases queried. Titles and abstracts were reviewed to assess relevance, and documents that did not address the political, institutional, </w:t>
      </w:r>
      <w:r w:rsidRPr="00D238A6">
        <w:rPr>
          <w:lang w:val="en-GB"/>
        </w:rPr>
        <w:lastRenderedPageBreak/>
        <w:t xml:space="preserve">or governance dimensions of climate change or biodiversity were excluded at this stage. Full-text review was subsequently conducted for documents that passed initial screening, with duplicates across databases identified and removed. Influential studies were identified on the basis of citation frequency within the relevant literature, their origin in high-impact journals, and their explicit relevance to the review's conceptual framework. </w:t>
      </w:r>
    </w:p>
    <w:p w14:paraId="5DCE8BD8" w14:textId="77777777" w:rsidR="001F7C3D" w:rsidRPr="00D238A6" w:rsidRDefault="001F7C3D">
      <w:pPr>
        <w:spacing w:before="60" w:after="60"/>
        <w:rPr>
          <w:lang w:val="en-GB"/>
        </w:rPr>
      </w:pPr>
    </w:p>
    <w:p w14:paraId="57D7C698" w14:textId="77777777" w:rsidR="001F7C3D" w:rsidRPr="00D238A6" w:rsidRDefault="008C2088">
      <w:pPr>
        <w:pStyle w:val="Heading1"/>
        <w:rPr>
          <w:lang w:val="en-GB"/>
        </w:rPr>
      </w:pPr>
      <w:r w:rsidRPr="00D238A6">
        <w:rPr>
          <w:lang w:val="en-GB"/>
        </w:rPr>
        <w:t>3. Theoretical and Conceptual Foundations of Environmental Geopolitics</w:t>
      </w:r>
    </w:p>
    <w:p w14:paraId="0BEA88FE" w14:textId="77777777" w:rsidR="001F7C3D" w:rsidRPr="00D238A6" w:rsidRDefault="008C2088">
      <w:pPr>
        <w:spacing w:before="120" w:after="120" w:line="360" w:lineRule="auto"/>
        <w:ind w:firstLine="720"/>
        <w:jc w:val="both"/>
        <w:rPr>
          <w:lang w:val="en-GB"/>
        </w:rPr>
      </w:pPr>
      <w:r w:rsidRPr="00D238A6">
        <w:rPr>
          <w:lang w:val="en-GB"/>
        </w:rPr>
        <w:t>Geopolitics as a scholarly tradition has long been preoccupied with the relationship between territory, resources, and political power. Classical geopolitical thinkers such as Halford Mackinder and Alfred Mahan foregrounded the strategic significance of geographical space and natural resources in shaping inter-state competition. Whilst the crude environmental determinism of classical geopolitics has been largely superseded in contemporary scholarship, the insight that the distribution and governance of natural resources bears upon political power and international order retains enduring relevance (Dalby, 2013).</w:t>
      </w:r>
    </w:p>
    <w:p w14:paraId="3F962E99" w14:textId="77777777" w:rsidR="001F7C3D" w:rsidRPr="00D238A6" w:rsidRDefault="008C2088">
      <w:pPr>
        <w:spacing w:before="120" w:after="120" w:line="360" w:lineRule="auto"/>
        <w:ind w:firstLine="720"/>
        <w:jc w:val="both"/>
        <w:rPr>
          <w:lang w:val="en-GB"/>
        </w:rPr>
      </w:pPr>
      <w:r w:rsidRPr="00D238A6">
        <w:rPr>
          <w:lang w:val="en-GB"/>
        </w:rPr>
        <w:t>Environmental geopolitics, as an emerging sub-field, examines how ecological conditions and natural resource dynamics intersect with state power, security, and international governance. Scholars working in this tradition have argued that environmental challenges such as climate change and biodiversity loss must be understood not merely as technical problems amenable to scientific and technological solutions, but as deeply political phenomena shaped by historical patterns of resource exploitation, colonial legacies, and contemporary power asymmetries (Barnett, 2007). From this perspective, international environmental negotiations are sites in which states pursue their national interests, defined in terms of economic development, energy security, and geopolitical influence, as much as they are fora for collective problem-solving.</w:t>
      </w:r>
    </w:p>
    <w:p w14:paraId="7F867181" w14:textId="77777777" w:rsidR="001F7C3D" w:rsidRPr="00D238A6" w:rsidRDefault="008C2088">
      <w:pPr>
        <w:spacing w:before="120" w:after="120" w:line="360" w:lineRule="auto"/>
        <w:ind w:firstLine="720"/>
        <w:jc w:val="both"/>
        <w:rPr>
          <w:lang w:val="en-GB"/>
        </w:rPr>
      </w:pPr>
      <w:r w:rsidRPr="00D238A6">
        <w:rPr>
          <w:lang w:val="en-GB"/>
        </w:rPr>
        <w:t xml:space="preserve">Several theoretical frameworks are relevant to the analysis of the climate-biodiversity geopolitical nexus. Realist international relations theory emphasises the primacy of state interests and the absence of a supranational authority capable of enforcing international agreements, leading to collective action problems in which each state has incentives to defect from cooperative arrangements (Keohane &amp; Victor, 2011). This perspective helps to explain the persistence of implementation gaps in both climate and biodiversity governance, as well as the </w:t>
      </w:r>
      <w:r w:rsidRPr="00D238A6">
        <w:rPr>
          <w:lang w:val="en-GB"/>
        </w:rPr>
        <w:lastRenderedPageBreak/>
        <w:t>reluctance of major emitting and biodiverse states to accept binding commitments that might constrain their development options.</w:t>
      </w:r>
    </w:p>
    <w:p w14:paraId="63BD5E78" w14:textId="77777777" w:rsidR="001F7C3D" w:rsidRPr="00D238A6" w:rsidRDefault="008C2088">
      <w:pPr>
        <w:spacing w:before="120" w:after="120" w:line="360" w:lineRule="auto"/>
        <w:ind w:firstLine="720"/>
        <w:jc w:val="both"/>
        <w:rPr>
          <w:lang w:val="en-GB"/>
        </w:rPr>
      </w:pPr>
      <w:r w:rsidRPr="00D238A6">
        <w:rPr>
          <w:lang w:val="en-GB"/>
        </w:rPr>
        <w:t>Liberal institutionalism, by contrast, stresses the capacity of international institutions, norms, and repeated interactions to foster cooperation even among self-interested states (Keohane &amp; Victor, 2011). From this vantage point, the UNFCCC, CBD, and their associated agreements represent important institutional achievements that, despite their imperfections, create forums for negotiation, establish norms of state responsibility, and generate information and monitoring functions that facilitate compliance. The evolution of these institutions over time, from the voluntary commitments of the CBD to the nationally determined contributions of the Paris Agreement and the area-based targets of the Kunming-Montreal GBF, reflects the gradual, if uneven, deepening of international environmental norms.</w:t>
      </w:r>
    </w:p>
    <w:p w14:paraId="72DDFE21" w14:textId="77777777" w:rsidR="001F7C3D" w:rsidRPr="00D238A6" w:rsidRDefault="008C2088">
      <w:pPr>
        <w:spacing w:before="120" w:after="120" w:line="360" w:lineRule="auto"/>
        <w:ind w:firstLine="720"/>
        <w:jc w:val="both"/>
        <w:rPr>
          <w:lang w:val="en-GB"/>
        </w:rPr>
      </w:pPr>
      <w:r w:rsidRPr="00D238A6">
        <w:rPr>
          <w:lang w:val="en-GB"/>
        </w:rPr>
        <w:t>Political ecology offers a third lens, focusing attention on the social, economic, and political dimensions of human-environment relations, and in particular on questions of power, inequality, and justice (</w:t>
      </w:r>
      <w:proofErr w:type="spellStart"/>
      <w:r w:rsidRPr="00D238A6">
        <w:rPr>
          <w:lang w:val="en-GB"/>
        </w:rPr>
        <w:t>Adger</w:t>
      </w:r>
      <w:proofErr w:type="spellEnd"/>
      <w:r w:rsidRPr="00D238A6">
        <w:rPr>
          <w:lang w:val="en-GB"/>
        </w:rPr>
        <w:t xml:space="preserve"> et al., 2001). Applied to the climate-biodiversity nexus, political ecology illuminates how the burdens of environmental degradation and the costs of conservation are unevenly distributed across lines of class, race, gender, and nation. It draws attention to the ways in which dominant framings of environmental problems can marginalise alternative knowledges and displace costs onto vulnerable communities, including indigenous peoples whose territories encompass a disproportionate share of global biodiversity (Garnett et al., 2018).</w:t>
      </w:r>
    </w:p>
    <w:p w14:paraId="496B1E57" w14:textId="77777777" w:rsidR="001F7C3D" w:rsidRPr="00D238A6" w:rsidRDefault="008C2088">
      <w:pPr>
        <w:spacing w:before="120" w:after="120" w:line="360" w:lineRule="auto"/>
        <w:ind w:firstLine="720"/>
        <w:jc w:val="both"/>
        <w:rPr>
          <w:lang w:val="en-GB"/>
        </w:rPr>
      </w:pPr>
      <w:r w:rsidRPr="00D238A6">
        <w:rPr>
          <w:lang w:val="en-GB"/>
        </w:rPr>
        <w:t>More recently, the concept of the Anthropocene, designating a new geological epoch characterised by the dominant influence of human activity on Earth-system processes, has become an important frame for both scientific and social-scientific analysis (Steffen et al., 2015). The Anthropocene framing underscores the extent to which climate change and biodiversity loss are not merely environmental problems but symptoms of a broader reconfiguration of the relationship between humanity and the planetary systems that sustain life. This perspective has geopolitical implications, suggesting that governance responses must be commensurate in scale and ambition with the transformation of Earth's biophysical systems, and that existing models of state sovereignty and national interest may be inadequate to the challenge.</w:t>
      </w:r>
    </w:p>
    <w:p w14:paraId="2D77CE3E" w14:textId="77777777" w:rsidR="001F7C3D" w:rsidRPr="00D238A6" w:rsidRDefault="001F7C3D">
      <w:pPr>
        <w:spacing w:before="60" w:after="60"/>
        <w:rPr>
          <w:lang w:val="en-GB"/>
        </w:rPr>
      </w:pPr>
    </w:p>
    <w:p w14:paraId="682FE3CF" w14:textId="77777777" w:rsidR="001F7C3D" w:rsidRPr="00D238A6" w:rsidRDefault="008C2088">
      <w:pPr>
        <w:pStyle w:val="Heading1"/>
        <w:rPr>
          <w:lang w:val="en-GB"/>
        </w:rPr>
      </w:pPr>
      <w:r w:rsidRPr="00D238A6">
        <w:rPr>
          <w:lang w:val="en-GB"/>
        </w:rPr>
        <w:lastRenderedPageBreak/>
        <w:t>4. Multilateral Governance Architecture for Climate and Biodiversity</w:t>
      </w:r>
    </w:p>
    <w:p w14:paraId="10435A63" w14:textId="77777777" w:rsidR="001F7C3D" w:rsidRPr="00D238A6" w:rsidRDefault="008C2088">
      <w:pPr>
        <w:pStyle w:val="Heading2"/>
        <w:rPr>
          <w:lang w:val="en-GB"/>
        </w:rPr>
      </w:pPr>
      <w:r w:rsidRPr="00D238A6">
        <w:rPr>
          <w:sz w:val="24"/>
          <w:szCs w:val="24"/>
          <w:lang w:val="en-GB"/>
        </w:rPr>
        <w:t>4.1 The UNFCCC and Paris Agreement</w:t>
      </w:r>
    </w:p>
    <w:p w14:paraId="02EF47CF" w14:textId="77777777" w:rsidR="001F7C3D" w:rsidRPr="00D238A6" w:rsidRDefault="008C2088">
      <w:pPr>
        <w:spacing w:before="120" w:after="120" w:line="360" w:lineRule="auto"/>
        <w:ind w:firstLine="720"/>
        <w:jc w:val="both"/>
        <w:rPr>
          <w:lang w:val="en-GB"/>
        </w:rPr>
      </w:pPr>
      <w:r w:rsidRPr="00D238A6">
        <w:rPr>
          <w:lang w:val="en-GB"/>
        </w:rPr>
        <w:t>The United Nations Framework Convention on Climate Change, adopted in 1992 and entered into force in 1994, established the foundational architecture for international climate governance. With near-universal membership, the UNFCCC created a common framework of principles, including the precautionary principle, the principle of common but differentiated responsibilities and respective capabilities (CBDR-RC), and the principle of intergenerational equity, that have shaped subsequent negotiations. The Kyoto Protocol of 1997 introduced legally binding emissions reduction obligations for developed country (Annex I) parties, reflecting the CBDR-RC principle, though its impact was limited by the non-participation of the United States and the exclusion of major developing-country emitters from binding commitments (Keohane &amp; Victor, 2011).</w:t>
      </w:r>
    </w:p>
    <w:p w14:paraId="30A27A63" w14:textId="77777777" w:rsidR="001F7C3D" w:rsidRPr="00D238A6" w:rsidRDefault="008C2088">
      <w:pPr>
        <w:spacing w:before="120" w:after="120" w:line="360" w:lineRule="auto"/>
        <w:ind w:firstLine="720"/>
        <w:jc w:val="both"/>
        <w:rPr>
          <w:lang w:val="en-GB"/>
        </w:rPr>
      </w:pPr>
      <w:r w:rsidRPr="00D238A6">
        <w:rPr>
          <w:lang w:val="en-GB"/>
        </w:rPr>
        <w:t>The Paris Agreement of 2015 represented a fundamental shift in the architecture of international climate governance (UNFCCC, 2015). Rather than the top-down, binding commitment model of Kyoto, Paris adopted a bottom-up approach built around nationally determined contributions (NDCs), in which each state party commits to its own emissions reduction targets. This design was explicitly intended to accommodate the diversity of national circumstances and to broaden participation, including that of the United States and major developing-country emitters such as China and India. The Agreement established a long-term temperature goal of holding global average temperature increase to well below 2°C above pre-industrial levels, with efforts to limit increase to 1.5°C, alongside goals on adaptation and climate finance. Periodic global stocktakes are intended to assess collective progress and encourage the ratcheting up of ambition over time (UNFCCC, 2015).</w:t>
      </w:r>
    </w:p>
    <w:p w14:paraId="643DE58E" w14:textId="77777777" w:rsidR="001F7C3D" w:rsidRPr="00D238A6" w:rsidRDefault="008C2088">
      <w:pPr>
        <w:spacing w:before="120" w:after="120" w:line="360" w:lineRule="auto"/>
        <w:ind w:firstLine="720"/>
        <w:jc w:val="both"/>
        <w:rPr>
          <w:lang w:val="en-GB"/>
        </w:rPr>
      </w:pPr>
      <w:r w:rsidRPr="00D238A6">
        <w:rPr>
          <w:lang w:val="en-GB"/>
        </w:rPr>
        <w:t xml:space="preserve">The Paris Agreement has been widely praised as a diplomatic achievement and criticised for its ambition gap in roughly equal measure. The aggregated NDCs submitted by parties are collectively insufficient to achieve the 1.5°C goal, and current policies are projected to lead to warming in the range of 2.5–3°C by the end of the century (IPCC, 2023). The voluntary, nationally determined character of commitments, whilst politically enabling, creates weak accountability mechanisms and limited incentives for states to increase ambition beyond what their domestic political economies will support. Furthermore, the climate finance commitments </w:t>
      </w:r>
      <w:r w:rsidRPr="00D238A6">
        <w:rPr>
          <w:lang w:val="en-GB"/>
        </w:rPr>
        <w:lastRenderedPageBreak/>
        <w:t>made by developed countries, including the oft-cited goal of mobilising USD 100 billion per year for developing countries, have been consistently unmet and are regarded by many developing-country parties as inadequate relative to the scale of the challenge (Bhattacharya et al., 202</w:t>
      </w:r>
      <w:r w:rsidR="00F21BDB">
        <w:rPr>
          <w:lang w:val="en-GB"/>
        </w:rPr>
        <w:t>0</w:t>
      </w:r>
      <w:r w:rsidRPr="00D238A6">
        <w:rPr>
          <w:lang w:val="en-GB"/>
        </w:rPr>
        <w:t>).</w:t>
      </w:r>
    </w:p>
    <w:p w14:paraId="359C7544" w14:textId="77777777" w:rsidR="001F7C3D" w:rsidRPr="00D238A6" w:rsidRDefault="008C2088">
      <w:pPr>
        <w:pStyle w:val="Heading2"/>
        <w:rPr>
          <w:lang w:val="en-GB"/>
        </w:rPr>
      </w:pPr>
      <w:r w:rsidRPr="00D238A6">
        <w:rPr>
          <w:sz w:val="24"/>
          <w:szCs w:val="24"/>
          <w:lang w:val="en-GB"/>
        </w:rPr>
        <w:t>4.2 The Convention on Biological Diversity and the Kunming-Montreal Framework</w:t>
      </w:r>
    </w:p>
    <w:p w14:paraId="4E4B9522" w14:textId="77777777" w:rsidR="001F7C3D" w:rsidRPr="00D238A6" w:rsidRDefault="008C2088">
      <w:pPr>
        <w:spacing w:before="120" w:after="120" w:line="360" w:lineRule="auto"/>
        <w:ind w:firstLine="720"/>
        <w:jc w:val="both"/>
        <w:rPr>
          <w:lang w:val="en-GB"/>
        </w:rPr>
      </w:pPr>
      <w:r w:rsidRPr="00D238A6">
        <w:rPr>
          <w:lang w:val="en-GB"/>
        </w:rPr>
        <w:t>The Convention on Biological Diversity, also adopted at the Rio Earth Summit in 1992, established three overarching objectives: the conservation of biological diversity, the sustainable use of its components, and the fair and equitable sharing of benefits arising from the utilisation of genetic resources. With 196 parties, the CBD enjoys near-universal membership, though the United States, notably, has not ratified the Convention. The CBD's Cartagena Protocol on Biosafety and Nagoya Protocol on Access and Benefit Sharing have addressed specific dimensions of biodiversity governance, though their implementation has been partial and contested (Nagoya Protocol, 2010).</w:t>
      </w:r>
    </w:p>
    <w:p w14:paraId="44A5149D" w14:textId="77777777" w:rsidR="001F7C3D" w:rsidRPr="00D238A6" w:rsidRDefault="008C2088">
      <w:pPr>
        <w:spacing w:before="120" w:after="120" w:line="360" w:lineRule="auto"/>
        <w:ind w:firstLine="720"/>
        <w:jc w:val="both"/>
        <w:rPr>
          <w:lang w:val="en-GB"/>
        </w:rPr>
      </w:pPr>
      <w:r w:rsidRPr="00D238A6">
        <w:rPr>
          <w:lang w:val="en-GB"/>
        </w:rPr>
        <w:t>A succession of CBD strategic plans, including the 2010 Aichi Biodiversity Targets under the Strategic Plan for Biodiversity 2011–2020, set quantitative benchmarks for reducing rates of biodiversity loss. The Aichi Targets were almost uniformly missed, with assessments indicating that none of the twenty targets had been fully achieved by 2020, and the majority had recorded only partial progress at best (CBD, 2020). This record of implementation failure reflects structural deficiencies in biodiversity governance, including insufficient funding, weak monitoring mechanisms, inadequate integration of biodiversity considerations into economic sectors, and a persistent mismatch between international commitments and national policies.</w:t>
      </w:r>
    </w:p>
    <w:p w14:paraId="0C14AE05" w14:textId="77777777" w:rsidR="001F7C3D" w:rsidRPr="00D238A6" w:rsidRDefault="008C2088">
      <w:pPr>
        <w:spacing w:before="120" w:after="120" w:line="360" w:lineRule="auto"/>
        <w:ind w:firstLine="720"/>
        <w:jc w:val="both"/>
        <w:rPr>
          <w:lang w:val="en-GB"/>
        </w:rPr>
      </w:pPr>
      <w:r w:rsidRPr="00D238A6">
        <w:rPr>
          <w:lang w:val="en-GB"/>
        </w:rPr>
        <w:t xml:space="preserve">Against this backdrop, the Kunming-Montreal Global Biodiversity Framework, adopted at the fifteenth Conference of the Parties to the CBD in December 2022, was designed to chart a more ambitious course for biodiversity governance through 2030 and beyond (CBD, 2022). The GBF's headline target, colloquially known as '30x30', commits parties to protect at least 30 per cent of terrestrial, inland water, coastal, and marine areas by 2030. The Framework also includes targets on reducing pollution, restoring degraded ecosystems, addressing invasive species, and mobilising biodiversity finance. A new funding mechanism, the Global Biodiversity Framework Fund, was established to channel resources to developing countries, though the adequacy of pledges relative to estimated needs remains a point of contention. Scholarly assessments of the </w:t>
      </w:r>
      <w:r w:rsidRPr="00D238A6">
        <w:rPr>
          <w:lang w:val="en-GB"/>
        </w:rPr>
        <w:lastRenderedPageBreak/>
        <w:t>GBF have noted its potential to catalyse transformative action whilst cautioning that, without robust implementation mechanisms and stronger compliance incentives, it risks repeating the implementation failures of the Aichi Target era (</w:t>
      </w:r>
      <w:proofErr w:type="spellStart"/>
      <w:r w:rsidRPr="00D238A6">
        <w:rPr>
          <w:lang w:val="en-GB"/>
        </w:rPr>
        <w:t>Dinerstein</w:t>
      </w:r>
      <w:proofErr w:type="spellEnd"/>
      <w:r w:rsidRPr="00D238A6">
        <w:rPr>
          <w:lang w:val="en-GB"/>
        </w:rPr>
        <w:t xml:space="preserve"> et al., 2019).</w:t>
      </w:r>
    </w:p>
    <w:p w14:paraId="1064A746" w14:textId="77777777" w:rsidR="001F7C3D" w:rsidRPr="00D238A6" w:rsidRDefault="008C2088">
      <w:pPr>
        <w:pStyle w:val="Heading2"/>
        <w:rPr>
          <w:lang w:val="en-GB"/>
        </w:rPr>
      </w:pPr>
      <w:r w:rsidRPr="00D238A6">
        <w:rPr>
          <w:sz w:val="24"/>
          <w:szCs w:val="24"/>
          <w:lang w:val="en-GB"/>
        </w:rPr>
        <w:t>4.3 Institutional Interlinkages and Governance Gaps</w:t>
      </w:r>
    </w:p>
    <w:p w14:paraId="0071D76A" w14:textId="77777777" w:rsidR="001F7C3D" w:rsidRPr="00D238A6" w:rsidRDefault="008C2088">
      <w:pPr>
        <w:spacing w:before="120" w:after="120" w:line="360" w:lineRule="auto"/>
        <w:ind w:firstLine="720"/>
        <w:jc w:val="both"/>
        <w:rPr>
          <w:lang w:val="en-GB"/>
        </w:rPr>
      </w:pPr>
      <w:r w:rsidRPr="00D238A6">
        <w:rPr>
          <w:lang w:val="en-GB"/>
        </w:rPr>
        <w:t>Despite operating within the same overarching system of international environmental governance, the UNFCCC and CBD have historically functioned as largely separate institutional tracks, with limited formal coordination mechanisms and distinct negotiating communities (</w:t>
      </w:r>
      <w:proofErr w:type="spellStart"/>
      <w:r w:rsidRPr="00D238A6">
        <w:rPr>
          <w:lang w:val="en-GB"/>
        </w:rPr>
        <w:t>Kok</w:t>
      </w:r>
      <w:proofErr w:type="spellEnd"/>
      <w:r w:rsidRPr="00D238A6">
        <w:rPr>
          <w:lang w:val="en-GB"/>
        </w:rPr>
        <w:t xml:space="preserve"> &amp; De </w:t>
      </w:r>
      <w:proofErr w:type="spellStart"/>
      <w:r w:rsidRPr="00D238A6">
        <w:rPr>
          <w:lang w:val="en-GB"/>
        </w:rPr>
        <w:t>Coninck</w:t>
      </w:r>
      <w:proofErr w:type="spellEnd"/>
      <w:r w:rsidRPr="00D238A6">
        <w:rPr>
          <w:lang w:val="en-GB"/>
        </w:rPr>
        <w:t>, 2007). This institutional separation has contributed to a fragmented governance landscape in which synergies between climate action and biodiversity conservation are frequently unrealised, and in which trade-offs, such as the negative biodiversity impacts of large-scale monoculture bioenergy plantations promoted under some climate mitigation scenarios, have been insufficiently addressed. The recognition of this fragmentation has prompted calls from both scientific and policy communities for greater integration of the two governance streams, a demand that finds expression in both the GBF text and the IPCC-IPBES joint report on biodiversity and climate change (</w:t>
      </w:r>
      <w:proofErr w:type="spellStart"/>
      <w:r w:rsidRPr="00D238A6">
        <w:rPr>
          <w:lang w:val="en-GB"/>
        </w:rPr>
        <w:t>Pörtner</w:t>
      </w:r>
      <w:proofErr w:type="spellEnd"/>
      <w:r w:rsidRPr="00D238A6">
        <w:rPr>
          <w:lang w:val="en-GB"/>
        </w:rPr>
        <w:t xml:space="preserve"> et al., 2021).</w:t>
      </w:r>
    </w:p>
    <w:p w14:paraId="2A61ACB7" w14:textId="77777777" w:rsidR="001F7C3D" w:rsidRPr="00D238A6" w:rsidRDefault="008C2088">
      <w:pPr>
        <w:spacing w:before="120" w:after="120" w:line="360" w:lineRule="auto"/>
        <w:ind w:firstLine="720"/>
        <w:jc w:val="both"/>
        <w:rPr>
          <w:lang w:val="en-GB"/>
        </w:rPr>
      </w:pPr>
      <w:r w:rsidRPr="00D238A6">
        <w:rPr>
          <w:lang w:val="en-GB"/>
        </w:rPr>
        <w:t>The IPCC-IPBES co-sponsored workshop report of 2021 constituted a landmark attempt to synthesise the scientific understanding of climate-biodiversity interactions across the two intergovernmental bodies' mandates (</w:t>
      </w:r>
      <w:proofErr w:type="spellStart"/>
      <w:r w:rsidRPr="00D238A6">
        <w:rPr>
          <w:lang w:val="en-GB"/>
        </w:rPr>
        <w:t>Pörtner</w:t>
      </w:r>
      <w:proofErr w:type="spellEnd"/>
      <w:r w:rsidRPr="00D238A6">
        <w:rPr>
          <w:lang w:val="en-GB"/>
        </w:rPr>
        <w:t xml:space="preserve"> et al., 2021). The report identified multiple synergies and trade-offs between climate and biodiversity objectives across mitigation, adaptation, and sustainable development pathways, and emphasised the importance of integrated ecosystem-based approaches that simultaneously serve both sets of objectives. The political uptake of this scientific synthesis has, however, been uneven, and the governance gap between the UNFCCC and CBD continues to pose challenges for coherent international environmental policy.</w:t>
      </w:r>
    </w:p>
    <w:p w14:paraId="002BAC98" w14:textId="77777777" w:rsidR="001F7C3D" w:rsidRPr="00D238A6" w:rsidRDefault="001F7C3D">
      <w:pPr>
        <w:spacing w:before="60" w:after="60"/>
        <w:rPr>
          <w:lang w:val="en-GB"/>
        </w:rPr>
      </w:pPr>
    </w:p>
    <w:p w14:paraId="26890678" w14:textId="77777777" w:rsidR="001F7C3D" w:rsidRPr="00D238A6" w:rsidRDefault="008C2088">
      <w:pPr>
        <w:pStyle w:val="Heading1"/>
        <w:rPr>
          <w:lang w:val="en-GB"/>
        </w:rPr>
      </w:pPr>
      <w:r w:rsidRPr="00D238A6">
        <w:rPr>
          <w:lang w:val="en-GB"/>
        </w:rPr>
        <w:t>5. Geopolitical Dimensions of the Climate-Biodiversity Interlinkage</w:t>
      </w:r>
    </w:p>
    <w:p w14:paraId="71C9F11D" w14:textId="77777777" w:rsidR="001F7C3D" w:rsidRPr="00D238A6" w:rsidRDefault="008C2088">
      <w:pPr>
        <w:pStyle w:val="Heading2"/>
        <w:rPr>
          <w:lang w:val="en-GB"/>
        </w:rPr>
      </w:pPr>
      <w:r w:rsidRPr="00D238A6">
        <w:rPr>
          <w:sz w:val="24"/>
          <w:szCs w:val="24"/>
          <w:lang w:val="en-GB"/>
        </w:rPr>
        <w:t>5.1 Ecological Interactions as Geopolitical Drivers</w:t>
      </w:r>
    </w:p>
    <w:p w14:paraId="6B33C900" w14:textId="77777777" w:rsidR="001F7C3D" w:rsidRPr="00D238A6" w:rsidRDefault="008C2088">
      <w:pPr>
        <w:spacing w:before="120" w:after="120" w:line="360" w:lineRule="auto"/>
        <w:ind w:firstLine="720"/>
        <w:jc w:val="both"/>
        <w:rPr>
          <w:lang w:val="en-GB"/>
        </w:rPr>
      </w:pPr>
      <w:r w:rsidRPr="00D238A6">
        <w:rPr>
          <w:lang w:val="en-GB"/>
        </w:rPr>
        <w:t xml:space="preserve">The ecological interlinkages between climate change and biodiversity are well established in the scientific literature and carry significant geopolitical implications. Climate </w:t>
      </w:r>
      <w:r w:rsidRPr="00D238A6">
        <w:rPr>
          <w:lang w:val="en-GB"/>
        </w:rPr>
        <w:lastRenderedPageBreak/>
        <w:t>change is now recognised as a primary and growing driver of biodiversity loss, operating through mechanisms including habitat transformation, shifts in species phenology, ocean acidification, coral bleaching, increased frequency and intensity of extreme weather events, and the disruption of ecological interactions such as pollination and predator-prey dynamics (IPBES, 2019; IPCC, 2021). At the same time, the conservation and restoration of biodiverse ecosystems contributes meaningfully to climate change mitigation, through the sequestration of carbon in forests, wetlands, soils, and ocean systems, and to adaptation, through the provision of ecosystem services such as flood regulation, water purification, and coastal protection (</w:t>
      </w:r>
      <w:proofErr w:type="spellStart"/>
      <w:r w:rsidRPr="00D238A6">
        <w:rPr>
          <w:lang w:val="en-GB"/>
        </w:rPr>
        <w:t>Griscom</w:t>
      </w:r>
      <w:proofErr w:type="spellEnd"/>
      <w:r w:rsidRPr="00D238A6">
        <w:rPr>
          <w:lang w:val="en-GB"/>
        </w:rPr>
        <w:t xml:space="preserve"> et al., 2017).</w:t>
      </w:r>
    </w:p>
    <w:p w14:paraId="3CB2F6F7" w14:textId="77777777" w:rsidR="001F7C3D" w:rsidRPr="00D238A6" w:rsidRDefault="008C2088">
      <w:pPr>
        <w:spacing w:before="120" w:after="120" w:line="360" w:lineRule="auto"/>
        <w:ind w:firstLine="720"/>
        <w:jc w:val="both"/>
        <w:rPr>
          <w:lang w:val="en-GB"/>
        </w:rPr>
      </w:pPr>
      <w:r w:rsidRPr="00D238A6">
        <w:rPr>
          <w:lang w:val="en-GB"/>
        </w:rPr>
        <w:t>These ecological interactions have direct geopolitical salience because the ecosystems that provide the greatest climate regulation and biodiversity values are disproportionately concentrated in the Global South. Tropical forests, including the Amazon basin, the Congo Basin, and the forests of South-East Asia, collectively harbour more than half of the world's terrestrial species and represent the largest terrestrial carbon stocks outside of permafrost systems (</w:t>
      </w:r>
      <w:proofErr w:type="spellStart"/>
      <w:r w:rsidRPr="00D238A6">
        <w:rPr>
          <w:lang w:val="en-GB"/>
        </w:rPr>
        <w:t>Griscom</w:t>
      </w:r>
      <w:proofErr w:type="spellEnd"/>
      <w:r w:rsidRPr="00D238A6">
        <w:rPr>
          <w:lang w:val="en-GB"/>
        </w:rPr>
        <w:t xml:space="preserve"> et al., 2017). The governance of these ecosystems is thus a matter of global concern, yet sovereignty over them resides with sovereign states whose development imperatives may conflict with the preferences of the international community for forest conservation. This tension, between global ecological interests and national sovereignty over natural resources, is a defining characteristic of the geopolitics of the climate-biodiversity nexus.</w:t>
      </w:r>
    </w:p>
    <w:p w14:paraId="38B94636" w14:textId="77777777" w:rsidR="001F7C3D" w:rsidRPr="00D238A6" w:rsidRDefault="008C2088">
      <w:pPr>
        <w:spacing w:before="120" w:after="120" w:line="360" w:lineRule="auto"/>
        <w:ind w:firstLine="720"/>
        <w:jc w:val="both"/>
        <w:rPr>
          <w:lang w:val="en-GB"/>
        </w:rPr>
      </w:pPr>
      <w:r w:rsidRPr="00D238A6">
        <w:rPr>
          <w:lang w:val="en-GB"/>
        </w:rPr>
        <w:t>The concept of natural climate solutions encompasses a range of ecosystem-based mitigation and adaptation strategies, including reduced emissions from deforestation and forest degradation (REDD+), the restoration of degraded lands, and the protection of coastal blue-carbon ecosystems such as mangroves and seagrasses (</w:t>
      </w:r>
      <w:proofErr w:type="spellStart"/>
      <w:r w:rsidRPr="00D238A6">
        <w:rPr>
          <w:lang w:val="en-GB"/>
        </w:rPr>
        <w:t>Griscom</w:t>
      </w:r>
      <w:proofErr w:type="spellEnd"/>
      <w:r w:rsidRPr="00D238A6">
        <w:rPr>
          <w:lang w:val="en-GB"/>
        </w:rPr>
        <w:t xml:space="preserve"> et al., 2017). These strategies are attractive precisely because they simultaneously serve climate and biodiversity objectives, and they have received growing attention in international climate negotiations and biodiversity governance discussions. However, their implementation is complicated by questions of land tenure, indigenous rights, governance capacity, and the adequacy and conditionality of financial transfers from developed to developing countries, all of which are fundamentally geopolitical in character.</w:t>
      </w:r>
    </w:p>
    <w:p w14:paraId="36C74F59" w14:textId="77777777" w:rsidR="001F7C3D" w:rsidRPr="00D238A6" w:rsidRDefault="008C2088">
      <w:pPr>
        <w:pStyle w:val="Heading2"/>
        <w:rPr>
          <w:lang w:val="en-GB"/>
        </w:rPr>
      </w:pPr>
      <w:r w:rsidRPr="00D238A6">
        <w:rPr>
          <w:sz w:val="24"/>
          <w:szCs w:val="24"/>
          <w:lang w:val="en-GB"/>
        </w:rPr>
        <w:t>5.2 Sovereignty, Common Heritage, and the Politics of Conservation</w:t>
      </w:r>
    </w:p>
    <w:p w14:paraId="173BD8FC" w14:textId="77777777" w:rsidR="001F7C3D" w:rsidRPr="00D238A6" w:rsidRDefault="008C2088">
      <w:pPr>
        <w:spacing w:before="120" w:after="120" w:line="360" w:lineRule="auto"/>
        <w:ind w:firstLine="720"/>
        <w:jc w:val="both"/>
        <w:rPr>
          <w:lang w:val="en-GB"/>
        </w:rPr>
      </w:pPr>
      <w:r w:rsidRPr="00D238A6">
        <w:rPr>
          <w:lang w:val="en-GB"/>
        </w:rPr>
        <w:lastRenderedPageBreak/>
        <w:t>A central tension in the geopolitics of the climate-biodiversity nexus is that between the principle of national sovereignty over natural resources, enshrined in the CBD's preamble, and the emerging recognition of global biodiversity as a common heritage of humanity whose conservation is a shared responsibility (Swanson, 1999). States with high concentrations of biodiversity, many of which are low-income countries in tropical regions, have consistently asserted their sovereign rights to exploit their natural resources for economic development, and have demanded that financial transfers from biodiversity-consuming wealthy nations compensate them for the opportunity costs of conservation. This demand reflects a historically grounded critique of the green imperialism discourse, in which the conservation preferences of wealthy nations are imposed upon poorer ones without commensurate financial or technological support (</w:t>
      </w:r>
      <w:proofErr w:type="spellStart"/>
      <w:r w:rsidRPr="00D238A6">
        <w:rPr>
          <w:lang w:val="en-GB"/>
        </w:rPr>
        <w:t>Büscher</w:t>
      </w:r>
      <w:proofErr w:type="spellEnd"/>
      <w:r w:rsidRPr="00D238A6">
        <w:rPr>
          <w:lang w:val="en-GB"/>
        </w:rPr>
        <w:t xml:space="preserve"> et al., 2012).</w:t>
      </w:r>
    </w:p>
    <w:p w14:paraId="6DFFF23E" w14:textId="77777777" w:rsidR="001F7C3D" w:rsidRPr="00D238A6" w:rsidRDefault="008C2088">
      <w:pPr>
        <w:spacing w:before="120" w:after="120" w:line="360" w:lineRule="auto"/>
        <w:ind w:firstLine="720"/>
        <w:jc w:val="both"/>
        <w:rPr>
          <w:lang w:val="en-GB"/>
        </w:rPr>
      </w:pPr>
      <w:r w:rsidRPr="00D238A6">
        <w:rPr>
          <w:lang w:val="en-GB"/>
        </w:rPr>
        <w:t>The politics of access and benefit sharing, institutionalised through the CBD's Nagoya Protocol, represents one dimension of this geopolitical tension (Nagoya Protocol, 2010). The Protocol seeks to ensure that countries of origin of genetic resources receive a fair and equitable share of the benefits arising from their utilisation, including in pharmaceutical and agricultural biotechnology applications. Implementation has been complicated by definitional disputes, monitoring challenges, and the reluctance of private sector actors in developed countries to accept restrictions on access to genetic resources. The recent negotiations over a global instrument on marine biodiversity of areas beyond national jurisdiction (BBNJ Agreement) have similarly involved protracted disputes over the sharing of benefits from the utilisation of marine genetic resources, illustrating how questions of biological commons and resource sovereignty continue to be sites of geopolitical contestation (Dunn et al., 2014).</w:t>
      </w:r>
    </w:p>
    <w:p w14:paraId="0EFD254B" w14:textId="77777777" w:rsidR="001F7C3D" w:rsidRPr="00D238A6" w:rsidRDefault="008C2088">
      <w:pPr>
        <w:pStyle w:val="Heading2"/>
        <w:rPr>
          <w:lang w:val="en-GB"/>
        </w:rPr>
      </w:pPr>
      <w:r w:rsidRPr="00D238A6">
        <w:rPr>
          <w:sz w:val="24"/>
          <w:szCs w:val="24"/>
          <w:lang w:val="en-GB"/>
        </w:rPr>
        <w:t>5.3 Climate Vulnerability and Biodiversity Hotspots</w:t>
      </w:r>
    </w:p>
    <w:p w14:paraId="208C6FF6" w14:textId="77777777" w:rsidR="001F7C3D" w:rsidRPr="00D238A6" w:rsidRDefault="008C2088">
      <w:pPr>
        <w:spacing w:before="120" w:after="120" w:line="360" w:lineRule="auto"/>
        <w:ind w:firstLine="720"/>
        <w:jc w:val="both"/>
        <w:rPr>
          <w:lang w:val="en-GB"/>
        </w:rPr>
      </w:pPr>
      <w:r w:rsidRPr="00D238A6">
        <w:rPr>
          <w:lang w:val="en-GB"/>
        </w:rPr>
        <w:t xml:space="preserve">A further geopolitical dimension of the climate-biodiversity nexus is the significant overlap between the </w:t>
      </w:r>
      <w:proofErr w:type="spellStart"/>
      <w:r w:rsidRPr="00D238A6">
        <w:rPr>
          <w:lang w:val="en-GB"/>
        </w:rPr>
        <w:t>regions</w:t>
      </w:r>
      <w:proofErr w:type="spellEnd"/>
      <w:r w:rsidRPr="00D238A6">
        <w:rPr>
          <w:lang w:val="en-GB"/>
        </w:rPr>
        <w:t xml:space="preserve"> most vulnerable to climate change impacts and the regions hosting the greatest concentrations of biological diversity. Small island developing states (SIDS), many of which face existential threats from sea-level rise and increased tropical cyclone intensity, are also custodians of rich marine and terrestrial biodiversity (Nurse et al., 2014). Sub-Saharan Africa, home to globally significant savannahs, tropical forests, and freshwater systems, faces severe projected impacts from increasing temperatures, shifting rainfall patterns, and </w:t>
      </w:r>
      <w:r w:rsidRPr="00D238A6">
        <w:rPr>
          <w:lang w:val="en-GB"/>
        </w:rPr>
        <w:lastRenderedPageBreak/>
        <w:t xml:space="preserve">desertification. South and South-East Asia, encompassing the biodiversity-rich Indo-Burma, </w:t>
      </w:r>
      <w:proofErr w:type="spellStart"/>
      <w:r w:rsidRPr="00D238A6">
        <w:rPr>
          <w:lang w:val="en-GB"/>
        </w:rPr>
        <w:t>Sundaland</w:t>
      </w:r>
      <w:proofErr w:type="spellEnd"/>
      <w:r w:rsidRPr="00D238A6">
        <w:rPr>
          <w:lang w:val="en-GB"/>
        </w:rPr>
        <w:t>, and Western Ghats hotspots, faces threats from both direct climate impacts and the land-use pressures associated with rapid economic development (Myers et al., 2000).</w:t>
      </w:r>
    </w:p>
    <w:p w14:paraId="46AFEF4F" w14:textId="77777777" w:rsidR="001F7C3D" w:rsidRPr="00D238A6" w:rsidRDefault="008C2088">
      <w:pPr>
        <w:spacing w:before="120" w:after="120" w:line="360" w:lineRule="auto"/>
        <w:ind w:firstLine="720"/>
        <w:jc w:val="both"/>
        <w:rPr>
          <w:lang w:val="en-GB"/>
        </w:rPr>
      </w:pPr>
      <w:r w:rsidRPr="00D238A6">
        <w:rPr>
          <w:lang w:val="en-GB"/>
        </w:rPr>
        <w:t>The concentration of climate vulnerability and biodiversity richness in regions with limited financial and institutional capacity to respond generates a double injustice: these regions have contributed minimally to the stock of atmospheric greenhouse gases responsible for current warming, and yet they bear a disproportionate share of both climate impacts and biodiversity conservation responsibilities. This injustice is a persistent source of tension in multilateral environmental negotiations, and it underpins the demands of developing-country coalitions for equity-centred approaches to both climate and biodiversity governance (Barnett, 2007). The articulation of these demands has become more assertive in recent negotiations, with the establishment of the loss and damage mechanism under the UNFCCC representing a notable, if still inadequate, response to the claims of the most vulnerable.</w:t>
      </w:r>
    </w:p>
    <w:p w14:paraId="667C735A" w14:textId="77777777" w:rsidR="001F7C3D" w:rsidRPr="00D238A6" w:rsidRDefault="001F7C3D">
      <w:pPr>
        <w:spacing w:before="60" w:after="60"/>
        <w:rPr>
          <w:lang w:val="en-GB"/>
        </w:rPr>
      </w:pPr>
    </w:p>
    <w:p w14:paraId="4F6232BD" w14:textId="77777777" w:rsidR="001F7C3D" w:rsidRPr="00D238A6" w:rsidRDefault="008C2088">
      <w:pPr>
        <w:pStyle w:val="Heading1"/>
        <w:rPr>
          <w:lang w:val="en-GB"/>
        </w:rPr>
      </w:pPr>
      <w:r w:rsidRPr="00D238A6">
        <w:rPr>
          <w:lang w:val="en-GB"/>
        </w:rPr>
        <w:t>6. Thematic Areas of Geopolitical Contestation and Cooperation</w:t>
      </w:r>
    </w:p>
    <w:p w14:paraId="05415DD9" w14:textId="77777777" w:rsidR="001F7C3D" w:rsidRPr="00D238A6" w:rsidRDefault="008C2088">
      <w:pPr>
        <w:pStyle w:val="Heading2"/>
        <w:rPr>
          <w:lang w:val="en-GB"/>
        </w:rPr>
      </w:pPr>
      <w:r w:rsidRPr="00D238A6">
        <w:rPr>
          <w:sz w:val="24"/>
          <w:szCs w:val="24"/>
          <w:lang w:val="en-GB"/>
        </w:rPr>
        <w:t>6.1 Deforestation and REDD+</w:t>
      </w:r>
    </w:p>
    <w:p w14:paraId="37B9F180" w14:textId="77777777" w:rsidR="001F7C3D" w:rsidRPr="00D238A6" w:rsidRDefault="008C2088">
      <w:pPr>
        <w:spacing w:before="120" w:after="120" w:line="360" w:lineRule="auto"/>
        <w:ind w:firstLine="720"/>
        <w:jc w:val="both"/>
        <w:rPr>
          <w:lang w:val="en-GB"/>
        </w:rPr>
      </w:pPr>
      <w:r w:rsidRPr="00D238A6">
        <w:rPr>
          <w:lang w:val="en-GB"/>
        </w:rPr>
        <w:t>Tropical deforestation represents perhaps the most politically charged nexus of climate and biodiversity concerns in international environmental governance. Forests provide critical carbon sequestration services, harbour the majority of terrestrial species, regulate hydrological cycles, and support the livelihoods of billions of people (FAO, 2020). The agriculture, forestry, and other land use (AFOLU) sector, which encompasses deforestation and forest degradation among other land-use activities, accounted for approximately 13–21 per cent of total global greenhouse gas emissions in the period 2010–2019 according to IPCC estimates, with deforestation and forest degradation constituting a major share of that contribution (IPCC, 2022). The governance of tropical forests is therefore a matter of global consequence, yet it falls squarely within the domain of national sovereignty.</w:t>
      </w:r>
    </w:p>
    <w:p w14:paraId="737280A8" w14:textId="77777777" w:rsidR="001F7C3D" w:rsidRPr="00D238A6" w:rsidRDefault="008C2088">
      <w:pPr>
        <w:spacing w:before="120" w:after="120" w:line="360" w:lineRule="auto"/>
        <w:ind w:firstLine="720"/>
        <w:jc w:val="both"/>
        <w:rPr>
          <w:lang w:val="en-GB"/>
        </w:rPr>
      </w:pPr>
      <w:r w:rsidRPr="00D238A6">
        <w:rPr>
          <w:lang w:val="en-GB"/>
        </w:rPr>
        <w:t>The REDD+ mechanism, developed under the UNFCCC as a framework for compensating developing countries for verified reductions in deforestation, represents the most prominent institutional attempt to align financial incentives with forest conservation (</w:t>
      </w:r>
      <w:proofErr w:type="spellStart"/>
      <w:r w:rsidRPr="00D238A6">
        <w:rPr>
          <w:lang w:val="en-GB"/>
        </w:rPr>
        <w:t>Angelsen</w:t>
      </w:r>
      <w:proofErr w:type="spellEnd"/>
      <w:r w:rsidRPr="00D238A6">
        <w:rPr>
          <w:lang w:val="en-GB"/>
        </w:rPr>
        <w:t xml:space="preserve"> et al., 2017). In principle, REDD+ offers the potential to simultaneously reduce emissions and </w:t>
      </w:r>
      <w:r w:rsidRPr="00D238A6">
        <w:rPr>
          <w:lang w:val="en-GB"/>
        </w:rPr>
        <w:lastRenderedPageBreak/>
        <w:t>protect biodiversity, whilst channelling financial resources from developed to developing nations. In practice, its implementation has been characterised by persistent challenges including the methodological difficulties of measuring and monitoring deforestation, the risk of carbon leakage, insufficient and unpredictable financing, and serious concerns about the rights of indigenous and local communities whose territories encompass much of the remaining tropical forest estate (</w:t>
      </w:r>
      <w:proofErr w:type="spellStart"/>
      <w:r w:rsidRPr="00D238A6">
        <w:rPr>
          <w:lang w:val="en-GB"/>
        </w:rPr>
        <w:t>Angelsen</w:t>
      </w:r>
      <w:proofErr w:type="spellEnd"/>
      <w:r w:rsidRPr="00D238A6">
        <w:rPr>
          <w:lang w:val="en-GB"/>
        </w:rPr>
        <w:t xml:space="preserve"> et al., 2017; Garnett et al., 2018).</w:t>
      </w:r>
    </w:p>
    <w:p w14:paraId="0ABE9FFA" w14:textId="77777777" w:rsidR="001F7C3D" w:rsidRPr="00D238A6" w:rsidRDefault="008C2088">
      <w:pPr>
        <w:spacing w:before="120" w:after="120" w:line="360" w:lineRule="auto"/>
        <w:ind w:firstLine="720"/>
        <w:jc w:val="both"/>
        <w:rPr>
          <w:lang w:val="en-GB"/>
        </w:rPr>
      </w:pPr>
      <w:r w:rsidRPr="00D238A6">
        <w:rPr>
          <w:lang w:val="en-GB"/>
        </w:rPr>
        <w:t>Geopolitically, REDD+ is emblematic of the broader tensions in the climate-biodiversity nexus. Brazil, Indonesia, and the Democratic Republic of Congo, the three countries harbouring the largest areas of tropical forest, have oscillated between asserting their sovereign right to exploit forest resources and positioning themselves as providers of global ecological services deserving of compensation. The political economy of deforestation in each context is shaped by powerful domestic agricultural, mining, and infrastructure interests, as well as by varying levels of state capacity and rule of law. International initiatives such as the Leaders' Declaration on Forests and Land Use at COP26, which attracted commitments from countries covering over 90 per cent of the world's forests, represent ambitious political statements, but their translation into effective policy change on the ground remains to be demonstrated (Global Forest Coalition, 2022).</w:t>
      </w:r>
    </w:p>
    <w:p w14:paraId="4E0BDF82" w14:textId="77777777" w:rsidR="001F7C3D" w:rsidRPr="00D238A6" w:rsidRDefault="008C2088">
      <w:pPr>
        <w:pStyle w:val="Heading2"/>
        <w:rPr>
          <w:lang w:val="en-GB"/>
        </w:rPr>
      </w:pPr>
      <w:r w:rsidRPr="00D238A6">
        <w:rPr>
          <w:sz w:val="24"/>
          <w:szCs w:val="24"/>
          <w:lang w:val="en-GB"/>
        </w:rPr>
        <w:t>6.2 Ocean Governance and Marine Biodiversity</w:t>
      </w:r>
    </w:p>
    <w:p w14:paraId="388A6614" w14:textId="77777777" w:rsidR="001F7C3D" w:rsidRPr="00D238A6" w:rsidRDefault="008C2088">
      <w:pPr>
        <w:spacing w:before="120" w:after="120" w:line="360" w:lineRule="auto"/>
        <w:ind w:firstLine="720"/>
        <w:jc w:val="both"/>
        <w:rPr>
          <w:lang w:val="en-GB"/>
        </w:rPr>
      </w:pPr>
      <w:r w:rsidRPr="00D238A6">
        <w:rPr>
          <w:lang w:val="en-GB"/>
        </w:rPr>
        <w:t>The world's oceans are simultaneously a critical component of the Earth's climate system and the most species-rich and diverse ecosystems on the planet. Oceans have absorbed approximately 90 per cent of the excess heat generated by human greenhouse gas emissions since industrialisation, and have absorbed roughly 25–30 per cent of anthropogenic carbon dioxide emissions, contributing significantly to climate regulation but at the cost of ocean warming, deoxygenation, and acidification (</w:t>
      </w:r>
      <w:proofErr w:type="spellStart"/>
      <w:r w:rsidRPr="00D238A6">
        <w:rPr>
          <w:lang w:val="en-GB"/>
        </w:rPr>
        <w:t>Gattuso</w:t>
      </w:r>
      <w:proofErr w:type="spellEnd"/>
      <w:r w:rsidRPr="00D238A6">
        <w:rPr>
          <w:lang w:val="en-GB"/>
        </w:rPr>
        <w:t xml:space="preserve"> et al., 2015). These physical and chemical changes are profoundly affecting marine biodiversity, threatening coral reef ecosystems, disrupting marine food webs, and altering the distribution of commercially important fish stocks.</w:t>
      </w:r>
    </w:p>
    <w:p w14:paraId="307ADDAA" w14:textId="77777777" w:rsidR="001F7C3D" w:rsidRPr="00D238A6" w:rsidRDefault="008C2088">
      <w:pPr>
        <w:spacing w:before="120" w:after="120" w:line="360" w:lineRule="auto"/>
        <w:ind w:firstLine="720"/>
        <w:jc w:val="both"/>
        <w:rPr>
          <w:lang w:val="en-GB"/>
        </w:rPr>
      </w:pPr>
      <w:r w:rsidRPr="00D238A6">
        <w:rPr>
          <w:lang w:val="en-GB"/>
        </w:rPr>
        <w:t xml:space="preserve">The governance of the high seas, which cover approximately 60 per cent of the ocean surface and lie beyond the jurisdiction of any individual state, represents a particular geopolitical challenge. The 2023 Agreement under UNCLOS on the conservation and sustainable use of marine biological diversity of areas beyond national jurisdiction, commonly known as the BBNJ </w:t>
      </w:r>
      <w:r w:rsidRPr="00D238A6">
        <w:rPr>
          <w:lang w:val="en-GB"/>
        </w:rPr>
        <w:lastRenderedPageBreak/>
        <w:t>Agreement, represents a landmark development in international ocean governance, establishing a framework for marine protected areas in the high seas, environmental impact assessments, and access and benefit sharing for marine genetic resources (Dunn et al., 2014). The agreement required nearly two decades of negotiation and reflects the complexity of reconciling the interests of maritime powers, landlocked states, developing nations, and commercial fishing and biotechnology industries.</w:t>
      </w:r>
    </w:p>
    <w:p w14:paraId="749698C6" w14:textId="77777777" w:rsidR="001F7C3D" w:rsidRPr="00D238A6" w:rsidRDefault="008C2088">
      <w:pPr>
        <w:spacing w:before="120" w:after="120" w:line="360" w:lineRule="auto"/>
        <w:ind w:firstLine="720"/>
        <w:jc w:val="both"/>
        <w:rPr>
          <w:lang w:val="en-GB"/>
        </w:rPr>
      </w:pPr>
      <w:r w:rsidRPr="00D238A6">
        <w:rPr>
          <w:lang w:val="en-GB"/>
        </w:rPr>
        <w:t>Marine protected areas (MPAs) are a key instrument for conserving marine biodiversity and building ecosystem resilience to climate change. The Kunming-Montreal GBF's 30x30 target explicitly includes marine as well as terrestrial areas, and there is scientific evidence that well-managed MPAs can deliver co-benefits for both biodiversity conservation and climate adaptation (</w:t>
      </w:r>
      <w:proofErr w:type="spellStart"/>
      <w:r w:rsidRPr="00D238A6">
        <w:rPr>
          <w:lang w:val="en-GB"/>
        </w:rPr>
        <w:t>Gattuso</w:t>
      </w:r>
      <w:proofErr w:type="spellEnd"/>
      <w:r w:rsidRPr="00D238A6">
        <w:rPr>
          <w:lang w:val="en-GB"/>
        </w:rPr>
        <w:t xml:space="preserve"> et al., 2015). However, the geopolitics of marine conservation are complicated by competing claims over fisheries resources, the desire of coastal states to maintain access to maritime zones for economic development, and the limited capacity of many developing nations to enforce marine conservation regulations. The distribution of benefits and costs from marine conservation is thus deeply contested, with fishing-dependent communities in the Global South often bearing a disproportionate burden of access restrictions whilst the benefits of conservation accrue more broadly.</w:t>
      </w:r>
    </w:p>
    <w:p w14:paraId="506FD1D9" w14:textId="77777777" w:rsidR="001F7C3D" w:rsidRPr="00D238A6" w:rsidRDefault="008C2088">
      <w:pPr>
        <w:pStyle w:val="Heading2"/>
        <w:rPr>
          <w:lang w:val="en-GB"/>
        </w:rPr>
      </w:pPr>
      <w:r w:rsidRPr="00D238A6">
        <w:rPr>
          <w:sz w:val="24"/>
          <w:szCs w:val="24"/>
          <w:lang w:val="en-GB"/>
        </w:rPr>
        <w:t>6.3 Carbon Markets and Biodiversity Co-Benefits</w:t>
      </w:r>
    </w:p>
    <w:p w14:paraId="6CD25DA7" w14:textId="77777777" w:rsidR="001F7C3D" w:rsidRPr="00D238A6" w:rsidRDefault="008C2088">
      <w:pPr>
        <w:spacing w:before="120" w:after="120" w:line="360" w:lineRule="auto"/>
        <w:ind w:firstLine="720"/>
        <w:jc w:val="both"/>
        <w:rPr>
          <w:lang w:val="en-GB"/>
        </w:rPr>
      </w:pPr>
      <w:r w:rsidRPr="00D238A6">
        <w:rPr>
          <w:lang w:val="en-GB"/>
        </w:rPr>
        <w:t>Carbon markets, both compliance-based and voluntary, have emerged as important mechanisms for financing climate mitigation, and they increasingly incorporate biodiversity considerations, albeit unevenly and incompletely. Article 6 of the Paris Agreement established a framework for internationally transferred mitigation outcomes (ITMOs), enabling countries to cooperate in achieving their NDCs through carbon trading, whilst the voluntary carbon market has grown substantially as corporations seek to offset their emissions through the purchase of carbon credits generated by forest conservation, land restoration, and other ecosystem-based projects (</w:t>
      </w:r>
      <w:proofErr w:type="spellStart"/>
      <w:r w:rsidRPr="00D238A6">
        <w:rPr>
          <w:lang w:val="en-GB"/>
        </w:rPr>
        <w:t>Wara</w:t>
      </w:r>
      <w:proofErr w:type="spellEnd"/>
      <w:r w:rsidRPr="00D238A6">
        <w:rPr>
          <w:lang w:val="en-GB"/>
        </w:rPr>
        <w:t>, 2007).</w:t>
      </w:r>
    </w:p>
    <w:p w14:paraId="5D5FB81E" w14:textId="77777777" w:rsidR="001F7C3D" w:rsidRPr="00D238A6" w:rsidRDefault="008C2088">
      <w:pPr>
        <w:spacing w:before="120" w:after="120" w:line="360" w:lineRule="auto"/>
        <w:ind w:firstLine="720"/>
        <w:jc w:val="both"/>
        <w:rPr>
          <w:lang w:val="en-GB"/>
        </w:rPr>
      </w:pPr>
      <w:r w:rsidRPr="00D238A6">
        <w:rPr>
          <w:lang w:val="en-GB"/>
        </w:rPr>
        <w:t xml:space="preserve">The relationship between carbon markets and biodiversity is ambivalent. On one hand, carbon finance for forest conservation and ecosystem restoration projects can deliver significant biodiversity co-benefits, particularly where projects are implemented in high-biodiversity landscapes and designed according to ecological best practices. On the other hand, the logic of </w:t>
      </w:r>
      <w:r w:rsidRPr="00D238A6">
        <w:rPr>
          <w:lang w:val="en-GB"/>
        </w:rPr>
        <w:lastRenderedPageBreak/>
        <w:t>carbon markets tends to reduce ecosystems to their carbon sequestration function, potentially incentivising the replacement of biodiverse natural forests with monoculture tree plantations that sequester comparable quantities of carbon but provide far fewer biodiversity and ecosystem service values (</w:t>
      </w:r>
      <w:proofErr w:type="spellStart"/>
      <w:r w:rsidRPr="00D238A6">
        <w:rPr>
          <w:lang w:val="en-GB"/>
        </w:rPr>
        <w:t>Gillenwater</w:t>
      </w:r>
      <w:proofErr w:type="spellEnd"/>
      <w:r w:rsidRPr="00D238A6">
        <w:rPr>
          <w:lang w:val="en-GB"/>
        </w:rPr>
        <w:t xml:space="preserve"> &amp; </w:t>
      </w:r>
      <w:proofErr w:type="spellStart"/>
      <w:r w:rsidRPr="00D238A6">
        <w:rPr>
          <w:lang w:val="en-GB"/>
        </w:rPr>
        <w:t>Seres</w:t>
      </w:r>
      <w:proofErr w:type="spellEnd"/>
      <w:r w:rsidRPr="00D238A6">
        <w:rPr>
          <w:lang w:val="en-GB"/>
        </w:rPr>
        <w:t>, 2011). This risk is heightened in voluntary carbon markets, where standards and verification requirements vary considerably across certification bodies.</w:t>
      </w:r>
    </w:p>
    <w:p w14:paraId="3C2738D5" w14:textId="77777777" w:rsidR="001F7C3D" w:rsidRPr="00D238A6" w:rsidRDefault="008C2088">
      <w:pPr>
        <w:spacing w:before="120" w:after="120" w:line="360" w:lineRule="auto"/>
        <w:ind w:firstLine="720"/>
        <w:jc w:val="both"/>
        <w:rPr>
          <w:lang w:val="en-GB"/>
        </w:rPr>
      </w:pPr>
      <w:r w:rsidRPr="00D238A6">
        <w:rPr>
          <w:lang w:val="en-GB"/>
        </w:rPr>
        <w:t>Geopolitical dynamics shape carbon market governance in significant ways. The design of Article 6 mechanisms was among the most contested elements of the Paris Agreement negotiations, with disputes over double-counting rules, the treatment of legacy Kyoto credits, and the distribution of proceeds between host and purchasing countries proving particularly intractable (</w:t>
      </w:r>
      <w:proofErr w:type="spellStart"/>
      <w:r w:rsidRPr="00D238A6">
        <w:rPr>
          <w:lang w:val="en-GB"/>
        </w:rPr>
        <w:t>Wara</w:t>
      </w:r>
      <w:proofErr w:type="spellEnd"/>
      <w:r w:rsidRPr="00D238A6">
        <w:rPr>
          <w:lang w:val="en-GB"/>
        </w:rPr>
        <w:t>, 2007). The interests of developing countries hosting carbon projects frequently diverge from those of developed countries purchasing credits, and the risk that carbon markets could become instruments of green colonialism, in which wealthy actors claim carbon rights over ecosystems in poorer nations whilst local communities receive little benefit, is a persistent concern in both scholarly and advocacy communities (</w:t>
      </w:r>
      <w:proofErr w:type="spellStart"/>
      <w:r w:rsidRPr="00D238A6">
        <w:rPr>
          <w:lang w:val="en-GB"/>
        </w:rPr>
        <w:t>Büscher</w:t>
      </w:r>
      <w:proofErr w:type="spellEnd"/>
      <w:r w:rsidRPr="00D238A6">
        <w:rPr>
          <w:lang w:val="en-GB"/>
        </w:rPr>
        <w:t xml:space="preserve"> et al., 2012).</w:t>
      </w:r>
    </w:p>
    <w:p w14:paraId="47BC065D" w14:textId="77777777" w:rsidR="001F7C3D" w:rsidRPr="00D238A6" w:rsidRDefault="001F7C3D">
      <w:pPr>
        <w:spacing w:before="60" w:after="60"/>
        <w:rPr>
          <w:lang w:val="en-GB"/>
        </w:rPr>
      </w:pPr>
    </w:p>
    <w:p w14:paraId="134D0677" w14:textId="77777777" w:rsidR="001F7C3D" w:rsidRPr="00D238A6" w:rsidRDefault="008C2088">
      <w:pPr>
        <w:pStyle w:val="Heading1"/>
        <w:rPr>
          <w:lang w:val="en-GB"/>
        </w:rPr>
      </w:pPr>
      <w:r w:rsidRPr="00D238A6">
        <w:rPr>
          <w:lang w:val="en-GB"/>
        </w:rPr>
        <w:t>7. Non-State Actors and Subnational Entities in Climate-Biodiversity Governance</w:t>
      </w:r>
    </w:p>
    <w:p w14:paraId="0CFDAD32" w14:textId="77777777" w:rsidR="001F7C3D" w:rsidRPr="00D238A6" w:rsidRDefault="008C2088">
      <w:pPr>
        <w:spacing w:before="120" w:after="120" w:line="360" w:lineRule="auto"/>
        <w:ind w:firstLine="720"/>
        <w:jc w:val="both"/>
        <w:rPr>
          <w:lang w:val="en-GB"/>
        </w:rPr>
      </w:pPr>
      <w:r w:rsidRPr="00D238A6">
        <w:rPr>
          <w:lang w:val="en-GB"/>
        </w:rPr>
        <w:t>The governance of the climate-biodiversity nexus is not confined to the actions of sovereign states within multilateral forums. A diverse ecosystem of non-state and subnational actors, including multinational corporations, international non-governmental organisations (NGOs), indigenous peoples' organisations, sub-national governments, scientific institutions, and philanthropic foundations, plays an increasingly significant role in shaping both the agenda and the implementation of environmental governance (</w:t>
      </w:r>
      <w:proofErr w:type="spellStart"/>
      <w:r w:rsidRPr="00D238A6">
        <w:rPr>
          <w:lang w:val="en-GB"/>
        </w:rPr>
        <w:t>Bulkeley</w:t>
      </w:r>
      <w:proofErr w:type="spellEnd"/>
      <w:r w:rsidRPr="00D238A6">
        <w:rPr>
          <w:lang w:val="en-GB"/>
        </w:rPr>
        <w:t xml:space="preserve"> et al., 2014).</w:t>
      </w:r>
    </w:p>
    <w:p w14:paraId="7AE9FFD9" w14:textId="77777777" w:rsidR="001F7C3D" w:rsidRPr="00D238A6" w:rsidRDefault="008C2088">
      <w:pPr>
        <w:spacing w:before="120" w:after="120" w:line="360" w:lineRule="auto"/>
        <w:ind w:firstLine="720"/>
        <w:jc w:val="both"/>
        <w:rPr>
          <w:lang w:val="en-GB"/>
        </w:rPr>
      </w:pPr>
      <w:r w:rsidRPr="00D238A6">
        <w:rPr>
          <w:lang w:val="en-GB"/>
        </w:rPr>
        <w:t>Sub-national governments, particularly large federated units such as states in Brazil, Australia, and the United States, and provinces in Canada and China, exert substantial influence over land use, forest management, and energy policy within their territories. In some instances, subnational governments have adopted more ambitious climate and biodiversity policies than their national counterparts, as illustrated by the Climate Alliance of sub-national governments committed to tropical forest protection or the subnational jurisdictional REDD+ initiatives in Acre (Brazil), California (United States), and several Indonesian provinces (</w:t>
      </w:r>
      <w:proofErr w:type="spellStart"/>
      <w:r w:rsidRPr="00D238A6">
        <w:rPr>
          <w:lang w:val="en-GB"/>
        </w:rPr>
        <w:t>Angelsen</w:t>
      </w:r>
      <w:proofErr w:type="spellEnd"/>
      <w:r w:rsidRPr="00D238A6">
        <w:rPr>
          <w:lang w:val="en-GB"/>
        </w:rPr>
        <w:t xml:space="preserve"> et al., </w:t>
      </w:r>
      <w:r w:rsidRPr="00D238A6">
        <w:rPr>
          <w:lang w:val="en-GB"/>
        </w:rPr>
        <w:lastRenderedPageBreak/>
        <w:t>2017). The emergence of coalitions such as the Under2 Coalition, which groups subnational jurisdictions committed to deep emissions reductions, illustrates the potential for subnational governance to complement and in some cases exceed national-level ambition.</w:t>
      </w:r>
    </w:p>
    <w:p w14:paraId="7E0919DF" w14:textId="77777777" w:rsidR="001F7C3D" w:rsidRPr="00D238A6" w:rsidRDefault="008C2088">
      <w:pPr>
        <w:spacing w:before="120" w:after="120" w:line="360" w:lineRule="auto"/>
        <w:ind w:firstLine="720"/>
        <w:jc w:val="both"/>
        <w:rPr>
          <w:lang w:val="en-GB"/>
        </w:rPr>
      </w:pPr>
      <w:r w:rsidRPr="00D238A6">
        <w:rPr>
          <w:lang w:val="en-GB"/>
        </w:rPr>
        <w:t>International NGOs such as the International Union for Conservation of Nature (IUCN), the World Wildlife Fund (WWF), Conservation International, and The Nature Conservancy perform multiple governance functions, including scientific assessment, advocacy, capacity building, and the implementation of conservation programmes on the ground. These organisations often serve as important brokers between the international policy community and local conservation practitioners, and they play a significant role in shaping the technical content of biodiversity governance agreements. However, their predominantly Northern institutional bases and funding structures have attracted criticism from political ecology scholars, who argue that their conservation models can marginalise the interests and rights of local and indigenous communities (</w:t>
      </w:r>
      <w:proofErr w:type="spellStart"/>
      <w:r w:rsidRPr="00D238A6">
        <w:rPr>
          <w:lang w:val="en-GB"/>
        </w:rPr>
        <w:t>Büscher</w:t>
      </w:r>
      <w:proofErr w:type="spellEnd"/>
      <w:r w:rsidRPr="00D238A6">
        <w:rPr>
          <w:lang w:val="en-GB"/>
        </w:rPr>
        <w:t xml:space="preserve"> et al., 2012).</w:t>
      </w:r>
    </w:p>
    <w:p w14:paraId="3E326B89" w14:textId="77777777" w:rsidR="001F7C3D" w:rsidRPr="00D238A6" w:rsidRDefault="008C2088">
      <w:pPr>
        <w:spacing w:before="120" w:after="120" w:line="360" w:lineRule="auto"/>
        <w:ind w:firstLine="720"/>
        <w:jc w:val="both"/>
        <w:rPr>
          <w:lang w:val="en-GB"/>
        </w:rPr>
      </w:pPr>
      <w:r w:rsidRPr="00D238A6">
        <w:rPr>
          <w:lang w:val="en-GB"/>
        </w:rPr>
        <w:t>Indigenous peoples and local communities (IPLCs) deserve particular attention in any analysis of the geopolitics of the climate-biodiversity nexus. IPLCs are the custodians of territories that encompass at least 22 per cent of the global land area and are estimated to contain a disproportionately large share of the world's remaining intact biodiversity (Garnett et al., 2018). Research increasingly demonstrates that indigenous-managed territories achieve comparable or superior biodiversity outcomes relative to formally protected areas, at lower cost, and with greater legitimacy in the eyes of resident communities. The recognition of IPLC rights and the meaningful inclusion of IPLC representatives in governance processes are therefore both an ethical imperative and a pragmatic prerequisite for effective conservation. The Kunming-Montreal GBF includes explicit provisions on the rights and roles of IPLCs, though the implementation of these provisions remains a live and contested issue in CBD governance processes (CBD, 2022).</w:t>
      </w:r>
    </w:p>
    <w:p w14:paraId="2F54336C" w14:textId="77777777" w:rsidR="001F7C3D" w:rsidRPr="00D238A6" w:rsidRDefault="001F7C3D">
      <w:pPr>
        <w:spacing w:before="60" w:after="60"/>
        <w:rPr>
          <w:lang w:val="en-GB"/>
        </w:rPr>
      </w:pPr>
    </w:p>
    <w:p w14:paraId="4C45891B" w14:textId="77777777" w:rsidR="001F7C3D" w:rsidRPr="00D238A6" w:rsidRDefault="008C2088">
      <w:pPr>
        <w:pStyle w:val="Heading1"/>
        <w:rPr>
          <w:lang w:val="en-GB"/>
        </w:rPr>
      </w:pPr>
      <w:r w:rsidRPr="00D238A6">
        <w:rPr>
          <w:lang w:val="en-GB"/>
        </w:rPr>
        <w:t>8. Equity Dimensions and North-South Dynamics</w:t>
      </w:r>
    </w:p>
    <w:p w14:paraId="22A9A69B" w14:textId="77777777" w:rsidR="001F7C3D" w:rsidRPr="00D238A6" w:rsidRDefault="008C2088">
      <w:pPr>
        <w:pStyle w:val="Heading2"/>
        <w:rPr>
          <w:lang w:val="en-GB"/>
        </w:rPr>
      </w:pPr>
      <w:r w:rsidRPr="00D238A6">
        <w:rPr>
          <w:sz w:val="24"/>
          <w:szCs w:val="24"/>
          <w:lang w:val="en-GB"/>
        </w:rPr>
        <w:t>8.1 Historical Responsibility and Differentiated Commitments</w:t>
      </w:r>
    </w:p>
    <w:p w14:paraId="61693AF5" w14:textId="77777777" w:rsidR="001F7C3D" w:rsidRPr="00D238A6" w:rsidRDefault="008C2088">
      <w:pPr>
        <w:spacing w:before="120" w:after="120" w:line="360" w:lineRule="auto"/>
        <w:ind w:firstLine="720"/>
        <w:jc w:val="both"/>
        <w:rPr>
          <w:lang w:val="en-GB"/>
        </w:rPr>
      </w:pPr>
      <w:r w:rsidRPr="00D238A6">
        <w:rPr>
          <w:lang w:val="en-GB"/>
        </w:rPr>
        <w:t xml:space="preserve">The North-South dimension of global environmental governance is among the most enduring and consequential features of the international political landscape. The CBDR-RC </w:t>
      </w:r>
      <w:r w:rsidRPr="00D238A6">
        <w:rPr>
          <w:lang w:val="en-GB"/>
        </w:rPr>
        <w:lastRenderedPageBreak/>
        <w:t>principle, which acknowledges that developed countries bear a greater historical responsibility for cumulative greenhouse gas emissions and possess greater financial and technological capacity to respond, has been a foundation of UNFCCC negotiations since 1992. Its application has, however, been a persistent source of conflict, with developed countries resisting its use as a basis for indefinite exemption of rapidly industrialising developing nations from mitigation obligations, and developing countries resisting any dilution of its normative content (</w:t>
      </w:r>
      <w:proofErr w:type="spellStart"/>
      <w:r w:rsidRPr="00D238A6">
        <w:rPr>
          <w:lang w:val="en-GB"/>
        </w:rPr>
        <w:t>Rajamani</w:t>
      </w:r>
      <w:proofErr w:type="spellEnd"/>
      <w:r w:rsidRPr="00D238A6">
        <w:rPr>
          <w:lang w:val="en-GB"/>
        </w:rPr>
        <w:t>, 2012).</w:t>
      </w:r>
    </w:p>
    <w:p w14:paraId="1D07C11E" w14:textId="77777777" w:rsidR="001F7C3D" w:rsidRPr="00D238A6" w:rsidRDefault="008C2088">
      <w:pPr>
        <w:spacing w:before="120" w:after="120" w:line="360" w:lineRule="auto"/>
        <w:ind w:firstLine="720"/>
        <w:jc w:val="both"/>
        <w:rPr>
          <w:lang w:val="en-GB"/>
        </w:rPr>
      </w:pPr>
      <w:r w:rsidRPr="00D238A6">
        <w:rPr>
          <w:lang w:val="en-GB"/>
        </w:rPr>
        <w:t>The aggregate emissions of major developing economies, particularly China, India, Brazil, and Indonesia, have grown substantially over the past three decades, such that the framing of climate change as a problem caused primarily by the historical emissions of developed countries and its resolution as depending primarily on developed-country action is increasingly difficult to sustain on purely scientific grounds. At the same time, cumulative historical emissions from developed nations remain substantially larger than those from developing nations, and per-capita emissions disparities remain significant. The geopolitical negotiation of these realities within the UNFCCC and CBD frameworks is a source of ongoing tension and a principal obstacle to more ambitious collective action (Bhattacharya et al., 202</w:t>
      </w:r>
      <w:r w:rsidR="00F21BDB">
        <w:rPr>
          <w:lang w:val="en-GB"/>
        </w:rPr>
        <w:t>0</w:t>
      </w:r>
      <w:r w:rsidRPr="00D238A6">
        <w:rPr>
          <w:lang w:val="en-GB"/>
        </w:rPr>
        <w:t>).</w:t>
      </w:r>
    </w:p>
    <w:p w14:paraId="4D8855E4" w14:textId="77777777" w:rsidR="001F7C3D" w:rsidRPr="00D238A6" w:rsidRDefault="008C2088">
      <w:pPr>
        <w:pStyle w:val="Heading2"/>
        <w:rPr>
          <w:lang w:val="en-GB"/>
        </w:rPr>
      </w:pPr>
      <w:r w:rsidRPr="00D238A6">
        <w:rPr>
          <w:sz w:val="24"/>
          <w:szCs w:val="24"/>
          <w:lang w:val="en-GB"/>
        </w:rPr>
        <w:t>8.2 Climate Finance and Biodiversity Funding</w:t>
      </w:r>
    </w:p>
    <w:p w14:paraId="0253FC4D" w14:textId="77777777" w:rsidR="001F7C3D" w:rsidRPr="00D238A6" w:rsidRDefault="008C2088">
      <w:pPr>
        <w:spacing w:before="120" w:after="120" w:line="360" w:lineRule="auto"/>
        <w:ind w:firstLine="720"/>
        <w:jc w:val="both"/>
        <w:rPr>
          <w:lang w:val="en-GB"/>
        </w:rPr>
      </w:pPr>
      <w:r w:rsidRPr="00D238A6">
        <w:rPr>
          <w:lang w:val="en-GB"/>
        </w:rPr>
        <w:t>The question of financial transfers from developed to developing countries is central to the geopolitics of both climate and biodiversity governance. The Copenhagen Accord of 2009 included a commitment by developed nations to mobilise USD 100 billion per year in climate finance for developing countries by 2020, a goal that has been consistently missed and whose methodological parameters have been disputed. Assessments of actual climate finance flows suggest substantial shortfalls relative to both the formal commitment and the actual needs of developing countries, particularly in the area of adaptation finance (Bhattacharya et al., 202</w:t>
      </w:r>
      <w:r w:rsidR="00F21BDB">
        <w:rPr>
          <w:lang w:val="en-GB"/>
        </w:rPr>
        <w:t>0</w:t>
      </w:r>
      <w:r w:rsidRPr="00D238A6">
        <w:rPr>
          <w:lang w:val="en-GB"/>
        </w:rPr>
        <w:t>). The operationalisation of a new collective quantified goal (NCQG) on climate finance, to succeed the USD 100 billion goal from 2025, is among the most politically contested items on the current UNFCCC negotiating agenda.</w:t>
      </w:r>
    </w:p>
    <w:p w14:paraId="6B02BBBC" w14:textId="77777777" w:rsidR="001F7C3D" w:rsidRPr="00D238A6" w:rsidRDefault="008C2088">
      <w:pPr>
        <w:spacing w:before="120" w:after="120" w:line="360" w:lineRule="auto"/>
        <w:ind w:firstLine="720"/>
        <w:jc w:val="both"/>
        <w:rPr>
          <w:lang w:val="en-GB"/>
        </w:rPr>
      </w:pPr>
      <w:r w:rsidRPr="00D238A6">
        <w:rPr>
          <w:lang w:val="en-GB"/>
        </w:rPr>
        <w:t xml:space="preserve">For biodiversity, the funding picture is similarly constrained. Estimates of the annual biodiversity finance gap suggest that between USD 700 billion and USD 1 trillion per year in additional investment is required to halt and reverse biodiversity loss by 2030, relative to current </w:t>
      </w:r>
      <w:r w:rsidRPr="00D238A6">
        <w:rPr>
          <w:lang w:val="en-GB"/>
        </w:rPr>
        <w:lastRenderedPageBreak/>
        <w:t>levels of biodiversity spending (Díaz et al., 2020). The Global Biodiversity Framework Fund established at COP15 has attracted initial pledges but at levels far below what the scientific community considers necessary. Furthermore, biodiversity finance remains poorly integrated with climate finance architecture, despite the recognition that many ecosystem-based approaches serve both climate and biodiversity objectives simultaneously. The fragmentation of environmental finance, across multiple funds, institutions, and reporting frameworks, increases transaction costs and reduces the effectiveness of what limited resources are mobilised.</w:t>
      </w:r>
    </w:p>
    <w:p w14:paraId="62E90A1E" w14:textId="77777777" w:rsidR="001F7C3D" w:rsidRPr="00D238A6" w:rsidRDefault="008C2088">
      <w:pPr>
        <w:pStyle w:val="Heading2"/>
        <w:rPr>
          <w:lang w:val="en-GB"/>
        </w:rPr>
      </w:pPr>
      <w:r w:rsidRPr="00D238A6">
        <w:rPr>
          <w:sz w:val="24"/>
          <w:szCs w:val="24"/>
          <w:lang w:val="en-GB"/>
        </w:rPr>
        <w:t>8.3 Technology Transfer and Capacity Building</w:t>
      </w:r>
    </w:p>
    <w:p w14:paraId="2136042E" w14:textId="77777777" w:rsidR="001F7C3D" w:rsidRPr="00D238A6" w:rsidRDefault="008C2088">
      <w:pPr>
        <w:spacing w:before="120" w:after="120" w:line="360" w:lineRule="auto"/>
        <w:ind w:firstLine="720"/>
        <w:jc w:val="both"/>
        <w:rPr>
          <w:lang w:val="en-GB"/>
        </w:rPr>
      </w:pPr>
      <w:r w:rsidRPr="00D238A6">
        <w:rPr>
          <w:lang w:val="en-GB"/>
        </w:rPr>
        <w:t>Alongside financial transfers, the provision of technology and capacity building support to developing countries is a recurring theme in both UNFCCC and CBD negotiations. Developing countries require access to clean energy technologies, biodiversity monitoring tools, sustainable land management practices, and the institutional capacity to implement and enforce environmental regulations, all of which depend in part on the willingness of developed countries and private actors to facilitate technology transfer on concessional or open-access terms (</w:t>
      </w:r>
      <w:proofErr w:type="spellStart"/>
      <w:r w:rsidRPr="00D238A6">
        <w:rPr>
          <w:lang w:val="en-GB"/>
        </w:rPr>
        <w:t>Rajamani</w:t>
      </w:r>
      <w:proofErr w:type="spellEnd"/>
      <w:r w:rsidRPr="00D238A6">
        <w:rPr>
          <w:lang w:val="en-GB"/>
        </w:rPr>
        <w:t>, 2012). The politics of intellectual property rights, particularly the protection of proprietary technologies through patent regimes, frequently impede the kind of technology transfer that would accelerate both climate mitigation and biodiversity conservation in developing-country contexts.</w:t>
      </w:r>
    </w:p>
    <w:p w14:paraId="304B260A" w14:textId="77777777" w:rsidR="001F7C3D" w:rsidRPr="00D238A6" w:rsidRDefault="001F7C3D">
      <w:pPr>
        <w:spacing w:before="60" w:after="60"/>
        <w:rPr>
          <w:lang w:val="en-GB"/>
        </w:rPr>
      </w:pPr>
    </w:p>
    <w:p w14:paraId="4DFF127E" w14:textId="77777777" w:rsidR="001F7C3D" w:rsidRPr="00D238A6" w:rsidRDefault="008C2088">
      <w:pPr>
        <w:pStyle w:val="Heading1"/>
        <w:rPr>
          <w:lang w:val="en-GB"/>
        </w:rPr>
      </w:pPr>
      <w:r w:rsidRPr="00D238A6">
        <w:rPr>
          <w:lang w:val="en-GB"/>
        </w:rPr>
        <w:t>9. Emerging Geopolitical Challenges at the Climate-Biodiversity Nexus</w:t>
      </w:r>
    </w:p>
    <w:p w14:paraId="4D7542D7" w14:textId="77777777" w:rsidR="001F7C3D" w:rsidRPr="00D238A6" w:rsidRDefault="008C2088">
      <w:pPr>
        <w:pStyle w:val="Heading2"/>
        <w:rPr>
          <w:lang w:val="en-GB"/>
        </w:rPr>
      </w:pPr>
      <w:r w:rsidRPr="00D238A6">
        <w:rPr>
          <w:sz w:val="24"/>
          <w:szCs w:val="24"/>
          <w:lang w:val="en-GB"/>
        </w:rPr>
        <w:t>9.1 Climate Security and Ecosystem Collapse</w:t>
      </w:r>
    </w:p>
    <w:p w14:paraId="26920E7E" w14:textId="77777777" w:rsidR="001F7C3D" w:rsidRPr="00D238A6" w:rsidRDefault="008C2088">
      <w:pPr>
        <w:spacing w:before="120" w:after="120" w:line="360" w:lineRule="auto"/>
        <w:ind w:firstLine="720"/>
        <w:jc w:val="both"/>
        <w:rPr>
          <w:lang w:val="en-GB"/>
        </w:rPr>
      </w:pPr>
      <w:r w:rsidRPr="00D238A6">
        <w:rPr>
          <w:lang w:val="en-GB"/>
        </w:rPr>
        <w:t xml:space="preserve">The security dimensions of climate change have received growing attention in both academic and policy contexts, with climate change increasingly framed as a threat multiplier that exacerbates existing social, economic, and political vulnerabilities, potentially contributing to conflict, migration, and state fragility (Barnett, 2007). The security implications of biodiversity loss, whilst less prominent in policy discourse, are equally significant. The degradation of ecosystem services upon which agricultural productivity, freshwater availability, and coastal protection depend represents a direct threat to the livelihoods and food security of hundreds of millions of people, particularly in the Global South. When ecosystem services collapse, the resulting resource scarcity can intensify competition and conflict within and between states, </w:t>
      </w:r>
      <w:r w:rsidRPr="00D238A6">
        <w:rPr>
          <w:lang w:val="en-GB"/>
        </w:rPr>
        <w:lastRenderedPageBreak/>
        <w:t>generating humanitarian crises and political instability that further undermine the conditions necessary for effective environmental governance.</w:t>
      </w:r>
    </w:p>
    <w:p w14:paraId="4C42D030" w14:textId="77777777" w:rsidR="001F7C3D" w:rsidRPr="00D238A6" w:rsidRDefault="008C2088">
      <w:pPr>
        <w:spacing w:before="120" w:after="120" w:line="360" w:lineRule="auto"/>
        <w:ind w:firstLine="720"/>
        <w:jc w:val="both"/>
        <w:rPr>
          <w:lang w:val="en-GB"/>
        </w:rPr>
      </w:pPr>
      <w:r w:rsidRPr="00D238A6">
        <w:rPr>
          <w:lang w:val="en-GB"/>
        </w:rPr>
        <w:t xml:space="preserve">The nexus between climate change, biodiversity loss, and infectious disease risk represents an emerging area of concern at the science-policy interface. Land-use change, which drives both deforestation and biodiversity loss, increases the risk of zoonotic disease </w:t>
      </w:r>
      <w:proofErr w:type="spellStart"/>
      <w:r w:rsidRPr="00D238A6">
        <w:rPr>
          <w:lang w:val="en-GB"/>
        </w:rPr>
        <w:t>spillover</w:t>
      </w:r>
      <w:proofErr w:type="spellEnd"/>
      <w:r w:rsidRPr="00D238A6">
        <w:rPr>
          <w:lang w:val="en-GB"/>
        </w:rPr>
        <w:t xml:space="preserve"> by bringing human populations into closer contact with wildlife reservoirs of novel pathogens (Gibb et al., 2020). The COVID-19 pandemic, whilst not definitively attributable to biodiversity loss, has heightened awareness of the connections between ecosystem integrity and human health security, and has generated renewed political interest in the One Health framework that integrates human, animal, and environmental health considerations. The IPBES assessment on biodiversity and pandemics represents an important contribution to this emerging field, documenting the pathways through which environmental degradation increases pandemic risk (IPBES, 2020).</w:t>
      </w:r>
    </w:p>
    <w:p w14:paraId="3A39A82A" w14:textId="77777777" w:rsidR="001F7C3D" w:rsidRPr="00D238A6" w:rsidRDefault="008C2088">
      <w:pPr>
        <w:pStyle w:val="Heading2"/>
        <w:rPr>
          <w:lang w:val="en-GB"/>
        </w:rPr>
      </w:pPr>
      <w:r w:rsidRPr="00D238A6">
        <w:rPr>
          <w:sz w:val="24"/>
          <w:szCs w:val="24"/>
          <w:lang w:val="en-GB"/>
        </w:rPr>
        <w:t>9.2 The Politics of Planetary Boundaries and Tipping Points</w:t>
      </w:r>
    </w:p>
    <w:p w14:paraId="50F52E38" w14:textId="77777777" w:rsidR="001F7C3D" w:rsidRPr="00D238A6" w:rsidRDefault="008C2088">
      <w:pPr>
        <w:spacing w:before="120" w:after="120" w:line="360" w:lineRule="auto"/>
        <w:ind w:firstLine="720"/>
        <w:jc w:val="both"/>
        <w:rPr>
          <w:lang w:val="en-GB"/>
        </w:rPr>
      </w:pPr>
      <w:r w:rsidRPr="00D238A6">
        <w:rPr>
          <w:lang w:val="en-GB"/>
        </w:rPr>
        <w:t xml:space="preserve">The concept of planetary boundaries, introduced by </w:t>
      </w:r>
      <w:proofErr w:type="spellStart"/>
      <w:r w:rsidRPr="00D238A6">
        <w:rPr>
          <w:lang w:val="en-GB"/>
        </w:rPr>
        <w:t>Rockström</w:t>
      </w:r>
      <w:proofErr w:type="spellEnd"/>
      <w:r w:rsidRPr="00D238A6">
        <w:rPr>
          <w:lang w:val="en-GB"/>
        </w:rPr>
        <w:t xml:space="preserve"> et al. (2009) and subsequently refined, identifies a set of Earth-system processes whose boundaries define a safe operating space for humanity. Both climate change and biosphere integrity (encompassing biodiversity) are identified as core planetary boundaries, and the analyses suggest that both have been transgressed, posing potentially irreversible risks to Earth-system stability (Steffen et al., 2015). Tipping points in the climate system, such as the dieback of the Amazon rainforest, the collapse of the Atlantic Meridional Overturning Circulation, or the rapid melting of Arctic permafrost, represent potential cascading risks that could dramatically accelerate both climate change and biodiversity loss simultaneously.</w:t>
      </w:r>
    </w:p>
    <w:p w14:paraId="68FB07D0" w14:textId="77777777" w:rsidR="001F7C3D" w:rsidRPr="00D238A6" w:rsidRDefault="008C2088">
      <w:pPr>
        <w:spacing w:before="120" w:after="120" w:line="360" w:lineRule="auto"/>
        <w:ind w:firstLine="720"/>
        <w:jc w:val="both"/>
        <w:rPr>
          <w:lang w:val="en-GB"/>
        </w:rPr>
      </w:pPr>
      <w:r w:rsidRPr="00D238A6">
        <w:rPr>
          <w:lang w:val="en-GB"/>
        </w:rPr>
        <w:t>The geopolitical implications of tipping points are profound. If the Amazon rainforest were to transition from a carbon sink to a carbon source, as some recent research suggests may be beginning to occur in parts of the eastern Amazon (</w:t>
      </w:r>
      <w:proofErr w:type="spellStart"/>
      <w:r w:rsidRPr="00D238A6">
        <w:rPr>
          <w:lang w:val="en-GB"/>
        </w:rPr>
        <w:t>Gatti</w:t>
      </w:r>
      <w:proofErr w:type="spellEnd"/>
      <w:r w:rsidRPr="00D238A6">
        <w:rPr>
          <w:lang w:val="en-GB"/>
        </w:rPr>
        <w:t xml:space="preserve"> et al., 2021), this would represent a globally significant feedback that would require substantial additional mitigation effort from all countries to offset. The possibility of such non-linear, potentially irreversible transitions adds urgency to international efforts to reduce deforestation and to stabilise the climate, and it challenges the adequacy of governance frameworks built upon assumptions of gradualism and </w:t>
      </w:r>
      <w:r w:rsidRPr="00D238A6">
        <w:rPr>
          <w:lang w:val="en-GB"/>
        </w:rPr>
        <w:lastRenderedPageBreak/>
        <w:t>reversibility. It also intensifies the geopolitical stakes of Brazilian deforestation policy, transforming it from a bilateral or regional issue into one of global consequence.</w:t>
      </w:r>
    </w:p>
    <w:p w14:paraId="01679EDE" w14:textId="77777777" w:rsidR="001F7C3D" w:rsidRPr="00D238A6" w:rsidRDefault="008C2088">
      <w:pPr>
        <w:pStyle w:val="Heading2"/>
        <w:rPr>
          <w:lang w:val="en-GB"/>
        </w:rPr>
      </w:pPr>
      <w:r w:rsidRPr="00D238A6">
        <w:rPr>
          <w:sz w:val="24"/>
          <w:szCs w:val="24"/>
          <w:lang w:val="en-GB"/>
        </w:rPr>
        <w:t>9.3 Geopolitics of Biodiversity Data and Knowledge</w:t>
      </w:r>
    </w:p>
    <w:p w14:paraId="7F465820" w14:textId="77777777" w:rsidR="001F7C3D" w:rsidRPr="00D238A6" w:rsidRDefault="008C2088">
      <w:pPr>
        <w:spacing w:before="120" w:after="120" w:line="360" w:lineRule="auto"/>
        <w:ind w:firstLine="720"/>
        <w:jc w:val="both"/>
        <w:rPr>
          <w:lang w:val="en-GB"/>
        </w:rPr>
      </w:pPr>
      <w:r w:rsidRPr="00D238A6">
        <w:rPr>
          <w:lang w:val="en-GB"/>
        </w:rPr>
        <w:t>The governance of biodiversity is shaped not only by the distribution of ecosystems and resources but also by the distribution of knowledge about those ecosystems. Biodiversity monitoring and assessment capacity is heavily concentrated in developed countries, with significant data gaps in the regions of greatest biodiversity, including tropical Africa, South-East Asia, and the Amazon basin (Díaz et al., 2020). This knowledge asymmetry has geopolitical implications, as countries with superior monitoring infrastructure are better positioned to document their conservation achievements, to verify compliance with international commitments, and to access biodiversity-related funding. Investments in the democratisation of biodiversity monitoring, including through the deployment of satellite remote sensing, citizen science, and environmental DNA techniques, are therefore important not only for scientific purposes but for equity in international governance.</w:t>
      </w:r>
    </w:p>
    <w:p w14:paraId="48AFCDA5" w14:textId="77777777" w:rsidR="001F7C3D" w:rsidRPr="00D238A6" w:rsidRDefault="008C2088">
      <w:pPr>
        <w:spacing w:before="120" w:after="120" w:line="360" w:lineRule="auto"/>
        <w:ind w:firstLine="720"/>
        <w:jc w:val="both"/>
        <w:rPr>
          <w:lang w:val="en-GB"/>
        </w:rPr>
      </w:pPr>
      <w:r w:rsidRPr="00D238A6">
        <w:rPr>
          <w:lang w:val="en-GB"/>
        </w:rPr>
        <w:t>The governance of biodiversity data itself has become a geopolitical issue, particularly in the context of digital sequence information (DSI) on genetic resources. Advances in biotechnology have made it increasingly possible to access and utilise the genetic information encoded in biological samples without physically removing organisms from their country of origin, raising questions about whether and how the benefit-sharing provisions of the Nagoya Protocol apply to DSI. The resolution of this question was a significant element of the Kunming-Montreal GBF negotiations, which included provisions for a multilateral mechanism to share benefits from the use of DSI with countries of origin, though the practical design of this mechanism remains to be elaborated in subsequent CBD processes (CBD, 2022).</w:t>
      </w:r>
    </w:p>
    <w:p w14:paraId="1B71084A" w14:textId="77777777" w:rsidR="001F7C3D" w:rsidRPr="00D238A6" w:rsidRDefault="001F7C3D">
      <w:pPr>
        <w:spacing w:before="60" w:after="60"/>
        <w:rPr>
          <w:lang w:val="en-GB"/>
        </w:rPr>
      </w:pPr>
    </w:p>
    <w:p w14:paraId="5A57AE16" w14:textId="77777777" w:rsidR="001F7C3D" w:rsidRPr="00D238A6" w:rsidRDefault="008C2088">
      <w:pPr>
        <w:pStyle w:val="Heading1"/>
        <w:rPr>
          <w:lang w:val="en-GB"/>
        </w:rPr>
      </w:pPr>
      <w:r w:rsidRPr="00D238A6">
        <w:rPr>
          <w:lang w:val="en-GB"/>
        </w:rPr>
        <w:t>10. Pathways Towards Integrated Climate-Biodiversity Governance</w:t>
      </w:r>
    </w:p>
    <w:p w14:paraId="70BE6C76" w14:textId="77777777" w:rsidR="001F7C3D" w:rsidRPr="00D238A6" w:rsidRDefault="008C2088">
      <w:pPr>
        <w:pStyle w:val="Heading2"/>
        <w:rPr>
          <w:lang w:val="en-GB"/>
        </w:rPr>
      </w:pPr>
      <w:r w:rsidRPr="00D238A6">
        <w:rPr>
          <w:sz w:val="24"/>
          <w:szCs w:val="24"/>
          <w:lang w:val="en-GB"/>
        </w:rPr>
        <w:t>10.1 Institutional Linkages and Policy Coherence</w:t>
      </w:r>
    </w:p>
    <w:p w14:paraId="5453EF57" w14:textId="77777777" w:rsidR="001F7C3D" w:rsidRPr="00D238A6" w:rsidRDefault="008C2088">
      <w:pPr>
        <w:spacing w:before="120" w:after="120" w:line="360" w:lineRule="auto"/>
        <w:ind w:firstLine="720"/>
        <w:jc w:val="both"/>
        <w:rPr>
          <w:lang w:val="en-GB"/>
        </w:rPr>
      </w:pPr>
      <w:r w:rsidRPr="00D238A6">
        <w:rPr>
          <w:lang w:val="en-GB"/>
        </w:rPr>
        <w:t xml:space="preserve">The most frequently cited pathway towards more effective management of the climate-biodiversity nexus at the international level is the strengthening of institutional linkages between the UNFCCC and CBD governance tracks. This could take multiple forms, including the formal </w:t>
      </w:r>
      <w:r w:rsidRPr="00D238A6">
        <w:rPr>
          <w:lang w:val="en-GB"/>
        </w:rPr>
        <w:lastRenderedPageBreak/>
        <w:t>creation of joint working groups, the alignment of review and reporting cycles, the development of common metrics and indicators for ecosystem-based approaches that serve both climate and biodiversity objectives, and the integration of biodiversity considerations into the design and governance of climate finance instruments (</w:t>
      </w:r>
      <w:proofErr w:type="spellStart"/>
      <w:r w:rsidRPr="00D238A6">
        <w:rPr>
          <w:lang w:val="en-GB"/>
        </w:rPr>
        <w:t>Kok</w:t>
      </w:r>
      <w:proofErr w:type="spellEnd"/>
      <w:r w:rsidRPr="00D238A6">
        <w:rPr>
          <w:lang w:val="en-GB"/>
        </w:rPr>
        <w:t xml:space="preserve"> &amp; De </w:t>
      </w:r>
      <w:proofErr w:type="spellStart"/>
      <w:r w:rsidRPr="00D238A6">
        <w:rPr>
          <w:lang w:val="en-GB"/>
        </w:rPr>
        <w:t>Coninck</w:t>
      </w:r>
      <w:proofErr w:type="spellEnd"/>
      <w:r w:rsidRPr="00D238A6">
        <w:rPr>
          <w:lang w:val="en-GB"/>
        </w:rPr>
        <w:t>, 2007). The IPCC-IPBES joint work programme represents one model for institutional collaboration at the science-policy interface that could potentially be extended to inform governance processes more directly.</w:t>
      </w:r>
    </w:p>
    <w:p w14:paraId="3311BBD7" w14:textId="77777777" w:rsidR="001F7C3D" w:rsidRPr="00D238A6" w:rsidRDefault="008C2088">
      <w:pPr>
        <w:spacing w:before="120" w:after="120" w:line="360" w:lineRule="auto"/>
        <w:ind w:firstLine="720"/>
        <w:jc w:val="both"/>
        <w:rPr>
          <w:lang w:val="en-GB"/>
        </w:rPr>
      </w:pPr>
      <w:r w:rsidRPr="00D238A6">
        <w:rPr>
          <w:lang w:val="en-GB"/>
        </w:rPr>
        <w:t>The concept of nature-based solutions (</w:t>
      </w:r>
      <w:proofErr w:type="spellStart"/>
      <w:r w:rsidRPr="00D238A6">
        <w:rPr>
          <w:lang w:val="en-GB"/>
        </w:rPr>
        <w:t>NbS</w:t>
      </w:r>
      <w:proofErr w:type="spellEnd"/>
      <w:r w:rsidRPr="00D238A6">
        <w:rPr>
          <w:lang w:val="en-GB"/>
        </w:rPr>
        <w:t>), which encompasses a broad range of ecosystem conservation, restoration, and management strategies that address societal challenges including climate change and biodiversity loss, has gained substantial traction in both scientific and policy communities (</w:t>
      </w:r>
      <w:proofErr w:type="spellStart"/>
      <w:r w:rsidRPr="00D238A6">
        <w:rPr>
          <w:lang w:val="en-GB"/>
        </w:rPr>
        <w:t>Griscom</w:t>
      </w:r>
      <w:proofErr w:type="spellEnd"/>
      <w:r w:rsidRPr="00D238A6">
        <w:rPr>
          <w:lang w:val="en-GB"/>
        </w:rPr>
        <w:t xml:space="preserve"> et al., 2017). </w:t>
      </w:r>
      <w:proofErr w:type="spellStart"/>
      <w:r w:rsidRPr="00D238A6">
        <w:rPr>
          <w:lang w:val="en-GB"/>
        </w:rPr>
        <w:t>NbS</w:t>
      </w:r>
      <w:proofErr w:type="spellEnd"/>
      <w:r w:rsidRPr="00D238A6">
        <w:rPr>
          <w:lang w:val="en-GB"/>
        </w:rPr>
        <w:t xml:space="preserve"> are attractive precisely because they offer the potential to simultaneously address multiple environmental objectives whilst delivering co-benefits for human wellbeing. However, the operationalisation of </w:t>
      </w:r>
      <w:proofErr w:type="spellStart"/>
      <w:r w:rsidRPr="00D238A6">
        <w:rPr>
          <w:lang w:val="en-GB"/>
        </w:rPr>
        <w:t>NbS</w:t>
      </w:r>
      <w:proofErr w:type="spellEnd"/>
      <w:r w:rsidRPr="00D238A6">
        <w:rPr>
          <w:lang w:val="en-GB"/>
        </w:rPr>
        <w:t xml:space="preserve"> governance is complicated by definitional ambiguities, risks of greenwashing, and the need to ensure that </w:t>
      </w:r>
      <w:proofErr w:type="spellStart"/>
      <w:r w:rsidRPr="00D238A6">
        <w:rPr>
          <w:lang w:val="en-GB"/>
        </w:rPr>
        <w:t>NbS</w:t>
      </w:r>
      <w:proofErr w:type="spellEnd"/>
      <w:r w:rsidRPr="00D238A6">
        <w:rPr>
          <w:lang w:val="en-GB"/>
        </w:rPr>
        <w:t xml:space="preserve"> projects respect and support the rights of local and indigenous communities. The development of robust standards and governance frameworks for </w:t>
      </w:r>
      <w:proofErr w:type="spellStart"/>
      <w:r w:rsidRPr="00D238A6">
        <w:rPr>
          <w:lang w:val="en-GB"/>
        </w:rPr>
        <w:t>NbS</w:t>
      </w:r>
      <w:proofErr w:type="spellEnd"/>
      <w:r w:rsidRPr="00D238A6">
        <w:rPr>
          <w:lang w:val="en-GB"/>
        </w:rPr>
        <w:t xml:space="preserve"> is an important frontier in integrated climate-biodiversity policy.</w:t>
      </w:r>
    </w:p>
    <w:p w14:paraId="4A5FFBC6" w14:textId="77777777" w:rsidR="001F7C3D" w:rsidRPr="00D238A6" w:rsidRDefault="008C2088">
      <w:pPr>
        <w:pStyle w:val="Heading2"/>
        <w:rPr>
          <w:lang w:val="en-GB"/>
        </w:rPr>
      </w:pPr>
      <w:r w:rsidRPr="00D238A6">
        <w:rPr>
          <w:sz w:val="24"/>
          <w:szCs w:val="24"/>
          <w:lang w:val="en-GB"/>
        </w:rPr>
        <w:t>10.2 Biodiversity-Positive Climate Finance</w:t>
      </w:r>
    </w:p>
    <w:p w14:paraId="5F4ABE82" w14:textId="77777777" w:rsidR="001F7C3D" w:rsidRPr="00D238A6" w:rsidRDefault="008C2088">
      <w:pPr>
        <w:spacing w:before="120" w:after="120" w:line="360" w:lineRule="auto"/>
        <w:ind w:firstLine="720"/>
        <w:jc w:val="both"/>
        <w:rPr>
          <w:lang w:val="en-GB"/>
        </w:rPr>
      </w:pPr>
      <w:r w:rsidRPr="00D238A6">
        <w:rPr>
          <w:lang w:val="en-GB"/>
        </w:rPr>
        <w:t>A particularly promising avenue for integrating the climate and biodiversity agendas is the redesign of climate finance architecture to explicitly incorporate biodiversity outcomes. Many ecosystem-based mitigation and adaptation strategies deliver significant biodiversity co-benefits, and there is growing evidence from the scientific literature that biodiversity-rich ecosystems are also more resilient to climate perturbations and more effective as carbon sinks (</w:t>
      </w:r>
      <w:proofErr w:type="spellStart"/>
      <w:r w:rsidRPr="00D238A6">
        <w:rPr>
          <w:lang w:val="en-GB"/>
        </w:rPr>
        <w:t>Pörtner</w:t>
      </w:r>
      <w:proofErr w:type="spellEnd"/>
      <w:r w:rsidRPr="00D238A6">
        <w:rPr>
          <w:lang w:val="en-GB"/>
        </w:rPr>
        <w:t xml:space="preserve"> et al., 2021). Making biodiversity criteria a standard element of climate finance eligibility assessment would leverage the substantial existing flows of climate finance, estimated at several hundred billion dollars per year including private finance, in support of biodiversity conservation objectives.</w:t>
      </w:r>
    </w:p>
    <w:p w14:paraId="517B6A6D" w14:textId="77777777" w:rsidR="001F7C3D" w:rsidRPr="00D238A6" w:rsidRDefault="008C2088">
      <w:pPr>
        <w:spacing w:before="120" w:after="120" w:line="360" w:lineRule="auto"/>
        <w:ind w:firstLine="720"/>
        <w:jc w:val="both"/>
        <w:rPr>
          <w:lang w:val="en-GB"/>
        </w:rPr>
      </w:pPr>
      <w:r w:rsidRPr="00D238A6">
        <w:rPr>
          <w:lang w:val="en-GB"/>
        </w:rPr>
        <w:t xml:space="preserve">The integration of natural capital accounting into national accounting frameworks and investment decision-making represents a complementary approach. The System of Environmental-Economic Accounting (SEEA), developed under the auspices of the United Nations Statistical Commission, provides a framework for measuring the contribution of natural </w:t>
      </w:r>
      <w:r w:rsidRPr="00D238A6">
        <w:rPr>
          <w:lang w:val="en-GB"/>
        </w:rPr>
        <w:lastRenderedPageBreak/>
        <w:t>capital, including biodiversity, to economic output and wellbeing (United Nations, 2021). Wider adoption of SEEA and related natural capital accounting frameworks by national governments and international financial institutions would help to make visible the economic costs of biodiversity loss and the economic benefits of conservation, potentially shifting the political calculus around investment in nature.</w:t>
      </w:r>
    </w:p>
    <w:p w14:paraId="06AEB257" w14:textId="77777777" w:rsidR="001F7C3D" w:rsidRPr="00D238A6" w:rsidRDefault="008C2088">
      <w:pPr>
        <w:pStyle w:val="Heading2"/>
        <w:rPr>
          <w:lang w:val="en-GB"/>
        </w:rPr>
      </w:pPr>
      <w:r w:rsidRPr="00D238A6">
        <w:rPr>
          <w:sz w:val="24"/>
          <w:szCs w:val="24"/>
          <w:lang w:val="en-GB"/>
        </w:rPr>
        <w:t>10.3 Equity-Centred Approaches</w:t>
      </w:r>
    </w:p>
    <w:p w14:paraId="76FC65CE" w14:textId="77777777" w:rsidR="001F7C3D" w:rsidRPr="00D238A6" w:rsidRDefault="008C2088">
      <w:pPr>
        <w:spacing w:before="120" w:after="120" w:line="360" w:lineRule="auto"/>
        <w:ind w:firstLine="720"/>
        <w:jc w:val="both"/>
        <w:rPr>
          <w:lang w:val="en-GB"/>
        </w:rPr>
      </w:pPr>
      <w:r w:rsidRPr="00D238A6">
        <w:rPr>
          <w:lang w:val="en-GB"/>
        </w:rPr>
        <w:t>Any durable progress in the governance of the climate-biodiversity nexus will require the design of institutional arrangements that are perceived as legitimate and equitable by the full range of international stakeholders, including developing countries, indigenous peoples, and other historically marginalised actors. The persistent failure of international environmental agreements to mobilise adequate financial resources, to facilitate genuine technology transfer, and to respect the rights of local communities has eroded trust and political will, particularly in the Global South. Rebuilding this trust requires not only increased financial commitments but a fundamental rethinking of governance models to ensure that power over environmental decisions is more equitably distributed (Díaz et al., 2020).</w:t>
      </w:r>
    </w:p>
    <w:p w14:paraId="4BDA8480" w14:textId="77777777" w:rsidR="001F7C3D" w:rsidRPr="00D238A6" w:rsidRDefault="008C2088">
      <w:pPr>
        <w:spacing w:before="120" w:after="120" w:line="360" w:lineRule="auto"/>
        <w:ind w:firstLine="720"/>
        <w:jc w:val="both"/>
        <w:rPr>
          <w:lang w:val="en-GB"/>
        </w:rPr>
      </w:pPr>
      <w:r w:rsidRPr="00D238A6">
        <w:rPr>
          <w:lang w:val="en-GB"/>
        </w:rPr>
        <w:t>Equity-centred approaches to climate-biodiversity governance would embed principles of procedural justice, recognitional justice, and distributive justice throughout the design and implementation of international frameworks (</w:t>
      </w:r>
      <w:proofErr w:type="spellStart"/>
      <w:r w:rsidRPr="00D238A6">
        <w:rPr>
          <w:lang w:val="en-GB"/>
        </w:rPr>
        <w:t>Rajamani</w:t>
      </w:r>
      <w:proofErr w:type="spellEnd"/>
      <w:r w:rsidRPr="00D238A6">
        <w:rPr>
          <w:lang w:val="en-GB"/>
        </w:rPr>
        <w:t>, 2012). Procedural justice requires that all affected parties have meaningful opportunities to participate in governance processes, including through the full and effective participation of IPLC representatives in CBD and UNFCCC negotiations. Recognitional justice requires the acknowledgement and respect of diverse knowledge systems, values, and relationships with the natural world. Distributive justice requires that the costs of conservation and the benefits of ecosystem services be shared in ways that are broadly perceived as fair, including through equitable access to ecosystem-based adaptation resources and fair compensation for the opportunity costs of conservation.</w:t>
      </w:r>
    </w:p>
    <w:p w14:paraId="1919F54C" w14:textId="77777777" w:rsidR="001F7C3D" w:rsidRPr="00D238A6" w:rsidRDefault="001F7C3D">
      <w:pPr>
        <w:spacing w:before="60" w:after="60"/>
        <w:rPr>
          <w:lang w:val="en-GB"/>
        </w:rPr>
      </w:pPr>
    </w:p>
    <w:p w14:paraId="13E43370" w14:textId="77777777" w:rsidR="001F7C3D" w:rsidRPr="00D238A6" w:rsidRDefault="008C2088">
      <w:pPr>
        <w:pStyle w:val="Heading1"/>
        <w:rPr>
          <w:lang w:val="en-GB"/>
        </w:rPr>
      </w:pPr>
      <w:r w:rsidRPr="00D238A6">
        <w:rPr>
          <w:lang w:val="en-GB"/>
        </w:rPr>
        <w:t>11. Discussion</w:t>
      </w:r>
    </w:p>
    <w:p w14:paraId="34960676" w14:textId="77777777" w:rsidR="001F7C3D" w:rsidRPr="00D238A6" w:rsidRDefault="008C2088">
      <w:pPr>
        <w:spacing w:before="120" w:after="120" w:line="360" w:lineRule="auto"/>
        <w:ind w:firstLine="720"/>
        <w:jc w:val="both"/>
        <w:rPr>
          <w:lang w:val="en-GB"/>
        </w:rPr>
      </w:pPr>
      <w:r w:rsidRPr="00D238A6">
        <w:rPr>
          <w:lang w:val="en-GB"/>
        </w:rPr>
        <w:t xml:space="preserve">The foregoing review of the geopolitics of climate change and biodiversity protection reveals a landscape characterised by both significant institutional achievement and profound </w:t>
      </w:r>
      <w:r w:rsidRPr="00D238A6">
        <w:rPr>
          <w:lang w:val="en-GB"/>
        </w:rPr>
        <w:lastRenderedPageBreak/>
        <w:t>governance deficits. The multilateral architecture that has been constructed over three decades, encompassing the UNFCCC, Paris Agreement, CBD, and Kunming-Montreal GBF, provides a foundation of shared norms, reporting obligations, and financing mechanisms that would have been difficult to anticipate at the outset of the Rio process. Yet the cumulative record of implementation suggests that these institutions, as presently designed and resourced, are insufficient to arrest, let alone reverse, the dual trajectories of accelerating climate change and accelerating biodiversity loss.</w:t>
      </w:r>
    </w:p>
    <w:p w14:paraId="7A82AE3C" w14:textId="77777777" w:rsidR="001F7C3D" w:rsidRPr="00D238A6" w:rsidRDefault="008C2088">
      <w:pPr>
        <w:spacing w:before="120" w:after="120" w:line="360" w:lineRule="auto"/>
        <w:ind w:firstLine="720"/>
        <w:jc w:val="both"/>
        <w:rPr>
          <w:lang w:val="en-GB"/>
        </w:rPr>
      </w:pPr>
      <w:r w:rsidRPr="00D238A6">
        <w:rPr>
          <w:lang w:val="en-GB"/>
        </w:rPr>
        <w:t>The geopolitical dynamics analysed in this article help to explain this governance gap. The tension between national sovereignty and global ecological interdependence is perhaps the most fundamental structural constraint on effective international environmental governance. States are constitutionally oriented towards the pursuit of national interests as defined within domestic political economies, and the integration of long-term global ecological concerns into those interests requires both normative persuasion and concrete material incentives that the current governance architecture provides only partially and unevenly. The persistent shortfalls in climate finance and biodiversity funding, relative to both formal commitments and actual needs, represent not merely technical failures but manifestations of this deeper political constraint.</w:t>
      </w:r>
    </w:p>
    <w:p w14:paraId="02633E0B" w14:textId="77777777" w:rsidR="001F7C3D" w:rsidRPr="00D238A6" w:rsidRDefault="008C2088">
      <w:pPr>
        <w:spacing w:before="120" w:after="120" w:line="360" w:lineRule="auto"/>
        <w:ind w:firstLine="720"/>
        <w:jc w:val="both"/>
        <w:rPr>
          <w:lang w:val="en-GB"/>
        </w:rPr>
      </w:pPr>
      <w:r w:rsidRPr="00D238A6">
        <w:rPr>
          <w:lang w:val="en-GB"/>
        </w:rPr>
        <w:t>The North-South dimension adds a further layer of complexity, with historical patterns of resource exploitation and contemporary developmental aspirations creating legitimate grounds for developing-country resistance to conservation obligations perceived as externally imposed and inadequately compensated. The framing of tropical forests, coral reefs, and other biodiverse ecosystems as global commons whose conservation is a shared responsibility has been only partially successful in generating the political coalitions necessary for effective governance, in part because it has not been accompanied by governance arrangements that adequately respect the sovereign rights and developmental interests of the countries in which these ecosystems are located.</w:t>
      </w:r>
    </w:p>
    <w:p w14:paraId="344FE46B" w14:textId="77777777" w:rsidR="001F7C3D" w:rsidRPr="00D238A6" w:rsidRDefault="008C2088">
      <w:pPr>
        <w:spacing w:before="120" w:after="120" w:line="360" w:lineRule="auto"/>
        <w:ind w:firstLine="720"/>
        <w:jc w:val="both"/>
        <w:rPr>
          <w:lang w:val="en-GB"/>
        </w:rPr>
      </w:pPr>
      <w:r w:rsidRPr="00D238A6">
        <w:rPr>
          <w:lang w:val="en-GB"/>
        </w:rPr>
        <w:t xml:space="preserve">The role of non-state actors, including indigenous communities, NGOs, subnational governments, and private financial actors, in the governance of the climate-biodiversity nexus is increasingly acknowledged but insufficiently integrated into formal governance frameworks. The evidence that indigenous-managed territories achieve superior biodiversity outcomes suggests that governance models that marginalise or exclude IPLC participation are not only ethically </w:t>
      </w:r>
      <w:r w:rsidRPr="00D238A6">
        <w:rPr>
          <w:lang w:val="en-GB"/>
        </w:rPr>
        <w:lastRenderedPageBreak/>
        <w:t>indefensible but practically ineffective. The growing engagement of private finance in nature-based solutions, whilst representing a significant potential source of resources, also raises concerns about the colonisation of conservation by market logics and the risks to community rights and ecological integrity that can accompany poorly governed private investment.</w:t>
      </w:r>
    </w:p>
    <w:p w14:paraId="77FAAE18" w14:textId="77777777" w:rsidR="001F7C3D" w:rsidRPr="00D238A6" w:rsidRDefault="008C2088">
      <w:pPr>
        <w:spacing w:before="120" w:after="120" w:line="360" w:lineRule="auto"/>
        <w:ind w:firstLine="720"/>
        <w:jc w:val="both"/>
        <w:rPr>
          <w:lang w:val="en-GB"/>
        </w:rPr>
      </w:pPr>
      <w:r w:rsidRPr="00D238A6">
        <w:rPr>
          <w:lang w:val="en-GB"/>
        </w:rPr>
        <w:t>Looking forward, the prospects for more effective integrated governance of the climate-biodiversity nexus depend on several factors. Political leadership from major emitting and biodiverse nations is a necessary but insufficient condition; structural reforms to the institutional architecture, finance mechanisms, and equity dimensions of global environmental governance are also required. The science base for integrated action is robust and increasingly aligned across the two governance communities, as evidenced by the IPCC-IPBES joint report. Translating this scientific convergence into political convergence remains the central challenge.</w:t>
      </w:r>
    </w:p>
    <w:p w14:paraId="66F5BBAA" w14:textId="77777777" w:rsidR="001F7C3D" w:rsidRPr="00D238A6" w:rsidRDefault="001F7C3D">
      <w:pPr>
        <w:spacing w:before="60" w:after="60"/>
        <w:rPr>
          <w:lang w:val="en-GB"/>
        </w:rPr>
      </w:pPr>
    </w:p>
    <w:p w14:paraId="7C2D46CA" w14:textId="77777777" w:rsidR="001F7C3D" w:rsidRPr="00D238A6" w:rsidRDefault="008C2088">
      <w:pPr>
        <w:pStyle w:val="Heading1"/>
        <w:rPr>
          <w:lang w:val="en-GB"/>
        </w:rPr>
      </w:pPr>
      <w:r w:rsidRPr="00D238A6">
        <w:rPr>
          <w:lang w:val="en-GB"/>
        </w:rPr>
        <w:t>12. Conclusions</w:t>
      </w:r>
    </w:p>
    <w:p w14:paraId="7001B202" w14:textId="77777777" w:rsidR="001F7C3D" w:rsidRPr="00D238A6" w:rsidRDefault="008C2088">
      <w:pPr>
        <w:spacing w:before="120" w:after="120" w:line="360" w:lineRule="auto"/>
        <w:ind w:firstLine="720"/>
        <w:jc w:val="both"/>
        <w:rPr>
          <w:lang w:val="en-GB"/>
        </w:rPr>
      </w:pPr>
      <w:r w:rsidRPr="00D238A6">
        <w:rPr>
          <w:lang w:val="en-GB"/>
        </w:rPr>
        <w:t>This review has demonstrated that climate change and biodiversity loss are geopolitically as well as ecologically interlinked phenomena, and that their effective governance requires institutional frameworks, financial architectures, and equity arrangements that are commensurate with the complexity and scale of the challenge. The existing multilateral architecture, whilst representing a significant achievement of international diplomacy, is characterised by insufficient ambition, implementation deficits, inadequate financing, and a fragmentation between climate and biodiversity governance tracks that impedes the realisation of potential synergies.</w:t>
      </w:r>
    </w:p>
    <w:p w14:paraId="0C16F609" w14:textId="77777777" w:rsidR="001F7C3D" w:rsidRPr="00D238A6" w:rsidRDefault="008C2088">
      <w:pPr>
        <w:spacing w:before="120" w:after="120" w:line="360" w:lineRule="auto"/>
        <w:ind w:firstLine="720"/>
        <w:jc w:val="both"/>
        <w:rPr>
          <w:lang w:val="en-GB"/>
        </w:rPr>
      </w:pPr>
      <w:r w:rsidRPr="00D238A6">
        <w:rPr>
          <w:lang w:val="en-GB"/>
        </w:rPr>
        <w:t>Several conclusions emerge from this synthesis. First, the geopolitical dynamics of sovereignty, developmental inequality, and historical responsibility will continue to constrain multilateral environmental governance unless they are addressed through genuinely equitable institutional arrangements that respect the rights and interests of developing nations and indigenous communities. Second, the institutional separation between the UNFCCC and CBD governance tracks is a structural obstacle to coherent environmental policy and should be addressed through the development of stronger formal linkages and a shared agenda for integrated ecosystem governance. Third, biodiversity must be mainstreamed into climate finance architecture, with biodiversity criteria integrated into the assessment and design of all ecosystem-</w:t>
      </w:r>
      <w:r w:rsidRPr="00D238A6">
        <w:rPr>
          <w:lang w:val="en-GB"/>
        </w:rPr>
        <w:lastRenderedPageBreak/>
        <w:t>based climate mitigation and adaptation investments. Fourth, the rights and governance roles of indigenous peoples and local communities must be substantively rather than rhetorically recognised, both as a matter of justice and as a practical prerequisite for effective conservation. Fifth, the global community requires a fundamental reconfiguration of political will, moving beyond incremental adjustments to existing governance frameworks towards transformative change in the human relationship with the natural world.</w:t>
      </w:r>
    </w:p>
    <w:p w14:paraId="67E95BC2" w14:textId="77777777" w:rsidR="001F7C3D" w:rsidRPr="00D238A6" w:rsidRDefault="008C2088">
      <w:pPr>
        <w:spacing w:before="120" w:after="120" w:line="360" w:lineRule="auto"/>
        <w:ind w:firstLine="720"/>
        <w:jc w:val="both"/>
        <w:rPr>
          <w:lang w:val="en-GB"/>
        </w:rPr>
      </w:pPr>
      <w:r w:rsidRPr="00D238A6">
        <w:rPr>
          <w:lang w:val="en-GB"/>
        </w:rPr>
        <w:t>The geopolitics of the climate-biodiversity nexus will continue to evolve in response to scientific discoveries, changing patterns of ecological impact, shifting balances of economic and political power, and the evolving preferences and capacities of civil society actors. Scholarly attention to these dynamics is essential for understanding the conditions under which effective international environmental governance is possible and for informing the design of governance arrangements that are scientifically sound, politically viable, and ethically grounded.</w:t>
      </w:r>
    </w:p>
    <w:p w14:paraId="7E720CEC" w14:textId="77777777" w:rsidR="001F7C3D" w:rsidRPr="00D238A6" w:rsidRDefault="001F7C3D">
      <w:pPr>
        <w:spacing w:before="60" w:after="60"/>
        <w:rPr>
          <w:lang w:val="en-GB"/>
        </w:rPr>
      </w:pPr>
    </w:p>
    <w:p w14:paraId="6AF14019" w14:textId="77777777" w:rsidR="001F7C3D" w:rsidRPr="00D238A6" w:rsidRDefault="001F7C3D">
      <w:pPr>
        <w:spacing w:before="60" w:after="60"/>
        <w:rPr>
          <w:lang w:val="en-GB"/>
        </w:rPr>
      </w:pPr>
      <w:bookmarkStart w:id="0" w:name="_GoBack"/>
      <w:bookmarkEnd w:id="0"/>
    </w:p>
    <w:p w14:paraId="4434EF06" w14:textId="77777777" w:rsidR="001F7C3D" w:rsidRPr="00D238A6" w:rsidRDefault="008C2088">
      <w:pPr>
        <w:pStyle w:val="Heading1"/>
        <w:rPr>
          <w:lang w:val="en-GB"/>
        </w:rPr>
      </w:pPr>
      <w:r w:rsidRPr="00D238A6">
        <w:rPr>
          <w:lang w:val="en-GB"/>
        </w:rPr>
        <w:t>References</w:t>
      </w:r>
    </w:p>
    <w:p w14:paraId="3DC2A168" w14:textId="77777777" w:rsidR="001F7C3D" w:rsidRPr="00D238A6" w:rsidRDefault="008C2088" w:rsidP="00D238A6">
      <w:pPr>
        <w:spacing w:before="120" w:after="120" w:line="360" w:lineRule="auto"/>
        <w:ind w:left="360"/>
        <w:jc w:val="both"/>
        <w:rPr>
          <w:lang w:val="en-GB"/>
        </w:rPr>
      </w:pPr>
      <w:proofErr w:type="spellStart"/>
      <w:r w:rsidRPr="00D238A6">
        <w:rPr>
          <w:lang w:val="en-GB"/>
        </w:rPr>
        <w:t>Adger</w:t>
      </w:r>
      <w:proofErr w:type="spellEnd"/>
      <w:r w:rsidRPr="00D238A6">
        <w:rPr>
          <w:lang w:val="en-GB"/>
        </w:rPr>
        <w:t xml:space="preserve">, W. N., </w:t>
      </w:r>
      <w:proofErr w:type="spellStart"/>
      <w:r w:rsidRPr="00D238A6">
        <w:rPr>
          <w:lang w:val="en-GB"/>
        </w:rPr>
        <w:t>Benjaminsen</w:t>
      </w:r>
      <w:proofErr w:type="spellEnd"/>
      <w:r w:rsidRPr="00D238A6">
        <w:rPr>
          <w:lang w:val="en-GB"/>
        </w:rPr>
        <w:t xml:space="preserve">, T. A., Brown, K., &amp; </w:t>
      </w:r>
      <w:proofErr w:type="spellStart"/>
      <w:r w:rsidRPr="00D238A6">
        <w:rPr>
          <w:lang w:val="en-GB"/>
        </w:rPr>
        <w:t>Svarstad</w:t>
      </w:r>
      <w:proofErr w:type="spellEnd"/>
      <w:r w:rsidRPr="00D238A6">
        <w:rPr>
          <w:lang w:val="en-GB"/>
        </w:rPr>
        <w:t xml:space="preserve">, H. (2001). Advancing a political ecology of global environmental discourses. Development and Change, 32(4), 681–715. </w:t>
      </w:r>
      <w:hyperlink r:id="rId7" w:history="1">
        <w:r w:rsidR="00F21BDB" w:rsidRPr="00985C3B">
          <w:rPr>
            <w:rStyle w:val="Hyperlink"/>
            <w:lang w:val="en-GB"/>
          </w:rPr>
          <w:t>https://doi.org/10.1111/1467-7660.00222</w:t>
        </w:r>
      </w:hyperlink>
      <w:r w:rsidR="00F21BDB">
        <w:rPr>
          <w:lang w:val="en-GB"/>
        </w:rPr>
        <w:t xml:space="preserve"> </w:t>
      </w:r>
    </w:p>
    <w:p w14:paraId="6EB6DFA8" w14:textId="77777777" w:rsidR="001F7C3D" w:rsidRPr="00D238A6" w:rsidRDefault="001F7C3D" w:rsidP="00D238A6">
      <w:pPr>
        <w:spacing w:before="60" w:after="60"/>
        <w:rPr>
          <w:lang w:val="en-GB"/>
        </w:rPr>
      </w:pPr>
    </w:p>
    <w:p w14:paraId="78AF17CE" w14:textId="77777777" w:rsidR="001F7C3D" w:rsidRPr="00D238A6" w:rsidRDefault="008C2088" w:rsidP="00F21BDB">
      <w:pPr>
        <w:spacing w:before="120" w:after="120" w:line="360" w:lineRule="auto"/>
        <w:ind w:left="360"/>
        <w:rPr>
          <w:lang w:val="en-GB"/>
        </w:rPr>
      </w:pPr>
      <w:proofErr w:type="spellStart"/>
      <w:r w:rsidRPr="00D238A6">
        <w:rPr>
          <w:lang w:val="en-GB"/>
        </w:rPr>
        <w:t>Angelsen</w:t>
      </w:r>
      <w:proofErr w:type="spellEnd"/>
      <w:r w:rsidRPr="00D238A6">
        <w:rPr>
          <w:lang w:val="en-GB"/>
        </w:rPr>
        <w:t xml:space="preserve">, A., Martius, C., De Sy, V., </w:t>
      </w:r>
      <w:proofErr w:type="spellStart"/>
      <w:r w:rsidRPr="00D238A6">
        <w:rPr>
          <w:lang w:val="en-GB"/>
        </w:rPr>
        <w:t>Duchelle</w:t>
      </w:r>
      <w:proofErr w:type="spellEnd"/>
      <w:r w:rsidRPr="00D238A6">
        <w:rPr>
          <w:lang w:val="en-GB"/>
        </w:rPr>
        <w:t xml:space="preserve">, A. E., Larson, A. M., &amp; Pham, T. T. (Eds.). (2017). Transforming REDD+: Lessons and new directions. </w:t>
      </w:r>
      <w:proofErr w:type="spellStart"/>
      <w:r w:rsidRPr="00D238A6">
        <w:rPr>
          <w:lang w:val="en-GB"/>
        </w:rPr>
        <w:t>Center</w:t>
      </w:r>
      <w:proofErr w:type="spellEnd"/>
      <w:r w:rsidRPr="00D238A6">
        <w:rPr>
          <w:lang w:val="en-GB"/>
        </w:rPr>
        <w:t xml:space="preserve"> for International Forestry Research.</w:t>
      </w:r>
      <w:r w:rsidR="00F21BDB">
        <w:rPr>
          <w:lang w:val="en-GB"/>
        </w:rPr>
        <w:t xml:space="preserve"> </w:t>
      </w:r>
      <w:r w:rsidR="00F21BDB" w:rsidRPr="00F21BDB">
        <w:rPr>
          <w:lang w:val="en-GB"/>
        </w:rPr>
        <w:t>ISBN: 978-602-387-079-0</w:t>
      </w:r>
      <w:r w:rsidR="00F21BDB">
        <w:rPr>
          <w:lang w:val="en-GB"/>
        </w:rPr>
        <w:t xml:space="preserve"> </w:t>
      </w:r>
      <w:r w:rsidRPr="00D238A6">
        <w:rPr>
          <w:lang w:val="en-GB"/>
        </w:rPr>
        <w:t xml:space="preserve"> </w:t>
      </w:r>
      <w:hyperlink r:id="rId8" w:history="1">
        <w:r w:rsidR="00F21BDB" w:rsidRPr="00985C3B">
          <w:rPr>
            <w:rStyle w:val="Hyperlink"/>
            <w:lang w:val="en-GB"/>
          </w:rPr>
          <w:t>https://www.cifor-icraf.org/publications/pdf_files/Books/BAngelsen1801.pdf</w:t>
        </w:r>
      </w:hyperlink>
      <w:r w:rsidR="00F21BDB">
        <w:rPr>
          <w:lang w:val="en-GB"/>
        </w:rPr>
        <w:t xml:space="preserve"> </w:t>
      </w:r>
    </w:p>
    <w:p w14:paraId="703129B4" w14:textId="77777777" w:rsidR="001F7C3D" w:rsidRPr="00D238A6" w:rsidRDefault="001F7C3D" w:rsidP="00D238A6">
      <w:pPr>
        <w:spacing w:before="60" w:after="60"/>
        <w:rPr>
          <w:lang w:val="en-GB"/>
        </w:rPr>
      </w:pPr>
    </w:p>
    <w:p w14:paraId="2919BF93" w14:textId="77777777" w:rsidR="001F7C3D" w:rsidRPr="00D238A6" w:rsidRDefault="008C2088" w:rsidP="00D238A6">
      <w:pPr>
        <w:spacing w:before="120" w:after="120" w:line="360" w:lineRule="auto"/>
        <w:ind w:left="360"/>
        <w:jc w:val="both"/>
        <w:rPr>
          <w:lang w:val="en-GB"/>
        </w:rPr>
      </w:pPr>
      <w:r w:rsidRPr="00D238A6">
        <w:rPr>
          <w:lang w:val="en-GB"/>
        </w:rPr>
        <w:t xml:space="preserve">Barnett, J. (2007). The geopolitics of climate change. Geography Compass, 1(6), 1361–1375. </w:t>
      </w:r>
      <w:hyperlink r:id="rId9" w:history="1">
        <w:r w:rsidR="00F21BDB" w:rsidRPr="00985C3B">
          <w:rPr>
            <w:rStyle w:val="Hyperlink"/>
            <w:lang w:val="en-GB"/>
          </w:rPr>
          <w:t>https://doi.org/10.1111/j.1749-8198.2007.00066.x</w:t>
        </w:r>
      </w:hyperlink>
      <w:r w:rsidR="00F21BDB">
        <w:rPr>
          <w:lang w:val="en-GB"/>
        </w:rPr>
        <w:t xml:space="preserve"> </w:t>
      </w:r>
    </w:p>
    <w:p w14:paraId="5BD73481" w14:textId="77777777" w:rsidR="001F7C3D" w:rsidRPr="00D238A6" w:rsidRDefault="001F7C3D" w:rsidP="00D238A6">
      <w:pPr>
        <w:spacing w:before="60" w:after="60"/>
        <w:rPr>
          <w:lang w:val="en-GB"/>
        </w:rPr>
      </w:pPr>
    </w:p>
    <w:p w14:paraId="6A062B5A" w14:textId="77777777" w:rsidR="001F7C3D" w:rsidRPr="00D238A6" w:rsidRDefault="008C2088" w:rsidP="00D238A6">
      <w:pPr>
        <w:spacing w:before="120" w:after="120" w:line="360" w:lineRule="auto"/>
        <w:ind w:left="360"/>
        <w:jc w:val="both"/>
        <w:rPr>
          <w:lang w:val="en-GB"/>
        </w:rPr>
      </w:pPr>
      <w:r w:rsidRPr="00D238A6">
        <w:rPr>
          <w:lang w:val="en-GB"/>
        </w:rPr>
        <w:t xml:space="preserve">Bhattacharya, A., </w:t>
      </w:r>
      <w:proofErr w:type="spellStart"/>
      <w:r w:rsidRPr="00D238A6">
        <w:rPr>
          <w:lang w:val="en-GB"/>
        </w:rPr>
        <w:t>Calland</w:t>
      </w:r>
      <w:proofErr w:type="spellEnd"/>
      <w:r w:rsidRPr="00D238A6">
        <w:rPr>
          <w:lang w:val="en-GB"/>
        </w:rPr>
        <w:t xml:space="preserve">, R., </w:t>
      </w:r>
      <w:proofErr w:type="spellStart"/>
      <w:r w:rsidRPr="00D238A6">
        <w:rPr>
          <w:lang w:val="en-GB"/>
        </w:rPr>
        <w:t>Averchenkova</w:t>
      </w:r>
      <w:proofErr w:type="spellEnd"/>
      <w:r w:rsidRPr="00D238A6">
        <w:rPr>
          <w:lang w:val="en-GB"/>
        </w:rPr>
        <w:t xml:space="preserve">, A., Gonzalez, L., Martinez-Diaz, L., &amp; Van </w:t>
      </w:r>
      <w:proofErr w:type="spellStart"/>
      <w:r w:rsidRPr="00D238A6">
        <w:rPr>
          <w:lang w:val="en-GB"/>
        </w:rPr>
        <w:t>Rooij</w:t>
      </w:r>
      <w:proofErr w:type="spellEnd"/>
      <w:r w:rsidRPr="00D238A6">
        <w:rPr>
          <w:lang w:val="en-GB"/>
        </w:rPr>
        <w:t>, J. (202</w:t>
      </w:r>
      <w:r w:rsidR="00F21BDB">
        <w:rPr>
          <w:lang w:val="en-GB"/>
        </w:rPr>
        <w:t>0</w:t>
      </w:r>
      <w:r w:rsidRPr="00D238A6">
        <w:rPr>
          <w:lang w:val="en-GB"/>
        </w:rPr>
        <w:t xml:space="preserve">). Delivering on the $100 billion climate finance commitment and </w:t>
      </w:r>
      <w:r w:rsidRPr="00D238A6">
        <w:rPr>
          <w:lang w:val="en-GB"/>
        </w:rPr>
        <w:lastRenderedPageBreak/>
        <w:t xml:space="preserve">transforming climate finance. Independent Expert Group on Climate Finance. United Nations. </w:t>
      </w:r>
      <w:hyperlink r:id="rId10" w:history="1">
        <w:r w:rsidR="00F21BDB" w:rsidRPr="00985C3B">
          <w:rPr>
            <w:rStyle w:val="Hyperlink"/>
            <w:lang w:val="en-GB"/>
          </w:rPr>
          <w:t>https://www.un.org/sites/un2.un.org/files/2020/12/100_billion_climate_finance_report.pdf</w:t>
        </w:r>
      </w:hyperlink>
      <w:r w:rsidR="00F21BDB">
        <w:rPr>
          <w:lang w:val="en-GB"/>
        </w:rPr>
        <w:t xml:space="preserve"> </w:t>
      </w:r>
    </w:p>
    <w:p w14:paraId="09BA0A85" w14:textId="77777777" w:rsidR="001F7C3D" w:rsidRPr="00D238A6" w:rsidRDefault="001F7C3D" w:rsidP="00D238A6">
      <w:pPr>
        <w:spacing w:before="60" w:after="60"/>
        <w:rPr>
          <w:lang w:val="en-GB"/>
        </w:rPr>
      </w:pPr>
    </w:p>
    <w:p w14:paraId="4132363B" w14:textId="77777777" w:rsidR="001F7C3D" w:rsidRPr="00D238A6" w:rsidRDefault="008C2088" w:rsidP="00D238A6">
      <w:pPr>
        <w:spacing w:before="120" w:after="120" w:line="360" w:lineRule="auto"/>
        <w:ind w:left="360"/>
        <w:jc w:val="both"/>
        <w:rPr>
          <w:lang w:val="en-GB"/>
        </w:rPr>
      </w:pPr>
      <w:proofErr w:type="spellStart"/>
      <w:r w:rsidRPr="00D238A6">
        <w:rPr>
          <w:lang w:val="en-GB"/>
        </w:rPr>
        <w:t>Bulkeley</w:t>
      </w:r>
      <w:proofErr w:type="spellEnd"/>
      <w:r w:rsidRPr="00D238A6">
        <w:rPr>
          <w:lang w:val="en-GB"/>
        </w:rPr>
        <w:t xml:space="preserve">, H., </w:t>
      </w:r>
      <w:proofErr w:type="spellStart"/>
      <w:r w:rsidRPr="00D238A6">
        <w:rPr>
          <w:lang w:val="en-GB"/>
        </w:rPr>
        <w:t>Andonova</w:t>
      </w:r>
      <w:proofErr w:type="spellEnd"/>
      <w:r w:rsidRPr="00D238A6">
        <w:rPr>
          <w:lang w:val="en-GB"/>
        </w:rPr>
        <w:t xml:space="preserve">, L. B., </w:t>
      </w:r>
      <w:proofErr w:type="spellStart"/>
      <w:r w:rsidRPr="00D238A6">
        <w:rPr>
          <w:lang w:val="en-GB"/>
        </w:rPr>
        <w:t>Betsill</w:t>
      </w:r>
      <w:proofErr w:type="spellEnd"/>
      <w:r w:rsidRPr="00D238A6">
        <w:rPr>
          <w:lang w:val="en-GB"/>
        </w:rPr>
        <w:t xml:space="preserve">, M. M., </w:t>
      </w:r>
      <w:proofErr w:type="spellStart"/>
      <w:r w:rsidRPr="00D238A6">
        <w:rPr>
          <w:lang w:val="en-GB"/>
        </w:rPr>
        <w:t>Compagnon</w:t>
      </w:r>
      <w:proofErr w:type="spellEnd"/>
      <w:r w:rsidRPr="00D238A6">
        <w:rPr>
          <w:lang w:val="en-GB"/>
        </w:rPr>
        <w:t xml:space="preserve">, D., Hale, T., Newell, P., Paterson, M., </w:t>
      </w:r>
      <w:proofErr w:type="spellStart"/>
      <w:r w:rsidRPr="00D238A6">
        <w:rPr>
          <w:lang w:val="en-GB"/>
        </w:rPr>
        <w:t>Pattberg</w:t>
      </w:r>
      <w:proofErr w:type="spellEnd"/>
      <w:r w:rsidRPr="00D238A6">
        <w:rPr>
          <w:lang w:val="en-GB"/>
        </w:rPr>
        <w:t xml:space="preserve">, P., </w:t>
      </w:r>
      <w:proofErr w:type="spellStart"/>
      <w:r w:rsidRPr="00D238A6">
        <w:rPr>
          <w:lang w:val="en-GB"/>
        </w:rPr>
        <w:t>Raustiala</w:t>
      </w:r>
      <w:proofErr w:type="spellEnd"/>
      <w:r w:rsidRPr="00D238A6">
        <w:rPr>
          <w:lang w:val="en-GB"/>
        </w:rPr>
        <w:t xml:space="preserve">, K., Roger, C., </w:t>
      </w:r>
      <w:proofErr w:type="spellStart"/>
      <w:r w:rsidRPr="00D238A6">
        <w:rPr>
          <w:lang w:val="en-GB"/>
        </w:rPr>
        <w:t>Stripple</w:t>
      </w:r>
      <w:proofErr w:type="spellEnd"/>
      <w:r w:rsidRPr="00D238A6">
        <w:rPr>
          <w:lang w:val="en-GB"/>
        </w:rPr>
        <w:t xml:space="preserve">, J., &amp; </w:t>
      </w:r>
      <w:proofErr w:type="spellStart"/>
      <w:r w:rsidRPr="00D238A6">
        <w:rPr>
          <w:lang w:val="en-GB"/>
        </w:rPr>
        <w:t>VanDeveer</w:t>
      </w:r>
      <w:proofErr w:type="spellEnd"/>
      <w:r w:rsidRPr="00D238A6">
        <w:rPr>
          <w:lang w:val="en-GB"/>
        </w:rPr>
        <w:t>, S. D. (2014). Transnational climate change governance. Cambridge University Press.</w:t>
      </w:r>
      <w:r w:rsidR="00F21BDB">
        <w:rPr>
          <w:lang w:val="en-GB"/>
        </w:rPr>
        <w:t xml:space="preserve"> ISBN: </w:t>
      </w:r>
      <w:r w:rsidR="00F21BDB" w:rsidRPr="00F21BDB">
        <w:rPr>
          <w:lang w:val="en-GB"/>
        </w:rPr>
        <w:t>978-1-107-06869-8</w:t>
      </w:r>
      <w:r w:rsidR="00F21BDB">
        <w:rPr>
          <w:lang w:val="en-GB"/>
        </w:rPr>
        <w:t xml:space="preserve">. </w:t>
      </w:r>
      <w:hyperlink r:id="rId11" w:history="1">
        <w:r w:rsidR="00F21BDB" w:rsidRPr="00985C3B">
          <w:rPr>
            <w:rStyle w:val="Hyperlink"/>
            <w:lang w:val="en-GB"/>
          </w:rPr>
          <w:t>https://doi.org/10.1017/CBO9781107706033</w:t>
        </w:r>
      </w:hyperlink>
      <w:r w:rsidR="00F21BDB">
        <w:rPr>
          <w:lang w:val="en-GB"/>
        </w:rPr>
        <w:t xml:space="preserve"> </w:t>
      </w:r>
      <w:r w:rsidRPr="00D238A6">
        <w:rPr>
          <w:lang w:val="en-GB"/>
        </w:rPr>
        <w:t xml:space="preserve"> </w:t>
      </w:r>
    </w:p>
    <w:p w14:paraId="3E574BD4" w14:textId="77777777" w:rsidR="001F7C3D" w:rsidRPr="00D238A6" w:rsidRDefault="001F7C3D" w:rsidP="00D238A6">
      <w:pPr>
        <w:spacing w:before="60" w:after="60"/>
        <w:rPr>
          <w:lang w:val="en-GB"/>
        </w:rPr>
      </w:pPr>
    </w:p>
    <w:p w14:paraId="3604C80D" w14:textId="77777777" w:rsidR="001F7C3D" w:rsidRPr="00D238A6" w:rsidRDefault="008C2088" w:rsidP="00D238A6">
      <w:pPr>
        <w:spacing w:before="120" w:after="120" w:line="360" w:lineRule="auto"/>
        <w:ind w:left="360"/>
        <w:jc w:val="both"/>
        <w:rPr>
          <w:lang w:val="en-GB"/>
        </w:rPr>
      </w:pPr>
      <w:proofErr w:type="spellStart"/>
      <w:r w:rsidRPr="00D238A6">
        <w:rPr>
          <w:lang w:val="en-GB"/>
        </w:rPr>
        <w:t>Büscher</w:t>
      </w:r>
      <w:proofErr w:type="spellEnd"/>
      <w:r w:rsidRPr="00D238A6">
        <w:rPr>
          <w:lang w:val="en-GB"/>
        </w:rPr>
        <w:t xml:space="preserve">, B., Sullivan, S., Neves, K., </w:t>
      </w:r>
      <w:proofErr w:type="spellStart"/>
      <w:r w:rsidRPr="00D238A6">
        <w:rPr>
          <w:lang w:val="en-GB"/>
        </w:rPr>
        <w:t>Igoe</w:t>
      </w:r>
      <w:proofErr w:type="spellEnd"/>
      <w:r w:rsidRPr="00D238A6">
        <w:rPr>
          <w:lang w:val="en-GB"/>
        </w:rPr>
        <w:t xml:space="preserve">, J., &amp; Brockington, D. (2012). Towards a synthesized critique of neoliberal biodiversity conservation. Capitalism Nature Socialism, 23(2), 4–30. </w:t>
      </w:r>
      <w:hyperlink r:id="rId12" w:history="1">
        <w:r w:rsidR="0013078C" w:rsidRPr="00985C3B">
          <w:rPr>
            <w:rStyle w:val="Hyperlink"/>
            <w:lang w:val="en-GB"/>
          </w:rPr>
          <w:t>https://doi.org/10.1080/10455752.2012.674149</w:t>
        </w:r>
      </w:hyperlink>
      <w:r w:rsidR="0013078C">
        <w:rPr>
          <w:lang w:val="en-GB"/>
        </w:rPr>
        <w:t xml:space="preserve"> </w:t>
      </w:r>
    </w:p>
    <w:p w14:paraId="707B71DD" w14:textId="77777777" w:rsidR="001F7C3D" w:rsidRPr="00D238A6" w:rsidRDefault="001F7C3D" w:rsidP="00D238A6">
      <w:pPr>
        <w:spacing w:before="60" w:after="60"/>
        <w:rPr>
          <w:lang w:val="en-GB"/>
        </w:rPr>
      </w:pPr>
    </w:p>
    <w:p w14:paraId="4ACC0EA4" w14:textId="77777777" w:rsidR="001F7C3D" w:rsidRPr="00D238A6" w:rsidRDefault="008C2088" w:rsidP="00D238A6">
      <w:pPr>
        <w:spacing w:before="120" w:after="120" w:line="360" w:lineRule="auto"/>
        <w:ind w:left="360"/>
        <w:jc w:val="both"/>
        <w:rPr>
          <w:lang w:val="en-GB"/>
        </w:rPr>
      </w:pPr>
      <w:r w:rsidRPr="00D238A6">
        <w:rPr>
          <w:lang w:val="en-GB"/>
        </w:rPr>
        <w:t xml:space="preserve">CBD. (2020). Global biodiversity outlook 5. Secretariat of the Convention on Biological Diversity. </w:t>
      </w:r>
      <w:hyperlink r:id="rId13" w:history="1">
        <w:r w:rsidR="0013078C" w:rsidRPr="00985C3B">
          <w:rPr>
            <w:rStyle w:val="Hyperlink"/>
            <w:lang w:val="en-GB"/>
          </w:rPr>
          <w:t>https://www.cbd.int/gbo/gbo5/publication/gbo-5-en.pdf</w:t>
        </w:r>
      </w:hyperlink>
      <w:r w:rsidR="0013078C">
        <w:rPr>
          <w:lang w:val="en-GB"/>
        </w:rPr>
        <w:t xml:space="preserve"> </w:t>
      </w:r>
    </w:p>
    <w:p w14:paraId="115A7E07" w14:textId="77777777" w:rsidR="001F7C3D" w:rsidRPr="00D238A6" w:rsidRDefault="001F7C3D" w:rsidP="00D238A6">
      <w:pPr>
        <w:spacing w:before="60" w:after="60"/>
        <w:rPr>
          <w:lang w:val="en-GB"/>
        </w:rPr>
      </w:pPr>
    </w:p>
    <w:p w14:paraId="57A17ADA" w14:textId="77777777" w:rsidR="001F7C3D" w:rsidRPr="00D238A6" w:rsidRDefault="008C2088" w:rsidP="00D238A6">
      <w:pPr>
        <w:spacing w:before="120" w:after="120" w:line="360" w:lineRule="auto"/>
        <w:ind w:left="360"/>
        <w:jc w:val="both"/>
        <w:rPr>
          <w:lang w:val="en-GB"/>
        </w:rPr>
      </w:pPr>
      <w:r w:rsidRPr="00D238A6">
        <w:rPr>
          <w:lang w:val="en-GB"/>
        </w:rPr>
        <w:t xml:space="preserve">CBD. (2022). Kunming-Montreal global biodiversity framework. Secretariat of the Convention on Biological Diversity. </w:t>
      </w:r>
      <w:hyperlink r:id="rId14" w:history="1">
        <w:r w:rsidR="0013078C" w:rsidRPr="00985C3B">
          <w:rPr>
            <w:rStyle w:val="Hyperlink"/>
            <w:lang w:val="en-GB"/>
          </w:rPr>
          <w:t>https://www.cbd.int/doc/decisions/cop-15/cop-15-dec-04-en.pdf</w:t>
        </w:r>
      </w:hyperlink>
      <w:r w:rsidR="0013078C">
        <w:rPr>
          <w:lang w:val="en-GB"/>
        </w:rPr>
        <w:t xml:space="preserve"> </w:t>
      </w:r>
    </w:p>
    <w:p w14:paraId="68F2F2C1" w14:textId="77777777" w:rsidR="001F7C3D" w:rsidRPr="00D238A6" w:rsidRDefault="001F7C3D" w:rsidP="00D238A6">
      <w:pPr>
        <w:spacing w:before="60" w:after="60"/>
        <w:rPr>
          <w:lang w:val="en-GB"/>
        </w:rPr>
      </w:pPr>
    </w:p>
    <w:p w14:paraId="4B57D617" w14:textId="77777777" w:rsidR="001F7C3D" w:rsidRPr="00D238A6" w:rsidRDefault="008C2088" w:rsidP="00D238A6">
      <w:pPr>
        <w:spacing w:before="120" w:after="120" w:line="360" w:lineRule="auto"/>
        <w:ind w:left="360"/>
        <w:jc w:val="both"/>
        <w:rPr>
          <w:lang w:val="en-GB"/>
        </w:rPr>
      </w:pPr>
      <w:r w:rsidRPr="00D238A6">
        <w:rPr>
          <w:lang w:val="en-GB"/>
        </w:rPr>
        <w:t xml:space="preserve">Dalby, S. (2013). The geopolitics of climate change. Political Geography, 37, 38–47. </w:t>
      </w:r>
      <w:hyperlink r:id="rId15" w:history="1">
        <w:r w:rsidR="0013078C" w:rsidRPr="00985C3B">
          <w:rPr>
            <w:rStyle w:val="Hyperlink"/>
            <w:lang w:val="en-GB"/>
          </w:rPr>
          <w:t>https://doi.org/10.1016/j.polgeo.2013.09.004</w:t>
        </w:r>
      </w:hyperlink>
      <w:r w:rsidR="0013078C">
        <w:rPr>
          <w:lang w:val="en-GB"/>
        </w:rPr>
        <w:t xml:space="preserve"> </w:t>
      </w:r>
    </w:p>
    <w:p w14:paraId="03BD137D" w14:textId="77777777" w:rsidR="001F7C3D" w:rsidRPr="00D238A6" w:rsidRDefault="001F7C3D" w:rsidP="00D238A6">
      <w:pPr>
        <w:spacing w:before="60" w:after="60"/>
        <w:rPr>
          <w:lang w:val="en-GB"/>
        </w:rPr>
      </w:pPr>
    </w:p>
    <w:p w14:paraId="07A161CE" w14:textId="77777777" w:rsidR="001F7C3D" w:rsidRPr="00D238A6" w:rsidRDefault="008C2088" w:rsidP="0013078C">
      <w:pPr>
        <w:spacing w:before="120" w:after="120" w:line="360" w:lineRule="auto"/>
        <w:ind w:left="360"/>
        <w:rPr>
          <w:lang w:val="en-GB"/>
        </w:rPr>
      </w:pPr>
      <w:r w:rsidRPr="00D238A6">
        <w:rPr>
          <w:lang w:val="en-GB"/>
        </w:rPr>
        <w:t xml:space="preserve">Díaz, S., </w:t>
      </w:r>
      <w:proofErr w:type="spellStart"/>
      <w:r w:rsidRPr="00D238A6">
        <w:rPr>
          <w:lang w:val="en-GB"/>
        </w:rPr>
        <w:t>Settele</w:t>
      </w:r>
      <w:proofErr w:type="spellEnd"/>
      <w:r w:rsidRPr="00D238A6">
        <w:rPr>
          <w:lang w:val="en-GB"/>
        </w:rPr>
        <w:t xml:space="preserve">, J., </w:t>
      </w:r>
      <w:proofErr w:type="spellStart"/>
      <w:r w:rsidRPr="00D238A6">
        <w:rPr>
          <w:lang w:val="en-GB"/>
        </w:rPr>
        <w:t>Brondízio</w:t>
      </w:r>
      <w:proofErr w:type="spellEnd"/>
      <w:r w:rsidRPr="00D238A6">
        <w:rPr>
          <w:lang w:val="en-GB"/>
        </w:rPr>
        <w:t xml:space="preserve">, E. S., Ngo, H. T., </w:t>
      </w:r>
      <w:proofErr w:type="spellStart"/>
      <w:r w:rsidRPr="00D238A6">
        <w:rPr>
          <w:lang w:val="en-GB"/>
        </w:rPr>
        <w:t>Agard</w:t>
      </w:r>
      <w:proofErr w:type="spellEnd"/>
      <w:r w:rsidRPr="00D238A6">
        <w:rPr>
          <w:lang w:val="en-GB"/>
        </w:rPr>
        <w:t xml:space="preserve">, J., </w:t>
      </w:r>
      <w:proofErr w:type="spellStart"/>
      <w:r w:rsidRPr="00D238A6">
        <w:rPr>
          <w:lang w:val="en-GB"/>
        </w:rPr>
        <w:t>Arneth</w:t>
      </w:r>
      <w:proofErr w:type="spellEnd"/>
      <w:r w:rsidRPr="00D238A6">
        <w:rPr>
          <w:lang w:val="en-GB"/>
        </w:rPr>
        <w:t xml:space="preserve">, A., </w:t>
      </w:r>
      <w:proofErr w:type="spellStart"/>
      <w:r w:rsidRPr="00D238A6">
        <w:rPr>
          <w:lang w:val="en-GB"/>
        </w:rPr>
        <w:t>Balvanera</w:t>
      </w:r>
      <w:proofErr w:type="spellEnd"/>
      <w:r w:rsidRPr="00D238A6">
        <w:rPr>
          <w:lang w:val="en-GB"/>
        </w:rPr>
        <w:t xml:space="preserve">, P., </w:t>
      </w:r>
      <w:proofErr w:type="spellStart"/>
      <w:r w:rsidRPr="00D238A6">
        <w:rPr>
          <w:lang w:val="en-GB"/>
        </w:rPr>
        <w:t>Brauman</w:t>
      </w:r>
      <w:proofErr w:type="spellEnd"/>
      <w:r w:rsidRPr="00D238A6">
        <w:rPr>
          <w:lang w:val="en-GB"/>
        </w:rPr>
        <w:t xml:space="preserve">, K. A., Butchart, S. H. M., Chan, K. M. A., Garibaldi, L. A., </w:t>
      </w:r>
      <w:proofErr w:type="spellStart"/>
      <w:r w:rsidRPr="00D238A6">
        <w:rPr>
          <w:lang w:val="en-GB"/>
        </w:rPr>
        <w:t>Ichii</w:t>
      </w:r>
      <w:proofErr w:type="spellEnd"/>
      <w:r w:rsidRPr="00D238A6">
        <w:rPr>
          <w:lang w:val="en-GB"/>
        </w:rPr>
        <w:t xml:space="preserve">, K., Liu, J., Subramanian, S. M., Midgley, G. F., </w:t>
      </w:r>
      <w:proofErr w:type="spellStart"/>
      <w:r w:rsidRPr="00D238A6">
        <w:rPr>
          <w:lang w:val="en-GB"/>
        </w:rPr>
        <w:t>Miloslavich</w:t>
      </w:r>
      <w:proofErr w:type="spellEnd"/>
      <w:r w:rsidRPr="00D238A6">
        <w:rPr>
          <w:lang w:val="en-GB"/>
        </w:rPr>
        <w:t xml:space="preserve">, P., </w:t>
      </w:r>
      <w:proofErr w:type="spellStart"/>
      <w:r w:rsidRPr="00D238A6">
        <w:rPr>
          <w:lang w:val="en-GB"/>
        </w:rPr>
        <w:t>Molnár</w:t>
      </w:r>
      <w:proofErr w:type="spellEnd"/>
      <w:r w:rsidRPr="00D238A6">
        <w:rPr>
          <w:lang w:val="en-GB"/>
        </w:rPr>
        <w:t xml:space="preserve">, Z., </w:t>
      </w:r>
      <w:proofErr w:type="spellStart"/>
      <w:r w:rsidRPr="00D238A6">
        <w:rPr>
          <w:lang w:val="en-GB"/>
        </w:rPr>
        <w:t>Obura</w:t>
      </w:r>
      <w:proofErr w:type="spellEnd"/>
      <w:r w:rsidRPr="00D238A6">
        <w:rPr>
          <w:lang w:val="en-GB"/>
        </w:rPr>
        <w:t xml:space="preserve">, D., Pfaff, A., … Zayas, C. N. (2019). Pervasive human-driven decline of life on Earth points to the need for transformative change. Science, 366(6471), eaax3100. </w:t>
      </w:r>
      <w:hyperlink r:id="rId16" w:history="1">
        <w:r w:rsidR="0013078C" w:rsidRPr="00985C3B">
          <w:rPr>
            <w:rStyle w:val="Hyperlink"/>
            <w:lang w:val="en-GB"/>
          </w:rPr>
          <w:t>https://doi.org/10.1126/science.aax3100</w:t>
        </w:r>
      </w:hyperlink>
      <w:r w:rsidR="0013078C">
        <w:rPr>
          <w:lang w:val="en-GB"/>
        </w:rPr>
        <w:t xml:space="preserve"> </w:t>
      </w:r>
    </w:p>
    <w:p w14:paraId="5531C293" w14:textId="77777777" w:rsidR="001F7C3D" w:rsidRPr="00D238A6" w:rsidRDefault="001F7C3D" w:rsidP="00D238A6">
      <w:pPr>
        <w:spacing w:before="60" w:after="60"/>
        <w:rPr>
          <w:lang w:val="en-GB"/>
        </w:rPr>
      </w:pPr>
    </w:p>
    <w:p w14:paraId="710257B8" w14:textId="77777777" w:rsidR="001F7C3D" w:rsidRPr="00D238A6" w:rsidRDefault="008C2088" w:rsidP="00D238A6">
      <w:pPr>
        <w:spacing w:before="120" w:after="120" w:line="360" w:lineRule="auto"/>
        <w:ind w:left="360"/>
        <w:jc w:val="both"/>
        <w:rPr>
          <w:lang w:val="en-GB"/>
        </w:rPr>
      </w:pPr>
      <w:r w:rsidRPr="00D238A6">
        <w:rPr>
          <w:lang w:val="en-GB"/>
        </w:rPr>
        <w:t xml:space="preserve">Díaz, S., </w:t>
      </w:r>
      <w:proofErr w:type="spellStart"/>
      <w:r w:rsidRPr="00D238A6">
        <w:rPr>
          <w:lang w:val="en-GB"/>
        </w:rPr>
        <w:t>Zafra</w:t>
      </w:r>
      <w:proofErr w:type="spellEnd"/>
      <w:r w:rsidRPr="00D238A6">
        <w:rPr>
          <w:lang w:val="en-GB"/>
        </w:rPr>
        <w:t xml:space="preserve">-Calvo, N., Purvis, A., </w:t>
      </w:r>
      <w:proofErr w:type="spellStart"/>
      <w:r w:rsidRPr="00D238A6">
        <w:rPr>
          <w:lang w:val="en-GB"/>
        </w:rPr>
        <w:t>Verburg</w:t>
      </w:r>
      <w:proofErr w:type="spellEnd"/>
      <w:r w:rsidRPr="00D238A6">
        <w:rPr>
          <w:lang w:val="en-GB"/>
        </w:rPr>
        <w:t xml:space="preserve">, P. H., </w:t>
      </w:r>
      <w:proofErr w:type="spellStart"/>
      <w:r w:rsidRPr="00D238A6">
        <w:rPr>
          <w:lang w:val="en-GB"/>
        </w:rPr>
        <w:t>Obura</w:t>
      </w:r>
      <w:proofErr w:type="spellEnd"/>
      <w:r w:rsidRPr="00D238A6">
        <w:rPr>
          <w:lang w:val="en-GB"/>
        </w:rPr>
        <w:t xml:space="preserve">, D., </w:t>
      </w:r>
      <w:proofErr w:type="spellStart"/>
      <w:r w:rsidRPr="00D238A6">
        <w:rPr>
          <w:lang w:val="en-GB"/>
        </w:rPr>
        <w:t>Leadley</w:t>
      </w:r>
      <w:proofErr w:type="spellEnd"/>
      <w:r w:rsidRPr="00D238A6">
        <w:rPr>
          <w:lang w:val="en-GB"/>
        </w:rPr>
        <w:t xml:space="preserve">, P., Chaplin-Kramer, R., De </w:t>
      </w:r>
      <w:proofErr w:type="spellStart"/>
      <w:r w:rsidRPr="00D238A6">
        <w:rPr>
          <w:lang w:val="en-GB"/>
        </w:rPr>
        <w:t>Meester</w:t>
      </w:r>
      <w:proofErr w:type="spellEnd"/>
      <w:r w:rsidRPr="00D238A6">
        <w:rPr>
          <w:lang w:val="en-GB"/>
        </w:rPr>
        <w:t xml:space="preserve">, L., </w:t>
      </w:r>
      <w:proofErr w:type="spellStart"/>
      <w:r w:rsidRPr="00D238A6">
        <w:rPr>
          <w:lang w:val="en-GB"/>
        </w:rPr>
        <w:t>Dulloo</w:t>
      </w:r>
      <w:proofErr w:type="spellEnd"/>
      <w:r w:rsidRPr="00D238A6">
        <w:rPr>
          <w:lang w:val="en-GB"/>
        </w:rPr>
        <w:t xml:space="preserve">, E., Martín-López, B., Shaw, M. R., Visconti, P., Broadgate, W., Bratman, G. N., Butchart, S. H. M., Cheung, W., Cook-Patton, S. C., </w:t>
      </w:r>
      <w:proofErr w:type="spellStart"/>
      <w:r w:rsidRPr="00D238A6">
        <w:rPr>
          <w:lang w:val="en-GB"/>
        </w:rPr>
        <w:t>DeClerck</w:t>
      </w:r>
      <w:proofErr w:type="spellEnd"/>
      <w:r w:rsidRPr="00D238A6">
        <w:rPr>
          <w:lang w:val="en-GB"/>
        </w:rPr>
        <w:t xml:space="preserve">, F., Lundquist, C. J., … </w:t>
      </w:r>
      <w:proofErr w:type="spellStart"/>
      <w:r w:rsidRPr="00D238A6">
        <w:rPr>
          <w:lang w:val="en-GB"/>
        </w:rPr>
        <w:t>Zanne</w:t>
      </w:r>
      <w:proofErr w:type="spellEnd"/>
      <w:r w:rsidRPr="00D238A6">
        <w:rPr>
          <w:lang w:val="en-GB"/>
        </w:rPr>
        <w:t>, A. E. (2020). Set ambitious goals for biodiversity and sustainability. Science, 370(6515), 411–413. https://doi.org/10.1126/science.abe1530</w:t>
      </w:r>
    </w:p>
    <w:p w14:paraId="01EC1147" w14:textId="77777777" w:rsidR="001F7C3D" w:rsidRPr="00D238A6" w:rsidRDefault="001F7C3D" w:rsidP="00D238A6">
      <w:pPr>
        <w:spacing w:before="60" w:after="60"/>
        <w:rPr>
          <w:lang w:val="en-GB"/>
        </w:rPr>
      </w:pPr>
    </w:p>
    <w:p w14:paraId="585F85C4" w14:textId="77777777" w:rsidR="001F7C3D" w:rsidRPr="00D238A6" w:rsidRDefault="008C2088" w:rsidP="00D238A6">
      <w:pPr>
        <w:spacing w:before="120" w:after="120" w:line="360" w:lineRule="auto"/>
        <w:ind w:left="360"/>
        <w:jc w:val="both"/>
        <w:rPr>
          <w:lang w:val="en-GB"/>
        </w:rPr>
      </w:pPr>
      <w:proofErr w:type="spellStart"/>
      <w:r w:rsidRPr="00D238A6">
        <w:rPr>
          <w:lang w:val="en-GB"/>
        </w:rPr>
        <w:t>Dinerstein</w:t>
      </w:r>
      <w:proofErr w:type="spellEnd"/>
      <w:r w:rsidRPr="00D238A6">
        <w:rPr>
          <w:lang w:val="en-GB"/>
        </w:rPr>
        <w:t xml:space="preserve">, E., </w:t>
      </w:r>
      <w:proofErr w:type="spellStart"/>
      <w:r w:rsidRPr="00D238A6">
        <w:rPr>
          <w:lang w:val="en-GB"/>
        </w:rPr>
        <w:t>Vynne</w:t>
      </w:r>
      <w:proofErr w:type="spellEnd"/>
      <w:r w:rsidRPr="00D238A6">
        <w:rPr>
          <w:lang w:val="en-GB"/>
        </w:rPr>
        <w:t xml:space="preserve">, C., Sala, E., Joshi, A. R., Fernando, S., Lovejoy, T. E., Mayorga, J., Olson, D., Asner, G. P., Baillie, J. E. M., Burgess, N. D., Burkart, K., </w:t>
      </w:r>
      <w:proofErr w:type="spellStart"/>
      <w:r w:rsidRPr="00D238A6">
        <w:rPr>
          <w:lang w:val="en-GB"/>
        </w:rPr>
        <w:t>Noss</w:t>
      </w:r>
      <w:proofErr w:type="spellEnd"/>
      <w:r w:rsidRPr="00D238A6">
        <w:rPr>
          <w:lang w:val="en-GB"/>
        </w:rPr>
        <w:t xml:space="preserve">, R. F., Zhang, Y. P., </w:t>
      </w:r>
      <w:proofErr w:type="spellStart"/>
      <w:r w:rsidRPr="00D238A6">
        <w:rPr>
          <w:lang w:val="en-GB"/>
        </w:rPr>
        <w:t>Baccini</w:t>
      </w:r>
      <w:proofErr w:type="spellEnd"/>
      <w:r w:rsidRPr="00D238A6">
        <w:rPr>
          <w:lang w:val="en-GB"/>
        </w:rPr>
        <w:t xml:space="preserve">, A., Birch, T., Hahn, N., Joppa, L. N., &amp; </w:t>
      </w:r>
      <w:proofErr w:type="spellStart"/>
      <w:r w:rsidRPr="00D238A6">
        <w:rPr>
          <w:lang w:val="en-GB"/>
        </w:rPr>
        <w:t>Wikramanayake</w:t>
      </w:r>
      <w:proofErr w:type="spellEnd"/>
      <w:r w:rsidRPr="00D238A6">
        <w:rPr>
          <w:lang w:val="en-GB"/>
        </w:rPr>
        <w:t>, E. (2019). A global deal for nature: Guiding principles, milestones, and targets. Science Advances, 5(4), eaaw2869. https://doi.org/10.1126/sciadv.aaw2869</w:t>
      </w:r>
    </w:p>
    <w:p w14:paraId="639B9A27" w14:textId="77777777" w:rsidR="001F7C3D" w:rsidRPr="00D238A6" w:rsidRDefault="001F7C3D" w:rsidP="00D238A6">
      <w:pPr>
        <w:spacing w:before="60" w:after="60"/>
        <w:rPr>
          <w:lang w:val="en-GB"/>
        </w:rPr>
      </w:pPr>
    </w:p>
    <w:p w14:paraId="6375B4DD" w14:textId="77777777" w:rsidR="001F7C3D" w:rsidRPr="00D238A6" w:rsidRDefault="008C2088" w:rsidP="00D238A6">
      <w:pPr>
        <w:spacing w:before="120" w:after="120" w:line="360" w:lineRule="auto"/>
        <w:ind w:left="360"/>
        <w:jc w:val="both"/>
        <w:rPr>
          <w:lang w:val="en-GB"/>
        </w:rPr>
      </w:pPr>
      <w:r w:rsidRPr="00D238A6">
        <w:rPr>
          <w:lang w:val="en-GB"/>
        </w:rPr>
        <w:t xml:space="preserve">Dunn, D. C., </w:t>
      </w:r>
      <w:proofErr w:type="spellStart"/>
      <w:r w:rsidRPr="00D238A6">
        <w:rPr>
          <w:lang w:val="en-GB"/>
        </w:rPr>
        <w:t>Ardron</w:t>
      </w:r>
      <w:proofErr w:type="spellEnd"/>
      <w:r w:rsidRPr="00D238A6">
        <w:rPr>
          <w:lang w:val="en-GB"/>
        </w:rPr>
        <w:t xml:space="preserve">, J., </w:t>
      </w:r>
      <w:proofErr w:type="spellStart"/>
      <w:r w:rsidRPr="00D238A6">
        <w:rPr>
          <w:lang w:val="en-GB"/>
        </w:rPr>
        <w:t>Bax</w:t>
      </w:r>
      <w:proofErr w:type="spellEnd"/>
      <w:r w:rsidRPr="00D238A6">
        <w:rPr>
          <w:lang w:val="en-GB"/>
        </w:rPr>
        <w:t xml:space="preserve">, N., Bernal, P., Cleary, J., </w:t>
      </w:r>
      <w:proofErr w:type="spellStart"/>
      <w:r w:rsidRPr="00D238A6">
        <w:rPr>
          <w:lang w:val="en-GB"/>
        </w:rPr>
        <w:t>Cresswell</w:t>
      </w:r>
      <w:proofErr w:type="spellEnd"/>
      <w:r w:rsidRPr="00D238A6">
        <w:rPr>
          <w:lang w:val="en-GB"/>
        </w:rPr>
        <w:t xml:space="preserve">, I., Donnelly, B., Dunstan, P., </w:t>
      </w:r>
      <w:proofErr w:type="spellStart"/>
      <w:r w:rsidRPr="00D238A6">
        <w:rPr>
          <w:lang w:val="en-GB"/>
        </w:rPr>
        <w:t>Gjerde</w:t>
      </w:r>
      <w:proofErr w:type="spellEnd"/>
      <w:r w:rsidRPr="00D238A6">
        <w:rPr>
          <w:lang w:val="en-GB"/>
        </w:rPr>
        <w:t xml:space="preserve">, K., Johnson, D., </w:t>
      </w:r>
      <w:proofErr w:type="spellStart"/>
      <w:r w:rsidRPr="00D238A6">
        <w:rPr>
          <w:lang w:val="en-GB"/>
        </w:rPr>
        <w:t>Kaschner</w:t>
      </w:r>
      <w:proofErr w:type="spellEnd"/>
      <w:r w:rsidRPr="00D238A6">
        <w:rPr>
          <w:lang w:val="en-GB"/>
        </w:rPr>
        <w:t xml:space="preserve">, K., Lascelles, B., Rice, J., von </w:t>
      </w:r>
      <w:proofErr w:type="spellStart"/>
      <w:r w:rsidRPr="00D238A6">
        <w:rPr>
          <w:lang w:val="en-GB"/>
        </w:rPr>
        <w:t>Nordheim</w:t>
      </w:r>
      <w:proofErr w:type="spellEnd"/>
      <w:r w:rsidRPr="00D238A6">
        <w:rPr>
          <w:lang w:val="en-GB"/>
        </w:rPr>
        <w:t>, H., Wood, L., &amp; Halpin, P. N. (2014). The convention on biological diversity's ecologically or biologically significant areas: Origins, development, and current status. Marine Policy, 49, 137–145. https://doi.org/10.1016/j.marpol.2013.12.002</w:t>
      </w:r>
    </w:p>
    <w:p w14:paraId="35A8754D" w14:textId="77777777" w:rsidR="001F7C3D" w:rsidRPr="00D238A6" w:rsidRDefault="001F7C3D" w:rsidP="00D238A6">
      <w:pPr>
        <w:spacing w:before="60" w:after="60"/>
        <w:rPr>
          <w:lang w:val="en-GB"/>
        </w:rPr>
      </w:pPr>
    </w:p>
    <w:p w14:paraId="1AA8DDD9" w14:textId="77777777" w:rsidR="001F7C3D" w:rsidRPr="00D238A6" w:rsidRDefault="008C2088" w:rsidP="00D238A6">
      <w:pPr>
        <w:spacing w:before="120" w:after="120" w:line="360" w:lineRule="auto"/>
        <w:ind w:left="360"/>
        <w:jc w:val="both"/>
        <w:rPr>
          <w:lang w:val="en-GB"/>
        </w:rPr>
      </w:pPr>
      <w:r w:rsidRPr="00D238A6">
        <w:rPr>
          <w:lang w:val="en-GB"/>
        </w:rPr>
        <w:t xml:space="preserve">FAO. (2020). Global forest resources assessment 2020: Main report. Food and Agriculture Organisation of the United Nations. </w:t>
      </w:r>
      <w:hyperlink r:id="rId17" w:history="1">
        <w:r w:rsidR="0013078C" w:rsidRPr="00985C3B">
          <w:rPr>
            <w:rStyle w:val="Hyperlink"/>
            <w:lang w:val="en-GB"/>
          </w:rPr>
          <w:t>https://doi.org/10.4060/ca9825en</w:t>
        </w:r>
      </w:hyperlink>
      <w:r w:rsidR="0013078C">
        <w:rPr>
          <w:lang w:val="en-GB"/>
        </w:rPr>
        <w:t xml:space="preserve"> </w:t>
      </w:r>
    </w:p>
    <w:p w14:paraId="5B537D43" w14:textId="77777777" w:rsidR="001F7C3D" w:rsidRPr="00D238A6" w:rsidRDefault="001F7C3D" w:rsidP="00D238A6">
      <w:pPr>
        <w:spacing w:before="60" w:after="60"/>
        <w:rPr>
          <w:lang w:val="en-GB"/>
        </w:rPr>
      </w:pPr>
    </w:p>
    <w:p w14:paraId="2CF94C5B" w14:textId="77777777" w:rsidR="001F7C3D" w:rsidRPr="00D238A6" w:rsidRDefault="008C2088" w:rsidP="00D238A6">
      <w:pPr>
        <w:spacing w:before="120" w:after="120" w:line="360" w:lineRule="auto"/>
        <w:ind w:left="360"/>
        <w:jc w:val="both"/>
        <w:rPr>
          <w:lang w:val="en-GB"/>
        </w:rPr>
      </w:pPr>
      <w:r w:rsidRPr="00D238A6">
        <w:rPr>
          <w:lang w:val="en-GB"/>
        </w:rPr>
        <w:t xml:space="preserve">Ferrari, R. (2015). Writing narrative style literature reviews. Medical Writing, 24(4), 230–235. </w:t>
      </w:r>
      <w:hyperlink r:id="rId18" w:history="1">
        <w:r w:rsidR="0013078C" w:rsidRPr="00985C3B">
          <w:rPr>
            <w:rStyle w:val="Hyperlink"/>
            <w:lang w:val="en-GB"/>
          </w:rPr>
          <w:t>https://doi.org/10.1179/2047480615Z.000000000329</w:t>
        </w:r>
      </w:hyperlink>
      <w:r w:rsidR="0013078C">
        <w:rPr>
          <w:lang w:val="en-GB"/>
        </w:rPr>
        <w:t xml:space="preserve"> </w:t>
      </w:r>
    </w:p>
    <w:p w14:paraId="72F310CD" w14:textId="77777777" w:rsidR="001F7C3D" w:rsidRPr="00D238A6" w:rsidRDefault="001F7C3D" w:rsidP="00D238A6">
      <w:pPr>
        <w:spacing w:before="60" w:after="60"/>
        <w:rPr>
          <w:lang w:val="en-GB"/>
        </w:rPr>
      </w:pPr>
    </w:p>
    <w:p w14:paraId="71D88F31" w14:textId="77777777" w:rsidR="001F7C3D" w:rsidRPr="00D238A6" w:rsidRDefault="008C2088" w:rsidP="00D238A6">
      <w:pPr>
        <w:spacing w:before="120" w:after="120" w:line="360" w:lineRule="auto"/>
        <w:ind w:left="360"/>
        <w:jc w:val="both"/>
        <w:rPr>
          <w:lang w:val="en-GB"/>
        </w:rPr>
      </w:pPr>
      <w:r w:rsidRPr="00D238A6">
        <w:rPr>
          <w:lang w:val="en-GB"/>
        </w:rPr>
        <w:t>Garnett, S. T., Burgess, N. D., Fa, J. E., Fernández-</w:t>
      </w:r>
      <w:proofErr w:type="spellStart"/>
      <w:r w:rsidRPr="00D238A6">
        <w:rPr>
          <w:lang w:val="en-GB"/>
        </w:rPr>
        <w:t>Llamazares</w:t>
      </w:r>
      <w:proofErr w:type="spellEnd"/>
      <w:r w:rsidRPr="00D238A6">
        <w:rPr>
          <w:lang w:val="en-GB"/>
        </w:rPr>
        <w:t xml:space="preserve">, Á., </w:t>
      </w:r>
      <w:proofErr w:type="spellStart"/>
      <w:r w:rsidRPr="00D238A6">
        <w:rPr>
          <w:lang w:val="en-GB"/>
        </w:rPr>
        <w:t>Molnár</w:t>
      </w:r>
      <w:proofErr w:type="spellEnd"/>
      <w:r w:rsidRPr="00D238A6">
        <w:rPr>
          <w:lang w:val="en-GB"/>
        </w:rPr>
        <w:t xml:space="preserve">, Z., Robinson, C. J., Watson, J. E. M., Zander, K. K., Austin, B., </w:t>
      </w:r>
      <w:proofErr w:type="spellStart"/>
      <w:r w:rsidRPr="00D238A6">
        <w:rPr>
          <w:lang w:val="en-GB"/>
        </w:rPr>
        <w:t>Brondizio</w:t>
      </w:r>
      <w:proofErr w:type="spellEnd"/>
      <w:r w:rsidRPr="00D238A6">
        <w:rPr>
          <w:lang w:val="en-GB"/>
        </w:rPr>
        <w:t xml:space="preserve">, E. S., Collier, N. F., Duncan, T., Ellis, E., </w:t>
      </w:r>
      <w:proofErr w:type="spellStart"/>
      <w:r w:rsidRPr="00D238A6">
        <w:rPr>
          <w:lang w:val="en-GB"/>
        </w:rPr>
        <w:t>Geyle</w:t>
      </w:r>
      <w:proofErr w:type="spellEnd"/>
      <w:r w:rsidRPr="00D238A6">
        <w:rPr>
          <w:lang w:val="en-GB"/>
        </w:rPr>
        <w:t xml:space="preserve">, H., Jackson, M. V., Jonas, H., </w:t>
      </w:r>
      <w:proofErr w:type="spellStart"/>
      <w:r w:rsidRPr="00D238A6">
        <w:rPr>
          <w:lang w:val="en-GB"/>
        </w:rPr>
        <w:t>Malmer</w:t>
      </w:r>
      <w:proofErr w:type="spellEnd"/>
      <w:r w:rsidRPr="00D238A6">
        <w:rPr>
          <w:lang w:val="en-GB"/>
        </w:rPr>
        <w:t xml:space="preserve">, P., McGowan, B., </w:t>
      </w:r>
      <w:proofErr w:type="spellStart"/>
      <w:r w:rsidRPr="00D238A6">
        <w:rPr>
          <w:lang w:val="en-GB"/>
        </w:rPr>
        <w:t>Sivongxay</w:t>
      </w:r>
      <w:proofErr w:type="spellEnd"/>
      <w:r w:rsidRPr="00D238A6">
        <w:rPr>
          <w:lang w:val="en-GB"/>
        </w:rPr>
        <w:t xml:space="preserve">, A., &amp; Leiper, I. (2018). A spatial overview of the global importance of indigenous lands for </w:t>
      </w:r>
      <w:r w:rsidRPr="00D238A6">
        <w:rPr>
          <w:lang w:val="en-GB"/>
        </w:rPr>
        <w:lastRenderedPageBreak/>
        <w:t>conservation. Nature Sustainability, 1(7), 369–374. https://doi.org/10.1038/s41893-018-0100-6</w:t>
      </w:r>
    </w:p>
    <w:p w14:paraId="1BFA3B6C" w14:textId="77777777" w:rsidR="001F7C3D" w:rsidRPr="00D238A6" w:rsidRDefault="001F7C3D" w:rsidP="00D238A6">
      <w:pPr>
        <w:spacing w:before="60" w:after="60"/>
        <w:rPr>
          <w:lang w:val="en-GB"/>
        </w:rPr>
      </w:pPr>
    </w:p>
    <w:p w14:paraId="69C65202" w14:textId="77777777" w:rsidR="001F7C3D" w:rsidRPr="00D238A6" w:rsidRDefault="008C2088" w:rsidP="00D238A6">
      <w:pPr>
        <w:spacing w:before="120" w:after="120" w:line="360" w:lineRule="auto"/>
        <w:ind w:left="360"/>
        <w:jc w:val="both"/>
        <w:rPr>
          <w:lang w:val="en-GB"/>
        </w:rPr>
      </w:pPr>
      <w:proofErr w:type="spellStart"/>
      <w:r w:rsidRPr="00D238A6">
        <w:rPr>
          <w:lang w:val="en-GB"/>
        </w:rPr>
        <w:t>Gatti</w:t>
      </w:r>
      <w:proofErr w:type="spellEnd"/>
      <w:r w:rsidRPr="00D238A6">
        <w:rPr>
          <w:lang w:val="en-GB"/>
        </w:rPr>
        <w:t xml:space="preserve">, L. V., Basso, L. S., Miller, J. B., </w:t>
      </w:r>
      <w:proofErr w:type="spellStart"/>
      <w:r w:rsidRPr="00D238A6">
        <w:rPr>
          <w:lang w:val="en-GB"/>
        </w:rPr>
        <w:t>Gloor</w:t>
      </w:r>
      <w:proofErr w:type="spellEnd"/>
      <w:r w:rsidRPr="00D238A6">
        <w:rPr>
          <w:lang w:val="en-GB"/>
        </w:rPr>
        <w:t xml:space="preserve">, M., </w:t>
      </w:r>
      <w:proofErr w:type="spellStart"/>
      <w:r w:rsidRPr="00D238A6">
        <w:rPr>
          <w:lang w:val="en-GB"/>
        </w:rPr>
        <w:t>Domingues</w:t>
      </w:r>
      <w:proofErr w:type="spellEnd"/>
      <w:r w:rsidRPr="00D238A6">
        <w:rPr>
          <w:lang w:val="en-GB"/>
        </w:rPr>
        <w:t xml:space="preserve">, L. G., </w:t>
      </w:r>
      <w:proofErr w:type="spellStart"/>
      <w:r w:rsidRPr="00D238A6">
        <w:rPr>
          <w:lang w:val="en-GB"/>
        </w:rPr>
        <w:t>Cassol</w:t>
      </w:r>
      <w:proofErr w:type="spellEnd"/>
      <w:r w:rsidRPr="00D238A6">
        <w:rPr>
          <w:lang w:val="en-GB"/>
        </w:rPr>
        <w:t xml:space="preserve">, H. L. G., Tejada, G., </w:t>
      </w:r>
      <w:proofErr w:type="spellStart"/>
      <w:r w:rsidRPr="00D238A6">
        <w:rPr>
          <w:lang w:val="en-GB"/>
        </w:rPr>
        <w:t>Aragão</w:t>
      </w:r>
      <w:proofErr w:type="spellEnd"/>
      <w:r w:rsidRPr="00D238A6">
        <w:rPr>
          <w:lang w:val="en-GB"/>
        </w:rPr>
        <w:t xml:space="preserve">, L. E. O. C., </w:t>
      </w:r>
      <w:proofErr w:type="spellStart"/>
      <w:r w:rsidRPr="00D238A6">
        <w:rPr>
          <w:lang w:val="en-GB"/>
        </w:rPr>
        <w:t>Nobre</w:t>
      </w:r>
      <w:proofErr w:type="spellEnd"/>
      <w:r w:rsidRPr="00D238A6">
        <w:rPr>
          <w:lang w:val="en-GB"/>
        </w:rPr>
        <w:t xml:space="preserve">, C., Peters, W., </w:t>
      </w:r>
      <w:proofErr w:type="spellStart"/>
      <w:r w:rsidRPr="00D238A6">
        <w:rPr>
          <w:lang w:val="en-GB"/>
        </w:rPr>
        <w:t>Marani</w:t>
      </w:r>
      <w:proofErr w:type="spellEnd"/>
      <w:r w:rsidRPr="00D238A6">
        <w:rPr>
          <w:lang w:val="en-GB"/>
        </w:rPr>
        <w:t xml:space="preserve">, L., Arai, E., </w:t>
      </w:r>
      <w:proofErr w:type="spellStart"/>
      <w:r w:rsidRPr="00D238A6">
        <w:rPr>
          <w:lang w:val="en-GB"/>
        </w:rPr>
        <w:t>Sanches</w:t>
      </w:r>
      <w:proofErr w:type="spellEnd"/>
      <w:r w:rsidRPr="00D238A6">
        <w:rPr>
          <w:lang w:val="en-GB"/>
        </w:rPr>
        <w:t xml:space="preserve">, A. H., </w:t>
      </w:r>
      <w:proofErr w:type="spellStart"/>
      <w:r w:rsidRPr="00D238A6">
        <w:rPr>
          <w:lang w:val="en-GB"/>
        </w:rPr>
        <w:t>Corrêa</w:t>
      </w:r>
      <w:proofErr w:type="spellEnd"/>
      <w:r w:rsidRPr="00D238A6">
        <w:rPr>
          <w:lang w:val="en-GB"/>
        </w:rPr>
        <w:t xml:space="preserve">, S. M., Anderson, L., Von </w:t>
      </w:r>
      <w:proofErr w:type="spellStart"/>
      <w:r w:rsidRPr="00D238A6">
        <w:rPr>
          <w:lang w:val="en-GB"/>
        </w:rPr>
        <w:t>Randow</w:t>
      </w:r>
      <w:proofErr w:type="spellEnd"/>
      <w:r w:rsidRPr="00D238A6">
        <w:rPr>
          <w:lang w:val="en-GB"/>
        </w:rPr>
        <w:t xml:space="preserve">, C., Correia, C. S. C., </w:t>
      </w:r>
      <w:proofErr w:type="spellStart"/>
      <w:r w:rsidRPr="00D238A6">
        <w:rPr>
          <w:lang w:val="en-GB"/>
        </w:rPr>
        <w:t>Crispim</w:t>
      </w:r>
      <w:proofErr w:type="spellEnd"/>
      <w:r w:rsidRPr="00D238A6">
        <w:rPr>
          <w:lang w:val="en-GB"/>
        </w:rPr>
        <w:t>, S. P., &amp; Neves, R. A. L. (2021). Amazonia as a carbon source linked to deforestation and climate change. Nature, 595(7867), 388–393. https://doi.org/10.1038/s41586-021-03629-6</w:t>
      </w:r>
    </w:p>
    <w:p w14:paraId="78450445" w14:textId="77777777" w:rsidR="001F7C3D" w:rsidRPr="00D238A6" w:rsidRDefault="001F7C3D" w:rsidP="00D238A6">
      <w:pPr>
        <w:spacing w:before="60" w:after="60"/>
        <w:rPr>
          <w:lang w:val="en-GB"/>
        </w:rPr>
      </w:pPr>
    </w:p>
    <w:p w14:paraId="0AC1BA57" w14:textId="77777777" w:rsidR="001F7C3D" w:rsidRPr="00D238A6" w:rsidRDefault="008C2088" w:rsidP="00D238A6">
      <w:pPr>
        <w:spacing w:before="120" w:after="120" w:line="360" w:lineRule="auto"/>
        <w:ind w:left="360"/>
        <w:jc w:val="both"/>
        <w:rPr>
          <w:lang w:val="en-GB"/>
        </w:rPr>
      </w:pPr>
      <w:proofErr w:type="spellStart"/>
      <w:r w:rsidRPr="00D238A6">
        <w:rPr>
          <w:lang w:val="en-GB"/>
        </w:rPr>
        <w:t>Gattuso</w:t>
      </w:r>
      <w:proofErr w:type="spellEnd"/>
      <w:r w:rsidRPr="00D238A6">
        <w:rPr>
          <w:lang w:val="en-GB"/>
        </w:rPr>
        <w:t xml:space="preserve">, J.-P., </w:t>
      </w:r>
      <w:proofErr w:type="spellStart"/>
      <w:r w:rsidRPr="00D238A6">
        <w:rPr>
          <w:lang w:val="en-GB"/>
        </w:rPr>
        <w:t>Magnan</w:t>
      </w:r>
      <w:proofErr w:type="spellEnd"/>
      <w:r w:rsidRPr="00D238A6">
        <w:rPr>
          <w:lang w:val="en-GB"/>
        </w:rPr>
        <w:t xml:space="preserve">, A., </w:t>
      </w:r>
      <w:proofErr w:type="spellStart"/>
      <w:r w:rsidRPr="00D238A6">
        <w:rPr>
          <w:lang w:val="en-GB"/>
        </w:rPr>
        <w:t>Billé</w:t>
      </w:r>
      <w:proofErr w:type="spellEnd"/>
      <w:r w:rsidRPr="00D238A6">
        <w:rPr>
          <w:lang w:val="en-GB"/>
        </w:rPr>
        <w:t xml:space="preserve">, R., Cheung, W. W. L., Howes, E. L., </w:t>
      </w:r>
      <w:proofErr w:type="spellStart"/>
      <w:r w:rsidRPr="00D238A6">
        <w:rPr>
          <w:lang w:val="en-GB"/>
        </w:rPr>
        <w:t>Joos</w:t>
      </w:r>
      <w:proofErr w:type="spellEnd"/>
      <w:r w:rsidRPr="00D238A6">
        <w:rPr>
          <w:lang w:val="en-GB"/>
        </w:rPr>
        <w:t xml:space="preserve">, F., </w:t>
      </w:r>
      <w:proofErr w:type="spellStart"/>
      <w:r w:rsidRPr="00D238A6">
        <w:rPr>
          <w:lang w:val="en-GB"/>
        </w:rPr>
        <w:t>Allemand</w:t>
      </w:r>
      <w:proofErr w:type="spellEnd"/>
      <w:r w:rsidRPr="00D238A6">
        <w:rPr>
          <w:lang w:val="en-GB"/>
        </w:rPr>
        <w:t xml:space="preserve">, D., Bopp, L., Cooley, S. R., Eakin, C. M., </w:t>
      </w:r>
      <w:proofErr w:type="spellStart"/>
      <w:r w:rsidRPr="00D238A6">
        <w:rPr>
          <w:lang w:val="en-GB"/>
        </w:rPr>
        <w:t>Hoegh</w:t>
      </w:r>
      <w:proofErr w:type="spellEnd"/>
      <w:r w:rsidRPr="00D238A6">
        <w:rPr>
          <w:lang w:val="en-GB"/>
        </w:rPr>
        <w:t xml:space="preserve">-Guldberg, O., Kelly, R. P., </w:t>
      </w:r>
      <w:proofErr w:type="spellStart"/>
      <w:r w:rsidRPr="00D238A6">
        <w:rPr>
          <w:lang w:val="en-GB"/>
        </w:rPr>
        <w:t>Pörtner</w:t>
      </w:r>
      <w:proofErr w:type="spellEnd"/>
      <w:r w:rsidRPr="00D238A6">
        <w:rPr>
          <w:lang w:val="en-GB"/>
        </w:rPr>
        <w:t xml:space="preserve">, H.-O., Rogers, A. D., Baxter, J. M., </w:t>
      </w:r>
      <w:proofErr w:type="spellStart"/>
      <w:r w:rsidRPr="00D238A6">
        <w:rPr>
          <w:lang w:val="en-GB"/>
        </w:rPr>
        <w:t>Laffoley</w:t>
      </w:r>
      <w:proofErr w:type="spellEnd"/>
      <w:r w:rsidRPr="00D238A6">
        <w:rPr>
          <w:lang w:val="en-GB"/>
        </w:rPr>
        <w:t xml:space="preserve">, D., Osborn, D., </w:t>
      </w:r>
      <w:proofErr w:type="spellStart"/>
      <w:r w:rsidRPr="00D238A6">
        <w:rPr>
          <w:lang w:val="en-GB"/>
        </w:rPr>
        <w:t>Rankovic</w:t>
      </w:r>
      <w:proofErr w:type="spellEnd"/>
      <w:r w:rsidRPr="00D238A6">
        <w:rPr>
          <w:lang w:val="en-GB"/>
        </w:rPr>
        <w:t>, A., Rochette, J., … Turley, C. (2015). Contrasting futures for ocean and society from different anthropogenic CO2 emission scenarios. Science, 349(6243), aac4722. https://doi.org/10.1126/science.aac4722</w:t>
      </w:r>
    </w:p>
    <w:p w14:paraId="4516450A" w14:textId="77777777" w:rsidR="001F7C3D" w:rsidRPr="00D238A6" w:rsidRDefault="001F7C3D" w:rsidP="00D238A6">
      <w:pPr>
        <w:spacing w:before="60" w:after="60"/>
        <w:rPr>
          <w:lang w:val="en-GB"/>
        </w:rPr>
      </w:pPr>
    </w:p>
    <w:p w14:paraId="02637BA2" w14:textId="77777777" w:rsidR="001F7C3D" w:rsidRPr="00D238A6" w:rsidRDefault="008C2088" w:rsidP="00D238A6">
      <w:pPr>
        <w:spacing w:before="120" w:after="120" w:line="360" w:lineRule="auto"/>
        <w:ind w:left="360"/>
        <w:jc w:val="both"/>
        <w:rPr>
          <w:lang w:val="en-GB"/>
        </w:rPr>
      </w:pPr>
      <w:r w:rsidRPr="00D238A6">
        <w:rPr>
          <w:lang w:val="en-GB"/>
        </w:rPr>
        <w:t>Gibb, R., Redding, D. W., Chin, K. Q., Donnelly, C. A., Blackburn, T. M., Newbold, T., &amp; Jones, K. E. (2020). Zoonotic host diversity increases in human-dominated ecosystems. Nature, 584(7821), 398–402. https://doi.org/10.1038/s41586-020-2562-8</w:t>
      </w:r>
    </w:p>
    <w:p w14:paraId="3D8AB804" w14:textId="77777777" w:rsidR="001F7C3D" w:rsidRPr="00D238A6" w:rsidRDefault="001F7C3D" w:rsidP="00D238A6">
      <w:pPr>
        <w:spacing w:before="60" w:after="60"/>
        <w:rPr>
          <w:lang w:val="en-GB"/>
        </w:rPr>
      </w:pPr>
    </w:p>
    <w:p w14:paraId="0DC233D8" w14:textId="77777777" w:rsidR="001F7C3D" w:rsidRPr="00D238A6" w:rsidRDefault="008C2088" w:rsidP="00D238A6">
      <w:pPr>
        <w:spacing w:before="120" w:after="120" w:line="360" w:lineRule="auto"/>
        <w:ind w:left="360"/>
        <w:jc w:val="both"/>
        <w:rPr>
          <w:lang w:val="en-GB"/>
        </w:rPr>
      </w:pPr>
      <w:proofErr w:type="spellStart"/>
      <w:r w:rsidRPr="00D238A6">
        <w:rPr>
          <w:lang w:val="en-GB"/>
        </w:rPr>
        <w:t>Gillenwater</w:t>
      </w:r>
      <w:proofErr w:type="spellEnd"/>
      <w:r w:rsidRPr="00D238A6">
        <w:rPr>
          <w:lang w:val="en-GB"/>
        </w:rPr>
        <w:t xml:space="preserve">, M., &amp; </w:t>
      </w:r>
      <w:proofErr w:type="spellStart"/>
      <w:r w:rsidRPr="00D238A6">
        <w:rPr>
          <w:lang w:val="en-GB"/>
        </w:rPr>
        <w:t>Seres</w:t>
      </w:r>
      <w:proofErr w:type="spellEnd"/>
      <w:r w:rsidRPr="00D238A6">
        <w:rPr>
          <w:lang w:val="en-GB"/>
        </w:rPr>
        <w:t>, S. (2011). The clean development mechanism: A review of the first international offset programme. Greenhouse Gas Measurement and Management, 1(3–4), 179–203. https://doi.org/10.1080/20430779.2011.647661</w:t>
      </w:r>
    </w:p>
    <w:p w14:paraId="6E4BAD66" w14:textId="77777777" w:rsidR="001F7C3D" w:rsidRPr="00D238A6" w:rsidRDefault="001F7C3D" w:rsidP="00D238A6">
      <w:pPr>
        <w:spacing w:before="60" w:after="60"/>
        <w:rPr>
          <w:lang w:val="en-GB"/>
        </w:rPr>
      </w:pPr>
    </w:p>
    <w:p w14:paraId="68480A47" w14:textId="77777777" w:rsidR="001F7C3D" w:rsidRPr="00D238A6" w:rsidRDefault="008C2088" w:rsidP="00D238A6">
      <w:pPr>
        <w:spacing w:before="120" w:after="120" w:line="360" w:lineRule="auto"/>
        <w:ind w:left="360"/>
        <w:jc w:val="both"/>
        <w:rPr>
          <w:lang w:val="en-GB"/>
        </w:rPr>
      </w:pPr>
      <w:r w:rsidRPr="00D238A6">
        <w:rPr>
          <w:lang w:val="en-GB"/>
        </w:rPr>
        <w:t xml:space="preserve">Global Forest Coalition. (2022). Glasgow leaders' declaration on forests and land use: Analysis and civil society perspectives. Global Forest Coalition. </w:t>
      </w:r>
      <w:hyperlink r:id="rId19" w:history="1">
        <w:r w:rsidR="0013078C" w:rsidRPr="00985C3B">
          <w:rPr>
            <w:rStyle w:val="Hyperlink"/>
            <w:lang w:val="en-GB"/>
          </w:rPr>
          <w:t>https://digitallibrary.un.org/record/4074622/files/COP26ForestGovernance.pdf</w:t>
        </w:r>
      </w:hyperlink>
      <w:r w:rsidR="0013078C">
        <w:rPr>
          <w:lang w:val="en-GB"/>
        </w:rPr>
        <w:t xml:space="preserve"> </w:t>
      </w:r>
    </w:p>
    <w:p w14:paraId="2EBF391C" w14:textId="77777777" w:rsidR="001F7C3D" w:rsidRPr="00D238A6" w:rsidRDefault="001F7C3D" w:rsidP="00D238A6">
      <w:pPr>
        <w:spacing w:before="60" w:after="60"/>
        <w:rPr>
          <w:lang w:val="en-GB"/>
        </w:rPr>
      </w:pPr>
    </w:p>
    <w:p w14:paraId="78FEAF8D" w14:textId="77777777" w:rsidR="001F7C3D" w:rsidRPr="00D238A6" w:rsidRDefault="008C2088" w:rsidP="00D238A6">
      <w:pPr>
        <w:spacing w:before="120" w:after="120" w:line="360" w:lineRule="auto"/>
        <w:ind w:left="360"/>
        <w:jc w:val="both"/>
        <w:rPr>
          <w:lang w:val="en-GB"/>
        </w:rPr>
      </w:pPr>
      <w:r w:rsidRPr="00D238A6">
        <w:rPr>
          <w:lang w:val="en-GB"/>
        </w:rPr>
        <w:t>Green, B. N., Johnson, C. D., &amp; Adams, A. (2006). Writing narrative literature reviews for peer-reviewed journals: Secrets of the trade. Journal of Chiropractic Medicine, 5(3), 101–117. https://doi.org/10.1016/S0899-3467(07)60142-6</w:t>
      </w:r>
    </w:p>
    <w:p w14:paraId="5DA19FE5" w14:textId="77777777" w:rsidR="001F7C3D" w:rsidRPr="00D238A6" w:rsidRDefault="001F7C3D" w:rsidP="00D238A6">
      <w:pPr>
        <w:spacing w:before="60" w:after="60"/>
        <w:rPr>
          <w:lang w:val="en-GB"/>
        </w:rPr>
      </w:pPr>
    </w:p>
    <w:p w14:paraId="1C7FEEC8" w14:textId="77777777" w:rsidR="001F7C3D" w:rsidRPr="00D238A6" w:rsidRDefault="008C2088" w:rsidP="00D238A6">
      <w:pPr>
        <w:spacing w:before="120" w:after="120" w:line="360" w:lineRule="auto"/>
        <w:ind w:left="360"/>
        <w:jc w:val="both"/>
        <w:rPr>
          <w:lang w:val="en-GB"/>
        </w:rPr>
      </w:pPr>
      <w:proofErr w:type="spellStart"/>
      <w:r w:rsidRPr="00D238A6">
        <w:rPr>
          <w:lang w:val="en-GB"/>
        </w:rPr>
        <w:t>Griscom</w:t>
      </w:r>
      <w:proofErr w:type="spellEnd"/>
      <w:r w:rsidRPr="00D238A6">
        <w:rPr>
          <w:lang w:val="en-GB"/>
        </w:rPr>
        <w:t xml:space="preserve">, B. W., Adams, J., Ellis, P. W., Houghton, R. A., Lomax, G., </w:t>
      </w:r>
      <w:proofErr w:type="spellStart"/>
      <w:r w:rsidRPr="00D238A6">
        <w:rPr>
          <w:lang w:val="en-GB"/>
        </w:rPr>
        <w:t>Miteva</w:t>
      </w:r>
      <w:proofErr w:type="spellEnd"/>
      <w:r w:rsidRPr="00D238A6">
        <w:rPr>
          <w:lang w:val="en-GB"/>
        </w:rPr>
        <w:t xml:space="preserve">, D. A., Schlesinger, W. H., </w:t>
      </w:r>
      <w:proofErr w:type="spellStart"/>
      <w:r w:rsidRPr="00D238A6">
        <w:rPr>
          <w:lang w:val="en-GB"/>
        </w:rPr>
        <w:t>Shoch</w:t>
      </w:r>
      <w:proofErr w:type="spellEnd"/>
      <w:r w:rsidRPr="00D238A6">
        <w:rPr>
          <w:lang w:val="en-GB"/>
        </w:rPr>
        <w:t xml:space="preserve">, D., </w:t>
      </w:r>
      <w:proofErr w:type="spellStart"/>
      <w:r w:rsidRPr="00D238A6">
        <w:rPr>
          <w:lang w:val="en-GB"/>
        </w:rPr>
        <w:t>Siikamäki</w:t>
      </w:r>
      <w:proofErr w:type="spellEnd"/>
      <w:r w:rsidRPr="00D238A6">
        <w:rPr>
          <w:lang w:val="en-GB"/>
        </w:rPr>
        <w:t xml:space="preserve">, J. V., Smith, P., Woodbury, P., </w:t>
      </w:r>
      <w:proofErr w:type="spellStart"/>
      <w:r w:rsidRPr="00D238A6">
        <w:rPr>
          <w:lang w:val="en-GB"/>
        </w:rPr>
        <w:t>Zganjar</w:t>
      </w:r>
      <w:proofErr w:type="spellEnd"/>
      <w:r w:rsidRPr="00D238A6">
        <w:rPr>
          <w:lang w:val="en-GB"/>
        </w:rPr>
        <w:t xml:space="preserve">, C., Blackman, A., Campari, J., Conant, R. T., Delgado, C., Elias, P., </w:t>
      </w:r>
      <w:proofErr w:type="spellStart"/>
      <w:r w:rsidRPr="00D238A6">
        <w:rPr>
          <w:lang w:val="en-GB"/>
        </w:rPr>
        <w:t>Gopalakrishna</w:t>
      </w:r>
      <w:proofErr w:type="spellEnd"/>
      <w:r w:rsidRPr="00D238A6">
        <w:rPr>
          <w:lang w:val="en-GB"/>
        </w:rPr>
        <w:t xml:space="preserve">, T., </w:t>
      </w:r>
      <w:proofErr w:type="spellStart"/>
      <w:r w:rsidRPr="00D238A6">
        <w:rPr>
          <w:lang w:val="en-GB"/>
        </w:rPr>
        <w:t>Hamsik</w:t>
      </w:r>
      <w:proofErr w:type="spellEnd"/>
      <w:r w:rsidRPr="00D238A6">
        <w:rPr>
          <w:lang w:val="en-GB"/>
        </w:rPr>
        <w:t xml:space="preserve">, M. R., … </w:t>
      </w:r>
      <w:proofErr w:type="spellStart"/>
      <w:r w:rsidRPr="00D238A6">
        <w:rPr>
          <w:lang w:val="en-GB"/>
        </w:rPr>
        <w:t>Fargione</w:t>
      </w:r>
      <w:proofErr w:type="spellEnd"/>
      <w:r w:rsidRPr="00D238A6">
        <w:rPr>
          <w:lang w:val="en-GB"/>
        </w:rPr>
        <w:t>, J. (2017). Natural climate solutions. Proceedings of the National Academy of Sciences, 114(44), 11645–11650. https://doi.org/10.1073/pnas.1710465114</w:t>
      </w:r>
    </w:p>
    <w:p w14:paraId="72F83948" w14:textId="77777777" w:rsidR="001F7C3D" w:rsidRPr="00D238A6" w:rsidRDefault="001F7C3D" w:rsidP="00D238A6">
      <w:pPr>
        <w:spacing w:before="60" w:after="60"/>
        <w:rPr>
          <w:lang w:val="en-GB"/>
        </w:rPr>
      </w:pPr>
    </w:p>
    <w:p w14:paraId="37BA7C10" w14:textId="77777777" w:rsidR="001F7C3D" w:rsidRPr="00D238A6" w:rsidRDefault="008C2088" w:rsidP="00D238A6">
      <w:pPr>
        <w:spacing w:before="120" w:after="120" w:line="360" w:lineRule="auto"/>
        <w:ind w:left="360"/>
        <w:jc w:val="both"/>
        <w:rPr>
          <w:lang w:val="en-GB"/>
        </w:rPr>
      </w:pPr>
      <w:r w:rsidRPr="00D238A6">
        <w:rPr>
          <w:lang w:val="en-GB"/>
        </w:rPr>
        <w:t xml:space="preserve">IPBES. (2019). Global assessment report on biodiversity and ecosystem services of the Intergovernmental Science-Policy Platform on Biodiversity and Ecosystem Services. IPBES Secretariat. </w:t>
      </w:r>
      <w:hyperlink r:id="rId20" w:history="1">
        <w:r w:rsidR="0013078C" w:rsidRPr="00985C3B">
          <w:rPr>
            <w:rStyle w:val="Hyperlink"/>
            <w:lang w:val="en-GB"/>
          </w:rPr>
          <w:t>https://doi.org/10.5281/zenodo.3831673</w:t>
        </w:r>
      </w:hyperlink>
      <w:r w:rsidR="0013078C">
        <w:rPr>
          <w:lang w:val="en-GB"/>
        </w:rPr>
        <w:t xml:space="preserve"> </w:t>
      </w:r>
    </w:p>
    <w:p w14:paraId="083643DD" w14:textId="77777777" w:rsidR="001F7C3D" w:rsidRPr="00D238A6" w:rsidRDefault="001F7C3D" w:rsidP="00D238A6">
      <w:pPr>
        <w:spacing w:before="60" w:after="60"/>
        <w:rPr>
          <w:lang w:val="en-GB"/>
        </w:rPr>
      </w:pPr>
    </w:p>
    <w:p w14:paraId="24D624CB" w14:textId="77777777" w:rsidR="001F7C3D" w:rsidRPr="00D238A6" w:rsidRDefault="008C2088" w:rsidP="00D238A6">
      <w:pPr>
        <w:spacing w:before="120" w:after="120" w:line="360" w:lineRule="auto"/>
        <w:ind w:left="360"/>
        <w:jc w:val="both"/>
        <w:rPr>
          <w:lang w:val="en-GB"/>
        </w:rPr>
      </w:pPr>
      <w:r w:rsidRPr="00D238A6">
        <w:rPr>
          <w:lang w:val="en-GB"/>
        </w:rPr>
        <w:t xml:space="preserve">IPBES. (2020). Workshop report on biodiversity and pandemics of the Intergovernmental Science-Policy Platform on Biodiversity and Ecosystem Services. IPBES Secretariat. </w:t>
      </w:r>
      <w:hyperlink r:id="rId21" w:history="1">
        <w:r w:rsidR="0013078C" w:rsidRPr="00985C3B">
          <w:rPr>
            <w:rStyle w:val="Hyperlink"/>
            <w:lang w:val="en-GB"/>
          </w:rPr>
          <w:t>https://doi.org/10.5281/zenodo.4147317</w:t>
        </w:r>
      </w:hyperlink>
      <w:r w:rsidR="0013078C">
        <w:rPr>
          <w:lang w:val="en-GB"/>
        </w:rPr>
        <w:t xml:space="preserve"> </w:t>
      </w:r>
    </w:p>
    <w:p w14:paraId="464E395E" w14:textId="77777777" w:rsidR="001F7C3D" w:rsidRPr="00D238A6" w:rsidRDefault="001F7C3D" w:rsidP="00D238A6">
      <w:pPr>
        <w:spacing w:before="60" w:after="60"/>
        <w:rPr>
          <w:lang w:val="en-GB"/>
        </w:rPr>
      </w:pPr>
    </w:p>
    <w:p w14:paraId="41FB98C6" w14:textId="77777777" w:rsidR="001F7C3D" w:rsidRPr="00D238A6" w:rsidRDefault="008C2088" w:rsidP="00D238A6">
      <w:pPr>
        <w:spacing w:before="120" w:after="120" w:line="360" w:lineRule="auto"/>
        <w:ind w:left="360"/>
        <w:jc w:val="both"/>
        <w:rPr>
          <w:lang w:val="en-GB"/>
        </w:rPr>
      </w:pPr>
      <w:r w:rsidRPr="00D238A6">
        <w:rPr>
          <w:lang w:val="en-GB"/>
        </w:rPr>
        <w:t>IPCC. (2021). Climate change 2021: The physical science basis. Contribution of Working Group I to the Sixth Assessment Report of the Intergovernmental Panel on Climate Change (Masson-</w:t>
      </w:r>
      <w:proofErr w:type="spellStart"/>
      <w:r w:rsidRPr="00D238A6">
        <w:rPr>
          <w:lang w:val="en-GB"/>
        </w:rPr>
        <w:t>Delmotte</w:t>
      </w:r>
      <w:proofErr w:type="spellEnd"/>
      <w:r w:rsidRPr="00D238A6">
        <w:rPr>
          <w:lang w:val="en-GB"/>
        </w:rPr>
        <w:t>, V. et al., Eds.). Cambridge University Press.</w:t>
      </w:r>
      <w:r w:rsidR="00C04D99">
        <w:rPr>
          <w:lang w:val="en-GB"/>
        </w:rPr>
        <w:t xml:space="preserve"> ISBN: </w:t>
      </w:r>
      <w:r w:rsidR="00C04D99" w:rsidRPr="00C04D99">
        <w:rPr>
          <w:lang w:val="en-GB"/>
        </w:rPr>
        <w:t>9781009157896</w:t>
      </w:r>
      <w:r w:rsidR="00C04D99">
        <w:rPr>
          <w:lang w:val="en-GB"/>
        </w:rPr>
        <w:t xml:space="preserve">. </w:t>
      </w:r>
      <w:r w:rsidRPr="00D238A6">
        <w:rPr>
          <w:lang w:val="en-GB"/>
        </w:rPr>
        <w:t xml:space="preserve"> </w:t>
      </w:r>
      <w:hyperlink r:id="rId22" w:history="1">
        <w:r w:rsidR="00C04D99" w:rsidRPr="00985C3B">
          <w:rPr>
            <w:rStyle w:val="Hyperlink"/>
            <w:lang w:val="en-GB"/>
          </w:rPr>
          <w:t>https://doi.org/10.1017/9781009157896</w:t>
        </w:r>
      </w:hyperlink>
      <w:r w:rsidR="00C04D99">
        <w:rPr>
          <w:lang w:val="en-GB"/>
        </w:rPr>
        <w:t xml:space="preserve"> </w:t>
      </w:r>
    </w:p>
    <w:p w14:paraId="6C20C4A9" w14:textId="77777777" w:rsidR="001F7C3D" w:rsidRPr="00D238A6" w:rsidRDefault="001F7C3D" w:rsidP="00D238A6">
      <w:pPr>
        <w:spacing w:before="60" w:after="60"/>
        <w:rPr>
          <w:lang w:val="en-GB"/>
        </w:rPr>
      </w:pPr>
    </w:p>
    <w:p w14:paraId="40257457" w14:textId="77777777" w:rsidR="001F7C3D" w:rsidRPr="00D238A6" w:rsidRDefault="008C2088" w:rsidP="00D238A6">
      <w:pPr>
        <w:spacing w:before="120" w:after="120" w:line="360" w:lineRule="auto"/>
        <w:ind w:left="360"/>
        <w:jc w:val="both"/>
        <w:rPr>
          <w:lang w:val="en-GB"/>
        </w:rPr>
      </w:pPr>
      <w:r w:rsidRPr="00D238A6">
        <w:rPr>
          <w:lang w:val="en-GB"/>
        </w:rPr>
        <w:t>IPCC. (2022). Climate change 2022: Mitigation of climate change. Contribution of Working Group III to the Sixth Assessment Report of the Intergovernmental Panel on Climate Change (Shukla, P. R. et al., Eds.). Cambridge University Press.</w:t>
      </w:r>
      <w:r w:rsidR="00C04D99">
        <w:rPr>
          <w:lang w:val="en-GB"/>
        </w:rPr>
        <w:t xml:space="preserve"> ISBN: </w:t>
      </w:r>
      <w:r w:rsidR="00C04D99" w:rsidRPr="00C04D99">
        <w:rPr>
          <w:lang w:val="en-GB"/>
        </w:rPr>
        <w:t>9781009157926</w:t>
      </w:r>
      <w:r w:rsidR="00C04D99">
        <w:rPr>
          <w:lang w:val="en-GB"/>
        </w:rPr>
        <w:t xml:space="preserve">. </w:t>
      </w:r>
      <w:r w:rsidRPr="00D238A6">
        <w:rPr>
          <w:lang w:val="en-GB"/>
        </w:rPr>
        <w:t xml:space="preserve"> </w:t>
      </w:r>
      <w:hyperlink r:id="rId23" w:history="1">
        <w:r w:rsidR="00C04D99" w:rsidRPr="00985C3B">
          <w:rPr>
            <w:rStyle w:val="Hyperlink"/>
            <w:lang w:val="en-GB"/>
          </w:rPr>
          <w:t>https://doi.org/10.1017/9781009157926</w:t>
        </w:r>
      </w:hyperlink>
      <w:r w:rsidR="00C04D99">
        <w:rPr>
          <w:lang w:val="en-GB"/>
        </w:rPr>
        <w:t xml:space="preserve"> </w:t>
      </w:r>
    </w:p>
    <w:p w14:paraId="77ED0BA3" w14:textId="77777777" w:rsidR="001F7C3D" w:rsidRPr="00D238A6" w:rsidRDefault="001F7C3D" w:rsidP="00D238A6">
      <w:pPr>
        <w:spacing w:before="60" w:after="60"/>
        <w:rPr>
          <w:lang w:val="en-GB"/>
        </w:rPr>
      </w:pPr>
    </w:p>
    <w:p w14:paraId="5BE46AD8" w14:textId="77777777" w:rsidR="001F7C3D" w:rsidRPr="00D238A6" w:rsidRDefault="008C2088" w:rsidP="00D238A6">
      <w:pPr>
        <w:spacing w:before="120" w:after="120" w:line="360" w:lineRule="auto"/>
        <w:ind w:left="360"/>
        <w:jc w:val="both"/>
        <w:rPr>
          <w:lang w:val="en-GB"/>
        </w:rPr>
      </w:pPr>
      <w:r w:rsidRPr="00D238A6">
        <w:rPr>
          <w:lang w:val="en-GB"/>
        </w:rPr>
        <w:t xml:space="preserve">IPCC. (2023). Climate change 2023: Synthesis report. A report of the Intergovernmental Panel on Climate Change (Core Writing Team, H. Lee and J. Romero, Eds.). IPCC. </w:t>
      </w:r>
      <w:hyperlink r:id="rId24" w:history="1">
        <w:r w:rsidR="00C04D99" w:rsidRPr="00985C3B">
          <w:rPr>
            <w:rStyle w:val="Hyperlink"/>
            <w:lang w:val="en-GB"/>
          </w:rPr>
          <w:t>https://doi.org/10.59327/IPCC/AR6-9789291691647</w:t>
        </w:r>
      </w:hyperlink>
      <w:r w:rsidR="00C04D99">
        <w:rPr>
          <w:lang w:val="en-GB"/>
        </w:rPr>
        <w:t xml:space="preserve"> </w:t>
      </w:r>
    </w:p>
    <w:p w14:paraId="64E3B968" w14:textId="77777777" w:rsidR="001F7C3D" w:rsidRPr="00D238A6" w:rsidRDefault="001F7C3D" w:rsidP="00D238A6">
      <w:pPr>
        <w:spacing w:before="60" w:after="60"/>
        <w:rPr>
          <w:lang w:val="en-GB"/>
        </w:rPr>
      </w:pPr>
    </w:p>
    <w:p w14:paraId="0F4CBBED" w14:textId="77777777" w:rsidR="001F7C3D" w:rsidRPr="00D238A6" w:rsidRDefault="008C2088" w:rsidP="00D238A6">
      <w:pPr>
        <w:spacing w:before="120" w:after="120" w:line="360" w:lineRule="auto"/>
        <w:ind w:left="360"/>
        <w:jc w:val="both"/>
        <w:rPr>
          <w:lang w:val="en-GB"/>
        </w:rPr>
      </w:pPr>
      <w:r w:rsidRPr="00D238A6">
        <w:rPr>
          <w:lang w:val="en-GB"/>
        </w:rPr>
        <w:lastRenderedPageBreak/>
        <w:t>Keohane, R. O., &amp; Victor, D. G. (2011). The regime complex for climate change. Perspectives on Politics, 9(1), 7–23. https://doi.org/10.1017/S1537592710004068</w:t>
      </w:r>
    </w:p>
    <w:p w14:paraId="0DD23137" w14:textId="77777777" w:rsidR="001F7C3D" w:rsidRPr="00D238A6" w:rsidRDefault="001F7C3D" w:rsidP="00D238A6">
      <w:pPr>
        <w:spacing w:before="60" w:after="60"/>
        <w:rPr>
          <w:lang w:val="en-GB"/>
        </w:rPr>
      </w:pPr>
    </w:p>
    <w:p w14:paraId="53B6D4B6" w14:textId="77777777" w:rsidR="001F7C3D" w:rsidRPr="00D238A6" w:rsidRDefault="008C2088" w:rsidP="00D238A6">
      <w:pPr>
        <w:spacing w:before="120" w:after="120" w:line="360" w:lineRule="auto"/>
        <w:ind w:left="360"/>
        <w:jc w:val="both"/>
        <w:rPr>
          <w:lang w:val="en-GB"/>
        </w:rPr>
      </w:pPr>
      <w:proofErr w:type="spellStart"/>
      <w:r w:rsidRPr="00D238A6">
        <w:rPr>
          <w:lang w:val="en-GB"/>
        </w:rPr>
        <w:t>Kok</w:t>
      </w:r>
      <w:proofErr w:type="spellEnd"/>
      <w:r w:rsidRPr="00D238A6">
        <w:rPr>
          <w:lang w:val="en-GB"/>
        </w:rPr>
        <w:t xml:space="preserve">, M. T. J., &amp; De </w:t>
      </w:r>
      <w:proofErr w:type="spellStart"/>
      <w:r w:rsidRPr="00D238A6">
        <w:rPr>
          <w:lang w:val="en-GB"/>
        </w:rPr>
        <w:t>Coninck</w:t>
      </w:r>
      <w:proofErr w:type="spellEnd"/>
      <w:r w:rsidRPr="00D238A6">
        <w:rPr>
          <w:lang w:val="en-GB"/>
        </w:rPr>
        <w:t>, H. C. (2007). Widening the scope of policies to address climate change: Directions for mainstreaming. Environmental Science &amp; Policy, 10(7–8), 587–599. https://doi.org/10.1016/j.envsci.2007.06.003</w:t>
      </w:r>
    </w:p>
    <w:p w14:paraId="280B19C5" w14:textId="77777777" w:rsidR="001F7C3D" w:rsidRPr="00D238A6" w:rsidRDefault="001F7C3D" w:rsidP="00D238A6">
      <w:pPr>
        <w:spacing w:before="60" w:after="60"/>
        <w:rPr>
          <w:lang w:val="en-GB"/>
        </w:rPr>
      </w:pPr>
    </w:p>
    <w:p w14:paraId="4CE85143" w14:textId="77777777" w:rsidR="001F7C3D" w:rsidRPr="00D238A6" w:rsidRDefault="008C2088" w:rsidP="00D238A6">
      <w:pPr>
        <w:spacing w:before="120" w:after="120" w:line="360" w:lineRule="auto"/>
        <w:ind w:left="360"/>
        <w:jc w:val="both"/>
        <w:rPr>
          <w:lang w:val="en-GB"/>
        </w:rPr>
      </w:pPr>
      <w:r w:rsidRPr="00D238A6">
        <w:rPr>
          <w:lang w:val="en-GB"/>
        </w:rPr>
        <w:t>Myers, N., Mittermeier, R. A., Mittermeier, C. G., da Fonseca, G. A. B., &amp; Kent, J. (2000). Biodiversity hotspots for conservation priorities. Nature, 403(6772), 853–858. https://doi.org/10.1038/35002501</w:t>
      </w:r>
    </w:p>
    <w:p w14:paraId="0782681C" w14:textId="77777777" w:rsidR="001F7C3D" w:rsidRPr="00D238A6" w:rsidRDefault="001F7C3D" w:rsidP="00D238A6">
      <w:pPr>
        <w:spacing w:before="60" w:after="60"/>
        <w:rPr>
          <w:lang w:val="en-GB"/>
        </w:rPr>
      </w:pPr>
    </w:p>
    <w:p w14:paraId="30E0BBCF" w14:textId="77777777" w:rsidR="001F7C3D" w:rsidRPr="00D238A6" w:rsidRDefault="008C2088" w:rsidP="00D238A6">
      <w:pPr>
        <w:spacing w:before="120" w:after="120" w:line="360" w:lineRule="auto"/>
        <w:ind w:left="360"/>
        <w:jc w:val="both"/>
        <w:rPr>
          <w:lang w:val="en-GB"/>
        </w:rPr>
      </w:pPr>
      <w:r w:rsidRPr="00D238A6">
        <w:rPr>
          <w:lang w:val="en-GB"/>
        </w:rPr>
        <w:t xml:space="preserve">Nagoya Protocol. (2010). Nagoya Protocol on access to genetic resources and the fair and equitable sharing of benefits arising from their utilization to the Convention on Biological Diversity. Secretariat of the Convention on Biological Diversity. </w:t>
      </w:r>
      <w:hyperlink r:id="rId25" w:history="1">
        <w:r w:rsidR="00C04D99" w:rsidRPr="00985C3B">
          <w:rPr>
            <w:rStyle w:val="Hyperlink"/>
            <w:lang w:val="en-GB"/>
          </w:rPr>
          <w:t>https://www.cbd.int/abs/doc/protocol/nagoya-protocol-en.pdf</w:t>
        </w:r>
      </w:hyperlink>
      <w:r w:rsidR="00C04D99">
        <w:rPr>
          <w:lang w:val="en-GB"/>
        </w:rPr>
        <w:t xml:space="preserve"> </w:t>
      </w:r>
    </w:p>
    <w:p w14:paraId="3891D289" w14:textId="77777777" w:rsidR="001F7C3D" w:rsidRPr="00D238A6" w:rsidRDefault="001F7C3D" w:rsidP="00D238A6">
      <w:pPr>
        <w:spacing w:before="60" w:after="60"/>
        <w:rPr>
          <w:lang w:val="en-GB"/>
        </w:rPr>
      </w:pPr>
    </w:p>
    <w:p w14:paraId="4D469F8B" w14:textId="77777777" w:rsidR="001F7C3D" w:rsidRPr="00D238A6" w:rsidRDefault="008C2088" w:rsidP="00D238A6">
      <w:pPr>
        <w:spacing w:before="120" w:after="120" w:line="360" w:lineRule="auto"/>
        <w:ind w:left="360"/>
        <w:jc w:val="both"/>
        <w:rPr>
          <w:lang w:val="en-GB"/>
        </w:rPr>
      </w:pPr>
      <w:r w:rsidRPr="00D238A6">
        <w:rPr>
          <w:lang w:val="en-GB"/>
        </w:rPr>
        <w:t xml:space="preserve">Nurse, L. A., McLean, R. F., </w:t>
      </w:r>
      <w:proofErr w:type="spellStart"/>
      <w:r w:rsidRPr="00D238A6">
        <w:rPr>
          <w:lang w:val="en-GB"/>
        </w:rPr>
        <w:t>Agard</w:t>
      </w:r>
      <w:proofErr w:type="spellEnd"/>
      <w:r w:rsidRPr="00D238A6">
        <w:rPr>
          <w:lang w:val="en-GB"/>
        </w:rPr>
        <w:t xml:space="preserve">, J., </w:t>
      </w:r>
      <w:proofErr w:type="spellStart"/>
      <w:r w:rsidRPr="00D238A6">
        <w:rPr>
          <w:lang w:val="en-GB"/>
        </w:rPr>
        <w:t>Briguglio</w:t>
      </w:r>
      <w:proofErr w:type="spellEnd"/>
      <w:r w:rsidRPr="00D238A6">
        <w:rPr>
          <w:lang w:val="en-GB"/>
        </w:rPr>
        <w:t xml:space="preserve">, L. P., </w:t>
      </w:r>
      <w:proofErr w:type="spellStart"/>
      <w:r w:rsidRPr="00D238A6">
        <w:rPr>
          <w:lang w:val="en-GB"/>
        </w:rPr>
        <w:t>Duvat-Magnan</w:t>
      </w:r>
      <w:proofErr w:type="spellEnd"/>
      <w:r w:rsidRPr="00D238A6">
        <w:rPr>
          <w:lang w:val="en-GB"/>
        </w:rPr>
        <w:t xml:space="preserve">, V., </w:t>
      </w:r>
      <w:proofErr w:type="spellStart"/>
      <w:r w:rsidRPr="00D238A6">
        <w:rPr>
          <w:lang w:val="en-GB"/>
        </w:rPr>
        <w:t>Pelesikoti</w:t>
      </w:r>
      <w:proofErr w:type="spellEnd"/>
      <w:r w:rsidRPr="00D238A6">
        <w:rPr>
          <w:lang w:val="en-GB"/>
        </w:rPr>
        <w:t xml:space="preserve">, N., Tompkins, E., &amp; Webb, A. (2014). Small islands. In V. R. Barros et al. (Eds.), Climate change 2014: Impacts, adaptation, and vulnerability. Part B: Regional aspects. Contribution of Working Group II to the Fifth Assessment Report of the IPCC (pp. 1613–1654). Cambridge University Press. </w:t>
      </w:r>
      <w:hyperlink r:id="rId26" w:history="1">
        <w:r w:rsidR="00C04D99" w:rsidRPr="00985C3B">
          <w:rPr>
            <w:rStyle w:val="Hyperlink"/>
            <w:lang w:val="en-GB"/>
          </w:rPr>
          <w:t>https://doi.org/10.1017/CBO9781107415386</w:t>
        </w:r>
      </w:hyperlink>
      <w:r w:rsidR="00C04D99">
        <w:rPr>
          <w:lang w:val="en-GB"/>
        </w:rPr>
        <w:t xml:space="preserve"> </w:t>
      </w:r>
    </w:p>
    <w:p w14:paraId="2963862B" w14:textId="77777777" w:rsidR="001F7C3D" w:rsidRPr="00D238A6" w:rsidRDefault="001F7C3D" w:rsidP="00D238A6">
      <w:pPr>
        <w:spacing w:before="60" w:after="60"/>
        <w:rPr>
          <w:lang w:val="en-GB"/>
        </w:rPr>
      </w:pPr>
    </w:p>
    <w:p w14:paraId="6A1EDDF6" w14:textId="77777777" w:rsidR="001F7C3D" w:rsidRPr="00D238A6" w:rsidRDefault="008C2088" w:rsidP="00D238A6">
      <w:pPr>
        <w:spacing w:before="120" w:after="120" w:line="360" w:lineRule="auto"/>
        <w:ind w:left="360"/>
        <w:jc w:val="both"/>
        <w:rPr>
          <w:lang w:val="en-GB"/>
        </w:rPr>
      </w:pPr>
      <w:proofErr w:type="spellStart"/>
      <w:r w:rsidRPr="00D238A6">
        <w:rPr>
          <w:lang w:val="en-GB"/>
        </w:rPr>
        <w:t>Pörtner</w:t>
      </w:r>
      <w:proofErr w:type="spellEnd"/>
      <w:r w:rsidRPr="00D238A6">
        <w:rPr>
          <w:lang w:val="en-GB"/>
        </w:rPr>
        <w:t xml:space="preserve">, H.-O., Scholes, R. J., </w:t>
      </w:r>
      <w:proofErr w:type="spellStart"/>
      <w:r w:rsidRPr="00D238A6">
        <w:rPr>
          <w:lang w:val="en-GB"/>
        </w:rPr>
        <w:t>Agard</w:t>
      </w:r>
      <w:proofErr w:type="spellEnd"/>
      <w:r w:rsidRPr="00D238A6">
        <w:rPr>
          <w:lang w:val="en-GB"/>
        </w:rPr>
        <w:t xml:space="preserve">, J., Archer, E., </w:t>
      </w:r>
      <w:proofErr w:type="spellStart"/>
      <w:r w:rsidRPr="00D238A6">
        <w:rPr>
          <w:lang w:val="en-GB"/>
        </w:rPr>
        <w:t>Arneth</w:t>
      </w:r>
      <w:proofErr w:type="spellEnd"/>
      <w:r w:rsidRPr="00D238A6">
        <w:rPr>
          <w:lang w:val="en-GB"/>
        </w:rPr>
        <w:t xml:space="preserve">, A., Bai, X., Barnes, D., Burrows, M., Chan, L., Cheung, W. L., Diamond, S., </w:t>
      </w:r>
      <w:proofErr w:type="spellStart"/>
      <w:r w:rsidRPr="00D238A6">
        <w:rPr>
          <w:lang w:val="en-GB"/>
        </w:rPr>
        <w:t>Donatti</w:t>
      </w:r>
      <w:proofErr w:type="spellEnd"/>
      <w:r w:rsidRPr="00D238A6">
        <w:rPr>
          <w:lang w:val="en-GB"/>
        </w:rPr>
        <w:t xml:space="preserve">, C., Duarte, C., Eisenhauer, N., Foden, W., </w:t>
      </w:r>
      <w:proofErr w:type="spellStart"/>
      <w:r w:rsidRPr="00D238A6">
        <w:rPr>
          <w:lang w:val="en-GB"/>
        </w:rPr>
        <w:t>Gasalla</w:t>
      </w:r>
      <w:proofErr w:type="spellEnd"/>
      <w:r w:rsidRPr="00D238A6">
        <w:rPr>
          <w:lang w:val="en-GB"/>
        </w:rPr>
        <w:t xml:space="preserve">, M. A., </w:t>
      </w:r>
      <w:proofErr w:type="spellStart"/>
      <w:r w:rsidRPr="00D238A6">
        <w:rPr>
          <w:lang w:val="en-GB"/>
        </w:rPr>
        <w:t>Handa</w:t>
      </w:r>
      <w:proofErr w:type="spellEnd"/>
      <w:r w:rsidRPr="00D238A6">
        <w:rPr>
          <w:lang w:val="en-GB"/>
        </w:rPr>
        <w:t xml:space="preserve">, C., </w:t>
      </w:r>
      <w:proofErr w:type="spellStart"/>
      <w:r w:rsidRPr="00D238A6">
        <w:rPr>
          <w:lang w:val="en-GB"/>
        </w:rPr>
        <w:t>Hickler</w:t>
      </w:r>
      <w:proofErr w:type="spellEnd"/>
      <w:r w:rsidRPr="00D238A6">
        <w:rPr>
          <w:lang w:val="en-GB"/>
        </w:rPr>
        <w:t xml:space="preserve">, T., </w:t>
      </w:r>
      <w:proofErr w:type="spellStart"/>
      <w:r w:rsidRPr="00D238A6">
        <w:rPr>
          <w:lang w:val="en-GB"/>
        </w:rPr>
        <w:t>Hoegh</w:t>
      </w:r>
      <w:proofErr w:type="spellEnd"/>
      <w:r w:rsidRPr="00D238A6">
        <w:rPr>
          <w:lang w:val="en-GB"/>
        </w:rPr>
        <w:t xml:space="preserve">-Guldberg, O., … Ngo, H. T. (2021). Scientific outcome of the IPBES-IPCC co-sponsored workshop on biodiversity and climate change. IPBES Secretariat. </w:t>
      </w:r>
      <w:hyperlink r:id="rId27" w:history="1">
        <w:r w:rsidR="00C04D99" w:rsidRPr="00985C3B">
          <w:rPr>
            <w:rStyle w:val="Hyperlink"/>
            <w:lang w:val="en-GB"/>
          </w:rPr>
          <w:t>https://doi.org/10.5281/zenodo.4659158</w:t>
        </w:r>
      </w:hyperlink>
      <w:r w:rsidR="00C04D99">
        <w:rPr>
          <w:lang w:val="en-GB"/>
        </w:rPr>
        <w:t xml:space="preserve"> </w:t>
      </w:r>
    </w:p>
    <w:p w14:paraId="3D360501" w14:textId="77777777" w:rsidR="001F7C3D" w:rsidRPr="00D238A6" w:rsidRDefault="001F7C3D" w:rsidP="00D238A6">
      <w:pPr>
        <w:spacing w:before="60" w:after="60"/>
        <w:rPr>
          <w:lang w:val="en-GB"/>
        </w:rPr>
      </w:pPr>
    </w:p>
    <w:p w14:paraId="5C6ABAA6" w14:textId="77777777" w:rsidR="001F7C3D" w:rsidRPr="00D238A6" w:rsidRDefault="008C2088" w:rsidP="00D238A6">
      <w:pPr>
        <w:spacing w:before="120" w:after="120" w:line="360" w:lineRule="auto"/>
        <w:ind w:left="360"/>
        <w:jc w:val="both"/>
        <w:rPr>
          <w:lang w:val="en-GB"/>
        </w:rPr>
      </w:pPr>
      <w:proofErr w:type="spellStart"/>
      <w:r w:rsidRPr="00D238A6">
        <w:rPr>
          <w:lang w:val="en-GB"/>
        </w:rPr>
        <w:lastRenderedPageBreak/>
        <w:t>Rajamani</w:t>
      </w:r>
      <w:proofErr w:type="spellEnd"/>
      <w:r w:rsidRPr="00D238A6">
        <w:rPr>
          <w:lang w:val="en-GB"/>
        </w:rPr>
        <w:t>, L. (2012). The changing fortunes of differential treatment in the evolution of international environmental law. International Affairs, 88(3), 605–623. https://doi.org/10.1111/j.1468-2346.2012.01091.x</w:t>
      </w:r>
    </w:p>
    <w:p w14:paraId="0587507E" w14:textId="77777777" w:rsidR="001F7C3D" w:rsidRPr="00D238A6" w:rsidRDefault="001F7C3D" w:rsidP="00D238A6">
      <w:pPr>
        <w:spacing w:before="60" w:after="60"/>
        <w:rPr>
          <w:lang w:val="en-GB"/>
        </w:rPr>
      </w:pPr>
    </w:p>
    <w:p w14:paraId="3327B19D" w14:textId="77777777" w:rsidR="001F7C3D" w:rsidRPr="00D238A6" w:rsidRDefault="008C2088" w:rsidP="00D238A6">
      <w:pPr>
        <w:spacing w:before="120" w:after="120" w:line="360" w:lineRule="auto"/>
        <w:ind w:left="360"/>
        <w:jc w:val="both"/>
        <w:rPr>
          <w:lang w:val="en-GB"/>
        </w:rPr>
      </w:pPr>
      <w:proofErr w:type="spellStart"/>
      <w:r w:rsidRPr="00D238A6">
        <w:rPr>
          <w:lang w:val="en-GB"/>
        </w:rPr>
        <w:t>Rockström</w:t>
      </w:r>
      <w:proofErr w:type="spellEnd"/>
      <w:r w:rsidRPr="00D238A6">
        <w:rPr>
          <w:lang w:val="en-GB"/>
        </w:rPr>
        <w:t xml:space="preserve">, J., Steffen, W., </w:t>
      </w:r>
      <w:proofErr w:type="spellStart"/>
      <w:r w:rsidRPr="00D238A6">
        <w:rPr>
          <w:lang w:val="en-GB"/>
        </w:rPr>
        <w:t>Noone</w:t>
      </w:r>
      <w:proofErr w:type="spellEnd"/>
      <w:r w:rsidRPr="00D238A6">
        <w:rPr>
          <w:lang w:val="en-GB"/>
        </w:rPr>
        <w:t xml:space="preserve">, K., Persson, Å., Chapin, F. S., </w:t>
      </w:r>
      <w:proofErr w:type="spellStart"/>
      <w:r w:rsidRPr="00D238A6">
        <w:rPr>
          <w:lang w:val="en-GB"/>
        </w:rPr>
        <w:t>Lambin</w:t>
      </w:r>
      <w:proofErr w:type="spellEnd"/>
      <w:r w:rsidRPr="00D238A6">
        <w:rPr>
          <w:lang w:val="en-GB"/>
        </w:rPr>
        <w:t xml:space="preserve">, E. F., </w:t>
      </w:r>
      <w:proofErr w:type="spellStart"/>
      <w:r w:rsidRPr="00D238A6">
        <w:rPr>
          <w:lang w:val="en-GB"/>
        </w:rPr>
        <w:t>Lenton</w:t>
      </w:r>
      <w:proofErr w:type="spellEnd"/>
      <w:r w:rsidRPr="00D238A6">
        <w:rPr>
          <w:lang w:val="en-GB"/>
        </w:rPr>
        <w:t xml:space="preserve">, T. M., </w:t>
      </w:r>
      <w:proofErr w:type="spellStart"/>
      <w:r w:rsidRPr="00D238A6">
        <w:rPr>
          <w:lang w:val="en-GB"/>
        </w:rPr>
        <w:t>Scheffer</w:t>
      </w:r>
      <w:proofErr w:type="spellEnd"/>
      <w:r w:rsidRPr="00D238A6">
        <w:rPr>
          <w:lang w:val="en-GB"/>
        </w:rPr>
        <w:t xml:space="preserve">, M., </w:t>
      </w:r>
      <w:proofErr w:type="spellStart"/>
      <w:r w:rsidRPr="00D238A6">
        <w:rPr>
          <w:lang w:val="en-GB"/>
        </w:rPr>
        <w:t>Folke</w:t>
      </w:r>
      <w:proofErr w:type="spellEnd"/>
      <w:r w:rsidRPr="00D238A6">
        <w:rPr>
          <w:lang w:val="en-GB"/>
        </w:rPr>
        <w:t xml:space="preserve">, C., </w:t>
      </w:r>
      <w:proofErr w:type="spellStart"/>
      <w:r w:rsidRPr="00D238A6">
        <w:rPr>
          <w:lang w:val="en-GB"/>
        </w:rPr>
        <w:t>Schellnhuber</w:t>
      </w:r>
      <w:proofErr w:type="spellEnd"/>
      <w:r w:rsidRPr="00D238A6">
        <w:rPr>
          <w:lang w:val="en-GB"/>
        </w:rPr>
        <w:t xml:space="preserve">, H. J., </w:t>
      </w:r>
      <w:proofErr w:type="spellStart"/>
      <w:r w:rsidRPr="00D238A6">
        <w:rPr>
          <w:lang w:val="en-GB"/>
        </w:rPr>
        <w:t>Nykvist</w:t>
      </w:r>
      <w:proofErr w:type="spellEnd"/>
      <w:r w:rsidRPr="00D238A6">
        <w:rPr>
          <w:lang w:val="en-GB"/>
        </w:rPr>
        <w:t xml:space="preserve">, B., de Wit, C. A., Hughes, T., van der Leeuw, S., Rodhe, H., </w:t>
      </w:r>
      <w:proofErr w:type="spellStart"/>
      <w:r w:rsidRPr="00D238A6">
        <w:rPr>
          <w:lang w:val="en-GB"/>
        </w:rPr>
        <w:t>Sörlin</w:t>
      </w:r>
      <w:proofErr w:type="spellEnd"/>
      <w:r w:rsidRPr="00D238A6">
        <w:rPr>
          <w:lang w:val="en-GB"/>
        </w:rPr>
        <w:t xml:space="preserve">, S., Snyder, P. K., Costanza, R., </w:t>
      </w:r>
      <w:proofErr w:type="spellStart"/>
      <w:r w:rsidRPr="00D238A6">
        <w:rPr>
          <w:lang w:val="en-GB"/>
        </w:rPr>
        <w:t>Svedin</w:t>
      </w:r>
      <w:proofErr w:type="spellEnd"/>
      <w:r w:rsidRPr="00D238A6">
        <w:rPr>
          <w:lang w:val="en-GB"/>
        </w:rPr>
        <w:t>, U., … Foley, J. A. (2009). A safe operating space for humanity. Nature, 461(7263), 472–475. https://doi.org/10.1038/461472a</w:t>
      </w:r>
    </w:p>
    <w:p w14:paraId="14D5A496" w14:textId="77777777" w:rsidR="001F7C3D" w:rsidRPr="00D238A6" w:rsidRDefault="001F7C3D" w:rsidP="00D238A6">
      <w:pPr>
        <w:spacing w:before="60" w:after="60"/>
        <w:rPr>
          <w:lang w:val="en-GB"/>
        </w:rPr>
      </w:pPr>
    </w:p>
    <w:p w14:paraId="6317CC15" w14:textId="77777777" w:rsidR="001F7C3D" w:rsidRPr="00D238A6" w:rsidRDefault="008C2088" w:rsidP="00D238A6">
      <w:pPr>
        <w:spacing w:before="120" w:after="120" w:line="360" w:lineRule="auto"/>
        <w:ind w:left="360"/>
        <w:jc w:val="both"/>
        <w:rPr>
          <w:lang w:val="en-GB"/>
        </w:rPr>
      </w:pPr>
      <w:r w:rsidRPr="00D238A6">
        <w:rPr>
          <w:lang w:val="en-GB"/>
        </w:rPr>
        <w:t xml:space="preserve">Steffen, W., Richardson, K., </w:t>
      </w:r>
      <w:proofErr w:type="spellStart"/>
      <w:r w:rsidRPr="00D238A6">
        <w:rPr>
          <w:lang w:val="en-GB"/>
        </w:rPr>
        <w:t>Rockström</w:t>
      </w:r>
      <w:proofErr w:type="spellEnd"/>
      <w:r w:rsidRPr="00D238A6">
        <w:rPr>
          <w:lang w:val="en-GB"/>
        </w:rPr>
        <w:t xml:space="preserve">, J., Cornell, S. E., Fetzer, I., Bennett, E. M., Biggs, R., Carpenter, S. R., de Vries, W., de Wit, C. A., </w:t>
      </w:r>
      <w:proofErr w:type="spellStart"/>
      <w:r w:rsidRPr="00D238A6">
        <w:rPr>
          <w:lang w:val="en-GB"/>
        </w:rPr>
        <w:t>Folke</w:t>
      </w:r>
      <w:proofErr w:type="spellEnd"/>
      <w:r w:rsidRPr="00D238A6">
        <w:rPr>
          <w:lang w:val="en-GB"/>
        </w:rPr>
        <w:t xml:space="preserve">, C., </w:t>
      </w:r>
      <w:proofErr w:type="spellStart"/>
      <w:r w:rsidRPr="00D238A6">
        <w:rPr>
          <w:lang w:val="en-GB"/>
        </w:rPr>
        <w:t>Gerten</w:t>
      </w:r>
      <w:proofErr w:type="spellEnd"/>
      <w:r w:rsidRPr="00D238A6">
        <w:rPr>
          <w:lang w:val="en-GB"/>
        </w:rPr>
        <w:t xml:space="preserve">, D., </w:t>
      </w:r>
      <w:proofErr w:type="spellStart"/>
      <w:r w:rsidRPr="00D238A6">
        <w:rPr>
          <w:lang w:val="en-GB"/>
        </w:rPr>
        <w:t>Heinke</w:t>
      </w:r>
      <w:proofErr w:type="spellEnd"/>
      <w:r w:rsidRPr="00D238A6">
        <w:rPr>
          <w:lang w:val="en-GB"/>
        </w:rPr>
        <w:t xml:space="preserve">, J., Mace, G. M., Persson, L. M., Ramanathan, V., </w:t>
      </w:r>
      <w:proofErr w:type="spellStart"/>
      <w:r w:rsidRPr="00D238A6">
        <w:rPr>
          <w:lang w:val="en-GB"/>
        </w:rPr>
        <w:t>Reyers</w:t>
      </w:r>
      <w:proofErr w:type="spellEnd"/>
      <w:r w:rsidRPr="00D238A6">
        <w:rPr>
          <w:lang w:val="en-GB"/>
        </w:rPr>
        <w:t xml:space="preserve">, B., &amp; </w:t>
      </w:r>
      <w:proofErr w:type="spellStart"/>
      <w:r w:rsidRPr="00D238A6">
        <w:rPr>
          <w:lang w:val="en-GB"/>
        </w:rPr>
        <w:t>Sörlin</w:t>
      </w:r>
      <w:proofErr w:type="spellEnd"/>
      <w:r w:rsidRPr="00D238A6">
        <w:rPr>
          <w:lang w:val="en-GB"/>
        </w:rPr>
        <w:t>, S. (2015). Planetary boundaries: Guiding human development on a changing planet. Science, 347(6223), 1259855. https://doi.org/10.1126/science.1259855</w:t>
      </w:r>
    </w:p>
    <w:p w14:paraId="22FD274F" w14:textId="77777777" w:rsidR="001F7C3D" w:rsidRPr="00D238A6" w:rsidRDefault="001F7C3D" w:rsidP="00D238A6">
      <w:pPr>
        <w:spacing w:before="60" w:after="60"/>
        <w:rPr>
          <w:lang w:val="en-GB"/>
        </w:rPr>
      </w:pPr>
    </w:p>
    <w:p w14:paraId="64D9C7D5" w14:textId="77777777" w:rsidR="001F7C3D" w:rsidRPr="00D238A6" w:rsidRDefault="008C2088" w:rsidP="00D238A6">
      <w:pPr>
        <w:spacing w:before="120" w:after="120" w:line="360" w:lineRule="auto"/>
        <w:ind w:left="360"/>
        <w:jc w:val="both"/>
        <w:rPr>
          <w:lang w:val="en-GB"/>
        </w:rPr>
      </w:pPr>
      <w:r w:rsidRPr="00D238A6">
        <w:rPr>
          <w:lang w:val="en-GB"/>
        </w:rPr>
        <w:t>Swanson, T. M. (1999). Why is there a biodiversity convention? The international interest in centralized development planning. International Affairs, 75(2), 307–331. https://doi.org/10.1111/1468-2346.00074</w:t>
      </w:r>
    </w:p>
    <w:p w14:paraId="11D410D2" w14:textId="77777777" w:rsidR="001F7C3D" w:rsidRPr="00D238A6" w:rsidRDefault="001F7C3D" w:rsidP="00D238A6">
      <w:pPr>
        <w:spacing w:before="60" w:after="60"/>
        <w:rPr>
          <w:lang w:val="en-GB"/>
        </w:rPr>
      </w:pPr>
    </w:p>
    <w:p w14:paraId="0F9604FC" w14:textId="77777777" w:rsidR="001F7C3D" w:rsidRPr="00D238A6" w:rsidRDefault="008C2088" w:rsidP="00D238A6">
      <w:pPr>
        <w:spacing w:before="120" w:after="120" w:line="360" w:lineRule="auto"/>
        <w:ind w:left="360"/>
        <w:jc w:val="both"/>
        <w:rPr>
          <w:lang w:val="en-GB"/>
        </w:rPr>
      </w:pPr>
      <w:r w:rsidRPr="00D238A6">
        <w:rPr>
          <w:lang w:val="en-GB"/>
        </w:rPr>
        <w:t>UNFCCC. (2015). Paris Agreement. United Nations Framework Convention on Climate Change. https://unfccc.int/sites/default/files/english_paris_agreement.pdf</w:t>
      </w:r>
    </w:p>
    <w:p w14:paraId="0949EFF9" w14:textId="77777777" w:rsidR="001F7C3D" w:rsidRPr="00D238A6" w:rsidRDefault="001F7C3D" w:rsidP="00D238A6">
      <w:pPr>
        <w:spacing w:before="60" w:after="60"/>
        <w:rPr>
          <w:lang w:val="en-GB"/>
        </w:rPr>
      </w:pPr>
    </w:p>
    <w:p w14:paraId="7487CE50" w14:textId="77777777" w:rsidR="001F7C3D" w:rsidRPr="00D238A6" w:rsidRDefault="008C2088" w:rsidP="00D238A6">
      <w:pPr>
        <w:spacing w:before="120" w:after="120" w:line="360" w:lineRule="auto"/>
        <w:ind w:left="360"/>
        <w:jc w:val="both"/>
        <w:rPr>
          <w:lang w:val="en-GB"/>
        </w:rPr>
      </w:pPr>
      <w:r w:rsidRPr="00D238A6">
        <w:rPr>
          <w:lang w:val="en-GB"/>
        </w:rPr>
        <w:t xml:space="preserve">United Nations. (2021). System of environmental-economic accounting — Ecosystem accounting (SEEA EA). United Nations Statistics Division. </w:t>
      </w:r>
      <w:hyperlink r:id="rId28" w:history="1">
        <w:r w:rsidR="0063713E" w:rsidRPr="00985C3B">
          <w:rPr>
            <w:rStyle w:val="Hyperlink"/>
            <w:lang w:val="en-GB"/>
          </w:rPr>
          <w:t>https://seea.un.org/ecosystem-accounting</w:t>
        </w:r>
      </w:hyperlink>
      <w:r w:rsidR="0063713E">
        <w:rPr>
          <w:lang w:val="en-GB"/>
        </w:rPr>
        <w:t xml:space="preserve"> </w:t>
      </w:r>
    </w:p>
    <w:p w14:paraId="1902CF5F" w14:textId="77777777" w:rsidR="001F7C3D" w:rsidRPr="00D238A6" w:rsidRDefault="001F7C3D" w:rsidP="00D238A6">
      <w:pPr>
        <w:spacing w:before="60" w:after="60"/>
        <w:rPr>
          <w:lang w:val="en-GB"/>
        </w:rPr>
      </w:pPr>
    </w:p>
    <w:p w14:paraId="1BDA302D" w14:textId="77777777" w:rsidR="001F7C3D" w:rsidRPr="00D238A6" w:rsidRDefault="008C2088" w:rsidP="00D238A6">
      <w:pPr>
        <w:spacing w:before="120" w:after="120" w:line="360" w:lineRule="auto"/>
        <w:ind w:left="360"/>
        <w:jc w:val="both"/>
        <w:rPr>
          <w:lang w:val="en-GB"/>
        </w:rPr>
      </w:pPr>
      <w:proofErr w:type="spellStart"/>
      <w:r w:rsidRPr="00D238A6">
        <w:rPr>
          <w:lang w:val="en-GB"/>
        </w:rPr>
        <w:t>Wara</w:t>
      </w:r>
      <w:proofErr w:type="spellEnd"/>
      <w:r w:rsidRPr="00D238A6">
        <w:rPr>
          <w:lang w:val="en-GB"/>
        </w:rPr>
        <w:t>, M. (2007). Is the global carbon market working? Nature, 445(7128), 595–596. https://doi.org/10.1038/445595a</w:t>
      </w:r>
    </w:p>
    <w:p w14:paraId="1C76FED3" w14:textId="77777777" w:rsidR="001F7C3D" w:rsidRPr="00D238A6" w:rsidRDefault="001F7C3D" w:rsidP="00D238A6">
      <w:pPr>
        <w:spacing w:before="60" w:after="60"/>
        <w:rPr>
          <w:lang w:val="en-GB"/>
        </w:rPr>
      </w:pPr>
    </w:p>
    <w:sectPr w:rsidR="001F7C3D" w:rsidRPr="00D238A6" w:rsidSect="001F7C3D">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08E6" w14:textId="77777777" w:rsidR="002A16C2" w:rsidRDefault="002A16C2" w:rsidP="001F7C3D">
      <w:r>
        <w:separator/>
      </w:r>
    </w:p>
  </w:endnote>
  <w:endnote w:type="continuationSeparator" w:id="0">
    <w:p w14:paraId="098AE889" w14:textId="77777777" w:rsidR="002A16C2" w:rsidRDefault="002A16C2" w:rsidP="001F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5317" w14:textId="77777777" w:rsidR="00067C22" w:rsidRDefault="0006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C0C2" w14:textId="77777777" w:rsidR="001F7C3D" w:rsidRDefault="001F7C3D">
    <w:pPr>
      <w:jc w:val="center"/>
    </w:pPr>
    <w:r>
      <w:rPr>
        <w:sz w:val="20"/>
        <w:szCs w:val="20"/>
      </w:rPr>
      <w:fldChar w:fldCharType="begin"/>
    </w:r>
    <w:r w:rsidR="008C2088">
      <w:rPr>
        <w:sz w:val="20"/>
        <w:szCs w:val="20"/>
      </w:rPr>
      <w:instrText>PAGE</w:instrText>
    </w:r>
    <w:r>
      <w:rPr>
        <w:sz w:val="20"/>
        <w:szCs w:val="20"/>
      </w:rPr>
      <w:fldChar w:fldCharType="separate"/>
    </w:r>
    <w:r w:rsidR="0063713E">
      <w:rPr>
        <w:noProof/>
        <w:sz w:val="20"/>
        <w:szCs w:val="20"/>
      </w:rPr>
      <w:t>33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5FD0" w14:textId="77777777" w:rsidR="00067C22" w:rsidRDefault="0006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0281C" w14:textId="77777777" w:rsidR="002A16C2" w:rsidRDefault="002A16C2" w:rsidP="001F7C3D">
      <w:r>
        <w:separator/>
      </w:r>
    </w:p>
  </w:footnote>
  <w:footnote w:type="continuationSeparator" w:id="0">
    <w:p w14:paraId="7B88BF3F" w14:textId="77777777" w:rsidR="002A16C2" w:rsidRDefault="002A16C2" w:rsidP="001F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725C" w14:textId="1B478697" w:rsidR="00067C22" w:rsidRDefault="00067C22">
    <w:pPr>
      <w:pStyle w:val="Header"/>
    </w:pPr>
    <w:r>
      <w:rPr>
        <w:noProof/>
      </w:rPr>
      <w:pict w14:anchorId="1E401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8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FDCB" w14:textId="10F77D45" w:rsidR="00067C22" w:rsidRDefault="00067C22">
    <w:pPr>
      <w:pStyle w:val="Header"/>
    </w:pPr>
    <w:r>
      <w:rPr>
        <w:noProof/>
      </w:rPr>
      <w:pict w14:anchorId="6908C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8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5E56" w14:textId="67255DB7" w:rsidR="00067C22" w:rsidRDefault="00067C22">
    <w:pPr>
      <w:pStyle w:val="Header"/>
    </w:pPr>
    <w:r>
      <w:rPr>
        <w:noProof/>
      </w:rPr>
      <w:pict w14:anchorId="46CDF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8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D2272"/>
    <w:multiLevelType w:val="hybridMultilevel"/>
    <w:tmpl w:val="38043DCA"/>
    <w:lvl w:ilvl="0" w:tplc="FE0E0B58">
      <w:start w:val="1"/>
      <w:numFmt w:val="bullet"/>
      <w:lvlText w:val="●"/>
      <w:lvlJc w:val="left"/>
      <w:pPr>
        <w:ind w:left="720" w:hanging="360"/>
      </w:pPr>
    </w:lvl>
    <w:lvl w:ilvl="1" w:tplc="985A54BE">
      <w:start w:val="1"/>
      <w:numFmt w:val="bullet"/>
      <w:lvlText w:val="○"/>
      <w:lvlJc w:val="left"/>
      <w:pPr>
        <w:ind w:left="1440" w:hanging="360"/>
      </w:pPr>
    </w:lvl>
    <w:lvl w:ilvl="2" w:tplc="70362EE8">
      <w:start w:val="1"/>
      <w:numFmt w:val="bullet"/>
      <w:lvlText w:val="■"/>
      <w:lvlJc w:val="left"/>
      <w:pPr>
        <w:ind w:left="2160" w:hanging="360"/>
      </w:pPr>
    </w:lvl>
    <w:lvl w:ilvl="3" w:tplc="E6000A4E">
      <w:start w:val="1"/>
      <w:numFmt w:val="bullet"/>
      <w:lvlText w:val="●"/>
      <w:lvlJc w:val="left"/>
      <w:pPr>
        <w:ind w:left="2880" w:hanging="360"/>
      </w:pPr>
    </w:lvl>
    <w:lvl w:ilvl="4" w:tplc="D746285E">
      <w:start w:val="1"/>
      <w:numFmt w:val="bullet"/>
      <w:lvlText w:val="○"/>
      <w:lvlJc w:val="left"/>
      <w:pPr>
        <w:ind w:left="3600" w:hanging="360"/>
      </w:pPr>
    </w:lvl>
    <w:lvl w:ilvl="5" w:tplc="003AE964">
      <w:start w:val="1"/>
      <w:numFmt w:val="bullet"/>
      <w:lvlText w:val="■"/>
      <w:lvlJc w:val="left"/>
      <w:pPr>
        <w:ind w:left="4320" w:hanging="360"/>
      </w:pPr>
    </w:lvl>
    <w:lvl w:ilvl="6" w:tplc="4588FB3A">
      <w:start w:val="1"/>
      <w:numFmt w:val="bullet"/>
      <w:lvlText w:val="●"/>
      <w:lvlJc w:val="left"/>
      <w:pPr>
        <w:ind w:left="5040" w:hanging="360"/>
      </w:pPr>
    </w:lvl>
    <w:lvl w:ilvl="7" w:tplc="916AFF4C">
      <w:start w:val="1"/>
      <w:numFmt w:val="bullet"/>
      <w:lvlText w:val="●"/>
      <w:lvlJc w:val="left"/>
      <w:pPr>
        <w:ind w:left="5760" w:hanging="360"/>
      </w:pPr>
    </w:lvl>
    <w:lvl w:ilvl="8" w:tplc="922AF9E8">
      <w:start w:val="1"/>
      <w:numFmt w:val="bullet"/>
      <w:lvlText w:val="●"/>
      <w:lvlJc w:val="left"/>
      <w:pPr>
        <w:ind w:left="6480" w:hanging="360"/>
      </w:pPr>
    </w:lvl>
  </w:abstractNum>
  <w:abstractNum w:abstractNumId="1" w15:restartNumberingAfterBreak="0">
    <w:nsid w:val="65AC38F9"/>
    <w:multiLevelType w:val="hybridMultilevel"/>
    <w:tmpl w:val="E26A7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7C3D"/>
    <w:rsid w:val="00067C22"/>
    <w:rsid w:val="0013078C"/>
    <w:rsid w:val="001F7C3D"/>
    <w:rsid w:val="00297E54"/>
    <w:rsid w:val="002A16C2"/>
    <w:rsid w:val="00544D88"/>
    <w:rsid w:val="0063713E"/>
    <w:rsid w:val="00772954"/>
    <w:rsid w:val="008C2088"/>
    <w:rsid w:val="009C766A"/>
    <w:rsid w:val="00C04D99"/>
    <w:rsid w:val="00D238A6"/>
    <w:rsid w:val="00E844F3"/>
    <w:rsid w:val="00F2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FE392F"/>
  <w15:docId w15:val="{9AB986E4-5631-44FF-A727-8832789D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1F7C3D"/>
    <w:pPr>
      <w:spacing w:before="320" w:after="160"/>
      <w:outlineLvl w:val="0"/>
    </w:pPr>
    <w:rPr>
      <w:b/>
      <w:bCs/>
      <w:color w:val="000000"/>
      <w:sz w:val="28"/>
      <w:szCs w:val="28"/>
    </w:rPr>
  </w:style>
  <w:style w:type="paragraph" w:styleId="Heading2">
    <w:name w:val="heading 2"/>
    <w:qFormat/>
    <w:rsid w:val="001F7C3D"/>
    <w:pPr>
      <w:spacing w:before="240" w:after="120"/>
      <w:outlineLvl w:val="1"/>
    </w:pPr>
    <w:rPr>
      <w:b/>
      <w:bCs/>
      <w:color w:val="000000"/>
      <w:sz w:val="26"/>
      <w:szCs w:val="26"/>
    </w:rPr>
  </w:style>
  <w:style w:type="paragraph" w:styleId="Heading3">
    <w:name w:val="heading 3"/>
    <w:qFormat/>
    <w:rsid w:val="001F7C3D"/>
    <w:pPr>
      <w:outlineLvl w:val="2"/>
    </w:pPr>
    <w:rPr>
      <w:color w:val="1F4D78"/>
    </w:rPr>
  </w:style>
  <w:style w:type="paragraph" w:styleId="Heading4">
    <w:name w:val="heading 4"/>
    <w:qFormat/>
    <w:rsid w:val="001F7C3D"/>
    <w:pPr>
      <w:outlineLvl w:val="3"/>
    </w:pPr>
    <w:rPr>
      <w:i/>
      <w:iCs/>
      <w:color w:val="2E74B5"/>
    </w:rPr>
  </w:style>
  <w:style w:type="paragraph" w:styleId="Heading5">
    <w:name w:val="heading 5"/>
    <w:qFormat/>
    <w:rsid w:val="001F7C3D"/>
    <w:pPr>
      <w:outlineLvl w:val="4"/>
    </w:pPr>
    <w:rPr>
      <w:color w:val="2E74B5"/>
    </w:rPr>
  </w:style>
  <w:style w:type="paragraph" w:styleId="Heading6">
    <w:name w:val="heading 6"/>
    <w:qFormat/>
    <w:rsid w:val="001F7C3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F7C3D"/>
    <w:rPr>
      <w:sz w:val="56"/>
      <w:szCs w:val="56"/>
    </w:rPr>
  </w:style>
  <w:style w:type="paragraph" w:customStyle="1" w:styleId="Strong1">
    <w:name w:val="Strong1"/>
    <w:qFormat/>
    <w:rsid w:val="001F7C3D"/>
    <w:rPr>
      <w:b/>
      <w:bCs/>
    </w:rPr>
  </w:style>
  <w:style w:type="paragraph" w:styleId="ListParagraph">
    <w:name w:val="List Paragraph"/>
    <w:qFormat/>
    <w:rsid w:val="001F7C3D"/>
  </w:style>
  <w:style w:type="character" w:styleId="Hyperlink">
    <w:name w:val="Hyperlink"/>
    <w:uiPriority w:val="99"/>
    <w:unhideWhenUsed/>
    <w:rsid w:val="001F7C3D"/>
    <w:rPr>
      <w:color w:val="0563C1"/>
      <w:u w:val="single"/>
    </w:rPr>
  </w:style>
  <w:style w:type="character" w:styleId="FootnoteReference">
    <w:name w:val="footnote reference"/>
    <w:uiPriority w:val="99"/>
    <w:semiHidden/>
    <w:unhideWhenUsed/>
    <w:rsid w:val="001F7C3D"/>
    <w:rPr>
      <w:vertAlign w:val="superscript"/>
    </w:rPr>
  </w:style>
  <w:style w:type="paragraph" w:styleId="FootnoteText">
    <w:name w:val="footnote text"/>
    <w:link w:val="FootnoteTextChar"/>
    <w:uiPriority w:val="99"/>
    <w:semiHidden/>
    <w:unhideWhenUsed/>
    <w:rsid w:val="001F7C3D"/>
    <w:rPr>
      <w:sz w:val="20"/>
      <w:szCs w:val="20"/>
    </w:rPr>
  </w:style>
  <w:style w:type="character" w:customStyle="1" w:styleId="FootnoteTextChar">
    <w:name w:val="Footnote Text Char"/>
    <w:link w:val="FootnoteText"/>
    <w:uiPriority w:val="99"/>
    <w:semiHidden/>
    <w:unhideWhenUsed/>
    <w:rsid w:val="001F7C3D"/>
    <w:rPr>
      <w:sz w:val="20"/>
      <w:szCs w:val="20"/>
    </w:rPr>
  </w:style>
  <w:style w:type="character" w:styleId="EndnoteReference">
    <w:name w:val="endnote reference"/>
    <w:uiPriority w:val="99"/>
    <w:semiHidden/>
    <w:unhideWhenUsed/>
    <w:rsid w:val="001F7C3D"/>
    <w:rPr>
      <w:vertAlign w:val="superscript"/>
    </w:rPr>
  </w:style>
  <w:style w:type="paragraph" w:styleId="EndnoteText">
    <w:name w:val="endnote text"/>
    <w:link w:val="EndnoteTextChar"/>
    <w:uiPriority w:val="99"/>
    <w:semiHidden/>
    <w:unhideWhenUsed/>
    <w:rsid w:val="001F7C3D"/>
    <w:rPr>
      <w:sz w:val="20"/>
      <w:szCs w:val="20"/>
    </w:rPr>
  </w:style>
  <w:style w:type="character" w:customStyle="1" w:styleId="EndnoteTextChar">
    <w:name w:val="Endnote Text Char"/>
    <w:link w:val="EndnoteText"/>
    <w:uiPriority w:val="99"/>
    <w:semiHidden/>
    <w:unhideWhenUsed/>
    <w:rsid w:val="001F7C3D"/>
    <w:rPr>
      <w:sz w:val="20"/>
      <w:szCs w:val="20"/>
    </w:rPr>
  </w:style>
  <w:style w:type="paragraph" w:styleId="Header">
    <w:name w:val="header"/>
    <w:basedOn w:val="Normal"/>
    <w:link w:val="HeaderChar"/>
    <w:uiPriority w:val="99"/>
    <w:unhideWhenUsed/>
    <w:rsid w:val="00067C22"/>
    <w:pPr>
      <w:tabs>
        <w:tab w:val="center" w:pos="4680"/>
        <w:tab w:val="right" w:pos="9360"/>
      </w:tabs>
    </w:pPr>
  </w:style>
  <w:style w:type="character" w:customStyle="1" w:styleId="HeaderChar">
    <w:name w:val="Header Char"/>
    <w:basedOn w:val="DefaultParagraphFont"/>
    <w:link w:val="Header"/>
    <w:uiPriority w:val="99"/>
    <w:rsid w:val="00067C22"/>
  </w:style>
  <w:style w:type="paragraph" w:styleId="Footer">
    <w:name w:val="footer"/>
    <w:basedOn w:val="Normal"/>
    <w:link w:val="FooterChar"/>
    <w:uiPriority w:val="99"/>
    <w:unhideWhenUsed/>
    <w:rsid w:val="00067C22"/>
    <w:pPr>
      <w:tabs>
        <w:tab w:val="center" w:pos="4680"/>
        <w:tab w:val="right" w:pos="9360"/>
      </w:tabs>
    </w:pPr>
  </w:style>
  <w:style w:type="character" w:customStyle="1" w:styleId="FooterChar">
    <w:name w:val="Footer Char"/>
    <w:basedOn w:val="DefaultParagraphFont"/>
    <w:link w:val="Footer"/>
    <w:uiPriority w:val="99"/>
    <w:rsid w:val="00067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gbo/gbo5/publication/gbo-5-en.pdf" TargetMode="External"/><Relationship Id="rId18" Type="http://schemas.openxmlformats.org/officeDocument/2006/relationships/hyperlink" Target="https://doi.org/10.1179/2047480615Z.000000000329" TargetMode="External"/><Relationship Id="rId26" Type="http://schemas.openxmlformats.org/officeDocument/2006/relationships/hyperlink" Target="https://doi.org/10.1017/CBO9781107415386" TargetMode="External"/><Relationship Id="rId3" Type="http://schemas.openxmlformats.org/officeDocument/2006/relationships/settings" Target="settings.xml"/><Relationship Id="rId21" Type="http://schemas.openxmlformats.org/officeDocument/2006/relationships/hyperlink" Target="https://doi.org/10.5281/zenodo.4147317" TargetMode="External"/><Relationship Id="rId34" Type="http://schemas.openxmlformats.org/officeDocument/2006/relationships/footer" Target="footer3.xml"/><Relationship Id="rId7" Type="http://schemas.openxmlformats.org/officeDocument/2006/relationships/hyperlink" Target="https://doi.org/10.1111/1467-7660.00222" TargetMode="External"/><Relationship Id="rId12" Type="http://schemas.openxmlformats.org/officeDocument/2006/relationships/hyperlink" Target="https://doi.org/10.1080/10455752.2012.674149" TargetMode="External"/><Relationship Id="rId17" Type="http://schemas.openxmlformats.org/officeDocument/2006/relationships/hyperlink" Target="https://doi.org/10.4060/ca9825en" TargetMode="External"/><Relationship Id="rId25" Type="http://schemas.openxmlformats.org/officeDocument/2006/relationships/hyperlink" Target="https://www.cbd.int/abs/doc/protocol/nagoya-protocol-en.pdf"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26/science.aax3100" TargetMode="External"/><Relationship Id="rId20" Type="http://schemas.openxmlformats.org/officeDocument/2006/relationships/hyperlink" Target="https://doi.org/10.5281/zenodo.383167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CBO9781107706033" TargetMode="External"/><Relationship Id="rId24" Type="http://schemas.openxmlformats.org/officeDocument/2006/relationships/hyperlink" Target="https://doi.org/10.59327/IPCC/AR6-978929169164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polgeo.2013.09.004" TargetMode="External"/><Relationship Id="rId23" Type="http://schemas.openxmlformats.org/officeDocument/2006/relationships/hyperlink" Target="https://doi.org/10.1017/9781009157926" TargetMode="External"/><Relationship Id="rId28" Type="http://schemas.openxmlformats.org/officeDocument/2006/relationships/hyperlink" Target="https://seea.un.org/ecosystem-accounting" TargetMode="External"/><Relationship Id="rId36" Type="http://schemas.openxmlformats.org/officeDocument/2006/relationships/theme" Target="theme/theme1.xml"/><Relationship Id="rId10" Type="http://schemas.openxmlformats.org/officeDocument/2006/relationships/hyperlink" Target="https://www.un.org/sites/un2.un.org/files/2020/12/100_billion_climate_finance_report.pdf" TargetMode="External"/><Relationship Id="rId19" Type="http://schemas.openxmlformats.org/officeDocument/2006/relationships/hyperlink" Target="https://digitallibrary.un.org/record/4074622/files/COP26ForestGovernance.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11/j.1749-8198.2007.00066.x" TargetMode="External"/><Relationship Id="rId14" Type="http://schemas.openxmlformats.org/officeDocument/2006/relationships/hyperlink" Target="https://www.cbd.int/doc/decisions/cop-15/cop-15-dec-04-en.pdf" TargetMode="External"/><Relationship Id="rId22" Type="http://schemas.openxmlformats.org/officeDocument/2006/relationships/hyperlink" Target="https://doi.org/10.1017/9781009157896" TargetMode="External"/><Relationship Id="rId27" Type="http://schemas.openxmlformats.org/officeDocument/2006/relationships/hyperlink" Target="https://doi.org/10.5281/zenodo.465915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cifor-icraf.org/publications/pdf_files/Books/BAngelsen18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33</Pages>
  <Words>11489</Words>
  <Characters>65492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11</cp:revision>
  <dcterms:created xsi:type="dcterms:W3CDTF">2026-04-18T13:09:00Z</dcterms:created>
  <dcterms:modified xsi:type="dcterms:W3CDTF">2026-04-20T07:15:00Z</dcterms:modified>
</cp:coreProperties>
</file>