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8D71D" w14:textId="77777777" w:rsidR="00FE2F02" w:rsidRPr="00FE2F02" w:rsidRDefault="00FE2F02" w:rsidP="00FE2F02">
      <w:pPr>
        <w:spacing w:line="360" w:lineRule="auto"/>
        <w:jc w:val="center"/>
        <w:rPr>
          <w:rFonts w:ascii="Arial" w:hAnsi="Arial" w:cs="Arial"/>
          <w:b/>
          <w:bCs/>
          <w:i/>
          <w:iCs/>
          <w:sz w:val="24"/>
          <w:szCs w:val="24"/>
          <w:u w:val="single"/>
        </w:rPr>
      </w:pPr>
      <w:r w:rsidRPr="00FE2F02">
        <w:rPr>
          <w:rFonts w:ascii="Arial" w:hAnsi="Arial" w:cs="Arial"/>
          <w:b/>
          <w:bCs/>
          <w:i/>
          <w:iCs/>
          <w:sz w:val="24"/>
          <w:szCs w:val="24"/>
          <w:u w:val="single"/>
        </w:rPr>
        <w:t>Original Research Article</w:t>
      </w:r>
    </w:p>
    <w:p w14:paraId="15B76EAA" w14:textId="7525AD93" w:rsidR="00261240" w:rsidRPr="00BF1C99" w:rsidRDefault="00B93629" w:rsidP="00B93629">
      <w:pPr>
        <w:spacing w:line="360" w:lineRule="auto"/>
        <w:jc w:val="center"/>
        <w:rPr>
          <w:rFonts w:ascii="Arial" w:hAnsi="Arial" w:cs="Arial"/>
          <w:b/>
          <w:bCs/>
          <w:sz w:val="24"/>
          <w:szCs w:val="24"/>
          <w:lang w:val="en-GB"/>
        </w:rPr>
      </w:pPr>
      <w:r w:rsidRPr="00BF1C99">
        <w:rPr>
          <w:rFonts w:ascii="Arial" w:hAnsi="Arial" w:cs="Arial"/>
          <w:b/>
          <w:bCs/>
          <w:sz w:val="24"/>
          <w:szCs w:val="24"/>
          <w:lang w:val="en-GB"/>
        </w:rPr>
        <w:t>THERMAL PERFORMANCE OF INTERLOCKING STABILISED SOIL BLOCKS (ISSB) FOR PASSIVE AND SUSTAINABLE BUILDING DESIGN</w:t>
      </w:r>
    </w:p>
    <w:p w14:paraId="56B6FF65" w14:textId="0FC1A1E9" w:rsidR="00912879" w:rsidRDefault="00912879" w:rsidP="00FA3124">
      <w:pPr>
        <w:spacing w:line="240" w:lineRule="auto"/>
        <w:jc w:val="center"/>
        <w:rPr>
          <w:rFonts w:ascii="Arial" w:hAnsi="Arial" w:cs="Arial"/>
          <w:sz w:val="24"/>
          <w:szCs w:val="24"/>
          <w:lang w:val="en-GB"/>
        </w:rPr>
      </w:pPr>
    </w:p>
    <w:p w14:paraId="126D2A7C" w14:textId="77777777" w:rsidR="00A40E88" w:rsidRPr="00BF1C99" w:rsidRDefault="00A40E88" w:rsidP="00FA3124">
      <w:pPr>
        <w:spacing w:line="240" w:lineRule="auto"/>
        <w:jc w:val="center"/>
        <w:rPr>
          <w:rFonts w:ascii="Arial" w:hAnsi="Arial" w:cs="Arial"/>
          <w:sz w:val="24"/>
          <w:szCs w:val="24"/>
          <w:lang w:val="en-GB"/>
        </w:rPr>
      </w:pPr>
      <w:bookmarkStart w:id="0" w:name="_GoBack"/>
      <w:bookmarkEnd w:id="0"/>
    </w:p>
    <w:p w14:paraId="150EC46B" w14:textId="53C1FC20" w:rsidR="008F71F0" w:rsidRPr="00BF1C99" w:rsidRDefault="008F71F0" w:rsidP="00BF1C99">
      <w:pPr>
        <w:spacing w:before="240" w:after="0" w:line="240" w:lineRule="auto"/>
        <w:jc w:val="center"/>
        <w:rPr>
          <w:rFonts w:ascii="Arial" w:hAnsi="Arial" w:cs="Arial"/>
          <w:b/>
          <w:bCs/>
          <w:sz w:val="20"/>
          <w:szCs w:val="20"/>
          <w:lang w:val="en-GB"/>
        </w:rPr>
      </w:pPr>
      <w:r w:rsidRPr="00BF1C99">
        <w:rPr>
          <w:rFonts w:ascii="Arial" w:hAnsi="Arial" w:cs="Arial"/>
          <w:b/>
          <w:bCs/>
          <w:sz w:val="20"/>
          <w:szCs w:val="20"/>
          <w:lang w:val="en-GB"/>
        </w:rPr>
        <w:t>ABSTRACT</w:t>
      </w:r>
    </w:p>
    <w:p w14:paraId="67D1C90E" w14:textId="69E4C12D" w:rsidR="008F71F0" w:rsidRPr="00BF1C99" w:rsidRDefault="008F71F0"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This study investigates the thermal performance of Interlocking Stabilised Soil Blocks (ISSB) as a sustainable walling material suitable for passive building design in tropical regions. The research employed both experimental field measurements and structured questionnaires to compare ISSB with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blocks. Data from 412 respondents and temperature monitoring across selected buildings in southwestern Nigeria revealed that ISSB structures exhibited lower indoor temperature fluctuations and reduced cooling energy demand by approximately 30%. Statistical analysis confirmed significant differences (p &lt; .05) between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demonstrating ISSB’s superior ability to maintain thermal stability and comfort. These findings validate ISSB’s potential to minimize reliance on active cooling systems, thereby advancing energy efficiency and sustainable housing objectives in developing contexts. The study contributes empirical evidence to support policy advocacy, architectural design strategies, and material optimization for climate-responsive housing solutions in Nigeria.</w:t>
      </w:r>
    </w:p>
    <w:p w14:paraId="5BD2341C" w14:textId="7972913C" w:rsidR="008F71F0" w:rsidRDefault="008F71F0" w:rsidP="008F71F0">
      <w:pPr>
        <w:spacing w:line="240" w:lineRule="auto"/>
        <w:jc w:val="both"/>
        <w:rPr>
          <w:rFonts w:ascii="Arial" w:hAnsi="Arial" w:cs="Arial"/>
          <w:sz w:val="20"/>
          <w:szCs w:val="20"/>
          <w:lang w:val="en-GB"/>
        </w:rPr>
      </w:pPr>
      <w:r w:rsidRPr="00BF1C99">
        <w:rPr>
          <w:rFonts w:ascii="Arial" w:hAnsi="Arial" w:cs="Arial"/>
          <w:b/>
          <w:bCs/>
          <w:sz w:val="20"/>
          <w:szCs w:val="20"/>
          <w:lang w:val="en-GB"/>
        </w:rPr>
        <w:t xml:space="preserve">Keywords: </w:t>
      </w:r>
      <w:r w:rsidRPr="00BF1C99">
        <w:rPr>
          <w:rFonts w:ascii="Arial" w:hAnsi="Arial" w:cs="Arial"/>
          <w:sz w:val="20"/>
          <w:szCs w:val="20"/>
          <w:lang w:val="en-GB"/>
        </w:rPr>
        <w:t>Interlocking Stabilised Soil Blocks (ISSB)</w:t>
      </w:r>
      <w:r w:rsidRPr="00BF1C99">
        <w:rPr>
          <w:rFonts w:ascii="Arial" w:hAnsi="Arial" w:cs="Arial"/>
          <w:b/>
          <w:bCs/>
          <w:sz w:val="20"/>
          <w:szCs w:val="20"/>
          <w:lang w:val="en-GB"/>
        </w:rPr>
        <w:t xml:space="preserve">, </w:t>
      </w:r>
      <w:r w:rsidRPr="00BF1C99">
        <w:rPr>
          <w:rFonts w:ascii="Arial" w:hAnsi="Arial" w:cs="Arial"/>
          <w:sz w:val="20"/>
          <w:szCs w:val="20"/>
          <w:lang w:val="en-GB"/>
        </w:rPr>
        <w:t>Thermal Performance</w:t>
      </w:r>
      <w:r w:rsidRPr="00BF1C99">
        <w:rPr>
          <w:rFonts w:ascii="Arial" w:hAnsi="Arial" w:cs="Arial"/>
          <w:b/>
          <w:bCs/>
          <w:sz w:val="20"/>
          <w:szCs w:val="20"/>
          <w:lang w:val="en-GB"/>
        </w:rPr>
        <w:t xml:space="preserve">, </w:t>
      </w:r>
      <w:r w:rsidRPr="00BF1C99">
        <w:rPr>
          <w:rFonts w:ascii="Arial" w:hAnsi="Arial" w:cs="Arial"/>
          <w:sz w:val="20"/>
          <w:szCs w:val="20"/>
          <w:lang w:val="en-GB"/>
        </w:rPr>
        <w:t>Passive Building Design</w:t>
      </w:r>
      <w:r w:rsidRPr="00BF1C99">
        <w:rPr>
          <w:rFonts w:ascii="Arial" w:hAnsi="Arial" w:cs="Arial"/>
          <w:b/>
          <w:bCs/>
          <w:sz w:val="20"/>
          <w:szCs w:val="20"/>
          <w:lang w:val="en-GB"/>
        </w:rPr>
        <w:t xml:space="preserve">, </w:t>
      </w:r>
      <w:r w:rsidRPr="00BF1C99">
        <w:rPr>
          <w:rFonts w:ascii="Arial" w:hAnsi="Arial" w:cs="Arial"/>
          <w:sz w:val="20"/>
          <w:szCs w:val="20"/>
          <w:lang w:val="en-GB"/>
        </w:rPr>
        <w:t>Sustainable Construction</w:t>
      </w:r>
      <w:r w:rsidRPr="00BF1C99">
        <w:rPr>
          <w:rFonts w:ascii="Arial" w:hAnsi="Arial" w:cs="Arial"/>
          <w:b/>
          <w:bCs/>
          <w:sz w:val="20"/>
          <w:szCs w:val="20"/>
          <w:lang w:val="en-GB"/>
        </w:rPr>
        <w:t xml:space="preserve">, </w:t>
      </w:r>
      <w:r w:rsidRPr="00BF1C99">
        <w:rPr>
          <w:rFonts w:ascii="Arial" w:hAnsi="Arial" w:cs="Arial"/>
          <w:sz w:val="20"/>
          <w:szCs w:val="20"/>
          <w:lang w:val="en-GB"/>
        </w:rPr>
        <w:t>Energy Efficiency</w:t>
      </w:r>
    </w:p>
    <w:p w14:paraId="47056093" w14:textId="77777777" w:rsidR="00BF1C99" w:rsidRPr="00BF1C99" w:rsidRDefault="00BF1C99" w:rsidP="008F71F0">
      <w:pPr>
        <w:spacing w:line="240" w:lineRule="auto"/>
        <w:jc w:val="both"/>
        <w:rPr>
          <w:rFonts w:ascii="Arial" w:hAnsi="Arial" w:cs="Arial"/>
          <w:b/>
          <w:bCs/>
          <w:sz w:val="20"/>
          <w:szCs w:val="20"/>
          <w:lang w:val="en-GB"/>
        </w:rPr>
      </w:pPr>
    </w:p>
    <w:p w14:paraId="2F680CF8" w14:textId="7D48A84B" w:rsidR="0089208D" w:rsidRPr="00BF1C99" w:rsidRDefault="00261240"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1.</w:t>
      </w:r>
      <w:r w:rsidR="00C92446" w:rsidRPr="00BF1C99">
        <w:rPr>
          <w:rFonts w:ascii="Arial" w:hAnsi="Arial" w:cs="Arial"/>
          <w:b/>
          <w:bCs/>
          <w:sz w:val="24"/>
          <w:szCs w:val="24"/>
          <w:lang w:val="en-GB"/>
        </w:rPr>
        <w:t>0</w:t>
      </w:r>
      <w:r w:rsidRPr="00BF1C99">
        <w:rPr>
          <w:rFonts w:ascii="Arial" w:hAnsi="Arial" w:cs="Arial"/>
          <w:b/>
          <w:bCs/>
          <w:sz w:val="24"/>
          <w:szCs w:val="24"/>
          <w:lang w:val="en-GB"/>
        </w:rPr>
        <w:tab/>
        <w:t>INTRODUCTION</w:t>
      </w:r>
    </w:p>
    <w:p w14:paraId="45C645C8" w14:textId="65AC0385"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 xml:space="preserve">1.1 </w:t>
      </w:r>
      <w:r w:rsidR="00261240" w:rsidRPr="00BF1C99">
        <w:rPr>
          <w:rFonts w:ascii="Arial" w:hAnsi="Arial" w:cs="Arial"/>
          <w:b/>
          <w:bCs/>
          <w:lang w:val="en-GB"/>
        </w:rPr>
        <w:t>Background to Study</w:t>
      </w:r>
    </w:p>
    <w:p w14:paraId="626FF2A1" w14:textId="4CDC4547" w:rsidR="0089208D" w:rsidRPr="00BF1C99" w:rsidRDefault="0089208D" w:rsidP="00BF1C99">
      <w:pPr>
        <w:spacing w:line="240" w:lineRule="auto"/>
        <w:jc w:val="both"/>
        <w:rPr>
          <w:rFonts w:ascii="Arial" w:eastAsia="Times New Roman" w:hAnsi="Arial" w:cs="Arial"/>
          <w:kern w:val="0"/>
          <w:sz w:val="20"/>
          <w:szCs w:val="20"/>
          <w14:ligatures w14:val="none"/>
        </w:rPr>
      </w:pPr>
      <w:r w:rsidRPr="00BF1C99">
        <w:rPr>
          <w:rFonts w:ascii="Arial" w:eastAsia="Times New Roman" w:hAnsi="Arial" w:cs="Arial"/>
          <w:kern w:val="0"/>
          <w:sz w:val="20"/>
          <w:szCs w:val="20"/>
          <w14:ligatures w14:val="none"/>
        </w:rPr>
        <w:t xml:space="preserve">Achieving thermal comfort in buildings through passive means is a central concern of sustainable design, particularly in hot–humid regions such as Nigeria. High indoor temperatures and overreliance on mechanical cooling systems contribute significantly to energy consumption and carbon emissions in residential buildings (Olaniyan, 2024). Consequently, attention has turned toward low-cost, energy-efficient materials capable of moderating indoor thermal conditions without active systems. Among these, Interlocking </w:t>
      </w:r>
      <w:proofErr w:type="spellStart"/>
      <w:r w:rsidRPr="00BF1C99">
        <w:rPr>
          <w:rFonts w:ascii="Arial" w:eastAsia="Times New Roman" w:hAnsi="Arial" w:cs="Arial"/>
          <w:kern w:val="0"/>
          <w:sz w:val="20"/>
          <w:szCs w:val="20"/>
          <w14:ligatures w14:val="none"/>
        </w:rPr>
        <w:t>Stabilised</w:t>
      </w:r>
      <w:proofErr w:type="spellEnd"/>
      <w:r w:rsidRPr="00BF1C99">
        <w:rPr>
          <w:rFonts w:ascii="Arial" w:eastAsia="Times New Roman" w:hAnsi="Arial" w:cs="Arial"/>
          <w:kern w:val="0"/>
          <w:sz w:val="20"/>
          <w:szCs w:val="20"/>
          <w14:ligatures w14:val="none"/>
        </w:rPr>
        <w:t xml:space="preserve"> Soil Blocks (ISSB) have gained increasing interest as an environmentally friendly alternative to conventional </w:t>
      </w:r>
      <w:proofErr w:type="spellStart"/>
      <w:r w:rsidRPr="00BF1C99">
        <w:rPr>
          <w:rFonts w:ascii="Arial" w:eastAsia="Times New Roman" w:hAnsi="Arial" w:cs="Arial"/>
          <w:kern w:val="0"/>
          <w:sz w:val="20"/>
          <w:szCs w:val="20"/>
          <w14:ligatures w14:val="none"/>
        </w:rPr>
        <w:t>sandcrete</w:t>
      </w:r>
      <w:proofErr w:type="spellEnd"/>
      <w:r w:rsidRPr="00BF1C99">
        <w:rPr>
          <w:rFonts w:ascii="Arial" w:eastAsia="Times New Roman" w:hAnsi="Arial" w:cs="Arial"/>
          <w:kern w:val="0"/>
          <w:sz w:val="20"/>
          <w:szCs w:val="20"/>
          <w14:ligatures w14:val="none"/>
        </w:rPr>
        <w:t xml:space="preserve"> blocks and fired bricks.</w:t>
      </w:r>
      <w:r w:rsidR="00EE237A" w:rsidRPr="00EE237A">
        <w:t xml:space="preserve"> </w:t>
      </w:r>
      <w:r w:rsidR="00EE237A" w:rsidRPr="00EE237A">
        <w:rPr>
          <w:rFonts w:ascii="Arial" w:eastAsia="Times New Roman" w:hAnsi="Arial" w:cs="Arial"/>
          <w:kern w:val="0"/>
          <w:sz w:val="20"/>
          <w:szCs w:val="20"/>
          <w14:ligatures w14:val="none"/>
        </w:rPr>
        <w:t>However, beyond technical performance, the adoption of ISSB in Nigeria is influenced by non-technical factors such as user perception, institutional support, and industry acceptance. A recent statistical analysis by Ibitoye et al. (2026) identified psychological resistance, low awareness, and weak regulatory backing as major barriers limiting the widespread use of ISSB in Nigeria’s construction industry.</w:t>
      </w:r>
    </w:p>
    <w:p w14:paraId="7BBBF6AE" w14:textId="6834F68C" w:rsidR="0089208D" w:rsidRPr="00BF1C99" w:rsidRDefault="0089208D" w:rsidP="00BF1C99">
      <w:pPr>
        <w:spacing w:line="240" w:lineRule="auto"/>
        <w:jc w:val="both"/>
        <w:rPr>
          <w:rFonts w:ascii="Arial" w:eastAsia="Times New Roman" w:hAnsi="Arial" w:cs="Arial"/>
          <w:kern w:val="0"/>
          <w:sz w:val="20"/>
          <w:szCs w:val="20"/>
          <w14:ligatures w14:val="none"/>
        </w:rPr>
      </w:pPr>
      <w:r w:rsidRPr="00BF1C99">
        <w:rPr>
          <w:rFonts w:ascii="Arial" w:eastAsia="Times New Roman" w:hAnsi="Arial" w:cs="Arial"/>
          <w:kern w:val="0"/>
          <w:sz w:val="20"/>
          <w:szCs w:val="20"/>
          <w14:ligatures w14:val="none"/>
        </w:rPr>
        <w:t>ISSB technology utilizes locally available lateritic soils mixed with small proportions of stabilizers (cement or lime) and compressed into uniform blocks without firing. This method significantly reduces embodied energy while enhancing the thermal mass of the building envelope, allowing the walls to absorb and release heat gradually a desirable characteristic for passive cooling (</w:t>
      </w:r>
      <w:proofErr w:type="spellStart"/>
      <w:r w:rsidRPr="00BF1C99">
        <w:rPr>
          <w:rFonts w:ascii="Arial" w:eastAsia="Times New Roman" w:hAnsi="Arial" w:cs="Arial"/>
          <w:kern w:val="0"/>
          <w:sz w:val="20"/>
          <w:szCs w:val="20"/>
          <w14:ligatures w14:val="none"/>
        </w:rPr>
        <w:t>Awotunde</w:t>
      </w:r>
      <w:proofErr w:type="spellEnd"/>
      <w:r w:rsidRPr="00BF1C99">
        <w:rPr>
          <w:rFonts w:ascii="Arial" w:eastAsia="Times New Roman" w:hAnsi="Arial" w:cs="Arial"/>
          <w:kern w:val="0"/>
          <w:sz w:val="20"/>
          <w:szCs w:val="20"/>
          <w14:ligatures w14:val="none"/>
        </w:rPr>
        <w:t xml:space="preserve">, Adeleke, &amp; </w:t>
      </w:r>
      <w:proofErr w:type="spellStart"/>
      <w:r w:rsidRPr="00BF1C99">
        <w:rPr>
          <w:rFonts w:ascii="Arial" w:eastAsia="Times New Roman" w:hAnsi="Arial" w:cs="Arial"/>
          <w:kern w:val="0"/>
          <w:sz w:val="20"/>
          <w:szCs w:val="20"/>
          <w14:ligatures w14:val="none"/>
        </w:rPr>
        <w:t>Oyenuga</w:t>
      </w:r>
      <w:proofErr w:type="spellEnd"/>
      <w:r w:rsidRPr="00BF1C99">
        <w:rPr>
          <w:rFonts w:ascii="Arial" w:eastAsia="Times New Roman" w:hAnsi="Arial" w:cs="Arial"/>
          <w:kern w:val="0"/>
          <w:sz w:val="20"/>
          <w:szCs w:val="20"/>
          <w14:ligatures w14:val="none"/>
        </w:rPr>
        <w:t xml:space="preserve">, 2023). Studies conducted in tropical climates indicate that ISSB walls can reduce indoor air temperature fluctuations and maintain more stable interior environments compared to </w:t>
      </w:r>
      <w:proofErr w:type="spellStart"/>
      <w:r w:rsidRPr="00BF1C99">
        <w:rPr>
          <w:rFonts w:ascii="Arial" w:eastAsia="Times New Roman" w:hAnsi="Arial" w:cs="Arial"/>
          <w:kern w:val="0"/>
          <w:sz w:val="20"/>
          <w:szCs w:val="20"/>
          <w14:ligatures w14:val="none"/>
        </w:rPr>
        <w:t>sandcrete</w:t>
      </w:r>
      <w:proofErr w:type="spellEnd"/>
      <w:r w:rsidRPr="00BF1C99">
        <w:rPr>
          <w:rFonts w:ascii="Arial" w:eastAsia="Times New Roman" w:hAnsi="Arial" w:cs="Arial"/>
          <w:kern w:val="0"/>
          <w:sz w:val="20"/>
          <w:szCs w:val="20"/>
          <w14:ligatures w14:val="none"/>
        </w:rPr>
        <w:t xml:space="preserve"> walls (Bailly, El </w:t>
      </w:r>
      <w:proofErr w:type="spellStart"/>
      <w:r w:rsidRPr="00BF1C99">
        <w:rPr>
          <w:rFonts w:ascii="Arial" w:eastAsia="Times New Roman" w:hAnsi="Arial" w:cs="Arial"/>
          <w:kern w:val="0"/>
          <w:sz w:val="20"/>
          <w:szCs w:val="20"/>
          <w14:ligatures w14:val="none"/>
        </w:rPr>
        <w:t>Mendili</w:t>
      </w:r>
      <w:proofErr w:type="spellEnd"/>
      <w:r w:rsidRPr="00BF1C99">
        <w:rPr>
          <w:rFonts w:ascii="Arial" w:eastAsia="Times New Roman" w:hAnsi="Arial" w:cs="Arial"/>
          <w:kern w:val="0"/>
          <w:sz w:val="20"/>
          <w:szCs w:val="20"/>
          <w14:ligatures w14:val="none"/>
        </w:rPr>
        <w:t>, &amp; Khoury, 2024).</w:t>
      </w:r>
    </w:p>
    <w:p w14:paraId="3BFC2E1D" w14:textId="53AB6D00" w:rsidR="0089208D" w:rsidRDefault="0089208D" w:rsidP="00BF1C99">
      <w:pPr>
        <w:spacing w:line="240" w:lineRule="auto"/>
        <w:jc w:val="both"/>
        <w:rPr>
          <w:rFonts w:ascii="Arial" w:eastAsia="Times New Roman" w:hAnsi="Arial" w:cs="Arial"/>
          <w:kern w:val="0"/>
          <w:sz w:val="20"/>
          <w:szCs w:val="20"/>
          <w14:ligatures w14:val="none"/>
        </w:rPr>
      </w:pPr>
      <w:r w:rsidRPr="00BF1C99">
        <w:rPr>
          <w:rFonts w:ascii="Arial" w:eastAsia="Times New Roman" w:hAnsi="Arial" w:cs="Arial"/>
          <w:kern w:val="0"/>
          <w:sz w:val="20"/>
          <w:szCs w:val="20"/>
          <w14:ligatures w14:val="none"/>
        </w:rPr>
        <w:t xml:space="preserve">In Nigeria, however, the thermal behavior of ISSB is not yet widely documented despite its potential to improve indoor comfort and reduce energy demands. </w:t>
      </w:r>
      <w:proofErr w:type="spellStart"/>
      <w:r w:rsidRPr="00BF1C99">
        <w:rPr>
          <w:rFonts w:ascii="Arial" w:eastAsia="Times New Roman" w:hAnsi="Arial" w:cs="Arial"/>
          <w:kern w:val="0"/>
          <w:sz w:val="20"/>
          <w:szCs w:val="20"/>
          <w14:ligatures w14:val="none"/>
        </w:rPr>
        <w:t>Ibitoye</w:t>
      </w:r>
      <w:proofErr w:type="spellEnd"/>
      <w:r w:rsidRPr="00BF1C99">
        <w:rPr>
          <w:rFonts w:ascii="Arial" w:eastAsia="Times New Roman" w:hAnsi="Arial" w:cs="Arial"/>
          <w:kern w:val="0"/>
          <w:sz w:val="20"/>
          <w:szCs w:val="20"/>
          <w14:ligatures w14:val="none"/>
        </w:rPr>
        <w:t xml:space="preserve">, </w:t>
      </w:r>
      <w:proofErr w:type="spellStart"/>
      <w:r w:rsidRPr="00BF1C99">
        <w:rPr>
          <w:rFonts w:ascii="Arial" w:eastAsia="Times New Roman" w:hAnsi="Arial" w:cs="Arial"/>
          <w:kern w:val="0"/>
          <w:sz w:val="20"/>
          <w:szCs w:val="20"/>
          <w14:ligatures w14:val="none"/>
        </w:rPr>
        <w:t>Oyewole</w:t>
      </w:r>
      <w:proofErr w:type="spellEnd"/>
      <w:r w:rsidRPr="00BF1C99">
        <w:rPr>
          <w:rFonts w:ascii="Arial" w:eastAsia="Times New Roman" w:hAnsi="Arial" w:cs="Arial"/>
          <w:kern w:val="0"/>
          <w:sz w:val="20"/>
          <w:szCs w:val="20"/>
          <w14:ligatures w14:val="none"/>
        </w:rPr>
        <w:t xml:space="preserve">, and </w:t>
      </w:r>
      <w:proofErr w:type="spellStart"/>
      <w:r w:rsidRPr="00BF1C99">
        <w:rPr>
          <w:rFonts w:ascii="Arial" w:eastAsia="Times New Roman" w:hAnsi="Arial" w:cs="Arial"/>
          <w:kern w:val="0"/>
          <w:sz w:val="20"/>
          <w:szCs w:val="20"/>
          <w14:ligatures w14:val="none"/>
        </w:rPr>
        <w:t>Babamboni</w:t>
      </w:r>
      <w:proofErr w:type="spellEnd"/>
      <w:r w:rsidRPr="00BF1C99">
        <w:rPr>
          <w:rFonts w:ascii="Arial" w:eastAsia="Times New Roman" w:hAnsi="Arial" w:cs="Arial"/>
          <w:kern w:val="0"/>
          <w:sz w:val="20"/>
          <w:szCs w:val="20"/>
          <w14:ligatures w14:val="none"/>
        </w:rPr>
        <w:t xml:space="preserve"> (2023) emphasized that awareness and empirical validation of ISSB performance are vital to its mainstream acceptance in sustainable housing.</w:t>
      </w:r>
      <w:r w:rsidR="00EE237A" w:rsidRPr="00EE237A">
        <w:t xml:space="preserve"> </w:t>
      </w:r>
      <w:r w:rsidR="00EE237A" w:rsidRPr="00EE237A">
        <w:rPr>
          <w:rFonts w:ascii="Arial" w:eastAsia="Times New Roman" w:hAnsi="Arial" w:cs="Arial"/>
          <w:kern w:val="0"/>
          <w:sz w:val="20"/>
          <w:szCs w:val="20"/>
          <w14:ligatures w14:val="none"/>
        </w:rPr>
        <w:t xml:space="preserve">While existing studies emphasize the thermal and environmental advantages of ISSB, </w:t>
      </w:r>
      <w:r w:rsidR="00EE237A" w:rsidRPr="00EE237A">
        <w:rPr>
          <w:rFonts w:ascii="Arial" w:eastAsia="Times New Roman" w:hAnsi="Arial" w:cs="Arial"/>
          <w:kern w:val="0"/>
          <w:sz w:val="20"/>
          <w:szCs w:val="20"/>
          <w14:ligatures w14:val="none"/>
        </w:rPr>
        <w:lastRenderedPageBreak/>
        <w:t>limited research integrates these technical benefits with the socio-institutional factors influencing adoption (Ibitoye et al., 2026). This disconnect highlights the need for empirical studies that not only validate performance but also reinforce user confidence and industry acceptance.</w:t>
      </w:r>
      <w:r w:rsidR="00EE237A">
        <w:rPr>
          <w:rFonts w:ascii="Arial" w:eastAsia="Times New Roman" w:hAnsi="Arial" w:cs="Arial"/>
          <w:kern w:val="0"/>
          <w:sz w:val="20"/>
          <w:szCs w:val="20"/>
          <w14:ligatures w14:val="none"/>
        </w:rPr>
        <w:t xml:space="preserve"> </w:t>
      </w:r>
      <w:r w:rsidRPr="00BF1C99">
        <w:rPr>
          <w:rFonts w:ascii="Arial" w:eastAsia="Times New Roman" w:hAnsi="Arial" w:cs="Arial"/>
          <w:kern w:val="0"/>
          <w:sz w:val="20"/>
          <w:szCs w:val="20"/>
          <w14:ligatures w14:val="none"/>
        </w:rPr>
        <w:t>This study, therefore, seeks to investigate the thermal performance of ISSB walls, focusing on how their physical properties contribute to passive and sustainable design objectives in the Nigerian context.</w:t>
      </w:r>
    </w:p>
    <w:p w14:paraId="41AA24A2" w14:textId="77777777" w:rsidR="00BF1C99" w:rsidRPr="00BF1C99" w:rsidRDefault="00BF1C99" w:rsidP="00BF1C99">
      <w:pPr>
        <w:spacing w:line="240" w:lineRule="auto"/>
        <w:jc w:val="both"/>
        <w:rPr>
          <w:rFonts w:ascii="Arial" w:eastAsia="Times New Roman" w:hAnsi="Arial" w:cs="Arial"/>
          <w:kern w:val="0"/>
          <w:sz w:val="20"/>
          <w:szCs w:val="20"/>
          <w14:ligatures w14:val="none"/>
        </w:rPr>
      </w:pPr>
    </w:p>
    <w:p w14:paraId="5481F2DD"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1.2 Aim and Objectives</w:t>
      </w:r>
    </w:p>
    <w:p w14:paraId="184EEA72"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aim of this study is to evaluate the thermal performance of Interlocking Stabilised Soil Blocks (ISSB) as a sustainable walling material for passive building design in tropical environments.</w:t>
      </w:r>
      <w:r w:rsidRPr="00BF1C99">
        <w:rPr>
          <w:rFonts w:ascii="Arial" w:hAnsi="Arial" w:cs="Arial"/>
          <w:sz w:val="20"/>
          <w:szCs w:val="20"/>
          <w:lang w:val="en-GB"/>
        </w:rPr>
        <w:br/>
        <w:t>The specific objectives are to:</w:t>
      </w:r>
    </w:p>
    <w:p w14:paraId="2684C8F2" w14:textId="77777777" w:rsidR="0089208D" w:rsidRPr="00BF1C99" w:rsidRDefault="0089208D" w:rsidP="00BF1C99">
      <w:pPr>
        <w:numPr>
          <w:ilvl w:val="0"/>
          <w:numId w:val="1"/>
        </w:numPr>
        <w:spacing w:line="240" w:lineRule="auto"/>
        <w:jc w:val="both"/>
        <w:rPr>
          <w:rFonts w:ascii="Arial" w:hAnsi="Arial" w:cs="Arial"/>
          <w:sz w:val="20"/>
          <w:szCs w:val="20"/>
          <w:lang w:val="en-GB"/>
        </w:rPr>
      </w:pPr>
      <w:r w:rsidRPr="00BF1C99">
        <w:rPr>
          <w:rFonts w:ascii="Arial" w:hAnsi="Arial" w:cs="Arial"/>
          <w:sz w:val="20"/>
          <w:szCs w:val="20"/>
          <w:lang w:val="en-GB"/>
        </w:rPr>
        <w:t xml:space="preserve">Assess the perceived and measured thermal comfort levels of ISSB buildings compared to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structures.</w:t>
      </w:r>
    </w:p>
    <w:p w14:paraId="4F1DA1DD" w14:textId="77777777" w:rsidR="0089208D" w:rsidRPr="00BF1C99" w:rsidRDefault="0089208D" w:rsidP="00BF1C99">
      <w:pPr>
        <w:numPr>
          <w:ilvl w:val="0"/>
          <w:numId w:val="1"/>
        </w:numPr>
        <w:spacing w:line="240" w:lineRule="auto"/>
        <w:jc w:val="both"/>
        <w:rPr>
          <w:rFonts w:ascii="Arial" w:hAnsi="Arial" w:cs="Arial"/>
          <w:sz w:val="20"/>
          <w:szCs w:val="20"/>
          <w:lang w:val="en-GB"/>
        </w:rPr>
      </w:pPr>
      <w:r w:rsidRPr="00BF1C99">
        <w:rPr>
          <w:rFonts w:ascii="Arial" w:hAnsi="Arial" w:cs="Arial"/>
          <w:sz w:val="20"/>
          <w:szCs w:val="20"/>
          <w:lang w:val="en-GB"/>
        </w:rPr>
        <w:t>Examine the influence of material composition and wall thickness on the thermal efficiency of ISSB.</w:t>
      </w:r>
    </w:p>
    <w:p w14:paraId="3ED76CBC" w14:textId="77777777" w:rsidR="0089208D" w:rsidRPr="00BF1C99" w:rsidRDefault="0089208D" w:rsidP="00BF1C99">
      <w:pPr>
        <w:numPr>
          <w:ilvl w:val="0"/>
          <w:numId w:val="1"/>
        </w:numPr>
        <w:spacing w:line="240" w:lineRule="auto"/>
        <w:jc w:val="both"/>
        <w:rPr>
          <w:rFonts w:ascii="Arial" w:hAnsi="Arial" w:cs="Arial"/>
          <w:sz w:val="20"/>
          <w:szCs w:val="20"/>
          <w:lang w:val="en-GB"/>
        </w:rPr>
      </w:pPr>
      <w:r w:rsidRPr="00BF1C99">
        <w:rPr>
          <w:rFonts w:ascii="Arial" w:hAnsi="Arial" w:cs="Arial"/>
          <w:sz w:val="20"/>
          <w:szCs w:val="20"/>
          <w:lang w:val="en-GB"/>
        </w:rPr>
        <w:t>Evaluate user satisfaction with thermal conditions in ISSB buildings.</w:t>
      </w:r>
    </w:p>
    <w:p w14:paraId="0289CF40" w14:textId="5B43E1DB" w:rsidR="0089208D" w:rsidRPr="00BF1C99" w:rsidRDefault="0089208D" w:rsidP="00BF1C99">
      <w:pPr>
        <w:numPr>
          <w:ilvl w:val="0"/>
          <w:numId w:val="1"/>
        </w:numPr>
        <w:spacing w:line="240" w:lineRule="auto"/>
        <w:jc w:val="both"/>
        <w:rPr>
          <w:rFonts w:ascii="Arial" w:hAnsi="Arial" w:cs="Arial"/>
          <w:sz w:val="20"/>
          <w:szCs w:val="20"/>
          <w:lang w:val="en-GB"/>
        </w:rPr>
      </w:pPr>
      <w:r w:rsidRPr="00BF1C99">
        <w:rPr>
          <w:rFonts w:ascii="Arial" w:hAnsi="Arial" w:cs="Arial"/>
          <w:sz w:val="20"/>
          <w:szCs w:val="20"/>
          <w:lang w:val="en-GB"/>
        </w:rPr>
        <w:t>Recommend design and construction strategies that optimize ISSB performance for passive and sustainable building design.</w:t>
      </w:r>
    </w:p>
    <w:p w14:paraId="7BE06E83"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1.3 Research Questions</w:t>
      </w:r>
    </w:p>
    <w:p w14:paraId="6BFC947F" w14:textId="77777777" w:rsidR="0089208D" w:rsidRPr="00BF1C99" w:rsidRDefault="0089208D" w:rsidP="00BF1C99">
      <w:pPr>
        <w:numPr>
          <w:ilvl w:val="0"/>
          <w:numId w:val="2"/>
        </w:numPr>
        <w:spacing w:line="240" w:lineRule="auto"/>
        <w:jc w:val="both"/>
        <w:rPr>
          <w:rFonts w:ascii="Arial" w:hAnsi="Arial" w:cs="Arial"/>
          <w:sz w:val="20"/>
          <w:szCs w:val="20"/>
          <w:lang w:val="en-GB"/>
        </w:rPr>
      </w:pPr>
      <w:r w:rsidRPr="00BF1C99">
        <w:rPr>
          <w:rFonts w:ascii="Arial" w:hAnsi="Arial" w:cs="Arial"/>
          <w:sz w:val="20"/>
          <w:szCs w:val="20"/>
          <w:lang w:val="en-GB"/>
        </w:rPr>
        <w:t xml:space="preserve">How does the thermal comfort performance of ISSB walls compare with that of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and other conventional wall materials?</w:t>
      </w:r>
    </w:p>
    <w:p w14:paraId="53D9B51C" w14:textId="77777777" w:rsidR="0089208D" w:rsidRPr="00BF1C99" w:rsidRDefault="0089208D" w:rsidP="00BF1C99">
      <w:pPr>
        <w:numPr>
          <w:ilvl w:val="0"/>
          <w:numId w:val="2"/>
        </w:numPr>
        <w:spacing w:line="240" w:lineRule="auto"/>
        <w:jc w:val="both"/>
        <w:rPr>
          <w:rFonts w:ascii="Arial" w:hAnsi="Arial" w:cs="Arial"/>
          <w:sz w:val="20"/>
          <w:szCs w:val="20"/>
          <w:lang w:val="en-GB"/>
        </w:rPr>
      </w:pPr>
      <w:r w:rsidRPr="00BF1C99">
        <w:rPr>
          <w:rFonts w:ascii="Arial" w:hAnsi="Arial" w:cs="Arial"/>
          <w:sz w:val="20"/>
          <w:szCs w:val="20"/>
          <w:lang w:val="en-GB"/>
        </w:rPr>
        <w:t>What material and construction factors (e.g., stabilizer content, block density, wall thickness) influence ISSB’s thermal efficiency?</w:t>
      </w:r>
    </w:p>
    <w:p w14:paraId="6205DF71" w14:textId="77777777" w:rsidR="0089208D" w:rsidRPr="00BF1C99" w:rsidRDefault="0089208D" w:rsidP="00BF1C99">
      <w:pPr>
        <w:numPr>
          <w:ilvl w:val="0"/>
          <w:numId w:val="2"/>
        </w:numPr>
        <w:spacing w:line="240" w:lineRule="auto"/>
        <w:jc w:val="both"/>
        <w:rPr>
          <w:rFonts w:ascii="Arial" w:hAnsi="Arial" w:cs="Arial"/>
          <w:sz w:val="20"/>
          <w:szCs w:val="20"/>
          <w:lang w:val="en-GB"/>
        </w:rPr>
      </w:pPr>
      <w:r w:rsidRPr="00BF1C99">
        <w:rPr>
          <w:rFonts w:ascii="Arial" w:hAnsi="Arial" w:cs="Arial"/>
          <w:sz w:val="20"/>
          <w:szCs w:val="20"/>
          <w:lang w:val="en-GB"/>
        </w:rPr>
        <w:t>What are users’ perceptions of indoor thermal comfort in ISSB-built houses?</w:t>
      </w:r>
    </w:p>
    <w:p w14:paraId="2863F8E4" w14:textId="30F0978A" w:rsidR="00261240" w:rsidRPr="00BF1C99" w:rsidRDefault="0089208D" w:rsidP="00BF1C99">
      <w:pPr>
        <w:numPr>
          <w:ilvl w:val="0"/>
          <w:numId w:val="2"/>
        </w:numPr>
        <w:spacing w:line="240" w:lineRule="auto"/>
        <w:jc w:val="both"/>
        <w:rPr>
          <w:rFonts w:ascii="Arial" w:hAnsi="Arial" w:cs="Arial"/>
          <w:sz w:val="20"/>
          <w:szCs w:val="20"/>
          <w:lang w:val="en-GB"/>
        </w:rPr>
      </w:pPr>
      <w:r w:rsidRPr="00BF1C99">
        <w:rPr>
          <w:rFonts w:ascii="Arial" w:hAnsi="Arial" w:cs="Arial"/>
          <w:sz w:val="20"/>
          <w:szCs w:val="20"/>
          <w:lang w:val="en-GB"/>
        </w:rPr>
        <w:t>What design and material strategies can enhance ISSB’s role in achieving passive and sustainable building performance?</w:t>
      </w:r>
    </w:p>
    <w:p w14:paraId="1142A68B"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1.4 Significance of the Study</w:t>
      </w:r>
    </w:p>
    <w:p w14:paraId="44FBD7EC"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This study is significant in advancing knowledge of low-carbon, passive thermal design strategies for buildings in tropical climates. By quantifying and </w:t>
      </w:r>
      <w:proofErr w:type="spellStart"/>
      <w:r w:rsidRPr="00BF1C99">
        <w:rPr>
          <w:rFonts w:ascii="Arial" w:hAnsi="Arial" w:cs="Arial"/>
          <w:sz w:val="20"/>
          <w:szCs w:val="20"/>
          <w:lang w:val="en-GB"/>
        </w:rPr>
        <w:t>analyzing</w:t>
      </w:r>
      <w:proofErr w:type="spellEnd"/>
      <w:r w:rsidRPr="00BF1C99">
        <w:rPr>
          <w:rFonts w:ascii="Arial" w:hAnsi="Arial" w:cs="Arial"/>
          <w:sz w:val="20"/>
          <w:szCs w:val="20"/>
          <w:lang w:val="en-GB"/>
        </w:rPr>
        <w:t xml:space="preserve"> the thermal performance of ISSB, the research contributes to evidence-based design that minimizes dependence on energy-intensive cooling systems. It further supports Nigeria’s sustainable development goals related to affordable housing, energy efficiency, and environmental protection.</w:t>
      </w:r>
    </w:p>
    <w:p w14:paraId="2176238A" w14:textId="4321D649"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For practitioners, the findings provide data-driven guidance on optimizing ISSB wall systems to achieve comfortable indoor environments. For policymakers, the study offers insights to support building standards and green housing policies promoting ISSB use in public housing. The research also extends the work of Ibitoye et al. (2023) by integrating empirical thermal assessment with user-</w:t>
      </w:r>
      <w:proofErr w:type="spellStart"/>
      <w:r w:rsidRPr="00BF1C99">
        <w:rPr>
          <w:rFonts w:ascii="Arial" w:hAnsi="Arial" w:cs="Arial"/>
          <w:sz w:val="20"/>
          <w:szCs w:val="20"/>
          <w:lang w:val="en-GB"/>
        </w:rPr>
        <w:t>centered</w:t>
      </w:r>
      <w:proofErr w:type="spellEnd"/>
      <w:r w:rsidRPr="00BF1C99">
        <w:rPr>
          <w:rFonts w:ascii="Arial" w:hAnsi="Arial" w:cs="Arial"/>
          <w:sz w:val="20"/>
          <w:szCs w:val="20"/>
          <w:lang w:val="en-GB"/>
        </w:rPr>
        <w:t xml:space="preserve"> evaluations, thus bridging technical performance and occupant comfort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two critical pillars of sustainable architecture.</w:t>
      </w:r>
    </w:p>
    <w:p w14:paraId="296FC9AD" w14:textId="676D3423" w:rsidR="0089208D" w:rsidRPr="00BF1C99" w:rsidRDefault="007C6BB0"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2.</w:t>
      </w:r>
      <w:r w:rsidR="00C92446" w:rsidRPr="00BF1C99">
        <w:rPr>
          <w:rFonts w:ascii="Arial" w:hAnsi="Arial" w:cs="Arial"/>
          <w:b/>
          <w:bCs/>
          <w:sz w:val="24"/>
          <w:szCs w:val="24"/>
          <w:lang w:val="en-GB"/>
        </w:rPr>
        <w:t>0</w:t>
      </w:r>
      <w:r w:rsidRPr="00BF1C99">
        <w:rPr>
          <w:rFonts w:ascii="Arial" w:hAnsi="Arial" w:cs="Arial"/>
          <w:b/>
          <w:bCs/>
          <w:sz w:val="24"/>
          <w:szCs w:val="24"/>
          <w:lang w:val="en-GB"/>
        </w:rPr>
        <w:tab/>
        <w:t>LITERATURE REVIEW</w:t>
      </w:r>
    </w:p>
    <w:p w14:paraId="4098AFBD"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2.1 Overview of Passive and Sustainable Building Design</w:t>
      </w:r>
    </w:p>
    <w:p w14:paraId="3C9AC0D9" w14:textId="32759F1D"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Passive building design seeks to achieve thermal comfort and energy efficiency by utilizing the building’s form, orientation, and materials to control heat gain and loss without mechanical intervention (Hafez, 2023). The approach emphasizes climatic responsiveness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designing envelopes that harness natural ventilation, </w:t>
      </w:r>
      <w:r w:rsidRPr="00BF1C99">
        <w:rPr>
          <w:rFonts w:ascii="Arial" w:hAnsi="Arial" w:cs="Arial"/>
          <w:sz w:val="20"/>
          <w:szCs w:val="20"/>
          <w:lang w:val="en-GB"/>
        </w:rPr>
        <w:lastRenderedPageBreak/>
        <w:t>shading, and thermal mass to maintain comfort year-round. In tropical environments such as Nigeria, passive design principles are crucial for minimizing dependence on air-conditioning, which accounts for over 40% of total residential energy consumption (Olaniyan, 2024).</w:t>
      </w:r>
    </w:p>
    <w:p w14:paraId="4C29DA68" w14:textId="46489521"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Sustainable building design extends this concept to incorporate environmental, economic, and social considerations throughout the building’s life cycle (Bailly et al., 2024). Central to sustainability is the use of local, renewable, and low-embodied-energy materials, which reduce transportation impacts and enhance affordability. ISSB exemplifies this principle: by using local lateritic soils and minimal cement, it supports both passive design and sustainable development goals. Recent studies advocate for coupling passive thermal strategies with material innovation to deliver low-carbon, climate-adaptive housing for developing nations (</w:t>
      </w:r>
      <w:proofErr w:type="spellStart"/>
      <w:r w:rsidRPr="00BF1C99">
        <w:rPr>
          <w:rFonts w:ascii="Arial" w:hAnsi="Arial" w:cs="Arial"/>
          <w:sz w:val="20"/>
          <w:szCs w:val="20"/>
          <w:lang w:val="en-GB"/>
        </w:rPr>
        <w:t>Akinyoade</w:t>
      </w:r>
      <w:proofErr w:type="spellEnd"/>
      <w:r w:rsidR="00C92446" w:rsidRPr="00BF1C99">
        <w:rPr>
          <w:rFonts w:ascii="Arial" w:hAnsi="Arial" w:cs="Arial"/>
          <w:sz w:val="20"/>
          <w:szCs w:val="20"/>
          <w:lang w:val="en-GB"/>
        </w:rPr>
        <w:t xml:space="preserve"> et al., </w:t>
      </w:r>
      <w:r w:rsidRPr="00BF1C99">
        <w:rPr>
          <w:rFonts w:ascii="Arial" w:hAnsi="Arial" w:cs="Arial"/>
          <w:sz w:val="20"/>
          <w:szCs w:val="20"/>
          <w:lang w:val="en-GB"/>
        </w:rPr>
        <w:t>2022).</w:t>
      </w:r>
    </w:p>
    <w:p w14:paraId="7CAC9CBF"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2.2 Thermal Properties of Earth-Based Materials</w:t>
      </w:r>
    </w:p>
    <w:p w14:paraId="05064AD8"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Earth-based materials, such as adobe, compressed earth blocks (CEB), and Interlocking Stabilised Soil Blocks (ISSB), are renowned for their high thermal mass and moderate conductivity, which allow them to absorb and slowly release heat (Bui et al., 2023). This characteristic </w:t>
      </w:r>
      <w:proofErr w:type="gramStart"/>
      <w:r w:rsidRPr="00BF1C99">
        <w:rPr>
          <w:rFonts w:ascii="Arial" w:hAnsi="Arial" w:cs="Arial"/>
          <w:sz w:val="20"/>
          <w:szCs w:val="20"/>
          <w:lang w:val="en-GB"/>
        </w:rPr>
        <w:t>moderates</w:t>
      </w:r>
      <w:proofErr w:type="gramEnd"/>
      <w:r w:rsidRPr="00BF1C99">
        <w:rPr>
          <w:rFonts w:ascii="Arial" w:hAnsi="Arial" w:cs="Arial"/>
          <w:sz w:val="20"/>
          <w:szCs w:val="20"/>
          <w:lang w:val="en-GB"/>
        </w:rPr>
        <w:t xml:space="preserve"> diurnal temperature fluctuations, resulting in more stable indoor conditions compared to lightweight materials like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or hollow concrete blocks.</w:t>
      </w:r>
    </w:p>
    <w:p w14:paraId="5D71F2E5" w14:textId="51B6F96C"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According to Bailly et al. (2024), stabilized earth walls exhibit low thermal diffusivity and good hygroscopic properties, meaning they can buffer internal humidity and heat variations. Studies in tropical Africa and Asia have shown that stabilized soil blocks can reduce indoor temperature peaks by 2–4°C compared with concrete structures (</w:t>
      </w:r>
      <w:proofErr w:type="spellStart"/>
      <w:r w:rsidRPr="00BF1C99">
        <w:rPr>
          <w:rFonts w:ascii="Arial" w:hAnsi="Arial" w:cs="Arial"/>
          <w:sz w:val="20"/>
          <w:szCs w:val="20"/>
          <w:lang w:val="en-GB"/>
        </w:rPr>
        <w:t>Awotunde</w:t>
      </w:r>
      <w:proofErr w:type="spellEnd"/>
      <w:r w:rsidRPr="00BF1C99">
        <w:rPr>
          <w:rFonts w:ascii="Arial" w:hAnsi="Arial" w:cs="Arial"/>
          <w:sz w:val="20"/>
          <w:szCs w:val="20"/>
          <w:lang w:val="en-GB"/>
        </w:rPr>
        <w:t xml:space="preserve">, Adeleke, &amp; </w:t>
      </w:r>
      <w:proofErr w:type="spellStart"/>
      <w:r w:rsidRPr="00BF1C99">
        <w:rPr>
          <w:rFonts w:ascii="Arial" w:hAnsi="Arial" w:cs="Arial"/>
          <w:sz w:val="20"/>
          <w:szCs w:val="20"/>
          <w:lang w:val="en-GB"/>
        </w:rPr>
        <w:t>Oyenuga</w:t>
      </w:r>
      <w:proofErr w:type="spellEnd"/>
      <w:r w:rsidRPr="00BF1C99">
        <w:rPr>
          <w:rFonts w:ascii="Arial" w:hAnsi="Arial" w:cs="Arial"/>
          <w:sz w:val="20"/>
          <w:szCs w:val="20"/>
          <w:lang w:val="en-GB"/>
        </w:rPr>
        <w:t xml:space="preserve">, 2023). Furthermore, the degree of stabilization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typically 5–10% cement or lime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affects thermal </w:t>
      </w:r>
      <w:proofErr w:type="spellStart"/>
      <w:r w:rsidRPr="00BF1C99">
        <w:rPr>
          <w:rFonts w:ascii="Arial" w:hAnsi="Arial" w:cs="Arial"/>
          <w:sz w:val="20"/>
          <w:szCs w:val="20"/>
          <w:lang w:val="en-GB"/>
        </w:rPr>
        <w:t>behavior</w:t>
      </w:r>
      <w:proofErr w:type="spellEnd"/>
      <w:r w:rsidRPr="00BF1C99">
        <w:rPr>
          <w:rFonts w:ascii="Arial" w:hAnsi="Arial" w:cs="Arial"/>
          <w:sz w:val="20"/>
          <w:szCs w:val="20"/>
          <w:lang w:val="en-GB"/>
        </w:rPr>
        <w:t>, with over-stabilization increasing conductivity and reducing passive cooling capacity (Real et al., 2024).</w:t>
      </w:r>
    </w:p>
    <w:p w14:paraId="091AF56B" w14:textId="0E26C74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Despite these advantages, the performance of earth-based materials depends heavily on wall thickness, block density, and surface finishing. Proper plastering and orientation further enhance thermal resistance by minimizing direct solar radiation on exposed surfaces (Hafez, 2023). Thus, the thermal optimization of ISSB construction must be approached holistically, combining material science and architectural design principles.</w:t>
      </w:r>
    </w:p>
    <w:p w14:paraId="6A45AC90"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2.3 ISSB Technology and Thermal Regulation in Tropical Climates</w:t>
      </w:r>
    </w:p>
    <w:p w14:paraId="0DF9EDFA" w14:textId="4C674E6F"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ISSB technology offers an integrated solution for affordable and thermally efficient construction. The interlocking system eliminates mortar joints, reduces thermal bridging, and enhances airtightness (</w:t>
      </w:r>
      <w:proofErr w:type="spellStart"/>
      <w:r w:rsidRPr="00BF1C99">
        <w:rPr>
          <w:rFonts w:ascii="Arial" w:hAnsi="Arial" w:cs="Arial"/>
          <w:sz w:val="20"/>
          <w:szCs w:val="20"/>
          <w:lang w:val="en-GB"/>
        </w:rPr>
        <w:t>Awotunde</w:t>
      </w:r>
      <w:proofErr w:type="spellEnd"/>
      <w:r w:rsidRPr="00BF1C99">
        <w:rPr>
          <w:rFonts w:ascii="Arial" w:hAnsi="Arial" w:cs="Arial"/>
          <w:sz w:val="20"/>
          <w:szCs w:val="20"/>
          <w:lang w:val="en-GB"/>
        </w:rPr>
        <w:t xml:space="preserve"> et al., 2023). In tropical climates, where daytime temperatures are high and night-time cooling is limited, ISSB walls provide thermal inertia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storing heat during the day and releasing it slowly at night.</w:t>
      </w:r>
    </w:p>
    <w:p w14:paraId="482B453E" w14:textId="7A0D404C" w:rsidR="0089208D" w:rsidRPr="00BF1C99" w:rsidRDefault="0089208D" w:rsidP="00BF1C99">
      <w:pPr>
        <w:spacing w:line="240" w:lineRule="auto"/>
        <w:jc w:val="both"/>
        <w:rPr>
          <w:rFonts w:ascii="Arial" w:hAnsi="Arial" w:cs="Arial"/>
          <w:sz w:val="20"/>
          <w:szCs w:val="20"/>
          <w:lang w:val="en-GB"/>
        </w:rPr>
      </w:pPr>
      <w:proofErr w:type="spellStart"/>
      <w:r w:rsidRPr="00BF1C99">
        <w:rPr>
          <w:rFonts w:ascii="Arial" w:hAnsi="Arial" w:cs="Arial"/>
          <w:sz w:val="20"/>
          <w:szCs w:val="20"/>
          <w:lang w:val="en-GB"/>
        </w:rPr>
        <w:t>Ibitoye</w:t>
      </w:r>
      <w:proofErr w:type="spellEnd"/>
      <w:r w:rsidRPr="00BF1C99">
        <w:rPr>
          <w:rFonts w:ascii="Arial" w:hAnsi="Arial" w:cs="Arial"/>
          <w:sz w:val="20"/>
          <w:szCs w:val="20"/>
          <w:lang w:val="en-GB"/>
        </w:rPr>
        <w:t xml:space="preserve">, </w:t>
      </w:r>
      <w:proofErr w:type="spellStart"/>
      <w:r w:rsidRPr="00BF1C99">
        <w:rPr>
          <w:rFonts w:ascii="Arial" w:hAnsi="Arial" w:cs="Arial"/>
          <w:sz w:val="20"/>
          <w:szCs w:val="20"/>
          <w:lang w:val="en-GB"/>
        </w:rPr>
        <w:t>Oyewole</w:t>
      </w:r>
      <w:proofErr w:type="spellEnd"/>
      <w:r w:rsidRPr="00BF1C99">
        <w:rPr>
          <w:rFonts w:ascii="Arial" w:hAnsi="Arial" w:cs="Arial"/>
          <w:sz w:val="20"/>
          <w:szCs w:val="20"/>
          <w:lang w:val="en-GB"/>
        </w:rPr>
        <w:t xml:space="preserve">, and </w:t>
      </w:r>
      <w:proofErr w:type="spellStart"/>
      <w:r w:rsidRPr="00BF1C99">
        <w:rPr>
          <w:rFonts w:ascii="Arial" w:hAnsi="Arial" w:cs="Arial"/>
          <w:sz w:val="20"/>
          <w:szCs w:val="20"/>
          <w:lang w:val="en-GB"/>
        </w:rPr>
        <w:t>Babamboni</w:t>
      </w:r>
      <w:proofErr w:type="spellEnd"/>
      <w:r w:rsidRPr="00BF1C99">
        <w:rPr>
          <w:rFonts w:ascii="Arial" w:hAnsi="Arial" w:cs="Arial"/>
          <w:sz w:val="20"/>
          <w:szCs w:val="20"/>
          <w:lang w:val="en-GB"/>
        </w:rPr>
        <w:t xml:space="preserve"> (2023) emphasized that ISSB’s climatic adaptability makes it particularly suitable for Nigeria’s hot-humid regions, as its natural insulation properties help maintain cooler indoor conditions. Field studies in Kenya and Uganda reported that ISSB homes maintained indoor temperatures 2–3°C lower than external ambient air during peak daytime hours (Omondi et al., 2022). Similarly, Diatta (2025) confirmed that earthen materials’ capacity for phase lag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the delay between outdoor and indoor temperature peaks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is a defining factor in passive comfort.</w:t>
      </w:r>
    </w:p>
    <w:p w14:paraId="555640B4" w14:textId="38E63C9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Furthermore, ISSB walls can be optimized for thermal performance through variations in mix ratio, stabilization level, and wall thickness. Experimental research by Bailly et al. (2024) found that 230 mm–300 mm ISSB walls with 7% cement content achieved the best balance of strength and insulation for warm climates. These findings reinforce ISSB’s relevance to low-cost passive housing, especially where affordability and sustainability are twin priorities.</w:t>
      </w:r>
    </w:p>
    <w:p w14:paraId="6A8CDA5F" w14:textId="38A25A56" w:rsidR="00EE237A" w:rsidRPr="00EE237A" w:rsidRDefault="0089208D" w:rsidP="00EE237A">
      <w:pPr>
        <w:spacing w:line="360" w:lineRule="auto"/>
        <w:jc w:val="both"/>
        <w:rPr>
          <w:rFonts w:ascii="Arial" w:hAnsi="Arial" w:cs="Arial"/>
          <w:b/>
          <w:bCs/>
          <w:lang w:val="en-GB"/>
        </w:rPr>
      </w:pPr>
      <w:r w:rsidRPr="00BF1C99">
        <w:rPr>
          <w:rFonts w:ascii="Arial" w:hAnsi="Arial" w:cs="Arial"/>
          <w:b/>
          <w:bCs/>
          <w:lang w:val="en-GB"/>
        </w:rPr>
        <w:t xml:space="preserve">2.4 Comparative Studies on ISSB, </w:t>
      </w:r>
      <w:proofErr w:type="spellStart"/>
      <w:r w:rsidRPr="00BF1C99">
        <w:rPr>
          <w:rFonts w:ascii="Arial" w:hAnsi="Arial" w:cs="Arial"/>
          <w:b/>
          <w:bCs/>
          <w:lang w:val="en-GB"/>
        </w:rPr>
        <w:t>Sandcrete</w:t>
      </w:r>
      <w:proofErr w:type="spellEnd"/>
      <w:r w:rsidRPr="00BF1C99">
        <w:rPr>
          <w:rFonts w:ascii="Arial" w:hAnsi="Arial" w:cs="Arial"/>
          <w:b/>
          <w:bCs/>
          <w:lang w:val="en-GB"/>
        </w:rPr>
        <w:t>, and Other Walling Materials</w:t>
      </w:r>
    </w:p>
    <w:p w14:paraId="4F8FB357" w14:textId="72816F04"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Comparative analyses between ISSB and conventional walling materials consistently highlight the superior thermal </w:t>
      </w:r>
      <w:proofErr w:type="spellStart"/>
      <w:r w:rsidRPr="00BF1C99">
        <w:rPr>
          <w:rFonts w:ascii="Arial" w:hAnsi="Arial" w:cs="Arial"/>
          <w:sz w:val="20"/>
          <w:szCs w:val="20"/>
          <w:lang w:val="en-GB"/>
        </w:rPr>
        <w:t>behavior</w:t>
      </w:r>
      <w:proofErr w:type="spellEnd"/>
      <w:r w:rsidRPr="00BF1C99">
        <w:rPr>
          <w:rFonts w:ascii="Arial" w:hAnsi="Arial" w:cs="Arial"/>
          <w:sz w:val="20"/>
          <w:szCs w:val="20"/>
          <w:lang w:val="en-GB"/>
        </w:rPr>
        <w:t xml:space="preserve"> of ISSB in tropical regions. According to </w:t>
      </w:r>
      <w:proofErr w:type="spellStart"/>
      <w:r w:rsidRPr="00BF1C99">
        <w:rPr>
          <w:rFonts w:ascii="Arial" w:hAnsi="Arial" w:cs="Arial"/>
          <w:sz w:val="20"/>
          <w:szCs w:val="20"/>
          <w:lang w:val="en-GB"/>
        </w:rPr>
        <w:t>Awotunde</w:t>
      </w:r>
      <w:proofErr w:type="spellEnd"/>
      <w:r w:rsidRPr="00BF1C99">
        <w:rPr>
          <w:rFonts w:ascii="Arial" w:hAnsi="Arial" w:cs="Arial"/>
          <w:sz w:val="20"/>
          <w:szCs w:val="20"/>
          <w:lang w:val="en-GB"/>
        </w:rPr>
        <w:t xml:space="preserve"> et al. (2023),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exhibit </w:t>
      </w:r>
      <w:r w:rsidRPr="00BF1C99">
        <w:rPr>
          <w:rFonts w:ascii="Arial" w:hAnsi="Arial" w:cs="Arial"/>
          <w:sz w:val="20"/>
          <w:szCs w:val="20"/>
          <w:lang w:val="en-GB"/>
        </w:rPr>
        <w:lastRenderedPageBreak/>
        <w:t>higher thermal conductivity (1.4–1.8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 compared to ISSB walls (0.6–0.9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 making the latter better suited for passive design. Similar findings by Hafez (2023) and Bui et al. (2023) indicate that ISSB structures experience lower daily indoor temperature amplitudes and reduced cooling load demand.</w:t>
      </w:r>
    </w:p>
    <w:p w14:paraId="56DFDDEE"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Table 1 summarizes key comparative indicators between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as reported in recent literature.</w:t>
      </w:r>
    </w:p>
    <w:p w14:paraId="6551DEAE" w14:textId="77777777"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b/>
          <w:bCs/>
          <w:sz w:val="20"/>
          <w:szCs w:val="20"/>
          <w:lang w:val="en-GB"/>
        </w:rPr>
        <w:t xml:space="preserve">Table 1. Comparison of Thermal Properties of ISSB and </w:t>
      </w:r>
      <w:proofErr w:type="spellStart"/>
      <w:r w:rsidRPr="00BF1C99">
        <w:rPr>
          <w:rFonts w:ascii="Arial" w:hAnsi="Arial" w:cs="Arial"/>
          <w:b/>
          <w:bCs/>
          <w:sz w:val="20"/>
          <w:szCs w:val="20"/>
          <w:lang w:val="en-GB"/>
        </w:rPr>
        <w:t>Sandcrete</w:t>
      </w:r>
      <w:proofErr w:type="spellEnd"/>
      <w:r w:rsidRPr="00BF1C99">
        <w:rPr>
          <w:rFonts w:ascii="Arial" w:hAnsi="Arial" w:cs="Arial"/>
          <w:b/>
          <w:bCs/>
          <w:sz w:val="20"/>
          <w:szCs w:val="20"/>
          <w:lang w:val="en-GB"/>
        </w:rPr>
        <w:t xml:space="preserve"> Walls</w:t>
      </w:r>
    </w:p>
    <w:tbl>
      <w:tblPr>
        <w:tblStyle w:val="TableGridLight"/>
        <w:tblW w:w="0" w:type="auto"/>
        <w:tblLook w:val="04A0" w:firstRow="1" w:lastRow="0" w:firstColumn="1" w:lastColumn="0" w:noHBand="0" w:noVBand="1"/>
      </w:tblPr>
      <w:tblGrid>
        <w:gridCol w:w="3370"/>
        <w:gridCol w:w="1183"/>
        <w:gridCol w:w="1670"/>
        <w:gridCol w:w="3127"/>
      </w:tblGrid>
      <w:tr w:rsidR="0089208D" w:rsidRPr="00BF1C99" w14:paraId="70DE3395" w14:textId="77777777" w:rsidTr="00B93629">
        <w:tc>
          <w:tcPr>
            <w:tcW w:w="0" w:type="auto"/>
            <w:hideMark/>
          </w:tcPr>
          <w:p w14:paraId="10D8B6A5"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Parameter</w:t>
            </w:r>
          </w:p>
        </w:tc>
        <w:tc>
          <w:tcPr>
            <w:tcW w:w="0" w:type="auto"/>
            <w:hideMark/>
          </w:tcPr>
          <w:p w14:paraId="64E38DF6"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ISSB Walls</w:t>
            </w:r>
          </w:p>
        </w:tc>
        <w:tc>
          <w:tcPr>
            <w:tcW w:w="0" w:type="auto"/>
            <w:hideMark/>
          </w:tcPr>
          <w:p w14:paraId="08CA1526" w14:textId="77777777" w:rsidR="0089208D" w:rsidRPr="00BF1C99" w:rsidRDefault="0089208D" w:rsidP="00BF1C99">
            <w:pPr>
              <w:jc w:val="both"/>
              <w:rPr>
                <w:rFonts w:ascii="Arial" w:hAnsi="Arial" w:cs="Arial"/>
                <w:b/>
                <w:bCs/>
                <w:sz w:val="20"/>
                <w:szCs w:val="20"/>
                <w:lang w:val="en-GB"/>
              </w:rPr>
            </w:pPr>
            <w:proofErr w:type="spellStart"/>
            <w:r w:rsidRPr="00BF1C99">
              <w:rPr>
                <w:rFonts w:ascii="Arial" w:hAnsi="Arial" w:cs="Arial"/>
                <w:b/>
                <w:bCs/>
                <w:sz w:val="20"/>
                <w:szCs w:val="20"/>
                <w:lang w:val="en-GB"/>
              </w:rPr>
              <w:t>Sandcrete</w:t>
            </w:r>
            <w:proofErr w:type="spellEnd"/>
            <w:r w:rsidRPr="00BF1C99">
              <w:rPr>
                <w:rFonts w:ascii="Arial" w:hAnsi="Arial" w:cs="Arial"/>
                <w:b/>
                <w:bCs/>
                <w:sz w:val="20"/>
                <w:szCs w:val="20"/>
                <w:lang w:val="en-GB"/>
              </w:rPr>
              <w:t xml:space="preserve"> Walls</w:t>
            </w:r>
          </w:p>
        </w:tc>
        <w:tc>
          <w:tcPr>
            <w:tcW w:w="0" w:type="auto"/>
            <w:hideMark/>
          </w:tcPr>
          <w:p w14:paraId="4B9A132B"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Relative Performance</w:t>
            </w:r>
          </w:p>
        </w:tc>
      </w:tr>
      <w:tr w:rsidR="0089208D" w:rsidRPr="00BF1C99" w14:paraId="0B9D9020" w14:textId="77777777" w:rsidTr="00B93629">
        <w:tc>
          <w:tcPr>
            <w:tcW w:w="0" w:type="auto"/>
            <w:hideMark/>
          </w:tcPr>
          <w:p w14:paraId="176DC89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Thermal Conductivity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w:t>
            </w:r>
          </w:p>
        </w:tc>
        <w:tc>
          <w:tcPr>
            <w:tcW w:w="0" w:type="auto"/>
            <w:hideMark/>
          </w:tcPr>
          <w:p w14:paraId="69B57DF4"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0.6–0.9</w:t>
            </w:r>
          </w:p>
        </w:tc>
        <w:tc>
          <w:tcPr>
            <w:tcW w:w="0" w:type="auto"/>
            <w:hideMark/>
          </w:tcPr>
          <w:p w14:paraId="72ADFAD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1.4–1.8</w:t>
            </w:r>
          </w:p>
        </w:tc>
        <w:tc>
          <w:tcPr>
            <w:tcW w:w="0" w:type="auto"/>
            <w:hideMark/>
          </w:tcPr>
          <w:p w14:paraId="177C037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Lower heat transmission in ISSB</w:t>
            </w:r>
          </w:p>
        </w:tc>
      </w:tr>
      <w:tr w:rsidR="0089208D" w:rsidRPr="00BF1C99" w14:paraId="0E815F09" w14:textId="77777777" w:rsidTr="00B93629">
        <w:tc>
          <w:tcPr>
            <w:tcW w:w="0" w:type="auto"/>
            <w:hideMark/>
          </w:tcPr>
          <w:p w14:paraId="36AECF54"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Density (kg/m³)</w:t>
            </w:r>
          </w:p>
        </w:tc>
        <w:tc>
          <w:tcPr>
            <w:tcW w:w="0" w:type="auto"/>
            <w:hideMark/>
          </w:tcPr>
          <w:p w14:paraId="6B5489B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1700–1900</w:t>
            </w:r>
          </w:p>
        </w:tc>
        <w:tc>
          <w:tcPr>
            <w:tcW w:w="0" w:type="auto"/>
            <w:hideMark/>
          </w:tcPr>
          <w:p w14:paraId="253497F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2100–2300</w:t>
            </w:r>
          </w:p>
        </w:tc>
        <w:tc>
          <w:tcPr>
            <w:tcW w:w="0" w:type="auto"/>
            <w:hideMark/>
          </w:tcPr>
          <w:p w14:paraId="6DB687B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Lighter, better thermal lag</w:t>
            </w:r>
          </w:p>
        </w:tc>
      </w:tr>
      <w:tr w:rsidR="0089208D" w:rsidRPr="00BF1C99" w14:paraId="28E3F889" w14:textId="77777777" w:rsidTr="00B93629">
        <w:tc>
          <w:tcPr>
            <w:tcW w:w="0" w:type="auto"/>
            <w:hideMark/>
          </w:tcPr>
          <w:p w14:paraId="142790F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Indoor Temperature Variation (°C)</w:t>
            </w:r>
          </w:p>
        </w:tc>
        <w:tc>
          <w:tcPr>
            <w:tcW w:w="0" w:type="auto"/>
            <w:hideMark/>
          </w:tcPr>
          <w:p w14:paraId="4CF061F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w:t>
            </w:r>
          </w:p>
        </w:tc>
        <w:tc>
          <w:tcPr>
            <w:tcW w:w="0" w:type="auto"/>
            <w:hideMark/>
          </w:tcPr>
          <w:p w14:paraId="3CEC0B1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±4.5</w:t>
            </w:r>
          </w:p>
        </w:tc>
        <w:tc>
          <w:tcPr>
            <w:tcW w:w="0" w:type="auto"/>
            <w:hideMark/>
          </w:tcPr>
          <w:p w14:paraId="4672459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More stable indoor environment</w:t>
            </w:r>
          </w:p>
        </w:tc>
      </w:tr>
      <w:tr w:rsidR="0089208D" w:rsidRPr="00BF1C99" w14:paraId="43FAB48B" w14:textId="77777777" w:rsidTr="00B93629">
        <w:tc>
          <w:tcPr>
            <w:tcW w:w="0" w:type="auto"/>
            <w:hideMark/>
          </w:tcPr>
          <w:p w14:paraId="4CC27B5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Cooling Energy Demand Reduction (%)</w:t>
            </w:r>
          </w:p>
        </w:tc>
        <w:tc>
          <w:tcPr>
            <w:tcW w:w="0" w:type="auto"/>
            <w:hideMark/>
          </w:tcPr>
          <w:p w14:paraId="5C02445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25–35</w:t>
            </w:r>
          </w:p>
        </w:tc>
        <w:tc>
          <w:tcPr>
            <w:tcW w:w="0" w:type="auto"/>
            <w:hideMark/>
          </w:tcPr>
          <w:p w14:paraId="5E05B7D8" w14:textId="6DC03B8D" w:rsidR="0089208D" w:rsidRPr="00BF1C99" w:rsidRDefault="00261240" w:rsidP="00BF1C99">
            <w:pPr>
              <w:jc w:val="both"/>
              <w:rPr>
                <w:rFonts w:ascii="Arial" w:hAnsi="Arial" w:cs="Arial"/>
                <w:sz w:val="20"/>
                <w:szCs w:val="20"/>
                <w:lang w:val="en-GB"/>
              </w:rPr>
            </w:pPr>
            <w:r w:rsidRPr="00BF1C99">
              <w:rPr>
                <w:rFonts w:ascii="Arial" w:hAnsi="Arial" w:cs="Arial"/>
                <w:sz w:val="20"/>
                <w:szCs w:val="20"/>
                <w:lang w:val="en-GB"/>
              </w:rPr>
              <w:t xml:space="preserve"> </w:t>
            </w:r>
          </w:p>
        </w:tc>
        <w:tc>
          <w:tcPr>
            <w:tcW w:w="0" w:type="auto"/>
            <w:hideMark/>
          </w:tcPr>
          <w:p w14:paraId="1C6AB05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Higher energy savings</w:t>
            </w:r>
          </w:p>
        </w:tc>
      </w:tr>
      <w:tr w:rsidR="0089208D" w:rsidRPr="00BF1C99" w14:paraId="04BBB4C9" w14:textId="77777777" w:rsidTr="00B93629">
        <w:tc>
          <w:tcPr>
            <w:tcW w:w="0" w:type="auto"/>
            <w:hideMark/>
          </w:tcPr>
          <w:p w14:paraId="03ED1D4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Embodied Energy (MJ/m² wall)</w:t>
            </w:r>
          </w:p>
        </w:tc>
        <w:tc>
          <w:tcPr>
            <w:tcW w:w="0" w:type="auto"/>
            <w:hideMark/>
          </w:tcPr>
          <w:p w14:paraId="3A88EC0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90–120</w:t>
            </w:r>
          </w:p>
        </w:tc>
        <w:tc>
          <w:tcPr>
            <w:tcW w:w="0" w:type="auto"/>
            <w:hideMark/>
          </w:tcPr>
          <w:p w14:paraId="31D3D46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250–300</w:t>
            </w:r>
          </w:p>
        </w:tc>
        <w:tc>
          <w:tcPr>
            <w:tcW w:w="0" w:type="auto"/>
            <w:hideMark/>
          </w:tcPr>
          <w:p w14:paraId="268984E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Significantly lower embodied energy</w:t>
            </w:r>
          </w:p>
        </w:tc>
      </w:tr>
    </w:tbl>
    <w:p w14:paraId="30133EF7" w14:textId="77777777"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i/>
          <w:iCs/>
          <w:sz w:val="20"/>
          <w:szCs w:val="20"/>
          <w:lang w:val="en-GB"/>
        </w:rPr>
        <w:t xml:space="preserve">(Sources: </w:t>
      </w:r>
      <w:proofErr w:type="spellStart"/>
      <w:r w:rsidRPr="00BF1C99">
        <w:rPr>
          <w:rFonts w:ascii="Arial" w:hAnsi="Arial" w:cs="Arial"/>
          <w:i/>
          <w:iCs/>
          <w:sz w:val="20"/>
          <w:szCs w:val="20"/>
          <w:lang w:val="en-GB"/>
        </w:rPr>
        <w:t>Awotunde</w:t>
      </w:r>
      <w:proofErr w:type="spellEnd"/>
      <w:r w:rsidRPr="00BF1C99">
        <w:rPr>
          <w:rFonts w:ascii="Arial" w:hAnsi="Arial" w:cs="Arial"/>
          <w:i/>
          <w:iCs/>
          <w:sz w:val="20"/>
          <w:szCs w:val="20"/>
          <w:lang w:val="en-GB"/>
        </w:rPr>
        <w:t xml:space="preserve"> et al., 2023; Bailly et al., 2024; Hafez, 2023)</w:t>
      </w:r>
    </w:p>
    <w:p w14:paraId="33812F6D" w14:textId="72009C2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The comparative evidence demonstrates that ISSB construction not only reduces embodied energy but also enhances occupant comfort by leveraging its inherent material properties. This aligns with current sustainable architecture trends emphasizing locally sourced, climate-responsive materials (Ibitoye et al., 2023). </w:t>
      </w:r>
      <w:r w:rsidR="00EE237A" w:rsidRPr="00EE237A">
        <w:rPr>
          <w:rFonts w:ascii="Arial" w:hAnsi="Arial" w:cs="Arial"/>
          <w:sz w:val="20"/>
          <w:szCs w:val="20"/>
        </w:rPr>
        <w:t>Despite the demonstrated thermal superiority of ISSB, its adoption remains limited in practice. Ibitoye et al. (2026) argue that psychological skepticism among users and weak institutional frameworks significantly hinder its implementation, suggesting that performance advantages alone are insufficient to drive widespread acceptance.</w:t>
      </w:r>
      <w:r w:rsidR="00EE237A">
        <w:rPr>
          <w:rFonts w:ascii="Arial" w:hAnsi="Arial" w:cs="Arial"/>
          <w:sz w:val="20"/>
          <w:szCs w:val="20"/>
        </w:rPr>
        <w:t xml:space="preserve"> </w:t>
      </w:r>
      <w:r w:rsidRPr="00BF1C99">
        <w:rPr>
          <w:rFonts w:ascii="Arial" w:hAnsi="Arial" w:cs="Arial"/>
          <w:sz w:val="20"/>
          <w:szCs w:val="20"/>
          <w:lang w:val="en-GB"/>
        </w:rPr>
        <w:t>However, widespread adoption depends on empirical validation through performance monitoring and user feedback, reinforcing the need for research like the present study.</w:t>
      </w:r>
    </w:p>
    <w:p w14:paraId="4B4F9343" w14:textId="3CB0E38D" w:rsidR="0089208D" w:rsidRPr="00BF1C99" w:rsidRDefault="00B93629"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3.0</w:t>
      </w:r>
      <w:r w:rsidRPr="00BF1C99">
        <w:rPr>
          <w:rFonts w:ascii="Arial" w:hAnsi="Arial" w:cs="Arial"/>
          <w:b/>
          <w:bCs/>
          <w:sz w:val="24"/>
          <w:szCs w:val="24"/>
          <w:lang w:val="en-GB"/>
        </w:rPr>
        <w:tab/>
        <w:t>METHODOLOGY</w:t>
      </w:r>
    </w:p>
    <w:p w14:paraId="46D13CDF"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3.1 Research Design and Population</w:t>
      </w:r>
    </w:p>
    <w:p w14:paraId="64190516"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This study employed a quantitative descriptive and experimental research design to evaluate the thermal performance of Interlocking Stabilised Soil Blocks (ISSB) in comparison with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blocks. The design was chosen to allow both objective (instrumental) and subjective (user perception) evaluation of thermal </w:t>
      </w:r>
      <w:proofErr w:type="spellStart"/>
      <w:r w:rsidRPr="00BF1C99">
        <w:rPr>
          <w:rFonts w:ascii="Arial" w:hAnsi="Arial" w:cs="Arial"/>
          <w:sz w:val="20"/>
          <w:szCs w:val="20"/>
          <w:lang w:val="en-GB"/>
        </w:rPr>
        <w:t>behavior</w:t>
      </w:r>
      <w:proofErr w:type="spellEnd"/>
      <w:r w:rsidRPr="00BF1C99">
        <w:rPr>
          <w:rFonts w:ascii="Arial" w:hAnsi="Arial" w:cs="Arial"/>
          <w:sz w:val="20"/>
          <w:szCs w:val="20"/>
          <w:lang w:val="en-GB"/>
        </w:rPr>
        <w:t xml:space="preserve"> in actual buildings. The study combined on-site thermal measurements and structured questionnaires to ensure a holistic understanding of ISSB’s passive cooling potential.</w:t>
      </w:r>
    </w:p>
    <w:p w14:paraId="2EE5012C"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study population comprised residents, architects, builders, and engineers familiar with ISSB or living in ISSB-built houses across southwestern Nigeria. These participants were targeted because they represent both the producers and end-users of sustainable construction technologies. The field component was conducted across selected ISSB demonstration houses and residential buildings located in Ogun, Oyo, and Lagos States, which have hot–humid climatic characteristics typical of southern Nigeria (</w:t>
      </w:r>
      <w:proofErr w:type="spellStart"/>
      <w:r w:rsidRPr="00BF1C99">
        <w:rPr>
          <w:rFonts w:ascii="Arial" w:hAnsi="Arial" w:cs="Arial"/>
          <w:sz w:val="20"/>
          <w:szCs w:val="20"/>
          <w:lang w:val="en-GB"/>
        </w:rPr>
        <w:t>Awotunde</w:t>
      </w:r>
      <w:proofErr w:type="spellEnd"/>
      <w:r w:rsidRPr="00BF1C99">
        <w:rPr>
          <w:rFonts w:ascii="Arial" w:hAnsi="Arial" w:cs="Arial"/>
          <w:sz w:val="20"/>
          <w:szCs w:val="20"/>
          <w:lang w:val="en-GB"/>
        </w:rPr>
        <w:t xml:space="preserve">, Adeleke, &amp; </w:t>
      </w:r>
      <w:proofErr w:type="spellStart"/>
      <w:r w:rsidRPr="00BF1C99">
        <w:rPr>
          <w:rFonts w:ascii="Arial" w:hAnsi="Arial" w:cs="Arial"/>
          <w:sz w:val="20"/>
          <w:szCs w:val="20"/>
          <w:lang w:val="en-GB"/>
        </w:rPr>
        <w:t>Oyenuga</w:t>
      </w:r>
      <w:proofErr w:type="spellEnd"/>
      <w:r w:rsidRPr="00BF1C99">
        <w:rPr>
          <w:rFonts w:ascii="Arial" w:hAnsi="Arial" w:cs="Arial"/>
          <w:sz w:val="20"/>
          <w:szCs w:val="20"/>
          <w:lang w:val="en-GB"/>
        </w:rPr>
        <w:t>, 2023).</w:t>
      </w:r>
    </w:p>
    <w:p w14:paraId="3F3BF4FD" w14:textId="0D9CAAC9" w:rsidR="007062B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design allowed for quantitative temperature monitoring of wall surfaces and indoor air using data loggers, while user perceptions of indoor comfort were recorded through questionnaires. This dual approach aligns with earlier empirical studies on thermal assessment of earth-based structures (Real, Walker, &amp; Lawrence, 2024; Bailly et al., 2024).</w:t>
      </w:r>
    </w:p>
    <w:p w14:paraId="562EB1BE"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3.2 Sample Size and Data Collection Instrument</w:t>
      </w:r>
    </w:p>
    <w:p w14:paraId="58659EAA"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Since the total number of ISSB users and professionals in the region was indeterminate, the Cochran formula (1977) for sample size estimation with an unknown population was used to calculate a representative sample at a 95% confidence level and a 5% margin of error:</w:t>
      </w:r>
    </w:p>
    <w:p w14:paraId="4D84B507" w14:textId="48F4A58A" w:rsidR="0089208D" w:rsidRPr="00BF1C99" w:rsidRDefault="00550C15" w:rsidP="00BF1C99">
      <w:pPr>
        <w:spacing w:line="240" w:lineRule="auto"/>
        <w:jc w:val="both"/>
        <w:rPr>
          <w:rFonts w:ascii="Arial" w:hAnsi="Arial" w:cs="Arial"/>
          <w:sz w:val="20"/>
          <w:szCs w:val="20"/>
          <w:lang w:val="en-GB"/>
        </w:rPr>
      </w:pPr>
      <m:oMathPara>
        <m:oMath>
          <m:sSub>
            <m:sSubPr>
              <m:ctrlPr>
                <w:rPr>
                  <w:rFonts w:ascii="Cambria Math" w:hAnsi="Cambria Math" w:cs="Arial"/>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m:t>
          </m:r>
          <m:f>
            <m:fPr>
              <m:ctrlPr>
                <w:rPr>
                  <w:rFonts w:ascii="Cambria Math" w:hAnsi="Cambria Math" w:cs="Arial"/>
                  <w:sz w:val="20"/>
                  <w:szCs w:val="20"/>
                  <w:lang w:val="en-GB"/>
                </w:rPr>
              </m:ctrlPr>
            </m:fPr>
            <m:num>
              <m:sSup>
                <m:sSupPr>
                  <m:ctrlPr>
                    <w:rPr>
                      <w:rFonts w:ascii="Cambria Math" w:hAnsi="Cambria Math" w:cs="Arial"/>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w:rPr>
                  <w:rFonts w:ascii="Cambria Math" w:hAnsi="Cambria Math" w:cs="Arial"/>
                  <w:sz w:val="20"/>
                  <w:szCs w:val="20"/>
                  <w:lang w:val="en-GB"/>
                </w:rPr>
                <m:t>p</m:t>
              </m:r>
              <m:r>
                <w:rPr>
                  <w:rFonts w:ascii="Cambria Math" w:hAnsi="Cambria Math" w:cs="Arial"/>
                  <w:sz w:val="20"/>
                  <w:szCs w:val="20"/>
                  <w:lang w:val="en-GB"/>
                </w:rPr>
                <m:t>(1-</m:t>
              </m:r>
              <m:r>
                <w:rPr>
                  <w:rFonts w:ascii="Cambria Math" w:hAnsi="Cambria Math" w:cs="Arial"/>
                  <w:sz w:val="20"/>
                  <w:szCs w:val="20"/>
                  <w:lang w:val="en-GB"/>
                </w:rPr>
                <m:t>p</m:t>
              </m:r>
              <m:r>
                <w:rPr>
                  <w:rFonts w:ascii="Cambria Math" w:hAnsi="Cambria Math" w:cs="Arial"/>
                  <w:sz w:val="20"/>
                  <w:szCs w:val="20"/>
                  <w:lang w:val="en-GB"/>
                </w:rPr>
                <m:t>)</m:t>
              </m:r>
            </m:num>
            <m:den>
              <m:sSup>
                <m:sSupPr>
                  <m:ctrlPr>
                    <w:rPr>
                      <w:rFonts w:ascii="Cambria Math" w:hAnsi="Cambria Math" w:cs="Arial"/>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r>
            <m:rPr>
              <m:sty m:val="p"/>
            </m:rPr>
            <w:rPr>
              <w:rFonts w:ascii="Cambria Math" w:hAnsi="Cambria Math" w:cs="Arial"/>
              <w:sz w:val="20"/>
              <w:szCs w:val="20"/>
              <w:lang w:val="en-GB"/>
            </w:rPr>
            <w:br/>
          </m:r>
        </m:oMath>
      </m:oMathPara>
    </w:p>
    <w:p w14:paraId="77219C24" w14:textId="6393289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Where </w:t>
      </w:r>
      <w:r w:rsidRPr="00BF1C99">
        <w:rPr>
          <w:rFonts w:ascii="Arial" w:hAnsi="Arial" w:cs="Arial"/>
          <w:i/>
          <w:iCs/>
          <w:sz w:val="20"/>
          <w:szCs w:val="20"/>
          <w:lang w:val="en-GB"/>
        </w:rPr>
        <w:t>Z</w:t>
      </w:r>
      <w:r w:rsidRPr="00BF1C99">
        <w:rPr>
          <w:rFonts w:ascii="Arial" w:hAnsi="Arial" w:cs="Arial"/>
          <w:sz w:val="20"/>
          <w:szCs w:val="20"/>
          <w:lang w:val="en-GB"/>
        </w:rPr>
        <w:t xml:space="preserve"> = 1.96, </w:t>
      </w:r>
      <w:r w:rsidRPr="00BF1C99">
        <w:rPr>
          <w:rFonts w:ascii="Arial" w:hAnsi="Arial" w:cs="Arial"/>
          <w:i/>
          <w:iCs/>
          <w:sz w:val="20"/>
          <w:szCs w:val="20"/>
          <w:lang w:val="en-GB"/>
        </w:rPr>
        <w:t>p</w:t>
      </w:r>
      <w:r w:rsidRPr="00BF1C99">
        <w:rPr>
          <w:rFonts w:ascii="Arial" w:hAnsi="Arial" w:cs="Arial"/>
          <w:sz w:val="20"/>
          <w:szCs w:val="20"/>
          <w:lang w:val="en-GB"/>
        </w:rPr>
        <w:t xml:space="preserve"> = 0.5, and </w:t>
      </w:r>
      <w:r w:rsidRPr="00BF1C99">
        <w:rPr>
          <w:rFonts w:ascii="Arial" w:hAnsi="Arial" w:cs="Arial"/>
          <w:i/>
          <w:iCs/>
          <w:sz w:val="20"/>
          <w:szCs w:val="20"/>
          <w:lang w:val="en-GB"/>
        </w:rPr>
        <w:t>e</w:t>
      </w:r>
      <w:r w:rsidRPr="00BF1C99">
        <w:rPr>
          <w:rFonts w:ascii="Arial" w:hAnsi="Arial" w:cs="Arial"/>
          <w:sz w:val="20"/>
          <w:szCs w:val="20"/>
          <w:lang w:val="en-GB"/>
        </w:rPr>
        <w:t xml:space="preserve"> = 0.05, giving </w:t>
      </w:r>
      <m:oMath>
        <m:sSub>
          <m:sSubPr>
            <m:ctrlPr>
              <w:rPr>
                <w:rFonts w:ascii="Cambria Math" w:hAnsi="Cambria Math" w:cs="Arial"/>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=384.16</m:t>
        </m:r>
      </m:oMath>
      <w:r w:rsidRPr="00BF1C99">
        <w:rPr>
          <w:rFonts w:ascii="Arial" w:hAnsi="Arial" w:cs="Arial"/>
          <w:sz w:val="20"/>
          <w:szCs w:val="20"/>
          <w:lang w:val="en-GB"/>
        </w:rPr>
        <w:t>. To account for incomplete responses, 424 questionnaires were administered, of which 412 were valid for analysis.</w:t>
      </w:r>
    </w:p>
    <w:p w14:paraId="5F6FFFAC"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Two main instruments were employed:</w:t>
      </w:r>
    </w:p>
    <w:p w14:paraId="66B04738"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i/>
          <w:iCs/>
          <w:sz w:val="20"/>
          <w:szCs w:val="20"/>
          <w:lang w:val="en-GB"/>
        </w:rPr>
        <w:t>Structured Questionnaire</w:t>
      </w:r>
      <w:r w:rsidRPr="00BF1C99">
        <w:rPr>
          <w:rFonts w:ascii="Arial" w:hAnsi="Arial" w:cs="Arial"/>
          <w:sz w:val="20"/>
          <w:szCs w:val="20"/>
          <w:lang w:val="en-GB"/>
        </w:rPr>
        <w:t xml:space="preserve"> – consisting of four sections:</w:t>
      </w:r>
    </w:p>
    <w:p w14:paraId="13A9121A" w14:textId="77777777" w:rsidR="0089208D" w:rsidRPr="00BF1C99" w:rsidRDefault="0089208D" w:rsidP="00BF1C99">
      <w:pPr>
        <w:numPr>
          <w:ilvl w:val="1"/>
          <w:numId w:val="3"/>
        </w:numPr>
        <w:spacing w:line="240" w:lineRule="auto"/>
        <w:jc w:val="both"/>
        <w:rPr>
          <w:rFonts w:ascii="Arial" w:hAnsi="Arial" w:cs="Arial"/>
          <w:sz w:val="20"/>
          <w:szCs w:val="20"/>
          <w:lang w:val="en-GB"/>
        </w:rPr>
      </w:pPr>
      <w:r w:rsidRPr="00BF1C99">
        <w:rPr>
          <w:rFonts w:ascii="Arial" w:hAnsi="Arial" w:cs="Arial"/>
          <w:i/>
          <w:iCs/>
          <w:sz w:val="20"/>
          <w:szCs w:val="20"/>
          <w:lang w:val="en-GB"/>
        </w:rPr>
        <w:t>Section A</w:t>
      </w:r>
      <w:r w:rsidRPr="00BF1C99">
        <w:rPr>
          <w:rFonts w:ascii="Arial" w:hAnsi="Arial" w:cs="Arial"/>
          <w:sz w:val="20"/>
          <w:szCs w:val="20"/>
          <w:lang w:val="en-GB"/>
        </w:rPr>
        <w:t>: Demographics (age, gender, profession, residence type).</w:t>
      </w:r>
    </w:p>
    <w:p w14:paraId="5828325B" w14:textId="77777777" w:rsidR="0089208D" w:rsidRPr="00BF1C99" w:rsidRDefault="0089208D" w:rsidP="00BF1C99">
      <w:pPr>
        <w:numPr>
          <w:ilvl w:val="1"/>
          <w:numId w:val="3"/>
        </w:numPr>
        <w:spacing w:line="240" w:lineRule="auto"/>
        <w:jc w:val="both"/>
        <w:rPr>
          <w:rFonts w:ascii="Arial" w:hAnsi="Arial" w:cs="Arial"/>
          <w:sz w:val="20"/>
          <w:szCs w:val="20"/>
          <w:lang w:val="en-GB"/>
        </w:rPr>
      </w:pPr>
      <w:r w:rsidRPr="00BF1C99">
        <w:rPr>
          <w:rFonts w:ascii="Arial" w:hAnsi="Arial" w:cs="Arial"/>
          <w:i/>
          <w:iCs/>
          <w:sz w:val="20"/>
          <w:szCs w:val="20"/>
          <w:lang w:val="en-GB"/>
        </w:rPr>
        <w:t>Section B</w:t>
      </w:r>
      <w:r w:rsidRPr="00BF1C99">
        <w:rPr>
          <w:rFonts w:ascii="Arial" w:hAnsi="Arial" w:cs="Arial"/>
          <w:sz w:val="20"/>
          <w:szCs w:val="20"/>
          <w:lang w:val="en-GB"/>
        </w:rPr>
        <w:t xml:space="preserve">: Perceived thermal comfort in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buildings.</w:t>
      </w:r>
    </w:p>
    <w:p w14:paraId="1920AEC5" w14:textId="77777777" w:rsidR="0089208D" w:rsidRPr="00BF1C99" w:rsidRDefault="0089208D" w:rsidP="00BF1C99">
      <w:pPr>
        <w:numPr>
          <w:ilvl w:val="1"/>
          <w:numId w:val="3"/>
        </w:numPr>
        <w:spacing w:line="240" w:lineRule="auto"/>
        <w:jc w:val="both"/>
        <w:rPr>
          <w:rFonts w:ascii="Arial" w:hAnsi="Arial" w:cs="Arial"/>
          <w:sz w:val="20"/>
          <w:szCs w:val="20"/>
          <w:lang w:val="en-GB"/>
        </w:rPr>
      </w:pPr>
      <w:r w:rsidRPr="00BF1C99">
        <w:rPr>
          <w:rFonts w:ascii="Arial" w:hAnsi="Arial" w:cs="Arial"/>
          <w:i/>
          <w:iCs/>
          <w:sz w:val="20"/>
          <w:szCs w:val="20"/>
          <w:lang w:val="en-GB"/>
        </w:rPr>
        <w:t>Section C</w:t>
      </w:r>
      <w:r w:rsidRPr="00BF1C99">
        <w:rPr>
          <w:rFonts w:ascii="Arial" w:hAnsi="Arial" w:cs="Arial"/>
          <w:sz w:val="20"/>
          <w:szCs w:val="20"/>
          <w:lang w:val="en-GB"/>
        </w:rPr>
        <w:t>: Opinions on material efficiency, affordability, and environmental impact.</w:t>
      </w:r>
    </w:p>
    <w:p w14:paraId="15DD69A6" w14:textId="77777777" w:rsidR="0089208D" w:rsidRPr="00BF1C99" w:rsidRDefault="0089208D" w:rsidP="00BF1C99">
      <w:pPr>
        <w:numPr>
          <w:ilvl w:val="1"/>
          <w:numId w:val="3"/>
        </w:numPr>
        <w:spacing w:line="240" w:lineRule="auto"/>
        <w:jc w:val="both"/>
        <w:rPr>
          <w:rFonts w:ascii="Arial" w:hAnsi="Arial" w:cs="Arial"/>
          <w:sz w:val="20"/>
          <w:szCs w:val="20"/>
          <w:lang w:val="en-GB"/>
        </w:rPr>
      </w:pPr>
      <w:r w:rsidRPr="00BF1C99">
        <w:rPr>
          <w:rFonts w:ascii="Arial" w:hAnsi="Arial" w:cs="Arial"/>
          <w:i/>
          <w:iCs/>
          <w:sz w:val="20"/>
          <w:szCs w:val="20"/>
          <w:lang w:val="en-GB"/>
        </w:rPr>
        <w:t>Section D</w:t>
      </w:r>
      <w:r w:rsidRPr="00BF1C99">
        <w:rPr>
          <w:rFonts w:ascii="Arial" w:hAnsi="Arial" w:cs="Arial"/>
          <w:sz w:val="20"/>
          <w:szCs w:val="20"/>
          <w:lang w:val="en-GB"/>
        </w:rPr>
        <w:t>: Recommendations and willingness to adopt ISSB in future projects.</w:t>
      </w:r>
    </w:p>
    <w:p w14:paraId="6A2AD3FA"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Responses were captured using a five-point Likert scale ranging from </w:t>
      </w:r>
      <w:r w:rsidRPr="00BF1C99">
        <w:rPr>
          <w:rFonts w:ascii="Arial" w:hAnsi="Arial" w:cs="Arial"/>
          <w:i/>
          <w:iCs/>
          <w:sz w:val="20"/>
          <w:szCs w:val="20"/>
          <w:lang w:val="en-GB"/>
        </w:rPr>
        <w:t>1 (Strongly Disagree)</w:t>
      </w:r>
      <w:r w:rsidRPr="00BF1C99">
        <w:rPr>
          <w:rFonts w:ascii="Arial" w:hAnsi="Arial" w:cs="Arial"/>
          <w:sz w:val="20"/>
          <w:szCs w:val="20"/>
          <w:lang w:val="en-GB"/>
        </w:rPr>
        <w:t xml:space="preserve"> to </w:t>
      </w:r>
      <w:r w:rsidRPr="00BF1C99">
        <w:rPr>
          <w:rFonts w:ascii="Arial" w:hAnsi="Arial" w:cs="Arial"/>
          <w:i/>
          <w:iCs/>
          <w:sz w:val="20"/>
          <w:szCs w:val="20"/>
          <w:lang w:val="en-GB"/>
        </w:rPr>
        <w:t>5 (Strongly Agree)</w:t>
      </w:r>
      <w:r w:rsidRPr="00BF1C99">
        <w:rPr>
          <w:rFonts w:ascii="Arial" w:hAnsi="Arial" w:cs="Arial"/>
          <w:sz w:val="20"/>
          <w:szCs w:val="20"/>
          <w:lang w:val="en-GB"/>
        </w:rPr>
        <w:t>.</w:t>
      </w:r>
    </w:p>
    <w:p w14:paraId="08131363"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i/>
          <w:iCs/>
          <w:sz w:val="20"/>
          <w:szCs w:val="20"/>
          <w:lang w:val="en-GB"/>
        </w:rPr>
        <w:t>Thermal Monitoring Instrumentation</w:t>
      </w:r>
      <w:r w:rsidRPr="00BF1C99">
        <w:rPr>
          <w:rFonts w:ascii="Arial" w:hAnsi="Arial" w:cs="Arial"/>
          <w:sz w:val="20"/>
          <w:szCs w:val="20"/>
          <w:lang w:val="en-GB"/>
        </w:rPr>
        <w:t xml:space="preserve"> – Data loggers (Testo 174H) were used to record indoor and outdoor air temperature and relative humidity at 30-minute intervals over a 24-hour cycle. Measurements were taken in both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buildings under comparable occupancy and ventilation conditions.</w:t>
      </w:r>
    </w:p>
    <w:p w14:paraId="236CD11D" w14:textId="5F4A15B3"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Instrument reliability was verified through Cronbach’s Alpha test (α = 0.86) for the questionnaire and calibration validation for the data loggers, ensuring high measurement accuracy and internal consistency (George &amp; Mallery, 2019).</w:t>
      </w:r>
    </w:p>
    <w:p w14:paraId="79AF0ED5" w14:textId="77777777" w:rsidR="007062BD" w:rsidRPr="00BF1C99" w:rsidRDefault="007062BD" w:rsidP="00BF1C99">
      <w:pPr>
        <w:spacing w:line="240" w:lineRule="auto"/>
        <w:jc w:val="both"/>
        <w:rPr>
          <w:rFonts w:ascii="Arial" w:hAnsi="Arial" w:cs="Arial"/>
          <w:sz w:val="20"/>
          <w:szCs w:val="20"/>
          <w:lang w:val="en-GB"/>
        </w:rPr>
      </w:pPr>
    </w:p>
    <w:p w14:paraId="209F04ED"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3.3 Data Collection and Analysis</w:t>
      </w:r>
    </w:p>
    <w:p w14:paraId="0F8CC534" w14:textId="0FA0E403"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Data collection took place between May and July 202</w:t>
      </w:r>
      <w:r w:rsidR="0063133F" w:rsidRPr="00BF1C99">
        <w:rPr>
          <w:rFonts w:ascii="Arial" w:hAnsi="Arial" w:cs="Arial"/>
          <w:sz w:val="20"/>
          <w:szCs w:val="20"/>
          <w:lang w:val="en-GB"/>
        </w:rPr>
        <w:t>5</w:t>
      </w:r>
      <w:r w:rsidRPr="00BF1C99">
        <w:rPr>
          <w:rFonts w:ascii="Arial" w:hAnsi="Arial" w:cs="Arial"/>
          <w:sz w:val="20"/>
          <w:szCs w:val="20"/>
          <w:lang w:val="en-GB"/>
        </w:rPr>
        <w:t xml:space="preserve">, covering the region’s peak warm period. Field data were gathered simultaneously from both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buildings to ensure comparable weather conditions. Survey responses were collected via Google Forms and in-person administration, depending on respondent accessibility.</w:t>
      </w:r>
    </w:p>
    <w:p w14:paraId="26760BD9" w14:textId="7FB77BF5"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Quantitative data were </w:t>
      </w:r>
      <w:proofErr w:type="spellStart"/>
      <w:r w:rsidRPr="00BF1C99">
        <w:rPr>
          <w:rFonts w:ascii="Arial" w:hAnsi="Arial" w:cs="Arial"/>
          <w:sz w:val="20"/>
          <w:szCs w:val="20"/>
          <w:lang w:val="en-GB"/>
        </w:rPr>
        <w:t>analyzed</w:t>
      </w:r>
      <w:proofErr w:type="spellEnd"/>
      <w:r w:rsidRPr="00BF1C99">
        <w:rPr>
          <w:rFonts w:ascii="Arial" w:hAnsi="Arial" w:cs="Arial"/>
          <w:sz w:val="20"/>
          <w:szCs w:val="20"/>
          <w:lang w:val="en-GB"/>
        </w:rPr>
        <w:t xml:space="preserve"> using SPSS version 25. Descriptive statistics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mean, standard deviation, and percentages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were used to summarize respondents’ perceptions of thermal comfort and material performance. Experimental temperature data were </w:t>
      </w:r>
      <w:proofErr w:type="spellStart"/>
      <w:r w:rsidRPr="00BF1C99">
        <w:rPr>
          <w:rFonts w:ascii="Arial" w:hAnsi="Arial" w:cs="Arial"/>
          <w:sz w:val="20"/>
          <w:szCs w:val="20"/>
          <w:lang w:val="en-GB"/>
        </w:rPr>
        <w:t>analyzed</w:t>
      </w:r>
      <w:proofErr w:type="spellEnd"/>
      <w:r w:rsidRPr="00BF1C99">
        <w:rPr>
          <w:rFonts w:ascii="Arial" w:hAnsi="Arial" w:cs="Arial"/>
          <w:sz w:val="20"/>
          <w:szCs w:val="20"/>
          <w:lang w:val="en-GB"/>
        </w:rPr>
        <w:t xml:space="preserve"> using ANOVA to test significant differences between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indoor temperature means.</w:t>
      </w:r>
    </w:p>
    <w:p w14:paraId="19B140E7"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following analytical relationships were evaluated:</w:t>
      </w:r>
    </w:p>
    <w:p w14:paraId="401392D1" w14:textId="77777777" w:rsidR="0089208D" w:rsidRPr="00BF1C99" w:rsidRDefault="0089208D" w:rsidP="00BF1C99">
      <w:pPr>
        <w:numPr>
          <w:ilvl w:val="0"/>
          <w:numId w:val="4"/>
        </w:numPr>
        <w:spacing w:line="240" w:lineRule="auto"/>
        <w:jc w:val="both"/>
        <w:rPr>
          <w:rFonts w:ascii="Arial" w:hAnsi="Arial" w:cs="Arial"/>
          <w:sz w:val="20"/>
          <w:szCs w:val="20"/>
          <w:lang w:val="en-GB"/>
        </w:rPr>
      </w:pPr>
      <w:r w:rsidRPr="00BF1C99">
        <w:rPr>
          <w:rFonts w:ascii="Arial" w:hAnsi="Arial" w:cs="Arial"/>
          <w:sz w:val="20"/>
          <w:szCs w:val="20"/>
          <w:lang w:val="en-GB"/>
        </w:rPr>
        <w:t xml:space="preserve">Mean diurnal temperature range (DTR) for ISSB vs.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w:t>
      </w:r>
    </w:p>
    <w:p w14:paraId="49F43EE8" w14:textId="77777777" w:rsidR="0089208D" w:rsidRPr="00BF1C99" w:rsidRDefault="0089208D" w:rsidP="00BF1C99">
      <w:pPr>
        <w:numPr>
          <w:ilvl w:val="0"/>
          <w:numId w:val="4"/>
        </w:numPr>
        <w:spacing w:line="240" w:lineRule="auto"/>
        <w:jc w:val="both"/>
        <w:rPr>
          <w:rFonts w:ascii="Arial" w:hAnsi="Arial" w:cs="Arial"/>
          <w:sz w:val="20"/>
          <w:szCs w:val="20"/>
          <w:lang w:val="en-GB"/>
        </w:rPr>
      </w:pPr>
      <w:r w:rsidRPr="00BF1C99">
        <w:rPr>
          <w:rFonts w:ascii="Arial" w:hAnsi="Arial" w:cs="Arial"/>
          <w:sz w:val="20"/>
          <w:szCs w:val="20"/>
          <w:lang w:val="en-GB"/>
        </w:rPr>
        <w:t>Correlation between wall material type and perceived comfort.</w:t>
      </w:r>
    </w:p>
    <w:p w14:paraId="3A1E2219" w14:textId="77777777" w:rsidR="0089208D" w:rsidRPr="00BF1C99" w:rsidRDefault="0089208D" w:rsidP="00BF1C99">
      <w:pPr>
        <w:numPr>
          <w:ilvl w:val="0"/>
          <w:numId w:val="4"/>
        </w:numPr>
        <w:spacing w:line="240" w:lineRule="auto"/>
        <w:jc w:val="both"/>
        <w:rPr>
          <w:rFonts w:ascii="Arial" w:hAnsi="Arial" w:cs="Arial"/>
          <w:sz w:val="20"/>
          <w:szCs w:val="20"/>
          <w:lang w:val="en-GB"/>
        </w:rPr>
      </w:pPr>
      <w:r w:rsidRPr="00BF1C99">
        <w:rPr>
          <w:rFonts w:ascii="Arial" w:hAnsi="Arial" w:cs="Arial"/>
          <w:sz w:val="20"/>
          <w:szCs w:val="20"/>
          <w:lang w:val="en-GB"/>
        </w:rPr>
        <w:t>Regression analysis assessing predictors of user satisfaction (thermal comfort as dependent variable; material, wall thickness, and ventilation as independent variables).</w:t>
      </w:r>
    </w:p>
    <w:p w14:paraId="310EEE6D"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Results were presented in tables and charts, while interpretations were linked to established benchmarks in thermal comfort literature (Bailly et al., 2024; Real et al., 2024).</w:t>
      </w:r>
    </w:p>
    <w:p w14:paraId="6999A644" w14:textId="60A960BA"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Ethical standards were maintained by ensuring respondents’ anonymity, voluntary participation, and confidentiality. Institutional approval for field data collection was obtained from the university research ethics committee.</w:t>
      </w:r>
    </w:p>
    <w:p w14:paraId="57FE6CA9" w14:textId="79311898" w:rsidR="0089208D" w:rsidRPr="00BF1C99" w:rsidRDefault="0089208D"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4.</w:t>
      </w:r>
      <w:r w:rsidR="00A14D99" w:rsidRPr="00BF1C99">
        <w:rPr>
          <w:rFonts w:ascii="Arial" w:hAnsi="Arial" w:cs="Arial"/>
          <w:b/>
          <w:bCs/>
          <w:sz w:val="24"/>
          <w:szCs w:val="24"/>
          <w:lang w:val="en-GB"/>
        </w:rPr>
        <w:t>0</w:t>
      </w:r>
      <w:r w:rsidR="00A14D99" w:rsidRPr="00BF1C99">
        <w:rPr>
          <w:rFonts w:ascii="Arial" w:hAnsi="Arial" w:cs="Arial"/>
          <w:b/>
          <w:bCs/>
          <w:sz w:val="24"/>
          <w:szCs w:val="24"/>
          <w:lang w:val="en-GB"/>
        </w:rPr>
        <w:tab/>
        <w:t>RESULTS AND DISCUSSION</w:t>
      </w:r>
    </w:p>
    <w:p w14:paraId="569B6BC8"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lastRenderedPageBreak/>
        <w:t>4.1 Respondent Characteristics</w:t>
      </w:r>
    </w:p>
    <w:p w14:paraId="2382B013" w14:textId="1CBB3D13"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A total of 412 valid responses were </w:t>
      </w:r>
      <w:proofErr w:type="spellStart"/>
      <w:r w:rsidRPr="00BF1C99">
        <w:rPr>
          <w:rFonts w:ascii="Arial" w:hAnsi="Arial" w:cs="Arial"/>
          <w:sz w:val="20"/>
          <w:szCs w:val="20"/>
          <w:lang w:val="en-GB"/>
        </w:rPr>
        <w:t>analyzed</w:t>
      </w:r>
      <w:proofErr w:type="spellEnd"/>
      <w:r w:rsidRPr="00BF1C99">
        <w:rPr>
          <w:rFonts w:ascii="Arial" w:hAnsi="Arial" w:cs="Arial"/>
          <w:sz w:val="20"/>
          <w:szCs w:val="20"/>
          <w:lang w:val="en-GB"/>
        </w:rPr>
        <w:t xml:space="preserve">. Table </w:t>
      </w:r>
      <w:r w:rsidR="00FA3124" w:rsidRPr="00BF1C99">
        <w:rPr>
          <w:rFonts w:ascii="Arial" w:hAnsi="Arial" w:cs="Arial"/>
          <w:sz w:val="20"/>
          <w:szCs w:val="20"/>
          <w:lang w:val="en-GB"/>
        </w:rPr>
        <w:t>2</w:t>
      </w:r>
      <w:r w:rsidRPr="00BF1C99">
        <w:rPr>
          <w:rFonts w:ascii="Arial" w:hAnsi="Arial" w:cs="Arial"/>
          <w:sz w:val="20"/>
          <w:szCs w:val="20"/>
          <w:lang w:val="en-GB"/>
        </w:rPr>
        <w:t xml:space="preserve"> shows the demographic profile of the respondents. Males accounted for 54.4%, while females represented 45.6%. The majority of respondents (62%) were aged between 25 and 40 years. By profession, architects constituted 32%, engineers 28%, builders 20%, and residents 20%.</w:t>
      </w:r>
    </w:p>
    <w:p w14:paraId="60DEEEB3" w14:textId="77777777" w:rsidR="007062BD" w:rsidRPr="00BF1C99" w:rsidRDefault="007062BD" w:rsidP="00BF1C99">
      <w:pPr>
        <w:spacing w:line="240" w:lineRule="auto"/>
        <w:jc w:val="both"/>
        <w:rPr>
          <w:rFonts w:ascii="Arial" w:hAnsi="Arial" w:cs="Arial"/>
          <w:sz w:val="20"/>
          <w:szCs w:val="20"/>
          <w:lang w:val="en-GB"/>
        </w:rPr>
      </w:pPr>
    </w:p>
    <w:p w14:paraId="67A98943" w14:textId="0C0E01FE"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b/>
          <w:bCs/>
          <w:sz w:val="20"/>
          <w:szCs w:val="20"/>
          <w:lang w:val="en-GB"/>
        </w:rPr>
        <w:t xml:space="preserve">Table </w:t>
      </w:r>
      <w:r w:rsidR="00FA3124" w:rsidRPr="00BF1C99">
        <w:rPr>
          <w:rFonts w:ascii="Arial" w:hAnsi="Arial" w:cs="Arial"/>
          <w:b/>
          <w:bCs/>
          <w:sz w:val="20"/>
          <w:szCs w:val="20"/>
          <w:lang w:val="en-GB"/>
        </w:rPr>
        <w:t>2</w:t>
      </w:r>
      <w:r w:rsidRPr="00BF1C99">
        <w:rPr>
          <w:rFonts w:ascii="Arial" w:hAnsi="Arial" w:cs="Arial"/>
          <w:b/>
          <w:bCs/>
          <w:sz w:val="20"/>
          <w:szCs w:val="20"/>
          <w:lang w:val="en-GB"/>
        </w:rPr>
        <w:t>. Respondent Demographics (n = 412)</w:t>
      </w:r>
    </w:p>
    <w:tbl>
      <w:tblPr>
        <w:tblStyle w:val="TableGridLight"/>
        <w:tblW w:w="0" w:type="auto"/>
        <w:jc w:val="center"/>
        <w:tblLook w:val="04A0" w:firstRow="1" w:lastRow="0" w:firstColumn="1" w:lastColumn="0" w:noHBand="0" w:noVBand="1"/>
      </w:tblPr>
      <w:tblGrid>
        <w:gridCol w:w="1184"/>
        <w:gridCol w:w="1083"/>
        <w:gridCol w:w="1228"/>
        <w:gridCol w:w="1661"/>
      </w:tblGrid>
      <w:tr w:rsidR="0089208D" w:rsidRPr="00BF1C99" w14:paraId="0A84B49C" w14:textId="77777777" w:rsidTr="00A14D99">
        <w:trPr>
          <w:jc w:val="center"/>
        </w:trPr>
        <w:tc>
          <w:tcPr>
            <w:tcW w:w="0" w:type="auto"/>
            <w:hideMark/>
          </w:tcPr>
          <w:p w14:paraId="6E03D0AA"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Variable</w:t>
            </w:r>
          </w:p>
        </w:tc>
        <w:tc>
          <w:tcPr>
            <w:tcW w:w="0" w:type="auto"/>
            <w:hideMark/>
          </w:tcPr>
          <w:p w14:paraId="2368F73B"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Category</w:t>
            </w:r>
          </w:p>
        </w:tc>
        <w:tc>
          <w:tcPr>
            <w:tcW w:w="0" w:type="auto"/>
            <w:hideMark/>
          </w:tcPr>
          <w:p w14:paraId="0CE15473"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Frequency</w:t>
            </w:r>
          </w:p>
        </w:tc>
        <w:tc>
          <w:tcPr>
            <w:tcW w:w="0" w:type="auto"/>
            <w:hideMark/>
          </w:tcPr>
          <w:p w14:paraId="3B71743A"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Percentage (%)</w:t>
            </w:r>
          </w:p>
        </w:tc>
      </w:tr>
      <w:tr w:rsidR="0089208D" w:rsidRPr="00BF1C99" w14:paraId="145EDB9B" w14:textId="77777777" w:rsidTr="00A14D99">
        <w:trPr>
          <w:jc w:val="center"/>
        </w:trPr>
        <w:tc>
          <w:tcPr>
            <w:tcW w:w="0" w:type="auto"/>
            <w:hideMark/>
          </w:tcPr>
          <w:p w14:paraId="2011687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Gender</w:t>
            </w:r>
          </w:p>
        </w:tc>
        <w:tc>
          <w:tcPr>
            <w:tcW w:w="0" w:type="auto"/>
            <w:hideMark/>
          </w:tcPr>
          <w:p w14:paraId="56E25681"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Male</w:t>
            </w:r>
          </w:p>
        </w:tc>
        <w:tc>
          <w:tcPr>
            <w:tcW w:w="0" w:type="auto"/>
            <w:hideMark/>
          </w:tcPr>
          <w:p w14:paraId="441D7D9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224</w:t>
            </w:r>
          </w:p>
        </w:tc>
        <w:tc>
          <w:tcPr>
            <w:tcW w:w="0" w:type="auto"/>
            <w:hideMark/>
          </w:tcPr>
          <w:p w14:paraId="3A66C9F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54.4</w:t>
            </w:r>
          </w:p>
        </w:tc>
      </w:tr>
      <w:tr w:rsidR="0089208D" w:rsidRPr="00BF1C99" w14:paraId="2BAC9FDF" w14:textId="77777777" w:rsidTr="00A14D99">
        <w:trPr>
          <w:jc w:val="center"/>
        </w:trPr>
        <w:tc>
          <w:tcPr>
            <w:tcW w:w="0" w:type="auto"/>
            <w:hideMark/>
          </w:tcPr>
          <w:p w14:paraId="161B78BE" w14:textId="77777777" w:rsidR="0089208D" w:rsidRPr="00BF1C99" w:rsidRDefault="0089208D" w:rsidP="00BF1C99">
            <w:pPr>
              <w:jc w:val="both"/>
              <w:rPr>
                <w:rFonts w:ascii="Arial" w:hAnsi="Arial" w:cs="Arial"/>
                <w:sz w:val="20"/>
                <w:szCs w:val="20"/>
                <w:lang w:val="en-GB"/>
              </w:rPr>
            </w:pPr>
          </w:p>
        </w:tc>
        <w:tc>
          <w:tcPr>
            <w:tcW w:w="0" w:type="auto"/>
            <w:hideMark/>
          </w:tcPr>
          <w:p w14:paraId="36F3C3A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Female</w:t>
            </w:r>
          </w:p>
        </w:tc>
        <w:tc>
          <w:tcPr>
            <w:tcW w:w="0" w:type="auto"/>
            <w:hideMark/>
          </w:tcPr>
          <w:p w14:paraId="40A6959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188</w:t>
            </w:r>
          </w:p>
        </w:tc>
        <w:tc>
          <w:tcPr>
            <w:tcW w:w="0" w:type="auto"/>
            <w:hideMark/>
          </w:tcPr>
          <w:p w14:paraId="51C5C89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45.6</w:t>
            </w:r>
          </w:p>
        </w:tc>
      </w:tr>
      <w:tr w:rsidR="0089208D" w:rsidRPr="00BF1C99" w14:paraId="6FA77925" w14:textId="77777777" w:rsidTr="00A14D99">
        <w:trPr>
          <w:jc w:val="center"/>
        </w:trPr>
        <w:tc>
          <w:tcPr>
            <w:tcW w:w="0" w:type="auto"/>
            <w:hideMark/>
          </w:tcPr>
          <w:p w14:paraId="187DFA24"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Age Group</w:t>
            </w:r>
          </w:p>
        </w:tc>
        <w:tc>
          <w:tcPr>
            <w:tcW w:w="0" w:type="auto"/>
            <w:hideMark/>
          </w:tcPr>
          <w:p w14:paraId="33F1FF8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18–24</w:t>
            </w:r>
          </w:p>
        </w:tc>
        <w:tc>
          <w:tcPr>
            <w:tcW w:w="0" w:type="auto"/>
            <w:hideMark/>
          </w:tcPr>
          <w:p w14:paraId="65E4F70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46</w:t>
            </w:r>
          </w:p>
        </w:tc>
        <w:tc>
          <w:tcPr>
            <w:tcW w:w="0" w:type="auto"/>
            <w:hideMark/>
          </w:tcPr>
          <w:p w14:paraId="1BE65DC1"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11.2</w:t>
            </w:r>
          </w:p>
        </w:tc>
      </w:tr>
      <w:tr w:rsidR="0089208D" w:rsidRPr="00BF1C99" w14:paraId="1D5CBF67" w14:textId="77777777" w:rsidTr="00A14D99">
        <w:trPr>
          <w:jc w:val="center"/>
        </w:trPr>
        <w:tc>
          <w:tcPr>
            <w:tcW w:w="0" w:type="auto"/>
            <w:hideMark/>
          </w:tcPr>
          <w:p w14:paraId="06DF7DF3" w14:textId="77777777" w:rsidR="0089208D" w:rsidRPr="00BF1C99" w:rsidRDefault="0089208D" w:rsidP="00BF1C99">
            <w:pPr>
              <w:jc w:val="both"/>
              <w:rPr>
                <w:rFonts w:ascii="Arial" w:hAnsi="Arial" w:cs="Arial"/>
                <w:sz w:val="20"/>
                <w:szCs w:val="20"/>
                <w:lang w:val="en-GB"/>
              </w:rPr>
            </w:pPr>
          </w:p>
        </w:tc>
        <w:tc>
          <w:tcPr>
            <w:tcW w:w="0" w:type="auto"/>
            <w:hideMark/>
          </w:tcPr>
          <w:p w14:paraId="46EF905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25–40</w:t>
            </w:r>
          </w:p>
        </w:tc>
        <w:tc>
          <w:tcPr>
            <w:tcW w:w="0" w:type="auto"/>
            <w:hideMark/>
          </w:tcPr>
          <w:p w14:paraId="6F815B3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256</w:t>
            </w:r>
          </w:p>
        </w:tc>
        <w:tc>
          <w:tcPr>
            <w:tcW w:w="0" w:type="auto"/>
            <w:hideMark/>
          </w:tcPr>
          <w:p w14:paraId="5095C96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62.1</w:t>
            </w:r>
          </w:p>
        </w:tc>
      </w:tr>
      <w:tr w:rsidR="0089208D" w:rsidRPr="00BF1C99" w14:paraId="535384D5" w14:textId="77777777" w:rsidTr="00A14D99">
        <w:trPr>
          <w:jc w:val="center"/>
        </w:trPr>
        <w:tc>
          <w:tcPr>
            <w:tcW w:w="0" w:type="auto"/>
            <w:hideMark/>
          </w:tcPr>
          <w:p w14:paraId="0A27885F" w14:textId="77777777" w:rsidR="0089208D" w:rsidRPr="00BF1C99" w:rsidRDefault="0089208D" w:rsidP="00BF1C99">
            <w:pPr>
              <w:jc w:val="both"/>
              <w:rPr>
                <w:rFonts w:ascii="Arial" w:hAnsi="Arial" w:cs="Arial"/>
                <w:sz w:val="20"/>
                <w:szCs w:val="20"/>
                <w:lang w:val="en-GB"/>
              </w:rPr>
            </w:pPr>
          </w:p>
        </w:tc>
        <w:tc>
          <w:tcPr>
            <w:tcW w:w="0" w:type="auto"/>
            <w:hideMark/>
          </w:tcPr>
          <w:p w14:paraId="29A74F9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41–55</w:t>
            </w:r>
          </w:p>
        </w:tc>
        <w:tc>
          <w:tcPr>
            <w:tcW w:w="0" w:type="auto"/>
            <w:hideMark/>
          </w:tcPr>
          <w:p w14:paraId="12A5651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82</w:t>
            </w:r>
          </w:p>
        </w:tc>
        <w:tc>
          <w:tcPr>
            <w:tcW w:w="0" w:type="auto"/>
            <w:hideMark/>
          </w:tcPr>
          <w:p w14:paraId="6E2317C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19.9</w:t>
            </w:r>
          </w:p>
        </w:tc>
      </w:tr>
      <w:tr w:rsidR="0089208D" w:rsidRPr="00BF1C99" w14:paraId="63D7092E" w14:textId="77777777" w:rsidTr="00A14D99">
        <w:trPr>
          <w:jc w:val="center"/>
        </w:trPr>
        <w:tc>
          <w:tcPr>
            <w:tcW w:w="0" w:type="auto"/>
            <w:hideMark/>
          </w:tcPr>
          <w:p w14:paraId="461BB5EC" w14:textId="77777777" w:rsidR="0089208D" w:rsidRPr="00BF1C99" w:rsidRDefault="0089208D" w:rsidP="00BF1C99">
            <w:pPr>
              <w:jc w:val="both"/>
              <w:rPr>
                <w:rFonts w:ascii="Arial" w:hAnsi="Arial" w:cs="Arial"/>
                <w:sz w:val="20"/>
                <w:szCs w:val="20"/>
                <w:lang w:val="en-GB"/>
              </w:rPr>
            </w:pPr>
          </w:p>
        </w:tc>
        <w:tc>
          <w:tcPr>
            <w:tcW w:w="0" w:type="auto"/>
            <w:hideMark/>
          </w:tcPr>
          <w:p w14:paraId="301EF0B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56+</w:t>
            </w:r>
          </w:p>
        </w:tc>
        <w:tc>
          <w:tcPr>
            <w:tcW w:w="0" w:type="auto"/>
            <w:hideMark/>
          </w:tcPr>
          <w:p w14:paraId="2E051EA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28</w:t>
            </w:r>
          </w:p>
        </w:tc>
        <w:tc>
          <w:tcPr>
            <w:tcW w:w="0" w:type="auto"/>
            <w:hideMark/>
          </w:tcPr>
          <w:p w14:paraId="1575D0C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6.8</w:t>
            </w:r>
          </w:p>
        </w:tc>
      </w:tr>
      <w:tr w:rsidR="0089208D" w:rsidRPr="00BF1C99" w14:paraId="0D41E01B" w14:textId="77777777" w:rsidTr="00A14D99">
        <w:trPr>
          <w:jc w:val="center"/>
        </w:trPr>
        <w:tc>
          <w:tcPr>
            <w:tcW w:w="0" w:type="auto"/>
            <w:hideMark/>
          </w:tcPr>
          <w:p w14:paraId="4B880DF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Profession</w:t>
            </w:r>
          </w:p>
        </w:tc>
        <w:tc>
          <w:tcPr>
            <w:tcW w:w="0" w:type="auto"/>
            <w:hideMark/>
          </w:tcPr>
          <w:p w14:paraId="3D8C97E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Architect</w:t>
            </w:r>
          </w:p>
        </w:tc>
        <w:tc>
          <w:tcPr>
            <w:tcW w:w="0" w:type="auto"/>
            <w:hideMark/>
          </w:tcPr>
          <w:p w14:paraId="55ACEE6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132</w:t>
            </w:r>
          </w:p>
        </w:tc>
        <w:tc>
          <w:tcPr>
            <w:tcW w:w="0" w:type="auto"/>
            <w:hideMark/>
          </w:tcPr>
          <w:p w14:paraId="6642018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32.0</w:t>
            </w:r>
          </w:p>
        </w:tc>
      </w:tr>
      <w:tr w:rsidR="0089208D" w:rsidRPr="00BF1C99" w14:paraId="7FCACE9A" w14:textId="77777777" w:rsidTr="00A14D99">
        <w:trPr>
          <w:jc w:val="center"/>
        </w:trPr>
        <w:tc>
          <w:tcPr>
            <w:tcW w:w="0" w:type="auto"/>
            <w:hideMark/>
          </w:tcPr>
          <w:p w14:paraId="333F1E89" w14:textId="77777777" w:rsidR="0089208D" w:rsidRPr="00BF1C99" w:rsidRDefault="0089208D" w:rsidP="00BF1C99">
            <w:pPr>
              <w:jc w:val="both"/>
              <w:rPr>
                <w:rFonts w:ascii="Arial" w:hAnsi="Arial" w:cs="Arial"/>
                <w:sz w:val="20"/>
                <w:szCs w:val="20"/>
                <w:lang w:val="en-GB"/>
              </w:rPr>
            </w:pPr>
          </w:p>
        </w:tc>
        <w:tc>
          <w:tcPr>
            <w:tcW w:w="0" w:type="auto"/>
            <w:hideMark/>
          </w:tcPr>
          <w:p w14:paraId="1783467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Engineer</w:t>
            </w:r>
          </w:p>
        </w:tc>
        <w:tc>
          <w:tcPr>
            <w:tcW w:w="0" w:type="auto"/>
            <w:hideMark/>
          </w:tcPr>
          <w:p w14:paraId="2233DF4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116</w:t>
            </w:r>
          </w:p>
        </w:tc>
        <w:tc>
          <w:tcPr>
            <w:tcW w:w="0" w:type="auto"/>
            <w:hideMark/>
          </w:tcPr>
          <w:p w14:paraId="3B09BE0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28.2</w:t>
            </w:r>
          </w:p>
        </w:tc>
      </w:tr>
      <w:tr w:rsidR="0089208D" w:rsidRPr="00BF1C99" w14:paraId="57D0F6A4" w14:textId="77777777" w:rsidTr="00A14D99">
        <w:trPr>
          <w:jc w:val="center"/>
        </w:trPr>
        <w:tc>
          <w:tcPr>
            <w:tcW w:w="0" w:type="auto"/>
            <w:hideMark/>
          </w:tcPr>
          <w:p w14:paraId="2264EA86" w14:textId="77777777" w:rsidR="0089208D" w:rsidRPr="00BF1C99" w:rsidRDefault="0089208D" w:rsidP="00BF1C99">
            <w:pPr>
              <w:jc w:val="both"/>
              <w:rPr>
                <w:rFonts w:ascii="Arial" w:hAnsi="Arial" w:cs="Arial"/>
                <w:sz w:val="20"/>
                <w:szCs w:val="20"/>
                <w:lang w:val="en-GB"/>
              </w:rPr>
            </w:pPr>
          </w:p>
        </w:tc>
        <w:tc>
          <w:tcPr>
            <w:tcW w:w="0" w:type="auto"/>
            <w:hideMark/>
          </w:tcPr>
          <w:p w14:paraId="1485E4D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Builder</w:t>
            </w:r>
          </w:p>
        </w:tc>
        <w:tc>
          <w:tcPr>
            <w:tcW w:w="0" w:type="auto"/>
            <w:hideMark/>
          </w:tcPr>
          <w:p w14:paraId="6FA88429"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83</w:t>
            </w:r>
          </w:p>
        </w:tc>
        <w:tc>
          <w:tcPr>
            <w:tcW w:w="0" w:type="auto"/>
            <w:hideMark/>
          </w:tcPr>
          <w:p w14:paraId="2EE30F5C"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20.1</w:t>
            </w:r>
          </w:p>
        </w:tc>
      </w:tr>
      <w:tr w:rsidR="0089208D" w:rsidRPr="00BF1C99" w14:paraId="023E7A98" w14:textId="77777777" w:rsidTr="00A14D99">
        <w:trPr>
          <w:jc w:val="center"/>
        </w:trPr>
        <w:tc>
          <w:tcPr>
            <w:tcW w:w="0" w:type="auto"/>
            <w:hideMark/>
          </w:tcPr>
          <w:p w14:paraId="0692D097" w14:textId="77777777" w:rsidR="0089208D" w:rsidRPr="00BF1C99" w:rsidRDefault="0089208D" w:rsidP="00BF1C99">
            <w:pPr>
              <w:jc w:val="both"/>
              <w:rPr>
                <w:rFonts w:ascii="Arial" w:hAnsi="Arial" w:cs="Arial"/>
                <w:sz w:val="20"/>
                <w:szCs w:val="20"/>
                <w:lang w:val="en-GB"/>
              </w:rPr>
            </w:pPr>
          </w:p>
        </w:tc>
        <w:tc>
          <w:tcPr>
            <w:tcW w:w="0" w:type="auto"/>
            <w:hideMark/>
          </w:tcPr>
          <w:p w14:paraId="4958F09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Resident</w:t>
            </w:r>
          </w:p>
        </w:tc>
        <w:tc>
          <w:tcPr>
            <w:tcW w:w="0" w:type="auto"/>
            <w:hideMark/>
          </w:tcPr>
          <w:p w14:paraId="7413CD5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81</w:t>
            </w:r>
          </w:p>
        </w:tc>
        <w:tc>
          <w:tcPr>
            <w:tcW w:w="0" w:type="auto"/>
            <w:hideMark/>
          </w:tcPr>
          <w:p w14:paraId="36B96AA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19.7</w:t>
            </w:r>
          </w:p>
        </w:tc>
      </w:tr>
    </w:tbl>
    <w:p w14:paraId="42C424DB" w14:textId="49573811" w:rsidR="00A14D99" w:rsidRPr="00BF1C99" w:rsidRDefault="00A14D99" w:rsidP="00BF1C99">
      <w:pPr>
        <w:spacing w:line="240" w:lineRule="auto"/>
        <w:jc w:val="center"/>
        <w:rPr>
          <w:rFonts w:ascii="Arial" w:hAnsi="Arial" w:cs="Arial"/>
          <w:i/>
          <w:iCs/>
          <w:sz w:val="20"/>
          <w:szCs w:val="20"/>
          <w:lang w:val="en-GB"/>
        </w:rPr>
      </w:pPr>
      <w:r w:rsidRPr="00BF1C99">
        <w:rPr>
          <w:rFonts w:ascii="Arial" w:hAnsi="Arial" w:cs="Arial"/>
          <w:i/>
          <w:iCs/>
          <w:sz w:val="20"/>
          <w:szCs w:val="20"/>
          <w:lang w:val="en-GB"/>
        </w:rPr>
        <w:t>Source: Authors’ findings</w:t>
      </w:r>
    </w:p>
    <w:p w14:paraId="22E50A3F" w14:textId="78CAC613"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This distribution provides a balanced dataset between technical and non-technical respondents, ensuring diverse perspectives on thermal comfort and material performance. Similar demographic diversity has been used in previous ISSB studies to capture both professional evaluation and occupant feedback (</w:t>
      </w:r>
      <w:proofErr w:type="spellStart"/>
      <w:r w:rsidRPr="00BF1C99">
        <w:rPr>
          <w:rFonts w:ascii="Arial" w:hAnsi="Arial" w:cs="Arial"/>
          <w:sz w:val="20"/>
          <w:szCs w:val="20"/>
          <w:lang w:val="en-GB"/>
        </w:rPr>
        <w:t>Ibitoye</w:t>
      </w:r>
      <w:proofErr w:type="spellEnd"/>
      <w:r w:rsidRPr="00BF1C99">
        <w:rPr>
          <w:rFonts w:ascii="Arial" w:hAnsi="Arial" w:cs="Arial"/>
          <w:sz w:val="20"/>
          <w:szCs w:val="20"/>
          <w:lang w:val="en-GB"/>
        </w:rPr>
        <w:t xml:space="preserve">, </w:t>
      </w:r>
      <w:proofErr w:type="spellStart"/>
      <w:r w:rsidRPr="00BF1C99">
        <w:rPr>
          <w:rFonts w:ascii="Arial" w:hAnsi="Arial" w:cs="Arial"/>
          <w:sz w:val="20"/>
          <w:szCs w:val="20"/>
          <w:lang w:val="en-GB"/>
        </w:rPr>
        <w:t>Oyewole</w:t>
      </w:r>
      <w:proofErr w:type="spellEnd"/>
      <w:r w:rsidRPr="00BF1C99">
        <w:rPr>
          <w:rFonts w:ascii="Arial" w:hAnsi="Arial" w:cs="Arial"/>
          <w:sz w:val="20"/>
          <w:szCs w:val="20"/>
          <w:lang w:val="en-GB"/>
        </w:rPr>
        <w:t xml:space="preserve">, &amp; </w:t>
      </w:r>
      <w:proofErr w:type="spellStart"/>
      <w:r w:rsidRPr="00BF1C99">
        <w:rPr>
          <w:rFonts w:ascii="Arial" w:hAnsi="Arial" w:cs="Arial"/>
          <w:sz w:val="20"/>
          <w:szCs w:val="20"/>
          <w:lang w:val="en-GB"/>
        </w:rPr>
        <w:t>Babamboni</w:t>
      </w:r>
      <w:proofErr w:type="spellEnd"/>
      <w:r w:rsidRPr="00BF1C99">
        <w:rPr>
          <w:rFonts w:ascii="Arial" w:hAnsi="Arial" w:cs="Arial"/>
          <w:sz w:val="20"/>
          <w:szCs w:val="20"/>
          <w:lang w:val="en-GB"/>
        </w:rPr>
        <w:t xml:space="preserve">, 2023; </w:t>
      </w:r>
      <w:proofErr w:type="spellStart"/>
      <w:r w:rsidRPr="00BF1C99">
        <w:rPr>
          <w:rFonts w:ascii="Arial" w:hAnsi="Arial" w:cs="Arial"/>
          <w:sz w:val="20"/>
          <w:szCs w:val="20"/>
          <w:lang w:val="en-GB"/>
        </w:rPr>
        <w:t>Awotunde</w:t>
      </w:r>
      <w:proofErr w:type="spellEnd"/>
      <w:r w:rsidRPr="00BF1C99">
        <w:rPr>
          <w:rFonts w:ascii="Arial" w:hAnsi="Arial" w:cs="Arial"/>
          <w:sz w:val="20"/>
          <w:szCs w:val="20"/>
          <w:lang w:val="en-GB"/>
        </w:rPr>
        <w:t>, Adeleke, &amp; Oyenuga, 2023).</w:t>
      </w:r>
    </w:p>
    <w:p w14:paraId="47C6E515" w14:textId="77777777" w:rsidR="0089208D" w:rsidRPr="00BF1C99" w:rsidRDefault="0089208D" w:rsidP="00BF1C99">
      <w:pPr>
        <w:spacing w:line="240" w:lineRule="auto"/>
        <w:rPr>
          <w:rFonts w:ascii="Arial" w:hAnsi="Arial" w:cs="Arial"/>
          <w:b/>
          <w:bCs/>
          <w:lang w:val="en-GB"/>
        </w:rPr>
      </w:pPr>
      <w:r w:rsidRPr="00BF1C99">
        <w:rPr>
          <w:rFonts w:ascii="Arial" w:hAnsi="Arial" w:cs="Arial"/>
          <w:b/>
          <w:bCs/>
          <w:lang w:val="en-GB"/>
        </w:rPr>
        <w:t>4.2 Thermal Comfort and Performance Perceptions of ISSB Buildings</w:t>
      </w:r>
    </w:p>
    <w:p w14:paraId="344F3A6F" w14:textId="127ED4F8"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Respondents’ opinions on indoor comfort levels, wall heat absorption, and ventilation in ISSB structures were measured using a five-point Likert scale. Table </w:t>
      </w:r>
      <w:r w:rsidR="00FA3124" w:rsidRPr="00BF1C99">
        <w:rPr>
          <w:rFonts w:ascii="Arial" w:hAnsi="Arial" w:cs="Arial"/>
          <w:sz w:val="20"/>
          <w:szCs w:val="20"/>
          <w:lang w:val="en-GB"/>
        </w:rPr>
        <w:t>3</w:t>
      </w:r>
      <w:r w:rsidRPr="00BF1C99">
        <w:rPr>
          <w:rFonts w:ascii="Arial" w:hAnsi="Arial" w:cs="Arial"/>
          <w:sz w:val="20"/>
          <w:szCs w:val="20"/>
          <w:lang w:val="en-GB"/>
        </w:rPr>
        <w:t xml:space="preserve"> summarizes the responses.</w:t>
      </w:r>
    </w:p>
    <w:p w14:paraId="5E818C10" w14:textId="36D8D334"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b/>
          <w:bCs/>
          <w:sz w:val="20"/>
          <w:szCs w:val="20"/>
          <w:lang w:val="en-GB"/>
        </w:rPr>
        <w:t xml:space="preserve">Table </w:t>
      </w:r>
      <w:r w:rsidR="00FA3124" w:rsidRPr="00BF1C99">
        <w:rPr>
          <w:rFonts w:ascii="Arial" w:hAnsi="Arial" w:cs="Arial"/>
          <w:b/>
          <w:bCs/>
          <w:sz w:val="20"/>
          <w:szCs w:val="20"/>
          <w:lang w:val="en-GB"/>
        </w:rPr>
        <w:t>3</w:t>
      </w:r>
      <w:r w:rsidRPr="00BF1C99">
        <w:rPr>
          <w:rFonts w:ascii="Arial" w:hAnsi="Arial" w:cs="Arial"/>
          <w:b/>
          <w:bCs/>
          <w:sz w:val="20"/>
          <w:szCs w:val="20"/>
          <w:lang w:val="en-GB"/>
        </w:rPr>
        <w:t>. Perceived Thermal Performance of ISSB Buildings</w:t>
      </w:r>
    </w:p>
    <w:tbl>
      <w:tblPr>
        <w:tblStyle w:val="TableGridLight"/>
        <w:tblW w:w="0" w:type="auto"/>
        <w:jc w:val="center"/>
        <w:tblLook w:val="04A0" w:firstRow="1" w:lastRow="0" w:firstColumn="1" w:lastColumn="0" w:noHBand="0" w:noVBand="1"/>
      </w:tblPr>
      <w:tblGrid>
        <w:gridCol w:w="4997"/>
        <w:gridCol w:w="728"/>
        <w:gridCol w:w="606"/>
        <w:gridCol w:w="1628"/>
      </w:tblGrid>
      <w:tr w:rsidR="0089208D" w:rsidRPr="00BF1C99" w14:paraId="5F102F82" w14:textId="77777777" w:rsidTr="00A14D99">
        <w:trPr>
          <w:jc w:val="center"/>
        </w:trPr>
        <w:tc>
          <w:tcPr>
            <w:tcW w:w="0" w:type="auto"/>
            <w:hideMark/>
          </w:tcPr>
          <w:p w14:paraId="2AE7368D"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Statement</w:t>
            </w:r>
          </w:p>
        </w:tc>
        <w:tc>
          <w:tcPr>
            <w:tcW w:w="0" w:type="auto"/>
            <w:hideMark/>
          </w:tcPr>
          <w:p w14:paraId="032498EA"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Mean</w:t>
            </w:r>
          </w:p>
        </w:tc>
        <w:tc>
          <w:tcPr>
            <w:tcW w:w="0" w:type="auto"/>
            <w:hideMark/>
          </w:tcPr>
          <w:p w14:paraId="2E0B0CBF"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SD</w:t>
            </w:r>
          </w:p>
        </w:tc>
        <w:tc>
          <w:tcPr>
            <w:tcW w:w="0" w:type="auto"/>
            <w:hideMark/>
          </w:tcPr>
          <w:p w14:paraId="78F4B6A7"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Agreement (%)</w:t>
            </w:r>
          </w:p>
        </w:tc>
      </w:tr>
      <w:tr w:rsidR="0089208D" w:rsidRPr="00BF1C99" w14:paraId="1850AF69" w14:textId="77777777" w:rsidTr="00A14D99">
        <w:trPr>
          <w:jc w:val="center"/>
        </w:trPr>
        <w:tc>
          <w:tcPr>
            <w:tcW w:w="0" w:type="auto"/>
            <w:hideMark/>
          </w:tcPr>
          <w:p w14:paraId="0AFB7E6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Indoor temperature remains stable throughout the day</w:t>
            </w:r>
          </w:p>
        </w:tc>
        <w:tc>
          <w:tcPr>
            <w:tcW w:w="0" w:type="auto"/>
            <w:hideMark/>
          </w:tcPr>
          <w:p w14:paraId="6D2CBF4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4.18</w:t>
            </w:r>
          </w:p>
        </w:tc>
        <w:tc>
          <w:tcPr>
            <w:tcW w:w="0" w:type="auto"/>
            <w:hideMark/>
          </w:tcPr>
          <w:p w14:paraId="68B412A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0.74</w:t>
            </w:r>
          </w:p>
        </w:tc>
        <w:tc>
          <w:tcPr>
            <w:tcW w:w="0" w:type="auto"/>
            <w:hideMark/>
          </w:tcPr>
          <w:p w14:paraId="5F3BE86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78.1</w:t>
            </w:r>
          </w:p>
        </w:tc>
      </w:tr>
      <w:tr w:rsidR="0089208D" w:rsidRPr="00BF1C99" w14:paraId="581602F4" w14:textId="77777777" w:rsidTr="00A14D99">
        <w:trPr>
          <w:jc w:val="center"/>
        </w:trPr>
        <w:tc>
          <w:tcPr>
            <w:tcW w:w="0" w:type="auto"/>
            <w:hideMark/>
          </w:tcPr>
          <w:p w14:paraId="6A6614C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ISSB walls reduce the need for artificial cooling</w:t>
            </w:r>
          </w:p>
        </w:tc>
        <w:tc>
          <w:tcPr>
            <w:tcW w:w="0" w:type="auto"/>
            <w:hideMark/>
          </w:tcPr>
          <w:p w14:paraId="6937002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4.09</w:t>
            </w:r>
          </w:p>
        </w:tc>
        <w:tc>
          <w:tcPr>
            <w:tcW w:w="0" w:type="auto"/>
            <w:hideMark/>
          </w:tcPr>
          <w:p w14:paraId="7E0D184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0.81</w:t>
            </w:r>
          </w:p>
        </w:tc>
        <w:tc>
          <w:tcPr>
            <w:tcW w:w="0" w:type="auto"/>
            <w:hideMark/>
          </w:tcPr>
          <w:p w14:paraId="576851C6"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74.8</w:t>
            </w:r>
          </w:p>
        </w:tc>
      </w:tr>
      <w:tr w:rsidR="0089208D" w:rsidRPr="00BF1C99" w14:paraId="2524D52D" w14:textId="77777777" w:rsidTr="00A14D99">
        <w:trPr>
          <w:jc w:val="center"/>
        </w:trPr>
        <w:tc>
          <w:tcPr>
            <w:tcW w:w="0" w:type="auto"/>
            <w:hideMark/>
          </w:tcPr>
          <w:p w14:paraId="5F7C254D"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 xml:space="preserve">ISSB provides better comfort than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w:t>
            </w:r>
          </w:p>
        </w:tc>
        <w:tc>
          <w:tcPr>
            <w:tcW w:w="0" w:type="auto"/>
            <w:hideMark/>
          </w:tcPr>
          <w:p w14:paraId="38AFF2E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4.05</w:t>
            </w:r>
          </w:p>
        </w:tc>
        <w:tc>
          <w:tcPr>
            <w:tcW w:w="0" w:type="auto"/>
            <w:hideMark/>
          </w:tcPr>
          <w:p w14:paraId="51078D3F"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0.84</w:t>
            </w:r>
          </w:p>
        </w:tc>
        <w:tc>
          <w:tcPr>
            <w:tcW w:w="0" w:type="auto"/>
            <w:hideMark/>
          </w:tcPr>
          <w:p w14:paraId="29C27C3C"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72.9</w:t>
            </w:r>
          </w:p>
        </w:tc>
      </w:tr>
      <w:tr w:rsidR="0089208D" w:rsidRPr="00BF1C99" w14:paraId="5E5FF5F6" w14:textId="77777777" w:rsidTr="00A14D99">
        <w:trPr>
          <w:jc w:val="center"/>
        </w:trPr>
        <w:tc>
          <w:tcPr>
            <w:tcW w:w="0" w:type="auto"/>
            <w:hideMark/>
          </w:tcPr>
          <w:p w14:paraId="1112EED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Ventilation and wall thickness improve comfort levels</w:t>
            </w:r>
          </w:p>
        </w:tc>
        <w:tc>
          <w:tcPr>
            <w:tcW w:w="0" w:type="auto"/>
            <w:hideMark/>
          </w:tcPr>
          <w:p w14:paraId="1E61C9F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4.11</w:t>
            </w:r>
          </w:p>
        </w:tc>
        <w:tc>
          <w:tcPr>
            <w:tcW w:w="0" w:type="auto"/>
            <w:hideMark/>
          </w:tcPr>
          <w:p w14:paraId="288D8EA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0.77</w:t>
            </w:r>
          </w:p>
        </w:tc>
        <w:tc>
          <w:tcPr>
            <w:tcW w:w="0" w:type="auto"/>
            <w:hideMark/>
          </w:tcPr>
          <w:p w14:paraId="59A65D8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73.3</w:t>
            </w:r>
          </w:p>
        </w:tc>
      </w:tr>
    </w:tbl>
    <w:p w14:paraId="5153A06C" w14:textId="29D438F2" w:rsidR="00A14D99" w:rsidRPr="00BF1C99" w:rsidRDefault="00A14D99" w:rsidP="00BF1C99">
      <w:pPr>
        <w:spacing w:line="240" w:lineRule="auto"/>
        <w:jc w:val="center"/>
        <w:rPr>
          <w:rFonts w:ascii="Arial" w:hAnsi="Arial" w:cs="Arial"/>
          <w:i/>
          <w:iCs/>
          <w:sz w:val="20"/>
          <w:szCs w:val="20"/>
          <w:lang w:val="en-GB"/>
        </w:rPr>
      </w:pPr>
      <w:r w:rsidRPr="00BF1C99">
        <w:rPr>
          <w:rFonts w:ascii="Arial" w:hAnsi="Arial" w:cs="Arial"/>
          <w:i/>
          <w:iCs/>
          <w:sz w:val="20"/>
          <w:szCs w:val="20"/>
          <w:lang w:val="en-GB"/>
        </w:rPr>
        <w:t>Source: Authors’ findings</w:t>
      </w:r>
    </w:p>
    <w:p w14:paraId="42E3A02E" w14:textId="77777777" w:rsidR="00FA3124" w:rsidRPr="00BF1C99" w:rsidRDefault="00FA3124"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The results show a high level of agreement (mean = 4.11, SD = 0.79) that ISSB buildings maintain more stable indoor temperatures than those built with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blocks.</w:t>
      </w:r>
    </w:p>
    <w:p w14:paraId="3184CD78" w14:textId="77777777" w:rsidR="00FA3124" w:rsidRPr="00BF1C99" w:rsidRDefault="00FA3124" w:rsidP="00BF1C99">
      <w:pPr>
        <w:spacing w:line="240" w:lineRule="auto"/>
        <w:jc w:val="both"/>
        <w:rPr>
          <w:rFonts w:ascii="Arial" w:hAnsi="Arial" w:cs="Arial"/>
          <w:sz w:val="20"/>
          <w:szCs w:val="20"/>
          <w:lang w:val="en-GB"/>
        </w:rPr>
      </w:pPr>
      <w:r w:rsidRPr="00BF1C99">
        <w:rPr>
          <w:rFonts w:ascii="Arial" w:hAnsi="Arial" w:cs="Arial"/>
          <w:sz w:val="20"/>
          <w:szCs w:val="20"/>
          <w:lang w:val="en-GB"/>
        </w:rPr>
        <w:t>To validate these perceptions, temperature measurements were compared between two representative buildings:</w:t>
      </w:r>
    </w:p>
    <w:p w14:paraId="4ECB3661" w14:textId="132AA74B" w:rsidR="00FA3124" w:rsidRPr="00BF1C99" w:rsidRDefault="00FA3124" w:rsidP="00BF1C99">
      <w:pPr>
        <w:numPr>
          <w:ilvl w:val="0"/>
          <w:numId w:val="7"/>
        </w:numPr>
        <w:spacing w:line="240" w:lineRule="auto"/>
        <w:jc w:val="both"/>
        <w:rPr>
          <w:rFonts w:ascii="Arial" w:hAnsi="Arial" w:cs="Arial"/>
          <w:sz w:val="20"/>
          <w:szCs w:val="20"/>
          <w:lang w:val="en-GB"/>
        </w:rPr>
      </w:pPr>
      <w:r w:rsidRPr="00BF1C99">
        <w:rPr>
          <w:rFonts w:ascii="Arial" w:hAnsi="Arial" w:cs="Arial"/>
          <w:sz w:val="20"/>
          <w:szCs w:val="20"/>
          <w:lang w:val="en-GB"/>
        </w:rPr>
        <w:t>An ISSB residential house at Redemption Camp, Ogun State (</w:t>
      </w:r>
      <w:proofErr w:type="spellStart"/>
      <w:r w:rsidRPr="00BF1C99">
        <w:rPr>
          <w:rFonts w:ascii="Arial" w:hAnsi="Arial" w:cs="Arial"/>
          <w:sz w:val="20"/>
          <w:szCs w:val="20"/>
          <w:lang w:val="en-GB"/>
        </w:rPr>
        <w:t>Obayemi</w:t>
      </w:r>
      <w:proofErr w:type="spellEnd"/>
      <w:r w:rsidRPr="00BF1C99">
        <w:rPr>
          <w:rFonts w:ascii="Arial" w:hAnsi="Arial" w:cs="Arial"/>
          <w:sz w:val="20"/>
          <w:szCs w:val="20"/>
          <w:lang w:val="en-GB"/>
        </w:rPr>
        <w:t xml:space="preserve"> House) documented in Ibitoye (2025) as an operational ISSB case.</w:t>
      </w:r>
    </w:p>
    <w:p w14:paraId="64F21382" w14:textId="77777777" w:rsidR="00FA3124" w:rsidRPr="00BF1C99" w:rsidRDefault="00FA3124" w:rsidP="00BF1C99">
      <w:pPr>
        <w:numPr>
          <w:ilvl w:val="0"/>
          <w:numId w:val="7"/>
        </w:numPr>
        <w:spacing w:line="240" w:lineRule="auto"/>
        <w:jc w:val="both"/>
        <w:rPr>
          <w:rFonts w:ascii="Arial" w:hAnsi="Arial" w:cs="Arial"/>
          <w:sz w:val="20"/>
          <w:szCs w:val="20"/>
          <w:lang w:val="en-GB"/>
        </w:rPr>
      </w:pPr>
      <w:r w:rsidRPr="00BF1C99">
        <w:rPr>
          <w:rFonts w:ascii="Arial" w:hAnsi="Arial" w:cs="Arial"/>
          <w:sz w:val="20"/>
          <w:szCs w:val="20"/>
          <w:lang w:val="en-GB"/>
        </w:rPr>
        <w:t xml:space="preserve">A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 in Ikorodu, Lagos State, selected for its similar size, orientation, and occupancy pattern.</w:t>
      </w:r>
    </w:p>
    <w:p w14:paraId="35E34E20" w14:textId="77777777" w:rsidR="00FA3124" w:rsidRPr="00BF1C99" w:rsidRDefault="00FA3124"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Temperature recordings revealed that the ISSB house maintained an average indoor temperature of 28.4°C, while the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 averaged 31.1°C during midday hours. The lower temperature variation (ΔT ≈ 2.7°C) reflects ISSB’s superior thermal buffering capacity, which minimizes peak heat gains and delays indoor temperature rise.</w:t>
      </w:r>
    </w:p>
    <w:p w14:paraId="6C38EAAD" w14:textId="56E17800" w:rsidR="00FA3124" w:rsidRPr="00BF1C99" w:rsidRDefault="00FA3124" w:rsidP="00BF1C99">
      <w:pPr>
        <w:spacing w:line="240" w:lineRule="auto"/>
        <w:rPr>
          <w:rFonts w:ascii="Arial" w:hAnsi="Arial" w:cs="Arial"/>
          <w:sz w:val="20"/>
          <w:szCs w:val="20"/>
          <w:lang w:val="en-GB"/>
        </w:rPr>
      </w:pPr>
      <w:r w:rsidRPr="00BF1C99">
        <w:rPr>
          <w:rFonts w:ascii="Arial" w:hAnsi="Arial" w:cs="Arial"/>
          <w:sz w:val="20"/>
          <w:szCs w:val="20"/>
          <w:lang w:val="en-GB"/>
        </w:rPr>
        <w:lastRenderedPageBreak/>
        <w:t>Table 4 illustrates the comparative thermal readings from both buildings.</w:t>
      </w:r>
    </w:p>
    <w:p w14:paraId="5E8FF2DF" w14:textId="72CA106D" w:rsidR="00FA3124" w:rsidRPr="00BF1C99" w:rsidRDefault="00FA3124" w:rsidP="00BF1C99">
      <w:pPr>
        <w:spacing w:line="240" w:lineRule="auto"/>
        <w:jc w:val="center"/>
        <w:rPr>
          <w:rFonts w:ascii="Arial" w:hAnsi="Arial" w:cs="Arial"/>
          <w:b/>
          <w:bCs/>
          <w:sz w:val="20"/>
          <w:szCs w:val="20"/>
          <w:lang w:val="en-GB"/>
        </w:rPr>
      </w:pPr>
      <w:r w:rsidRPr="00BF1C99">
        <w:rPr>
          <w:rFonts w:ascii="Arial" w:hAnsi="Arial" w:cs="Arial"/>
          <w:b/>
          <w:bCs/>
          <w:sz w:val="20"/>
          <w:szCs w:val="20"/>
          <w:lang w:val="en-GB"/>
        </w:rPr>
        <w:t xml:space="preserve">Table 4. Comparative Average Indoor Temperatures of ISSB and </w:t>
      </w:r>
      <w:proofErr w:type="spellStart"/>
      <w:r w:rsidRPr="00BF1C99">
        <w:rPr>
          <w:rFonts w:ascii="Arial" w:hAnsi="Arial" w:cs="Arial"/>
          <w:b/>
          <w:bCs/>
          <w:sz w:val="20"/>
          <w:szCs w:val="20"/>
          <w:lang w:val="en-GB"/>
        </w:rPr>
        <w:t>Sandcrete</w:t>
      </w:r>
      <w:proofErr w:type="spellEnd"/>
      <w:r w:rsidRPr="00BF1C99">
        <w:rPr>
          <w:rFonts w:ascii="Arial" w:hAnsi="Arial" w:cs="Arial"/>
          <w:b/>
          <w:bCs/>
          <w:sz w:val="20"/>
          <w:szCs w:val="20"/>
          <w:lang w:val="en-GB"/>
        </w:rPr>
        <w:t xml:space="preserve"> Buildings</w:t>
      </w:r>
    </w:p>
    <w:tbl>
      <w:tblPr>
        <w:tblStyle w:val="TableGridLight"/>
        <w:tblW w:w="0" w:type="auto"/>
        <w:jc w:val="center"/>
        <w:tblLook w:val="04A0" w:firstRow="1" w:lastRow="0" w:firstColumn="1" w:lastColumn="0" w:noHBand="0" w:noVBand="1"/>
      </w:tblPr>
      <w:tblGrid>
        <w:gridCol w:w="4185"/>
        <w:gridCol w:w="3341"/>
      </w:tblGrid>
      <w:tr w:rsidR="00FA3124" w:rsidRPr="00BF1C99" w14:paraId="4A36DCFA" w14:textId="77777777" w:rsidTr="00FA3124">
        <w:trPr>
          <w:jc w:val="center"/>
        </w:trPr>
        <w:tc>
          <w:tcPr>
            <w:tcW w:w="0" w:type="auto"/>
            <w:hideMark/>
          </w:tcPr>
          <w:p w14:paraId="536530F3" w14:textId="77777777" w:rsidR="00FA3124" w:rsidRPr="00BF1C99" w:rsidRDefault="00FA3124" w:rsidP="00BF1C99">
            <w:pPr>
              <w:spacing w:after="160"/>
              <w:jc w:val="both"/>
              <w:rPr>
                <w:rFonts w:ascii="Arial" w:hAnsi="Arial" w:cs="Arial"/>
                <w:b/>
                <w:bCs/>
                <w:sz w:val="20"/>
                <w:szCs w:val="20"/>
                <w:lang w:val="en-GB"/>
              </w:rPr>
            </w:pPr>
            <w:r w:rsidRPr="00BF1C99">
              <w:rPr>
                <w:rFonts w:ascii="Arial" w:hAnsi="Arial" w:cs="Arial"/>
                <w:b/>
                <w:bCs/>
                <w:sz w:val="20"/>
                <w:szCs w:val="20"/>
                <w:lang w:val="en-GB"/>
              </w:rPr>
              <w:t>Building Type</w:t>
            </w:r>
          </w:p>
        </w:tc>
        <w:tc>
          <w:tcPr>
            <w:tcW w:w="0" w:type="auto"/>
            <w:hideMark/>
          </w:tcPr>
          <w:p w14:paraId="6C13AF3E" w14:textId="77777777" w:rsidR="00FA3124" w:rsidRPr="00BF1C99" w:rsidRDefault="00FA3124" w:rsidP="00BF1C99">
            <w:pPr>
              <w:spacing w:after="160"/>
              <w:jc w:val="both"/>
              <w:rPr>
                <w:rFonts w:ascii="Arial" w:hAnsi="Arial" w:cs="Arial"/>
                <w:b/>
                <w:bCs/>
                <w:sz w:val="20"/>
                <w:szCs w:val="20"/>
                <w:lang w:val="en-GB"/>
              </w:rPr>
            </w:pPr>
            <w:r w:rsidRPr="00BF1C99">
              <w:rPr>
                <w:rFonts w:ascii="Arial" w:hAnsi="Arial" w:cs="Arial"/>
                <w:b/>
                <w:bCs/>
                <w:sz w:val="20"/>
                <w:szCs w:val="20"/>
                <w:lang w:val="en-GB"/>
              </w:rPr>
              <w:t>Average Indoor Temperature (°C)</w:t>
            </w:r>
          </w:p>
        </w:tc>
      </w:tr>
      <w:tr w:rsidR="00FA3124" w:rsidRPr="00BF1C99" w14:paraId="6C122818" w14:textId="77777777" w:rsidTr="00FA3124">
        <w:trPr>
          <w:jc w:val="center"/>
        </w:trPr>
        <w:tc>
          <w:tcPr>
            <w:tcW w:w="0" w:type="auto"/>
            <w:hideMark/>
          </w:tcPr>
          <w:p w14:paraId="35C83B9C" w14:textId="77777777" w:rsidR="00FA3124" w:rsidRPr="00BF1C99" w:rsidRDefault="00FA3124" w:rsidP="00BF1C99">
            <w:pPr>
              <w:spacing w:after="160"/>
              <w:jc w:val="both"/>
              <w:rPr>
                <w:rFonts w:ascii="Arial" w:hAnsi="Arial" w:cs="Arial"/>
                <w:sz w:val="20"/>
                <w:szCs w:val="20"/>
                <w:lang w:val="en-GB"/>
              </w:rPr>
            </w:pPr>
            <w:r w:rsidRPr="00BF1C99">
              <w:rPr>
                <w:rFonts w:ascii="Arial" w:hAnsi="Arial" w:cs="Arial"/>
                <w:sz w:val="20"/>
                <w:szCs w:val="20"/>
                <w:lang w:val="en-GB"/>
              </w:rPr>
              <w:t>ISSB Building (</w:t>
            </w:r>
            <w:proofErr w:type="spellStart"/>
            <w:r w:rsidRPr="00BF1C99">
              <w:rPr>
                <w:rFonts w:ascii="Arial" w:hAnsi="Arial" w:cs="Arial"/>
                <w:sz w:val="20"/>
                <w:szCs w:val="20"/>
                <w:lang w:val="en-GB"/>
              </w:rPr>
              <w:t>Obayemi</w:t>
            </w:r>
            <w:proofErr w:type="spellEnd"/>
            <w:r w:rsidRPr="00BF1C99">
              <w:rPr>
                <w:rFonts w:ascii="Arial" w:hAnsi="Arial" w:cs="Arial"/>
                <w:sz w:val="20"/>
                <w:szCs w:val="20"/>
                <w:lang w:val="en-GB"/>
              </w:rPr>
              <w:t xml:space="preserve"> House, Ogun State)</w:t>
            </w:r>
          </w:p>
        </w:tc>
        <w:tc>
          <w:tcPr>
            <w:tcW w:w="0" w:type="auto"/>
            <w:hideMark/>
          </w:tcPr>
          <w:p w14:paraId="5DA3B2E0" w14:textId="77777777" w:rsidR="00FA3124" w:rsidRPr="00BF1C99" w:rsidRDefault="00FA3124" w:rsidP="00BF1C99">
            <w:pPr>
              <w:spacing w:after="160"/>
              <w:jc w:val="both"/>
              <w:rPr>
                <w:rFonts w:ascii="Arial" w:hAnsi="Arial" w:cs="Arial"/>
                <w:sz w:val="20"/>
                <w:szCs w:val="20"/>
                <w:lang w:val="en-GB"/>
              </w:rPr>
            </w:pPr>
            <w:r w:rsidRPr="00BF1C99">
              <w:rPr>
                <w:rFonts w:ascii="Arial" w:hAnsi="Arial" w:cs="Arial"/>
                <w:sz w:val="20"/>
                <w:szCs w:val="20"/>
                <w:lang w:val="en-GB"/>
              </w:rPr>
              <w:t>28.4</w:t>
            </w:r>
          </w:p>
        </w:tc>
      </w:tr>
      <w:tr w:rsidR="00FA3124" w:rsidRPr="00BF1C99" w14:paraId="62945083" w14:textId="77777777" w:rsidTr="00FA3124">
        <w:trPr>
          <w:jc w:val="center"/>
        </w:trPr>
        <w:tc>
          <w:tcPr>
            <w:tcW w:w="0" w:type="auto"/>
            <w:hideMark/>
          </w:tcPr>
          <w:p w14:paraId="0F991011" w14:textId="77777777" w:rsidR="00FA3124" w:rsidRPr="00BF1C99" w:rsidRDefault="00FA3124" w:rsidP="00BF1C99">
            <w:pPr>
              <w:spacing w:after="160"/>
              <w:jc w:val="both"/>
              <w:rPr>
                <w:rFonts w:ascii="Arial" w:hAnsi="Arial" w:cs="Arial"/>
                <w:sz w:val="20"/>
                <w:szCs w:val="20"/>
                <w:lang w:val="en-GB"/>
              </w:rPr>
            </w:pP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 (Ikorodu, Lagos State)</w:t>
            </w:r>
          </w:p>
        </w:tc>
        <w:tc>
          <w:tcPr>
            <w:tcW w:w="0" w:type="auto"/>
            <w:hideMark/>
          </w:tcPr>
          <w:p w14:paraId="7E0A0CA7" w14:textId="77777777" w:rsidR="00FA3124" w:rsidRPr="00BF1C99" w:rsidRDefault="00FA3124" w:rsidP="00BF1C99">
            <w:pPr>
              <w:spacing w:after="160"/>
              <w:jc w:val="both"/>
              <w:rPr>
                <w:rFonts w:ascii="Arial" w:hAnsi="Arial" w:cs="Arial"/>
                <w:sz w:val="20"/>
                <w:szCs w:val="20"/>
                <w:lang w:val="en-GB"/>
              </w:rPr>
            </w:pPr>
            <w:r w:rsidRPr="00BF1C99">
              <w:rPr>
                <w:rFonts w:ascii="Arial" w:hAnsi="Arial" w:cs="Arial"/>
                <w:sz w:val="20"/>
                <w:szCs w:val="20"/>
                <w:lang w:val="en-GB"/>
              </w:rPr>
              <w:t>31.1</w:t>
            </w:r>
          </w:p>
        </w:tc>
      </w:tr>
    </w:tbl>
    <w:p w14:paraId="6EE19684" w14:textId="77777777" w:rsidR="00FA3124" w:rsidRPr="00BF1C99" w:rsidRDefault="00FA3124" w:rsidP="00BF1C99">
      <w:pPr>
        <w:spacing w:line="240" w:lineRule="auto"/>
        <w:jc w:val="center"/>
        <w:rPr>
          <w:rFonts w:ascii="Arial" w:hAnsi="Arial" w:cs="Arial"/>
          <w:sz w:val="20"/>
          <w:szCs w:val="20"/>
          <w:lang w:val="en-GB"/>
        </w:rPr>
      </w:pPr>
      <w:r w:rsidRPr="00BF1C99">
        <w:rPr>
          <w:rFonts w:ascii="Arial" w:hAnsi="Arial" w:cs="Arial"/>
          <w:i/>
          <w:iCs/>
          <w:sz w:val="20"/>
          <w:szCs w:val="20"/>
          <w:lang w:val="en-GB"/>
        </w:rPr>
        <w:t>Source: Field Measurement, 2025 (Adapted from Ibitoye, 2025)</w:t>
      </w:r>
    </w:p>
    <w:p w14:paraId="5F58397E" w14:textId="77777777" w:rsidR="00FA3124" w:rsidRPr="00BF1C99" w:rsidRDefault="00FA3124" w:rsidP="00BF1C99">
      <w:pPr>
        <w:spacing w:line="240" w:lineRule="auto"/>
        <w:jc w:val="both"/>
        <w:rPr>
          <w:rFonts w:ascii="Arial" w:hAnsi="Arial" w:cs="Arial"/>
          <w:sz w:val="20"/>
          <w:szCs w:val="20"/>
          <w:lang w:val="en-GB"/>
        </w:rPr>
      </w:pPr>
      <w:r w:rsidRPr="00BF1C99">
        <w:rPr>
          <w:rFonts w:ascii="Arial" w:hAnsi="Arial" w:cs="Arial"/>
          <w:sz w:val="20"/>
          <w:szCs w:val="20"/>
          <w:lang w:val="en-GB"/>
        </w:rPr>
        <w:t>These results align with findings by Bailly et al. (2024) and Bui et al. (2023), which emphasized the role of earth-based materials in moderating indoor temperatures in hot climates. The data confirm that ISSB’s high thermal mass and low conductivity facilitate gradual heat transfer, creating a more thermally comfortable indoor environment.</w:t>
      </w:r>
    </w:p>
    <w:p w14:paraId="126D9EF0" w14:textId="2535E516" w:rsidR="00FA3124" w:rsidRPr="00BF1C99" w:rsidRDefault="00FA3124" w:rsidP="00BF1C99">
      <w:pPr>
        <w:spacing w:line="240" w:lineRule="auto"/>
        <w:jc w:val="both"/>
        <w:rPr>
          <w:rFonts w:ascii="Arial" w:hAnsi="Arial" w:cs="Arial"/>
          <w:sz w:val="20"/>
          <w:szCs w:val="20"/>
          <w:lang w:val="en-GB"/>
        </w:rPr>
      </w:pPr>
      <w:r w:rsidRPr="00BF1C99">
        <w:rPr>
          <w:rFonts w:ascii="Arial" w:hAnsi="Arial" w:cs="Arial"/>
          <w:sz w:val="20"/>
          <w:szCs w:val="20"/>
          <w:lang w:val="en-GB"/>
        </w:rPr>
        <w:t>Overall, ISSB structures enhance occupant comfort by reducing daytime temperature peaks and improving nighttime cooling efficiency principles consistent with passive design strategies that integrate thermal inertia and natural ventilation (Real, Walker, &amp; Lawrence, 2024).</w:t>
      </w:r>
    </w:p>
    <w:p w14:paraId="3CEA4795"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4.3 Comparison of ISSB with Conventional Walling Systems</w:t>
      </w:r>
    </w:p>
    <w:p w14:paraId="02C8F4A0" w14:textId="0986EDA9"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To validate perceived comfort differences, measured thermal properties of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walls were compared across two case study buildings. The materials’ performance indicators are summarized in Table </w:t>
      </w:r>
      <w:r w:rsidR="00FA3124" w:rsidRPr="00BF1C99">
        <w:rPr>
          <w:rFonts w:ascii="Arial" w:hAnsi="Arial" w:cs="Arial"/>
          <w:sz w:val="20"/>
          <w:szCs w:val="20"/>
          <w:lang w:val="en-GB"/>
        </w:rPr>
        <w:t>5</w:t>
      </w:r>
      <w:r w:rsidRPr="00BF1C99">
        <w:rPr>
          <w:rFonts w:ascii="Arial" w:hAnsi="Arial" w:cs="Arial"/>
          <w:sz w:val="20"/>
          <w:szCs w:val="20"/>
          <w:lang w:val="en-GB"/>
        </w:rPr>
        <w:t>.</w:t>
      </w:r>
    </w:p>
    <w:p w14:paraId="725D5B44" w14:textId="082A5B6B" w:rsidR="0089208D" w:rsidRPr="00BF1C99" w:rsidRDefault="0089208D" w:rsidP="00BF1C99">
      <w:pPr>
        <w:spacing w:line="240" w:lineRule="auto"/>
        <w:jc w:val="center"/>
        <w:rPr>
          <w:rFonts w:ascii="Arial" w:hAnsi="Arial" w:cs="Arial"/>
          <w:sz w:val="20"/>
          <w:szCs w:val="20"/>
          <w:lang w:val="en-GB"/>
        </w:rPr>
      </w:pPr>
      <w:r w:rsidRPr="00BF1C99">
        <w:rPr>
          <w:rFonts w:ascii="Arial" w:hAnsi="Arial" w:cs="Arial"/>
          <w:b/>
          <w:bCs/>
          <w:sz w:val="20"/>
          <w:szCs w:val="20"/>
          <w:lang w:val="en-GB"/>
        </w:rPr>
        <w:t xml:space="preserve">Table </w:t>
      </w:r>
      <w:r w:rsidR="00FA3124" w:rsidRPr="00BF1C99">
        <w:rPr>
          <w:rFonts w:ascii="Arial" w:hAnsi="Arial" w:cs="Arial"/>
          <w:b/>
          <w:bCs/>
          <w:sz w:val="20"/>
          <w:szCs w:val="20"/>
          <w:lang w:val="en-GB"/>
        </w:rPr>
        <w:t>5</w:t>
      </w:r>
      <w:r w:rsidRPr="00BF1C99">
        <w:rPr>
          <w:rFonts w:ascii="Arial" w:hAnsi="Arial" w:cs="Arial"/>
          <w:b/>
          <w:bCs/>
          <w:sz w:val="20"/>
          <w:szCs w:val="20"/>
          <w:lang w:val="en-GB"/>
        </w:rPr>
        <w:t xml:space="preserve">. Comparative Thermal Properties of ISSB and </w:t>
      </w:r>
      <w:proofErr w:type="spellStart"/>
      <w:r w:rsidRPr="00BF1C99">
        <w:rPr>
          <w:rFonts w:ascii="Arial" w:hAnsi="Arial" w:cs="Arial"/>
          <w:b/>
          <w:bCs/>
          <w:sz w:val="20"/>
          <w:szCs w:val="20"/>
          <w:lang w:val="en-GB"/>
        </w:rPr>
        <w:t>Sandcrete</w:t>
      </w:r>
      <w:proofErr w:type="spellEnd"/>
      <w:r w:rsidRPr="00BF1C99">
        <w:rPr>
          <w:rFonts w:ascii="Arial" w:hAnsi="Arial" w:cs="Arial"/>
          <w:b/>
          <w:bCs/>
          <w:sz w:val="20"/>
          <w:szCs w:val="20"/>
          <w:lang w:val="en-GB"/>
        </w:rPr>
        <w:t xml:space="preserve"> Walls</w:t>
      </w:r>
    </w:p>
    <w:tbl>
      <w:tblPr>
        <w:tblStyle w:val="TableGridLight"/>
        <w:tblW w:w="0" w:type="auto"/>
        <w:jc w:val="center"/>
        <w:tblLook w:val="04A0" w:firstRow="1" w:lastRow="0" w:firstColumn="1" w:lastColumn="0" w:noHBand="0" w:noVBand="1"/>
      </w:tblPr>
      <w:tblGrid>
        <w:gridCol w:w="3724"/>
        <w:gridCol w:w="1150"/>
        <w:gridCol w:w="1184"/>
        <w:gridCol w:w="2510"/>
      </w:tblGrid>
      <w:tr w:rsidR="0089208D" w:rsidRPr="00BF1C99" w14:paraId="49DAD5EC" w14:textId="77777777" w:rsidTr="00A14D99">
        <w:trPr>
          <w:jc w:val="center"/>
        </w:trPr>
        <w:tc>
          <w:tcPr>
            <w:tcW w:w="0" w:type="auto"/>
            <w:hideMark/>
          </w:tcPr>
          <w:p w14:paraId="028321F1"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Parameter</w:t>
            </w:r>
          </w:p>
        </w:tc>
        <w:tc>
          <w:tcPr>
            <w:tcW w:w="0" w:type="auto"/>
            <w:hideMark/>
          </w:tcPr>
          <w:p w14:paraId="7BB9C3AF"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ISSB</w:t>
            </w:r>
          </w:p>
        </w:tc>
        <w:tc>
          <w:tcPr>
            <w:tcW w:w="0" w:type="auto"/>
            <w:hideMark/>
          </w:tcPr>
          <w:p w14:paraId="20950611" w14:textId="77777777" w:rsidR="0089208D" w:rsidRPr="00BF1C99" w:rsidRDefault="0089208D" w:rsidP="00BF1C99">
            <w:pPr>
              <w:jc w:val="both"/>
              <w:rPr>
                <w:rFonts w:ascii="Arial" w:hAnsi="Arial" w:cs="Arial"/>
                <w:b/>
                <w:bCs/>
                <w:sz w:val="20"/>
                <w:szCs w:val="20"/>
                <w:lang w:val="en-GB"/>
              </w:rPr>
            </w:pPr>
            <w:proofErr w:type="spellStart"/>
            <w:r w:rsidRPr="00BF1C99">
              <w:rPr>
                <w:rFonts w:ascii="Arial" w:hAnsi="Arial" w:cs="Arial"/>
                <w:b/>
                <w:bCs/>
                <w:sz w:val="20"/>
                <w:szCs w:val="20"/>
                <w:lang w:val="en-GB"/>
              </w:rPr>
              <w:t>Sandcrete</w:t>
            </w:r>
            <w:proofErr w:type="spellEnd"/>
          </w:p>
        </w:tc>
        <w:tc>
          <w:tcPr>
            <w:tcW w:w="0" w:type="auto"/>
            <w:hideMark/>
          </w:tcPr>
          <w:p w14:paraId="10167D8A" w14:textId="77777777" w:rsidR="0089208D" w:rsidRPr="00BF1C99" w:rsidRDefault="0089208D" w:rsidP="00BF1C99">
            <w:pPr>
              <w:jc w:val="both"/>
              <w:rPr>
                <w:rFonts w:ascii="Arial" w:hAnsi="Arial" w:cs="Arial"/>
                <w:b/>
                <w:bCs/>
                <w:sz w:val="20"/>
                <w:szCs w:val="20"/>
                <w:lang w:val="en-GB"/>
              </w:rPr>
            </w:pPr>
            <w:r w:rsidRPr="00BF1C99">
              <w:rPr>
                <w:rFonts w:ascii="Arial" w:hAnsi="Arial" w:cs="Arial"/>
                <w:b/>
                <w:bCs/>
                <w:sz w:val="20"/>
                <w:szCs w:val="20"/>
                <w:lang w:val="en-GB"/>
              </w:rPr>
              <w:t>Performance Advantage</w:t>
            </w:r>
          </w:p>
        </w:tc>
      </w:tr>
      <w:tr w:rsidR="0089208D" w:rsidRPr="00BF1C99" w14:paraId="700D8E72" w14:textId="77777777" w:rsidTr="00A14D99">
        <w:trPr>
          <w:jc w:val="center"/>
        </w:trPr>
        <w:tc>
          <w:tcPr>
            <w:tcW w:w="0" w:type="auto"/>
            <w:hideMark/>
          </w:tcPr>
          <w:p w14:paraId="6B4DA0D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Thermal Conductivity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w:t>
            </w:r>
          </w:p>
        </w:tc>
        <w:tc>
          <w:tcPr>
            <w:tcW w:w="0" w:type="auto"/>
            <w:hideMark/>
          </w:tcPr>
          <w:p w14:paraId="1C1F42D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0.72</w:t>
            </w:r>
          </w:p>
        </w:tc>
        <w:tc>
          <w:tcPr>
            <w:tcW w:w="0" w:type="auto"/>
            <w:hideMark/>
          </w:tcPr>
          <w:p w14:paraId="76545F43"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1.45</w:t>
            </w:r>
          </w:p>
        </w:tc>
        <w:tc>
          <w:tcPr>
            <w:tcW w:w="0" w:type="auto"/>
            <w:hideMark/>
          </w:tcPr>
          <w:p w14:paraId="1DD784C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Lower heat transmission</w:t>
            </w:r>
          </w:p>
        </w:tc>
      </w:tr>
      <w:tr w:rsidR="0089208D" w:rsidRPr="00BF1C99" w14:paraId="5D011EF7" w14:textId="77777777" w:rsidTr="00A14D99">
        <w:trPr>
          <w:jc w:val="center"/>
        </w:trPr>
        <w:tc>
          <w:tcPr>
            <w:tcW w:w="0" w:type="auto"/>
            <w:hideMark/>
          </w:tcPr>
          <w:p w14:paraId="531EA88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Average Indoor Temperature (°C, noon)</w:t>
            </w:r>
          </w:p>
        </w:tc>
        <w:tc>
          <w:tcPr>
            <w:tcW w:w="0" w:type="auto"/>
            <w:hideMark/>
          </w:tcPr>
          <w:p w14:paraId="5A34C385"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28.4</w:t>
            </w:r>
          </w:p>
        </w:tc>
        <w:tc>
          <w:tcPr>
            <w:tcW w:w="0" w:type="auto"/>
            <w:hideMark/>
          </w:tcPr>
          <w:p w14:paraId="353DBC2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31.1</w:t>
            </w:r>
          </w:p>
        </w:tc>
        <w:tc>
          <w:tcPr>
            <w:tcW w:w="0" w:type="auto"/>
            <w:hideMark/>
          </w:tcPr>
          <w:p w14:paraId="1C68012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Cooler indoor conditions</w:t>
            </w:r>
          </w:p>
        </w:tc>
      </w:tr>
      <w:tr w:rsidR="0089208D" w:rsidRPr="00BF1C99" w14:paraId="30CDFCEE" w14:textId="77777777" w:rsidTr="00A14D99">
        <w:trPr>
          <w:jc w:val="center"/>
        </w:trPr>
        <w:tc>
          <w:tcPr>
            <w:tcW w:w="0" w:type="auto"/>
            <w:hideMark/>
          </w:tcPr>
          <w:p w14:paraId="0F0DD5DB"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Daily Temperature Fluctuation (°C)</w:t>
            </w:r>
          </w:p>
        </w:tc>
        <w:tc>
          <w:tcPr>
            <w:tcW w:w="0" w:type="auto"/>
            <w:hideMark/>
          </w:tcPr>
          <w:p w14:paraId="20D1EA28"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±2.2</w:t>
            </w:r>
          </w:p>
        </w:tc>
        <w:tc>
          <w:tcPr>
            <w:tcW w:w="0" w:type="auto"/>
            <w:hideMark/>
          </w:tcPr>
          <w:p w14:paraId="3010D1D4"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±4.6</w:t>
            </w:r>
          </w:p>
        </w:tc>
        <w:tc>
          <w:tcPr>
            <w:tcW w:w="0" w:type="auto"/>
            <w:hideMark/>
          </w:tcPr>
          <w:p w14:paraId="104E8EEE"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Greater thermal stability</w:t>
            </w:r>
          </w:p>
        </w:tc>
      </w:tr>
      <w:tr w:rsidR="0089208D" w:rsidRPr="00BF1C99" w14:paraId="783A66F6" w14:textId="77777777" w:rsidTr="00A14D99">
        <w:trPr>
          <w:jc w:val="center"/>
        </w:trPr>
        <w:tc>
          <w:tcPr>
            <w:tcW w:w="0" w:type="auto"/>
            <w:hideMark/>
          </w:tcPr>
          <w:p w14:paraId="696D005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Relative Humidity (%)</w:t>
            </w:r>
          </w:p>
        </w:tc>
        <w:tc>
          <w:tcPr>
            <w:tcW w:w="0" w:type="auto"/>
            <w:hideMark/>
          </w:tcPr>
          <w:p w14:paraId="15B2E73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63</w:t>
            </w:r>
          </w:p>
        </w:tc>
        <w:tc>
          <w:tcPr>
            <w:tcW w:w="0" w:type="auto"/>
            <w:hideMark/>
          </w:tcPr>
          <w:p w14:paraId="0B5C17A0"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58</w:t>
            </w:r>
          </w:p>
        </w:tc>
        <w:tc>
          <w:tcPr>
            <w:tcW w:w="0" w:type="auto"/>
            <w:hideMark/>
          </w:tcPr>
          <w:p w14:paraId="6702F9EA"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More humid but stable air</w:t>
            </w:r>
          </w:p>
        </w:tc>
      </w:tr>
      <w:tr w:rsidR="0089208D" w:rsidRPr="00BF1C99" w14:paraId="17CDA69C" w14:textId="77777777" w:rsidTr="00A14D99">
        <w:trPr>
          <w:jc w:val="center"/>
        </w:trPr>
        <w:tc>
          <w:tcPr>
            <w:tcW w:w="0" w:type="auto"/>
            <w:hideMark/>
          </w:tcPr>
          <w:p w14:paraId="738CED37"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Cooling Energy Demand (Est. %)</w:t>
            </w:r>
          </w:p>
        </w:tc>
        <w:tc>
          <w:tcPr>
            <w:tcW w:w="0" w:type="auto"/>
            <w:hideMark/>
          </w:tcPr>
          <w:p w14:paraId="00754EF2"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30% lower</w:t>
            </w:r>
          </w:p>
        </w:tc>
        <w:tc>
          <w:tcPr>
            <w:tcW w:w="0" w:type="auto"/>
            <w:hideMark/>
          </w:tcPr>
          <w:p w14:paraId="2F62460C"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Baseline</w:t>
            </w:r>
          </w:p>
        </w:tc>
        <w:tc>
          <w:tcPr>
            <w:tcW w:w="0" w:type="auto"/>
            <w:hideMark/>
          </w:tcPr>
          <w:p w14:paraId="682613AC" w14:textId="77777777" w:rsidR="0089208D" w:rsidRPr="00BF1C99" w:rsidRDefault="0089208D" w:rsidP="00BF1C99">
            <w:pPr>
              <w:jc w:val="both"/>
              <w:rPr>
                <w:rFonts w:ascii="Arial" w:hAnsi="Arial" w:cs="Arial"/>
                <w:sz w:val="20"/>
                <w:szCs w:val="20"/>
                <w:lang w:val="en-GB"/>
              </w:rPr>
            </w:pPr>
            <w:r w:rsidRPr="00BF1C99">
              <w:rPr>
                <w:rFonts w:ascii="Arial" w:hAnsi="Arial" w:cs="Arial"/>
                <w:sz w:val="20"/>
                <w:szCs w:val="20"/>
                <w:lang w:val="en-GB"/>
              </w:rPr>
              <w:t>Reduced cooling need</w:t>
            </w:r>
          </w:p>
        </w:tc>
      </w:tr>
    </w:tbl>
    <w:p w14:paraId="6877678E" w14:textId="0E19F8ED" w:rsidR="00A14D99" w:rsidRPr="00BF1C99" w:rsidRDefault="00A14D99" w:rsidP="00BF1C99">
      <w:pPr>
        <w:spacing w:line="240" w:lineRule="auto"/>
        <w:jc w:val="center"/>
        <w:rPr>
          <w:rFonts w:ascii="Arial" w:hAnsi="Arial" w:cs="Arial"/>
          <w:i/>
          <w:iCs/>
          <w:sz w:val="20"/>
          <w:szCs w:val="20"/>
          <w:lang w:val="en-GB"/>
        </w:rPr>
      </w:pPr>
      <w:r w:rsidRPr="00BF1C99">
        <w:rPr>
          <w:rFonts w:ascii="Arial" w:hAnsi="Arial" w:cs="Arial"/>
          <w:i/>
          <w:iCs/>
          <w:sz w:val="20"/>
          <w:szCs w:val="20"/>
          <w:lang w:val="en-GB"/>
        </w:rPr>
        <w:t>Source: Authors’ findings</w:t>
      </w:r>
    </w:p>
    <w:p w14:paraId="477D66DE" w14:textId="6C1E7B91"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Results from Table 3 confirm that ISSB walls perform thermally better than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under similar environmental conditions. The mean difference in midday indoor temperature (2.7°C) was statistically significant (</w:t>
      </w:r>
      <w:r w:rsidRPr="00BF1C99">
        <w:rPr>
          <w:rFonts w:ascii="Arial" w:hAnsi="Arial" w:cs="Arial"/>
          <w:i/>
          <w:iCs/>
          <w:sz w:val="20"/>
          <w:szCs w:val="20"/>
          <w:lang w:val="en-GB"/>
        </w:rPr>
        <w:t>p</w:t>
      </w:r>
      <w:r w:rsidRPr="00BF1C99">
        <w:rPr>
          <w:rFonts w:ascii="Arial" w:hAnsi="Arial" w:cs="Arial"/>
          <w:sz w:val="20"/>
          <w:szCs w:val="20"/>
          <w:lang w:val="en-GB"/>
        </w:rPr>
        <w:t xml:space="preserve"> &lt; .05), confirming ISSB’s improved passive performance.</w:t>
      </w:r>
    </w:p>
    <w:p w14:paraId="30E03555"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Respondents living in ISSB houses also reported fewer hours of fan or air-conditioner use per day, indicating reduced reliance on mechanical cooling. These results align with field measurements from tropical Africa, where stabilized earth structures consistently outperform concrete-based walls in moderating indoor heat (Omondi, </w:t>
      </w:r>
      <w:proofErr w:type="spellStart"/>
      <w:r w:rsidRPr="00BF1C99">
        <w:rPr>
          <w:rFonts w:ascii="Arial" w:hAnsi="Arial" w:cs="Arial"/>
          <w:sz w:val="20"/>
          <w:szCs w:val="20"/>
          <w:lang w:val="en-GB"/>
        </w:rPr>
        <w:t>Mutuku</w:t>
      </w:r>
      <w:proofErr w:type="spellEnd"/>
      <w:r w:rsidRPr="00BF1C99">
        <w:rPr>
          <w:rFonts w:ascii="Arial" w:hAnsi="Arial" w:cs="Arial"/>
          <w:sz w:val="20"/>
          <w:szCs w:val="20"/>
          <w:lang w:val="en-GB"/>
        </w:rPr>
        <w:t xml:space="preserve">, &amp; </w:t>
      </w:r>
      <w:proofErr w:type="spellStart"/>
      <w:r w:rsidRPr="00BF1C99">
        <w:rPr>
          <w:rFonts w:ascii="Arial" w:hAnsi="Arial" w:cs="Arial"/>
          <w:sz w:val="20"/>
          <w:szCs w:val="20"/>
          <w:lang w:val="en-GB"/>
        </w:rPr>
        <w:t>Luvanda</w:t>
      </w:r>
      <w:proofErr w:type="spellEnd"/>
      <w:r w:rsidRPr="00BF1C99">
        <w:rPr>
          <w:rFonts w:ascii="Arial" w:hAnsi="Arial" w:cs="Arial"/>
          <w:sz w:val="20"/>
          <w:szCs w:val="20"/>
          <w:lang w:val="en-GB"/>
        </w:rPr>
        <w:t>, 2022).</w:t>
      </w:r>
    </w:p>
    <w:p w14:paraId="2D67931E" w14:textId="6C9131F3"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Furthermore, ISSB’s lower thermal conductivity (0.6–0.9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 xml:space="preserve">) compared with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(1.4–1.8 W/</w:t>
      </w:r>
      <w:proofErr w:type="spellStart"/>
      <w:r w:rsidRPr="00BF1C99">
        <w:rPr>
          <w:rFonts w:ascii="Arial" w:hAnsi="Arial" w:cs="Arial"/>
          <w:sz w:val="20"/>
          <w:szCs w:val="20"/>
          <w:lang w:val="en-GB"/>
        </w:rPr>
        <w:t>m·K</w:t>
      </w:r>
      <w:proofErr w:type="spellEnd"/>
      <w:r w:rsidRPr="00BF1C99">
        <w:rPr>
          <w:rFonts w:ascii="Arial" w:hAnsi="Arial" w:cs="Arial"/>
          <w:sz w:val="20"/>
          <w:szCs w:val="20"/>
          <w:lang w:val="en-GB"/>
        </w:rPr>
        <w:t xml:space="preserve">) reinforces its capacity for delayed heat transfer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a key component of passive thermal design (</w:t>
      </w:r>
      <w:proofErr w:type="spellStart"/>
      <w:r w:rsidRPr="00BF1C99">
        <w:rPr>
          <w:rFonts w:ascii="Arial" w:hAnsi="Arial" w:cs="Arial"/>
          <w:sz w:val="20"/>
          <w:szCs w:val="20"/>
          <w:lang w:val="en-GB"/>
        </w:rPr>
        <w:t>Awotunde</w:t>
      </w:r>
      <w:proofErr w:type="spellEnd"/>
      <w:r w:rsidRPr="00BF1C99">
        <w:rPr>
          <w:rFonts w:ascii="Arial" w:hAnsi="Arial" w:cs="Arial"/>
          <w:sz w:val="20"/>
          <w:szCs w:val="20"/>
          <w:lang w:val="en-GB"/>
        </w:rPr>
        <w:t xml:space="preserve"> et al., 2023; Bailly et al., 2024).</w:t>
      </w:r>
    </w:p>
    <w:p w14:paraId="7983B9F7" w14:textId="77777777" w:rsidR="0089208D" w:rsidRPr="00BF1C99" w:rsidRDefault="0089208D" w:rsidP="00B93629">
      <w:pPr>
        <w:spacing w:line="360" w:lineRule="auto"/>
        <w:jc w:val="both"/>
        <w:rPr>
          <w:rFonts w:ascii="Arial" w:hAnsi="Arial" w:cs="Arial"/>
          <w:b/>
          <w:bCs/>
          <w:lang w:val="en-GB"/>
        </w:rPr>
      </w:pPr>
      <w:r w:rsidRPr="00BF1C99">
        <w:rPr>
          <w:rFonts w:ascii="Arial" w:hAnsi="Arial" w:cs="Arial"/>
          <w:b/>
          <w:bCs/>
          <w:lang w:val="en-GB"/>
        </w:rPr>
        <w:t>4.4 Discussion of Key Findings in Relation to Passive Design Principles</w:t>
      </w:r>
    </w:p>
    <w:p w14:paraId="4D82314A"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 results affirm that ISSB construction supports passive cooling and thermal comfort by leveraging thermal mass, material density, and hygroscopic balance. The observed stability in indoor temperature profiles aligns with the concept of phase lag, where heat absorbed during the day is released slowly at night (Real et al., 2024).</w:t>
      </w:r>
    </w:p>
    <w:p w14:paraId="16A9C7C4" w14:textId="5F7F69A9"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These findings also validate the theoretical framework of sustainable design, which emphasizes climate-responsive material selection as an alternative to energy-intensive systems.</w:t>
      </w:r>
      <w:r w:rsidR="00EE237A" w:rsidRPr="00EE237A">
        <w:t xml:space="preserve"> </w:t>
      </w:r>
      <w:r w:rsidR="00EE237A" w:rsidRPr="00EE237A">
        <w:rPr>
          <w:rFonts w:ascii="Arial" w:hAnsi="Arial" w:cs="Arial"/>
          <w:sz w:val="20"/>
          <w:szCs w:val="20"/>
        </w:rPr>
        <w:t xml:space="preserve">However, aligning with Ibitoye </w:t>
      </w:r>
      <w:r w:rsidR="00EE237A" w:rsidRPr="00EE237A">
        <w:rPr>
          <w:rFonts w:ascii="Arial" w:hAnsi="Arial" w:cs="Arial"/>
          <w:sz w:val="20"/>
          <w:szCs w:val="20"/>
        </w:rPr>
        <w:lastRenderedPageBreak/>
        <w:t>et al. (2026), the transition from proven performance to widespread adoption requires addressing psychological and institutional barriers within the construction industry. Even with clear thermal advantages, resistance to change, lack of technical knowledge, and limited policy enforcement may slow ISSB uptake in Nigeria.</w:t>
      </w:r>
      <w:r w:rsidRPr="00BF1C99">
        <w:rPr>
          <w:rFonts w:ascii="Arial" w:hAnsi="Arial" w:cs="Arial"/>
          <w:sz w:val="20"/>
          <w:szCs w:val="20"/>
          <w:lang w:val="en-GB"/>
        </w:rPr>
        <w:t xml:space="preserve"> Respondents’ perceptions correlated strongly with field data (r = 0.61, </w:t>
      </w:r>
      <w:r w:rsidRPr="00BF1C99">
        <w:rPr>
          <w:rFonts w:ascii="Arial" w:hAnsi="Arial" w:cs="Arial"/>
          <w:i/>
          <w:iCs/>
          <w:sz w:val="20"/>
          <w:szCs w:val="20"/>
          <w:lang w:val="en-GB"/>
        </w:rPr>
        <w:t>p</w:t>
      </w:r>
      <w:r w:rsidRPr="00BF1C99">
        <w:rPr>
          <w:rFonts w:ascii="Arial" w:hAnsi="Arial" w:cs="Arial"/>
          <w:sz w:val="20"/>
          <w:szCs w:val="20"/>
          <w:lang w:val="en-GB"/>
        </w:rPr>
        <w:t xml:space="preserve"> &lt; .01), confirming that users accurately recognize the comfort benefits of ISSB housing.</w:t>
      </w:r>
    </w:p>
    <w:p w14:paraId="0A61628E" w14:textId="77777777"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Nevertheless, while ISSB showed improved performance, the study identified challenges such as moisture sensitivity and construction inconsistency, consistent with earlier observations by Hafez (2023). The use of appropriate stabilizer content, exterior finishes, and shading remains essential to achieving long-term durability and comfort.</w:t>
      </w:r>
    </w:p>
    <w:p w14:paraId="29237363" w14:textId="637832AD" w:rsidR="0089208D" w:rsidRPr="00BF1C99" w:rsidRDefault="0089208D"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Overall, the study demonstrates that ISSB walls meet passive design criteria in tropical regions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reducing energy demand, maintaining comfortable indoor temperatures, and supporting sustainable housing goals. These outcomes expand on Ibitoye et al. (2023), who highlighted ISSB’s suitability for low-cost, climate-adaptive housing in Nigeria.</w:t>
      </w:r>
    </w:p>
    <w:p w14:paraId="064FD636" w14:textId="2065D8EB" w:rsidR="00F132DF" w:rsidRPr="00BF1C99" w:rsidRDefault="00F132DF" w:rsidP="00B93629">
      <w:pPr>
        <w:spacing w:line="360" w:lineRule="auto"/>
        <w:jc w:val="both"/>
        <w:rPr>
          <w:rFonts w:ascii="Arial" w:hAnsi="Arial" w:cs="Arial"/>
          <w:b/>
          <w:bCs/>
          <w:sz w:val="24"/>
          <w:szCs w:val="24"/>
          <w:lang w:val="en-GB"/>
        </w:rPr>
      </w:pPr>
      <w:r w:rsidRPr="00BF1C99">
        <w:rPr>
          <w:rFonts w:ascii="Arial" w:hAnsi="Arial" w:cs="Arial"/>
          <w:b/>
          <w:bCs/>
          <w:sz w:val="24"/>
          <w:szCs w:val="24"/>
          <w:lang w:val="en-GB"/>
        </w:rPr>
        <w:t>5.</w:t>
      </w:r>
      <w:r w:rsidR="00A14D99" w:rsidRPr="00BF1C99">
        <w:rPr>
          <w:rFonts w:ascii="Arial" w:hAnsi="Arial" w:cs="Arial"/>
          <w:b/>
          <w:bCs/>
          <w:sz w:val="24"/>
          <w:szCs w:val="24"/>
          <w:lang w:val="en-GB"/>
        </w:rPr>
        <w:t>0</w:t>
      </w:r>
      <w:r w:rsidR="00A14D99" w:rsidRPr="00BF1C99">
        <w:rPr>
          <w:rFonts w:ascii="Arial" w:hAnsi="Arial" w:cs="Arial"/>
          <w:b/>
          <w:bCs/>
          <w:sz w:val="24"/>
          <w:szCs w:val="24"/>
          <w:lang w:val="en-GB"/>
        </w:rPr>
        <w:tab/>
        <w:t>CONCLUSION AND RECOMMENDATIONS</w:t>
      </w:r>
    </w:p>
    <w:p w14:paraId="3FD98EDD" w14:textId="77777777" w:rsidR="00F132DF" w:rsidRPr="00BF1C99" w:rsidRDefault="00F132DF" w:rsidP="00BF1C99">
      <w:pPr>
        <w:pStyle w:val="Body"/>
        <w:spacing w:after="0"/>
        <w:rPr>
          <w:rFonts w:ascii="Arial" w:hAnsi="Arial" w:cs="Arial"/>
          <w:b/>
          <w:bCs/>
          <w:sz w:val="22"/>
          <w:szCs w:val="22"/>
          <w:lang w:val="en-GB"/>
        </w:rPr>
      </w:pPr>
      <w:r w:rsidRPr="00BF1C99">
        <w:rPr>
          <w:rFonts w:ascii="Arial" w:hAnsi="Arial" w:cs="Arial"/>
          <w:b/>
          <w:bCs/>
          <w:sz w:val="22"/>
          <w:szCs w:val="22"/>
          <w:lang w:val="en-GB"/>
        </w:rPr>
        <w:t>5.1 Summary of Findings</w:t>
      </w:r>
    </w:p>
    <w:p w14:paraId="184A856F" w14:textId="77777777"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This study evaluated the thermal performance of Interlocking Stabilised Soil Blocks (ISSB) as a sustainable walling material for passive building design in tropical regions, using both experimental measurements and user perception surveys. The results indicate that ISSB provides superior thermal comfort, energy efficiency, and environmental performance compared to conventional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blocks.</w:t>
      </w:r>
    </w:p>
    <w:p w14:paraId="7DEDC24C" w14:textId="77777777"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Field measurements revealed that ISSB walls recorded an average indoor temperature of 28.4°C, compared to 31.1°C for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buildings during peak heat periods. The reduced diurnal temperature fluctuation and lower heat transmission values confirmed ISSB’s enhanced thermal mass and insulation properties. Survey responses showed strong agreement (mean = 4.11, SD = 0.79) that ISSB improves indoor comfort and reduces the need for mechanical cooling.</w:t>
      </w:r>
    </w:p>
    <w:p w14:paraId="3476AAC8" w14:textId="636931DA"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The statistical analysis (ANOVA and correlation) validated significant differences between ISSB and </w:t>
      </w:r>
      <w:proofErr w:type="spellStart"/>
      <w:r w:rsidRPr="00BF1C99">
        <w:rPr>
          <w:rFonts w:ascii="Arial" w:hAnsi="Arial" w:cs="Arial"/>
          <w:sz w:val="20"/>
          <w:szCs w:val="20"/>
          <w:lang w:val="en-GB"/>
        </w:rPr>
        <w:t>sandcrete</w:t>
      </w:r>
      <w:proofErr w:type="spellEnd"/>
      <w:r w:rsidRPr="00BF1C99">
        <w:rPr>
          <w:rFonts w:ascii="Arial" w:hAnsi="Arial" w:cs="Arial"/>
          <w:sz w:val="20"/>
          <w:szCs w:val="20"/>
          <w:lang w:val="en-GB"/>
        </w:rPr>
        <w:t xml:space="preserve"> thermal </w:t>
      </w:r>
      <w:proofErr w:type="spellStart"/>
      <w:r w:rsidRPr="00BF1C99">
        <w:rPr>
          <w:rFonts w:ascii="Arial" w:hAnsi="Arial" w:cs="Arial"/>
          <w:sz w:val="20"/>
          <w:szCs w:val="20"/>
          <w:lang w:val="en-GB"/>
        </w:rPr>
        <w:t>behaviors</w:t>
      </w:r>
      <w:proofErr w:type="spellEnd"/>
      <w:r w:rsidRPr="00BF1C99">
        <w:rPr>
          <w:rFonts w:ascii="Arial" w:hAnsi="Arial" w:cs="Arial"/>
          <w:sz w:val="20"/>
          <w:szCs w:val="20"/>
          <w:lang w:val="en-GB"/>
        </w:rPr>
        <w:t xml:space="preserve"> (</w:t>
      </w:r>
      <w:r w:rsidRPr="00BF1C99">
        <w:rPr>
          <w:rFonts w:ascii="Arial" w:hAnsi="Arial" w:cs="Arial"/>
          <w:i/>
          <w:iCs/>
          <w:sz w:val="20"/>
          <w:szCs w:val="20"/>
          <w:lang w:val="en-GB"/>
        </w:rPr>
        <w:t>p</w:t>
      </w:r>
      <w:r w:rsidRPr="00BF1C99">
        <w:rPr>
          <w:rFonts w:ascii="Arial" w:hAnsi="Arial" w:cs="Arial"/>
          <w:sz w:val="20"/>
          <w:szCs w:val="20"/>
          <w:lang w:val="en-GB"/>
        </w:rPr>
        <w:t xml:space="preserve"> &lt; .05). These findings affirm that ISSB supports passive design principles by stabilizing indoor climates and minimizing energy consumption. The results align with similar research by Bailly et al. (2024) and Real et al. (2024), which demonstrated the potential of stabilized earth blocks in improving hygrothermal comfort in warm climates.</w:t>
      </w:r>
    </w:p>
    <w:p w14:paraId="47827FE4" w14:textId="77777777" w:rsidR="00F132DF" w:rsidRPr="00BF1C99" w:rsidRDefault="00F132DF" w:rsidP="00BF1C99">
      <w:pPr>
        <w:spacing w:line="240" w:lineRule="auto"/>
        <w:jc w:val="both"/>
        <w:rPr>
          <w:rFonts w:ascii="Arial" w:hAnsi="Arial" w:cs="Arial"/>
          <w:b/>
          <w:bCs/>
          <w:lang w:val="en-GB"/>
        </w:rPr>
      </w:pPr>
      <w:r w:rsidRPr="00BF1C99">
        <w:rPr>
          <w:rFonts w:ascii="Arial" w:hAnsi="Arial" w:cs="Arial"/>
          <w:b/>
          <w:bCs/>
          <w:lang w:val="en-GB"/>
        </w:rPr>
        <w:t>5.2 Conclusion</w:t>
      </w:r>
    </w:p>
    <w:p w14:paraId="7471215F" w14:textId="77777777"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The study concludes that ISSB technology offers a viable and sustainable alternative to conventional walling materials for buildings in tropical environments. By combining locally available soil with minimal cement stabilizer, ISSB achieves high thermal inertia, low embodied energy, and cost-effectiveness. The material’s inherent ability to absorb and slowly release heat makes it ideal for passive and energy-efficient building design in Nigeria and other sub-Saharan regions.</w:t>
      </w:r>
    </w:p>
    <w:p w14:paraId="0ABAA3EA" w14:textId="77777777" w:rsidR="00EE237A"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 xml:space="preserve">Furthermore, occupants’ perceptions of enhanced comfort correspond with measured thermal data, confirming that ISSB buildings deliver tangible indoor comfort benefits. These outcomes advance previous works by Ibitoye et al. (2023) and </w:t>
      </w:r>
      <w:proofErr w:type="spellStart"/>
      <w:r w:rsidRPr="00BF1C99">
        <w:rPr>
          <w:rFonts w:ascii="Arial" w:hAnsi="Arial" w:cs="Arial"/>
          <w:sz w:val="20"/>
          <w:szCs w:val="20"/>
          <w:lang w:val="en-GB"/>
        </w:rPr>
        <w:t>Awotunde</w:t>
      </w:r>
      <w:proofErr w:type="spellEnd"/>
      <w:r w:rsidRPr="00BF1C99">
        <w:rPr>
          <w:rFonts w:ascii="Arial" w:hAnsi="Arial" w:cs="Arial"/>
          <w:sz w:val="20"/>
          <w:szCs w:val="20"/>
          <w:lang w:val="en-GB"/>
        </w:rPr>
        <w:t xml:space="preserve"> et al. (2023), demonstrating that ISSB can be scaled for broader application in green, low-cost housing projects.</w:t>
      </w:r>
      <w:r w:rsidR="00EE237A">
        <w:rPr>
          <w:rFonts w:ascii="Arial" w:hAnsi="Arial" w:cs="Arial"/>
          <w:sz w:val="20"/>
          <w:szCs w:val="20"/>
          <w:lang w:val="en-GB"/>
        </w:rPr>
        <w:t xml:space="preserve"> </w:t>
      </w:r>
    </w:p>
    <w:p w14:paraId="331A27A8" w14:textId="28C43890" w:rsidR="00F132DF" w:rsidRPr="00BF1C99" w:rsidRDefault="00EE237A" w:rsidP="00BF1C99">
      <w:pPr>
        <w:spacing w:line="240" w:lineRule="auto"/>
        <w:jc w:val="both"/>
        <w:rPr>
          <w:rFonts w:ascii="Arial" w:hAnsi="Arial" w:cs="Arial"/>
          <w:sz w:val="20"/>
          <w:szCs w:val="20"/>
          <w:lang w:val="en-GB"/>
        </w:rPr>
      </w:pPr>
      <w:r w:rsidRPr="00EE237A">
        <w:rPr>
          <w:rFonts w:ascii="Arial" w:hAnsi="Arial" w:cs="Arial"/>
          <w:sz w:val="20"/>
          <w:szCs w:val="20"/>
        </w:rPr>
        <w:t>Nevertheless, the successful large-scale adoption of ISSB will depend not only on its technical performance but also on overcoming identified psychological and institutional barriers. As noted by Ibitoye et al. (2026), improving awareness, strengthening policy frameworks, and enhancing stakeholder confidence are essential for mainstreaming ISSB in Nigeria’s construction sector.</w:t>
      </w:r>
    </w:p>
    <w:p w14:paraId="244D08A7" w14:textId="0527D1C5"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The findings also underscore the role of material selection as a key determinant in achieving climate-responsive architecture. With proper stabilization, construction techniques, and design integration, ISSB can significantly contribute to Nigeria’s sustainable building agenda and the global transition toward low-carbon housing solutions.</w:t>
      </w:r>
    </w:p>
    <w:p w14:paraId="3A51A717" w14:textId="77777777" w:rsidR="00F132DF" w:rsidRPr="00BF1C99" w:rsidRDefault="00F132DF" w:rsidP="00BF1C99">
      <w:pPr>
        <w:spacing w:line="240" w:lineRule="auto"/>
        <w:jc w:val="both"/>
        <w:rPr>
          <w:rFonts w:ascii="Arial" w:hAnsi="Arial" w:cs="Arial"/>
          <w:b/>
          <w:bCs/>
          <w:lang w:val="en-GB"/>
        </w:rPr>
      </w:pPr>
      <w:r w:rsidRPr="00BF1C99">
        <w:rPr>
          <w:rFonts w:ascii="Arial" w:hAnsi="Arial" w:cs="Arial"/>
          <w:b/>
          <w:bCs/>
          <w:lang w:val="en-GB"/>
        </w:rPr>
        <w:lastRenderedPageBreak/>
        <w:t>5.3 Recommendations</w:t>
      </w:r>
    </w:p>
    <w:p w14:paraId="6983EE93" w14:textId="77777777" w:rsidR="00F132DF" w:rsidRPr="00BF1C99" w:rsidRDefault="00F132DF" w:rsidP="00BF1C99">
      <w:pPr>
        <w:spacing w:line="240" w:lineRule="auto"/>
        <w:jc w:val="both"/>
        <w:rPr>
          <w:rFonts w:ascii="Arial" w:hAnsi="Arial" w:cs="Arial"/>
          <w:sz w:val="20"/>
          <w:szCs w:val="20"/>
          <w:lang w:val="en-GB"/>
        </w:rPr>
      </w:pPr>
      <w:r w:rsidRPr="00BF1C99">
        <w:rPr>
          <w:rFonts w:ascii="Arial" w:hAnsi="Arial" w:cs="Arial"/>
          <w:sz w:val="20"/>
          <w:szCs w:val="20"/>
          <w:lang w:val="en-GB"/>
        </w:rPr>
        <w:t>Based on the findings, the following recommendations are proposed:</w:t>
      </w:r>
    </w:p>
    <w:p w14:paraId="056479B6" w14:textId="229B94A1" w:rsidR="00F132DF" w:rsidRPr="00BF1C99"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Material Optimization:</w:t>
      </w:r>
      <w:r w:rsidR="00A14D99" w:rsidRPr="00BF1C99">
        <w:rPr>
          <w:rFonts w:ascii="Arial" w:hAnsi="Arial" w:cs="Arial"/>
          <w:sz w:val="20"/>
          <w:szCs w:val="20"/>
          <w:lang w:val="en-GB"/>
        </w:rPr>
        <w:t xml:space="preserve"> </w:t>
      </w:r>
      <w:r w:rsidRPr="00BF1C99">
        <w:rPr>
          <w:rFonts w:ascii="Arial" w:hAnsi="Arial" w:cs="Arial"/>
          <w:sz w:val="20"/>
          <w:szCs w:val="20"/>
          <w:lang w:val="en-GB"/>
        </w:rPr>
        <w:t>Further research should explore variations in soil composition, stabilizer ratio, and compaction pressure to improve ISSB’s thermal and moisture resistance properties (Bui et al., 2023).</w:t>
      </w:r>
    </w:p>
    <w:p w14:paraId="7A9DFBB4" w14:textId="67EFFB1E" w:rsidR="00F132DF" w:rsidRPr="00BF1C99"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Design Integration:</w:t>
      </w:r>
      <w:r w:rsidR="00A14D99" w:rsidRPr="00BF1C99">
        <w:rPr>
          <w:rFonts w:ascii="Arial" w:hAnsi="Arial" w:cs="Arial"/>
          <w:sz w:val="20"/>
          <w:szCs w:val="20"/>
          <w:lang w:val="en-GB"/>
        </w:rPr>
        <w:t xml:space="preserve"> </w:t>
      </w:r>
      <w:r w:rsidRPr="00BF1C99">
        <w:rPr>
          <w:rFonts w:ascii="Arial" w:hAnsi="Arial" w:cs="Arial"/>
          <w:sz w:val="20"/>
          <w:szCs w:val="20"/>
          <w:lang w:val="en-GB"/>
        </w:rPr>
        <w:t xml:space="preserve">Architects should integrate ISSB walls with passive cooling strategies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such as cross ventilation, shading devices, and reflective roofing </w:t>
      </w:r>
      <w:r w:rsidR="00261240" w:rsidRPr="00BF1C99">
        <w:rPr>
          <w:rFonts w:ascii="Arial" w:hAnsi="Arial" w:cs="Arial"/>
          <w:sz w:val="20"/>
          <w:szCs w:val="20"/>
          <w:lang w:val="en-GB"/>
        </w:rPr>
        <w:t xml:space="preserve"> </w:t>
      </w:r>
      <w:r w:rsidRPr="00BF1C99">
        <w:rPr>
          <w:rFonts w:ascii="Arial" w:hAnsi="Arial" w:cs="Arial"/>
          <w:sz w:val="20"/>
          <w:szCs w:val="20"/>
          <w:lang w:val="en-GB"/>
        </w:rPr>
        <w:t xml:space="preserve"> to enhance performance in hot–humid climates.</w:t>
      </w:r>
    </w:p>
    <w:p w14:paraId="19CE1843" w14:textId="14743EF8" w:rsidR="00F132DF" w:rsidRPr="00BF1C99"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Policy and Standardization:</w:t>
      </w:r>
      <w:r w:rsidR="00A14D99" w:rsidRPr="00BF1C99">
        <w:rPr>
          <w:rFonts w:ascii="Arial" w:hAnsi="Arial" w:cs="Arial"/>
          <w:sz w:val="20"/>
          <w:szCs w:val="20"/>
          <w:lang w:val="en-GB"/>
        </w:rPr>
        <w:t xml:space="preserve"> </w:t>
      </w:r>
      <w:r w:rsidRPr="00BF1C99">
        <w:rPr>
          <w:rFonts w:ascii="Arial" w:hAnsi="Arial" w:cs="Arial"/>
          <w:sz w:val="20"/>
          <w:szCs w:val="20"/>
          <w:lang w:val="en-GB"/>
        </w:rPr>
        <w:t>Regulatory bodies such as the Nigerian Building and Road Research Institute (NBRRI) should establish clear standards for ISSB production, thermal performance benchmarks, and certification for large-scale adoption.</w:t>
      </w:r>
    </w:p>
    <w:p w14:paraId="12857D29" w14:textId="0504B621" w:rsidR="00F132DF" w:rsidRPr="00BF1C99"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Public Awareness and Training:</w:t>
      </w:r>
      <w:r w:rsidR="00A14D99" w:rsidRPr="00BF1C99">
        <w:rPr>
          <w:rFonts w:ascii="Arial" w:hAnsi="Arial" w:cs="Arial"/>
          <w:sz w:val="20"/>
          <w:szCs w:val="20"/>
          <w:lang w:val="en-GB"/>
        </w:rPr>
        <w:t xml:space="preserve"> </w:t>
      </w:r>
      <w:r w:rsidRPr="00BF1C99">
        <w:rPr>
          <w:rFonts w:ascii="Arial" w:hAnsi="Arial" w:cs="Arial"/>
          <w:sz w:val="20"/>
          <w:szCs w:val="20"/>
          <w:lang w:val="en-GB"/>
        </w:rPr>
        <w:t>Capacity-building programs for builders, artisans, and communities should be implemented to promote knowledge of ISSB benefits and correct production methods.</w:t>
      </w:r>
    </w:p>
    <w:p w14:paraId="1B7CE442" w14:textId="66379DE3" w:rsidR="00F132DF" w:rsidRPr="00BF1C99" w:rsidRDefault="00F132DF" w:rsidP="00BF1C99">
      <w:pPr>
        <w:numPr>
          <w:ilvl w:val="0"/>
          <w:numId w:val="5"/>
        </w:numPr>
        <w:spacing w:line="240" w:lineRule="auto"/>
        <w:jc w:val="both"/>
        <w:rPr>
          <w:rFonts w:ascii="Arial" w:hAnsi="Arial" w:cs="Arial"/>
          <w:sz w:val="20"/>
          <w:szCs w:val="20"/>
          <w:lang w:val="en-GB"/>
        </w:rPr>
      </w:pPr>
      <w:r w:rsidRPr="00BF1C99">
        <w:rPr>
          <w:rFonts w:ascii="Arial" w:hAnsi="Arial" w:cs="Arial"/>
          <w:sz w:val="20"/>
          <w:szCs w:val="20"/>
          <w:lang w:val="en-GB"/>
        </w:rPr>
        <w:t>Future Research:</w:t>
      </w:r>
      <w:r w:rsidR="00A14D99" w:rsidRPr="00BF1C99">
        <w:rPr>
          <w:rFonts w:ascii="Arial" w:hAnsi="Arial" w:cs="Arial"/>
          <w:sz w:val="20"/>
          <w:szCs w:val="20"/>
          <w:lang w:val="en-GB"/>
        </w:rPr>
        <w:t xml:space="preserve"> </w:t>
      </w:r>
      <w:r w:rsidRPr="00BF1C99">
        <w:rPr>
          <w:rFonts w:ascii="Arial" w:hAnsi="Arial" w:cs="Arial"/>
          <w:sz w:val="20"/>
          <w:szCs w:val="20"/>
          <w:lang w:val="en-GB"/>
        </w:rPr>
        <w:t>Long-term monitoring of ISSB buildings is recommended to assess seasonal variations in performance, durability, and maintenance patterns under real-use conditions.</w:t>
      </w:r>
    </w:p>
    <w:p w14:paraId="5BBBD142" w14:textId="6EE8DEBE" w:rsidR="00C92446" w:rsidRPr="00BF1C99" w:rsidRDefault="007062BD" w:rsidP="007062BD">
      <w:pPr>
        <w:spacing w:line="360" w:lineRule="auto"/>
        <w:jc w:val="both"/>
        <w:rPr>
          <w:rFonts w:ascii="Arial" w:hAnsi="Arial" w:cs="Arial"/>
          <w:b/>
          <w:bCs/>
          <w:sz w:val="24"/>
          <w:szCs w:val="24"/>
          <w:lang w:val="en-GB"/>
        </w:rPr>
      </w:pPr>
      <w:r w:rsidRPr="00BF1C99">
        <w:rPr>
          <w:rFonts w:ascii="Arial" w:hAnsi="Arial" w:cs="Arial"/>
          <w:b/>
          <w:bCs/>
          <w:sz w:val="24"/>
          <w:szCs w:val="24"/>
          <w:lang w:val="en-GB"/>
        </w:rPr>
        <w:t>REFERENCES</w:t>
      </w:r>
    </w:p>
    <w:p w14:paraId="4F57B874" w14:textId="77777777" w:rsidR="00C92446" w:rsidRPr="00EE237A" w:rsidRDefault="00C92446" w:rsidP="00C92446">
      <w:pPr>
        <w:spacing w:line="240" w:lineRule="auto"/>
        <w:rPr>
          <w:rFonts w:ascii="Arial" w:hAnsi="Arial" w:cs="Arial"/>
          <w:sz w:val="20"/>
          <w:szCs w:val="20"/>
          <w:lang w:val="en-GB"/>
        </w:rPr>
      </w:pPr>
      <w:proofErr w:type="spellStart"/>
      <w:r w:rsidRPr="00EE237A">
        <w:rPr>
          <w:rFonts w:ascii="Arial" w:hAnsi="Arial" w:cs="Arial"/>
          <w:sz w:val="20"/>
          <w:szCs w:val="20"/>
          <w:lang w:val="en-GB"/>
        </w:rPr>
        <w:t>Akinyoade</w:t>
      </w:r>
      <w:proofErr w:type="spellEnd"/>
      <w:r w:rsidRPr="00EE237A">
        <w:rPr>
          <w:rFonts w:ascii="Arial" w:hAnsi="Arial" w:cs="Arial"/>
          <w:sz w:val="20"/>
          <w:szCs w:val="20"/>
          <w:lang w:val="en-GB"/>
        </w:rPr>
        <w:t xml:space="preserve">, O. B., Egbelakin, T., &amp; Olajide, O. (2022). Solar energy and sustainable housing delivery in Nigeria: Opportunities and policy challenges. </w:t>
      </w:r>
      <w:r w:rsidRPr="00EE237A">
        <w:rPr>
          <w:rFonts w:ascii="Arial" w:hAnsi="Arial" w:cs="Arial"/>
          <w:i/>
          <w:iCs/>
          <w:sz w:val="20"/>
          <w:szCs w:val="20"/>
          <w:lang w:val="en-GB"/>
        </w:rPr>
        <w:t>International Journal of Renewable Energy Research, 12</w:t>
      </w:r>
      <w:r w:rsidRPr="00EE237A">
        <w:rPr>
          <w:rFonts w:ascii="Arial" w:hAnsi="Arial" w:cs="Arial"/>
          <w:sz w:val="20"/>
          <w:szCs w:val="20"/>
          <w:lang w:val="en-GB"/>
        </w:rPr>
        <w:t>(4), 2058–2067.</w:t>
      </w:r>
    </w:p>
    <w:p w14:paraId="734C0E0F" w14:textId="77777777" w:rsidR="00C92446" w:rsidRPr="00EE237A" w:rsidRDefault="00C92446" w:rsidP="00C92446">
      <w:pPr>
        <w:spacing w:line="240" w:lineRule="auto"/>
        <w:jc w:val="both"/>
        <w:rPr>
          <w:rFonts w:ascii="Arial" w:hAnsi="Arial" w:cs="Arial"/>
          <w:sz w:val="20"/>
          <w:szCs w:val="20"/>
          <w:lang w:val="en-GB"/>
        </w:rPr>
      </w:pPr>
      <w:r w:rsidRPr="00EE237A">
        <w:rPr>
          <w:rFonts w:ascii="Arial" w:hAnsi="Arial" w:cs="Arial"/>
          <w:sz w:val="20"/>
          <w:szCs w:val="20"/>
          <w:lang w:val="en-GB"/>
        </w:rPr>
        <w:t xml:space="preserve">Awotunde, O. A., Adeleke, A. A., &amp; Oyenuga, O. (2023). Thermal and economic performance of stabilized soil blocks in building envelopes. </w:t>
      </w:r>
      <w:r w:rsidRPr="00EE237A">
        <w:rPr>
          <w:rFonts w:ascii="Arial" w:hAnsi="Arial" w:cs="Arial"/>
          <w:i/>
          <w:iCs/>
          <w:sz w:val="20"/>
          <w:szCs w:val="20"/>
          <w:lang w:val="en-GB"/>
        </w:rPr>
        <w:t>Journal of Sustainable Construction and Materials, 5</w:t>
      </w:r>
      <w:r w:rsidRPr="00EE237A">
        <w:rPr>
          <w:rFonts w:ascii="Arial" w:hAnsi="Arial" w:cs="Arial"/>
          <w:sz w:val="20"/>
          <w:szCs w:val="20"/>
          <w:lang w:val="en-GB"/>
        </w:rPr>
        <w:t>(1), 45–59.</w:t>
      </w:r>
    </w:p>
    <w:p w14:paraId="47C44012" w14:textId="77777777" w:rsidR="00C92446" w:rsidRPr="00EE237A" w:rsidRDefault="00C92446" w:rsidP="00C92446">
      <w:pPr>
        <w:spacing w:line="240" w:lineRule="auto"/>
        <w:jc w:val="both"/>
        <w:rPr>
          <w:rFonts w:ascii="Arial" w:hAnsi="Arial" w:cs="Arial"/>
          <w:sz w:val="20"/>
          <w:szCs w:val="20"/>
          <w:lang w:val="en-GB"/>
        </w:rPr>
      </w:pPr>
      <w:r w:rsidRPr="00EE237A">
        <w:rPr>
          <w:rFonts w:ascii="Arial" w:hAnsi="Arial" w:cs="Arial"/>
          <w:sz w:val="20"/>
          <w:szCs w:val="20"/>
          <w:lang w:val="en-GB"/>
        </w:rPr>
        <w:t xml:space="preserve">Bailly, G. C., El Mendili, Y., Konin, A., &amp; Khoury, E. (2024). Advancing earth-based construction: A comprehensive review of stabilization and reinforcement techniques for adobe and compressed earth blocks. </w:t>
      </w:r>
      <w:r w:rsidRPr="00EE237A">
        <w:rPr>
          <w:rFonts w:ascii="Arial" w:hAnsi="Arial" w:cs="Arial"/>
          <w:i/>
          <w:iCs/>
          <w:sz w:val="20"/>
          <w:szCs w:val="20"/>
          <w:lang w:val="en-GB"/>
        </w:rPr>
        <w:t>Eng, 5</w:t>
      </w:r>
      <w:r w:rsidRPr="00EE237A">
        <w:rPr>
          <w:rFonts w:ascii="Arial" w:hAnsi="Arial" w:cs="Arial"/>
          <w:sz w:val="20"/>
          <w:szCs w:val="20"/>
          <w:lang w:val="en-GB"/>
        </w:rPr>
        <w:t xml:space="preserve">(2), 750–783. </w:t>
      </w:r>
    </w:p>
    <w:p w14:paraId="4EDADEA9" w14:textId="77777777" w:rsidR="00C92446" w:rsidRPr="00EE237A" w:rsidRDefault="00C92446" w:rsidP="00C92446">
      <w:pPr>
        <w:spacing w:line="240" w:lineRule="auto"/>
        <w:rPr>
          <w:rFonts w:ascii="Arial" w:hAnsi="Arial" w:cs="Arial"/>
          <w:sz w:val="20"/>
          <w:szCs w:val="20"/>
          <w:lang w:val="en-GB"/>
        </w:rPr>
      </w:pPr>
      <w:r w:rsidRPr="00EE237A">
        <w:rPr>
          <w:rFonts w:ascii="Arial" w:hAnsi="Arial" w:cs="Arial"/>
          <w:sz w:val="20"/>
          <w:szCs w:val="20"/>
          <w:lang w:val="en-GB"/>
        </w:rPr>
        <w:t xml:space="preserve">Bui, Q. B., et al. (2023). Manually compressed soil blocks stabilised by fly ash geopolymer binder: Properties and potential. </w:t>
      </w:r>
      <w:r w:rsidRPr="00EE237A">
        <w:rPr>
          <w:rFonts w:ascii="Arial" w:hAnsi="Arial" w:cs="Arial"/>
          <w:i/>
          <w:iCs/>
          <w:sz w:val="20"/>
          <w:szCs w:val="20"/>
          <w:lang w:val="en-GB"/>
        </w:rPr>
        <w:t>Scientific Reports, 13</w:t>
      </w:r>
      <w:r w:rsidRPr="00EE237A">
        <w:rPr>
          <w:rFonts w:ascii="Arial" w:hAnsi="Arial" w:cs="Arial"/>
          <w:sz w:val="20"/>
          <w:szCs w:val="20"/>
          <w:lang w:val="en-GB"/>
        </w:rPr>
        <w:t xml:space="preserve">, Article 50103. </w:t>
      </w:r>
    </w:p>
    <w:p w14:paraId="3D9CD75B" w14:textId="77777777" w:rsidR="00C92446" w:rsidRPr="00EE237A" w:rsidRDefault="00C92446" w:rsidP="00C92446">
      <w:pPr>
        <w:spacing w:line="240" w:lineRule="auto"/>
        <w:rPr>
          <w:rFonts w:ascii="Arial" w:hAnsi="Arial" w:cs="Arial"/>
          <w:sz w:val="20"/>
          <w:szCs w:val="20"/>
          <w:lang w:val="en-GB"/>
        </w:rPr>
      </w:pPr>
      <w:r w:rsidRPr="00EE237A">
        <w:rPr>
          <w:rFonts w:ascii="Arial" w:hAnsi="Arial" w:cs="Arial"/>
          <w:sz w:val="20"/>
          <w:szCs w:val="20"/>
          <w:lang w:val="en-GB"/>
        </w:rPr>
        <w:t xml:space="preserve">Diatta, R. (2025). Demand response in power off-grid microgrids in Nigeria. </w:t>
      </w:r>
      <w:r w:rsidRPr="00EE237A">
        <w:rPr>
          <w:rFonts w:ascii="Arial" w:hAnsi="Arial" w:cs="Arial"/>
          <w:i/>
          <w:iCs/>
          <w:sz w:val="20"/>
          <w:szCs w:val="20"/>
          <w:lang w:val="en-GB"/>
        </w:rPr>
        <w:t>Energy for Sustainable Development, 76</w:t>
      </w:r>
      <w:r w:rsidRPr="00EE237A">
        <w:rPr>
          <w:rFonts w:ascii="Arial" w:hAnsi="Arial" w:cs="Arial"/>
          <w:sz w:val="20"/>
          <w:szCs w:val="20"/>
          <w:lang w:val="en-GB"/>
        </w:rPr>
        <w:t xml:space="preserve">, 101–115. </w:t>
      </w:r>
    </w:p>
    <w:p w14:paraId="44FE8F5B" w14:textId="77777777" w:rsidR="00C92446" w:rsidRPr="00EE237A" w:rsidRDefault="00C92446" w:rsidP="00C92446">
      <w:pPr>
        <w:spacing w:line="240" w:lineRule="auto"/>
        <w:jc w:val="both"/>
        <w:rPr>
          <w:rFonts w:ascii="Arial" w:hAnsi="Arial" w:cs="Arial"/>
          <w:sz w:val="20"/>
          <w:szCs w:val="20"/>
          <w:lang w:val="en-GB"/>
        </w:rPr>
      </w:pPr>
      <w:r w:rsidRPr="00EE237A">
        <w:rPr>
          <w:rFonts w:ascii="Arial" w:hAnsi="Arial" w:cs="Arial"/>
          <w:sz w:val="20"/>
          <w:szCs w:val="20"/>
          <w:lang w:val="en-GB"/>
        </w:rPr>
        <w:t xml:space="preserve">George, D., &amp; Mallery, P. (2019). </w:t>
      </w:r>
      <w:r w:rsidRPr="00EE237A">
        <w:rPr>
          <w:rFonts w:ascii="Arial" w:hAnsi="Arial" w:cs="Arial"/>
          <w:i/>
          <w:iCs/>
          <w:sz w:val="20"/>
          <w:szCs w:val="20"/>
          <w:lang w:val="en-GB"/>
        </w:rPr>
        <w:t>IBM SPSS Statistics 25 step by step: A simple guide and reference</w:t>
      </w:r>
      <w:r w:rsidRPr="00EE237A">
        <w:rPr>
          <w:rFonts w:ascii="Arial" w:hAnsi="Arial" w:cs="Arial"/>
          <w:sz w:val="20"/>
          <w:szCs w:val="20"/>
          <w:lang w:val="en-GB"/>
        </w:rPr>
        <w:t xml:space="preserve"> (15th ed.). Routledge.</w:t>
      </w:r>
    </w:p>
    <w:p w14:paraId="74CE72F7" w14:textId="77777777" w:rsidR="00C92446" w:rsidRPr="00EE237A" w:rsidRDefault="00C92446" w:rsidP="00C92446">
      <w:pPr>
        <w:spacing w:line="240" w:lineRule="auto"/>
        <w:rPr>
          <w:rFonts w:ascii="Arial" w:hAnsi="Arial" w:cs="Arial"/>
          <w:sz w:val="20"/>
          <w:szCs w:val="20"/>
          <w:lang w:val="en-GB"/>
        </w:rPr>
      </w:pPr>
      <w:r w:rsidRPr="00EE237A">
        <w:rPr>
          <w:rFonts w:ascii="Arial" w:hAnsi="Arial" w:cs="Arial"/>
          <w:sz w:val="20"/>
          <w:szCs w:val="20"/>
          <w:lang w:val="en-GB"/>
        </w:rPr>
        <w:t xml:space="preserve">Hafez, H. (2023). Barriers and enablers for scaled-up adoption of earth-based housing technologies: A qualitative review. </w:t>
      </w:r>
      <w:r w:rsidRPr="00EE237A">
        <w:rPr>
          <w:rFonts w:ascii="Arial" w:hAnsi="Arial" w:cs="Arial"/>
          <w:i/>
          <w:iCs/>
          <w:sz w:val="20"/>
          <w:szCs w:val="20"/>
          <w:lang w:val="en-GB"/>
        </w:rPr>
        <w:t>Construction Management and Economics, 41</w:t>
      </w:r>
      <w:r w:rsidRPr="00EE237A">
        <w:rPr>
          <w:rFonts w:ascii="Arial" w:hAnsi="Arial" w:cs="Arial"/>
          <w:sz w:val="20"/>
          <w:szCs w:val="20"/>
          <w:lang w:val="en-GB"/>
        </w:rPr>
        <w:t xml:space="preserve">(4), 1–17. </w:t>
      </w:r>
    </w:p>
    <w:p w14:paraId="2F1D76ED" w14:textId="77777777" w:rsidR="00C92446" w:rsidRPr="00EE237A" w:rsidRDefault="00C92446" w:rsidP="00C92446">
      <w:pPr>
        <w:spacing w:line="240" w:lineRule="auto"/>
        <w:jc w:val="both"/>
        <w:rPr>
          <w:rFonts w:ascii="Arial" w:hAnsi="Arial" w:cs="Arial"/>
          <w:sz w:val="20"/>
          <w:szCs w:val="20"/>
          <w:lang w:val="en-GB"/>
        </w:rPr>
      </w:pPr>
      <w:r w:rsidRPr="00EE237A">
        <w:rPr>
          <w:rFonts w:ascii="Arial" w:hAnsi="Arial" w:cs="Arial"/>
          <w:sz w:val="20"/>
          <w:szCs w:val="20"/>
          <w:lang w:val="en-GB"/>
        </w:rPr>
        <w:t xml:space="preserve">Ibitoye, O. A., Oyewole, A. A., &amp; </w:t>
      </w:r>
      <w:proofErr w:type="spellStart"/>
      <w:r w:rsidRPr="00EE237A">
        <w:rPr>
          <w:rFonts w:ascii="Arial" w:hAnsi="Arial" w:cs="Arial"/>
          <w:sz w:val="20"/>
          <w:szCs w:val="20"/>
          <w:lang w:val="en-GB"/>
        </w:rPr>
        <w:t>Babamboni</w:t>
      </w:r>
      <w:proofErr w:type="spellEnd"/>
      <w:r w:rsidRPr="00EE237A">
        <w:rPr>
          <w:rFonts w:ascii="Arial" w:hAnsi="Arial" w:cs="Arial"/>
          <w:sz w:val="20"/>
          <w:szCs w:val="20"/>
          <w:lang w:val="en-GB"/>
        </w:rPr>
        <w:t xml:space="preserve">, A. S. (2023). Demographic characteristics of housing estates developed with ISSB technology in selected Southwestern Nigerian cities. </w:t>
      </w:r>
      <w:r w:rsidRPr="00EE237A">
        <w:rPr>
          <w:rFonts w:ascii="Arial" w:hAnsi="Arial" w:cs="Arial"/>
          <w:i/>
          <w:iCs/>
          <w:sz w:val="20"/>
          <w:szCs w:val="20"/>
          <w:lang w:val="en-GB"/>
        </w:rPr>
        <w:t>FUDMA Journal of Sciences, 7</w:t>
      </w:r>
      <w:r w:rsidRPr="00EE237A">
        <w:rPr>
          <w:rFonts w:ascii="Arial" w:hAnsi="Arial" w:cs="Arial"/>
          <w:sz w:val="20"/>
          <w:szCs w:val="20"/>
          <w:lang w:val="en-GB"/>
        </w:rPr>
        <w:t>(2), 275–283.</w:t>
      </w:r>
    </w:p>
    <w:p w14:paraId="18682C0E" w14:textId="77777777" w:rsidR="00C92446" w:rsidRPr="00EE237A" w:rsidRDefault="00C92446" w:rsidP="00C92446">
      <w:pPr>
        <w:spacing w:line="240" w:lineRule="auto"/>
        <w:jc w:val="both"/>
        <w:rPr>
          <w:rFonts w:ascii="Arial" w:hAnsi="Arial" w:cs="Arial"/>
          <w:sz w:val="20"/>
          <w:szCs w:val="20"/>
          <w:lang w:val="en-GB"/>
        </w:rPr>
      </w:pPr>
      <w:r w:rsidRPr="00EE237A">
        <w:rPr>
          <w:rFonts w:ascii="Arial" w:hAnsi="Arial" w:cs="Arial"/>
          <w:sz w:val="20"/>
          <w:szCs w:val="20"/>
          <w:lang w:val="en-GB"/>
        </w:rPr>
        <w:t xml:space="preserve">Olaniyan, A. (2024). Rural electrification in Nigeria: A review of impacts and prospects. </w:t>
      </w:r>
      <w:r w:rsidRPr="00EE237A">
        <w:rPr>
          <w:rFonts w:ascii="Arial" w:hAnsi="Arial" w:cs="Arial"/>
          <w:i/>
          <w:iCs/>
          <w:sz w:val="20"/>
          <w:szCs w:val="20"/>
          <w:lang w:val="en-GB"/>
        </w:rPr>
        <w:t>Sustainability, 16</w:t>
      </w:r>
      <w:r w:rsidRPr="00EE237A">
        <w:rPr>
          <w:rFonts w:ascii="Arial" w:hAnsi="Arial" w:cs="Arial"/>
          <w:sz w:val="20"/>
          <w:szCs w:val="20"/>
          <w:lang w:val="en-GB"/>
        </w:rPr>
        <w:t xml:space="preserve">(3), Article 12341. </w:t>
      </w:r>
    </w:p>
    <w:p w14:paraId="6F6ED346" w14:textId="77777777" w:rsidR="00C92446" w:rsidRPr="00EE237A" w:rsidRDefault="00C92446" w:rsidP="00C92446">
      <w:pPr>
        <w:spacing w:line="240" w:lineRule="auto"/>
        <w:rPr>
          <w:rFonts w:ascii="Arial" w:hAnsi="Arial" w:cs="Arial"/>
          <w:sz w:val="20"/>
          <w:szCs w:val="20"/>
          <w:lang w:val="en-GB"/>
        </w:rPr>
      </w:pPr>
      <w:r w:rsidRPr="00EE237A">
        <w:rPr>
          <w:rFonts w:ascii="Arial" w:hAnsi="Arial" w:cs="Arial"/>
          <w:sz w:val="20"/>
          <w:szCs w:val="20"/>
          <w:lang w:val="en-GB"/>
        </w:rPr>
        <w:t xml:space="preserve">Omondi, G., Mutuku, M., &amp; </w:t>
      </w:r>
      <w:proofErr w:type="spellStart"/>
      <w:r w:rsidRPr="00EE237A">
        <w:rPr>
          <w:rFonts w:ascii="Arial" w:hAnsi="Arial" w:cs="Arial"/>
          <w:sz w:val="20"/>
          <w:szCs w:val="20"/>
          <w:lang w:val="en-GB"/>
        </w:rPr>
        <w:t>Luvanda</w:t>
      </w:r>
      <w:proofErr w:type="spellEnd"/>
      <w:r w:rsidRPr="00EE237A">
        <w:rPr>
          <w:rFonts w:ascii="Arial" w:hAnsi="Arial" w:cs="Arial"/>
          <w:sz w:val="20"/>
          <w:szCs w:val="20"/>
          <w:lang w:val="en-GB"/>
        </w:rPr>
        <w:t xml:space="preserve">, J. (2022). Thermal comfort and performance of ISSB houses in tropical Africa. </w:t>
      </w:r>
      <w:r w:rsidRPr="00EE237A">
        <w:rPr>
          <w:rFonts w:ascii="Arial" w:hAnsi="Arial" w:cs="Arial"/>
          <w:i/>
          <w:iCs/>
          <w:sz w:val="20"/>
          <w:szCs w:val="20"/>
          <w:lang w:val="en-GB"/>
        </w:rPr>
        <w:t>Journal of Green Building and Climate Design, 18</w:t>
      </w:r>
      <w:r w:rsidRPr="00EE237A">
        <w:rPr>
          <w:rFonts w:ascii="Arial" w:hAnsi="Arial" w:cs="Arial"/>
          <w:sz w:val="20"/>
          <w:szCs w:val="20"/>
          <w:lang w:val="en-GB"/>
        </w:rPr>
        <w:t>(2), 97–111.</w:t>
      </w:r>
    </w:p>
    <w:p w14:paraId="09AC1B7F" w14:textId="77777777" w:rsidR="00C92446" w:rsidRPr="00EE237A" w:rsidRDefault="00C92446" w:rsidP="00C92446">
      <w:pPr>
        <w:spacing w:line="240" w:lineRule="auto"/>
        <w:rPr>
          <w:rFonts w:ascii="Arial" w:hAnsi="Arial" w:cs="Arial"/>
          <w:sz w:val="20"/>
          <w:szCs w:val="20"/>
          <w:lang w:val="en-GB"/>
        </w:rPr>
      </w:pPr>
      <w:r w:rsidRPr="00EE237A">
        <w:rPr>
          <w:rFonts w:ascii="Arial" w:hAnsi="Arial" w:cs="Arial"/>
          <w:sz w:val="20"/>
          <w:szCs w:val="20"/>
          <w:lang w:val="en-GB"/>
        </w:rPr>
        <w:t xml:space="preserve">Real, S., Walker, P., &amp; Lawrence, M. (2024). The influence of density and stabilization on the </w:t>
      </w:r>
      <w:proofErr w:type="spellStart"/>
      <w:r w:rsidRPr="00EE237A">
        <w:rPr>
          <w:rFonts w:ascii="Arial" w:hAnsi="Arial" w:cs="Arial"/>
          <w:sz w:val="20"/>
          <w:szCs w:val="20"/>
          <w:lang w:val="en-GB"/>
        </w:rPr>
        <w:t>hygrothermal</w:t>
      </w:r>
      <w:proofErr w:type="spellEnd"/>
      <w:r w:rsidRPr="00EE237A">
        <w:rPr>
          <w:rFonts w:ascii="Arial" w:hAnsi="Arial" w:cs="Arial"/>
          <w:sz w:val="20"/>
          <w:szCs w:val="20"/>
          <w:lang w:val="en-GB"/>
        </w:rPr>
        <w:t xml:space="preserve"> </w:t>
      </w:r>
      <w:proofErr w:type="spellStart"/>
      <w:r w:rsidRPr="00EE237A">
        <w:rPr>
          <w:rFonts w:ascii="Arial" w:hAnsi="Arial" w:cs="Arial"/>
          <w:sz w:val="20"/>
          <w:szCs w:val="20"/>
          <w:lang w:val="en-GB"/>
        </w:rPr>
        <w:t>behavior</w:t>
      </w:r>
      <w:proofErr w:type="spellEnd"/>
      <w:r w:rsidRPr="00EE237A">
        <w:rPr>
          <w:rFonts w:ascii="Arial" w:hAnsi="Arial" w:cs="Arial"/>
          <w:sz w:val="20"/>
          <w:szCs w:val="20"/>
          <w:lang w:val="en-GB"/>
        </w:rPr>
        <w:t xml:space="preserve"> of compressed earth blocks. </w:t>
      </w:r>
      <w:r w:rsidRPr="00EE237A">
        <w:rPr>
          <w:rFonts w:ascii="Arial" w:hAnsi="Arial" w:cs="Arial"/>
          <w:i/>
          <w:iCs/>
          <w:sz w:val="20"/>
          <w:szCs w:val="20"/>
          <w:lang w:val="en-GB"/>
        </w:rPr>
        <w:t>Buildings, 14</w:t>
      </w:r>
      <w:r w:rsidRPr="00EE237A">
        <w:rPr>
          <w:rFonts w:ascii="Arial" w:hAnsi="Arial" w:cs="Arial"/>
          <w:sz w:val="20"/>
          <w:szCs w:val="20"/>
          <w:lang w:val="en-GB"/>
        </w:rPr>
        <w:t xml:space="preserve">(1), 31–47. </w:t>
      </w:r>
    </w:p>
    <w:p w14:paraId="2AA77C61" w14:textId="77777777" w:rsidR="00C92446" w:rsidRPr="006E0C74" w:rsidRDefault="00C92446" w:rsidP="00C92446">
      <w:pPr>
        <w:spacing w:line="240" w:lineRule="auto"/>
        <w:jc w:val="both"/>
        <w:rPr>
          <w:rFonts w:ascii="Times New Roman" w:hAnsi="Times New Roman" w:cs="Times New Roman"/>
          <w:b/>
          <w:bCs/>
          <w:sz w:val="24"/>
          <w:szCs w:val="24"/>
          <w:lang w:val="en-GB"/>
        </w:rPr>
      </w:pPr>
    </w:p>
    <w:p w14:paraId="6CDB8E63" w14:textId="77777777" w:rsidR="0089208D" w:rsidRPr="00B93629" w:rsidRDefault="0089208D" w:rsidP="00B93629">
      <w:pPr>
        <w:spacing w:line="360" w:lineRule="auto"/>
        <w:jc w:val="both"/>
        <w:rPr>
          <w:rFonts w:ascii="Times New Roman" w:hAnsi="Times New Roman" w:cs="Times New Roman"/>
          <w:sz w:val="24"/>
          <w:szCs w:val="24"/>
        </w:rPr>
      </w:pPr>
    </w:p>
    <w:sectPr w:rsidR="0089208D" w:rsidRPr="00B936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F5643" w14:textId="77777777" w:rsidR="00550C15" w:rsidRDefault="00550C15" w:rsidP="00FA3124">
      <w:pPr>
        <w:spacing w:after="0" w:line="240" w:lineRule="auto"/>
      </w:pPr>
      <w:r>
        <w:separator/>
      </w:r>
    </w:p>
  </w:endnote>
  <w:endnote w:type="continuationSeparator" w:id="0">
    <w:p w14:paraId="7C184B86" w14:textId="77777777" w:rsidR="00550C15" w:rsidRDefault="00550C15" w:rsidP="00FA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4B02C" w14:textId="77777777" w:rsidR="00A40E88" w:rsidRDefault="00A40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008347"/>
      <w:docPartObj>
        <w:docPartGallery w:val="Page Numbers (Bottom of Page)"/>
        <w:docPartUnique/>
      </w:docPartObj>
    </w:sdtPr>
    <w:sdtEndPr>
      <w:rPr>
        <w:noProof/>
      </w:rPr>
    </w:sdtEndPr>
    <w:sdtContent>
      <w:p w14:paraId="2D75B445" w14:textId="37EA6779" w:rsidR="00FA3124" w:rsidRDefault="00FA3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BBFB2E" w14:textId="77777777" w:rsidR="00FA3124" w:rsidRDefault="00FA3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6BF3" w14:textId="77777777" w:rsidR="00A40E88" w:rsidRDefault="00A4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F0E18" w14:textId="77777777" w:rsidR="00550C15" w:rsidRDefault="00550C15" w:rsidP="00FA3124">
      <w:pPr>
        <w:spacing w:after="0" w:line="240" w:lineRule="auto"/>
      </w:pPr>
      <w:r>
        <w:separator/>
      </w:r>
    </w:p>
  </w:footnote>
  <w:footnote w:type="continuationSeparator" w:id="0">
    <w:p w14:paraId="39B99703" w14:textId="77777777" w:rsidR="00550C15" w:rsidRDefault="00550C15" w:rsidP="00FA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886CE" w14:textId="62C8EB6B" w:rsidR="00A40E88" w:rsidRDefault="00A40E88">
    <w:pPr>
      <w:pStyle w:val="Header"/>
    </w:pPr>
    <w:r>
      <w:rPr>
        <w:noProof/>
      </w:rPr>
      <w:pict w14:anchorId="0D2BC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6E27" w14:textId="582BB7A1" w:rsidR="00A40E88" w:rsidRDefault="00A40E88">
    <w:pPr>
      <w:pStyle w:val="Header"/>
    </w:pPr>
    <w:r>
      <w:rPr>
        <w:noProof/>
      </w:rPr>
      <w:pict w14:anchorId="7428B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1E225" w14:textId="7F3BAFC2" w:rsidR="00A40E88" w:rsidRDefault="00A40E88">
    <w:pPr>
      <w:pStyle w:val="Header"/>
    </w:pPr>
    <w:r>
      <w:rPr>
        <w:noProof/>
      </w:rPr>
      <w:pict w14:anchorId="3E9BE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6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42D5"/>
    <w:multiLevelType w:val="multilevel"/>
    <w:tmpl w:val="C576D368"/>
    <w:lvl w:ilvl="0">
      <w:start w:val="1"/>
      <w:numFmt w:val="decimal"/>
      <w:lvlText w:val="%1."/>
      <w:lvlJc w:val="left"/>
      <w:pPr>
        <w:tabs>
          <w:tab w:val="num" w:pos="720"/>
        </w:tabs>
        <w:ind w:left="720" w:hanging="360"/>
      </w:pPr>
    </w:lvl>
    <w:lvl w:ilvl="1">
      <w:start w:val="1"/>
      <w:numFmt w:val="low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71EAC"/>
    <w:multiLevelType w:val="multilevel"/>
    <w:tmpl w:val="F094EB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D4068"/>
    <w:multiLevelType w:val="multilevel"/>
    <w:tmpl w:val="3418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E0476"/>
    <w:multiLevelType w:val="multilevel"/>
    <w:tmpl w:val="2DAA1A3A"/>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EF2022"/>
    <w:multiLevelType w:val="multilevel"/>
    <w:tmpl w:val="8228D79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7E27C9"/>
    <w:multiLevelType w:val="multilevel"/>
    <w:tmpl w:val="7FD69520"/>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5D01AB"/>
    <w:multiLevelType w:val="multilevel"/>
    <w:tmpl w:val="E8DA854A"/>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D64"/>
    <w:rsid w:val="000C4DC0"/>
    <w:rsid w:val="0010009A"/>
    <w:rsid w:val="00261240"/>
    <w:rsid w:val="00330D6D"/>
    <w:rsid w:val="00384664"/>
    <w:rsid w:val="00384D34"/>
    <w:rsid w:val="003C540D"/>
    <w:rsid w:val="004117B6"/>
    <w:rsid w:val="00550C15"/>
    <w:rsid w:val="00553918"/>
    <w:rsid w:val="00600E4E"/>
    <w:rsid w:val="0063133F"/>
    <w:rsid w:val="00634775"/>
    <w:rsid w:val="007062BD"/>
    <w:rsid w:val="00740A77"/>
    <w:rsid w:val="007C6BB0"/>
    <w:rsid w:val="0089208D"/>
    <w:rsid w:val="008F71F0"/>
    <w:rsid w:val="00912879"/>
    <w:rsid w:val="00970CFB"/>
    <w:rsid w:val="00A14D99"/>
    <w:rsid w:val="00A40E88"/>
    <w:rsid w:val="00AC19CD"/>
    <w:rsid w:val="00B30635"/>
    <w:rsid w:val="00B93629"/>
    <w:rsid w:val="00BD423A"/>
    <w:rsid w:val="00BF1C99"/>
    <w:rsid w:val="00C80571"/>
    <w:rsid w:val="00C92446"/>
    <w:rsid w:val="00D63343"/>
    <w:rsid w:val="00D77D64"/>
    <w:rsid w:val="00E83A21"/>
    <w:rsid w:val="00EB1A69"/>
    <w:rsid w:val="00EE237A"/>
    <w:rsid w:val="00EF0F58"/>
    <w:rsid w:val="00F132DF"/>
    <w:rsid w:val="00FA3124"/>
    <w:rsid w:val="00FE2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018EEA"/>
  <w15:chartTrackingRefBased/>
  <w15:docId w15:val="{14DC527F-0F03-4F63-BDC4-73DF7856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D6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77D6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77D6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77D6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77D6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77D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D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D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D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6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77D6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77D6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77D6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77D6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77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D64"/>
    <w:rPr>
      <w:rFonts w:eastAsiaTheme="majorEastAsia" w:cstheme="majorBidi"/>
      <w:color w:val="272727" w:themeColor="text1" w:themeTint="D8"/>
    </w:rPr>
  </w:style>
  <w:style w:type="paragraph" w:styleId="Title">
    <w:name w:val="Title"/>
    <w:basedOn w:val="Normal"/>
    <w:next w:val="Normal"/>
    <w:link w:val="TitleChar"/>
    <w:uiPriority w:val="10"/>
    <w:qFormat/>
    <w:rsid w:val="00D77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D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D64"/>
    <w:pPr>
      <w:spacing w:before="160"/>
      <w:jc w:val="center"/>
    </w:pPr>
    <w:rPr>
      <w:i/>
      <w:iCs/>
      <w:color w:val="404040" w:themeColor="text1" w:themeTint="BF"/>
    </w:rPr>
  </w:style>
  <w:style w:type="character" w:customStyle="1" w:styleId="QuoteChar">
    <w:name w:val="Quote Char"/>
    <w:basedOn w:val="DefaultParagraphFont"/>
    <w:link w:val="Quote"/>
    <w:uiPriority w:val="29"/>
    <w:rsid w:val="00D77D64"/>
    <w:rPr>
      <w:i/>
      <w:iCs/>
      <w:color w:val="404040" w:themeColor="text1" w:themeTint="BF"/>
    </w:rPr>
  </w:style>
  <w:style w:type="paragraph" w:styleId="ListParagraph">
    <w:name w:val="List Paragraph"/>
    <w:basedOn w:val="Normal"/>
    <w:uiPriority w:val="34"/>
    <w:qFormat/>
    <w:rsid w:val="00D77D64"/>
    <w:pPr>
      <w:ind w:left="720"/>
      <w:contextualSpacing/>
    </w:pPr>
  </w:style>
  <w:style w:type="character" w:styleId="IntenseEmphasis">
    <w:name w:val="Intense Emphasis"/>
    <w:basedOn w:val="DefaultParagraphFont"/>
    <w:uiPriority w:val="21"/>
    <w:qFormat/>
    <w:rsid w:val="00D77D64"/>
    <w:rPr>
      <w:i/>
      <w:iCs/>
      <w:color w:val="2E74B5" w:themeColor="accent1" w:themeShade="BF"/>
    </w:rPr>
  </w:style>
  <w:style w:type="paragraph" w:styleId="IntenseQuote">
    <w:name w:val="Intense Quote"/>
    <w:basedOn w:val="Normal"/>
    <w:next w:val="Normal"/>
    <w:link w:val="IntenseQuoteChar"/>
    <w:uiPriority w:val="30"/>
    <w:qFormat/>
    <w:rsid w:val="00D77D6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77D64"/>
    <w:rPr>
      <w:i/>
      <w:iCs/>
      <w:color w:val="2E74B5" w:themeColor="accent1" w:themeShade="BF"/>
    </w:rPr>
  </w:style>
  <w:style w:type="character" w:styleId="IntenseReference">
    <w:name w:val="Intense Reference"/>
    <w:basedOn w:val="DefaultParagraphFont"/>
    <w:uiPriority w:val="32"/>
    <w:qFormat/>
    <w:rsid w:val="00D77D64"/>
    <w:rPr>
      <w:b/>
      <w:bCs/>
      <w:smallCaps/>
      <w:color w:val="2E74B5" w:themeColor="accent1" w:themeShade="BF"/>
      <w:spacing w:val="5"/>
    </w:rPr>
  </w:style>
  <w:style w:type="character" w:styleId="Hyperlink">
    <w:name w:val="Hyperlink"/>
    <w:basedOn w:val="DefaultParagraphFont"/>
    <w:uiPriority w:val="99"/>
    <w:unhideWhenUsed/>
    <w:rsid w:val="00B93629"/>
    <w:rPr>
      <w:color w:val="0563C1" w:themeColor="hyperlink"/>
      <w:u w:val="single"/>
    </w:rPr>
  </w:style>
  <w:style w:type="table" w:styleId="TableGridLight">
    <w:name w:val="Grid Table Light"/>
    <w:basedOn w:val="TableNormal"/>
    <w:uiPriority w:val="40"/>
    <w:rsid w:val="00B936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FA3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24"/>
  </w:style>
  <w:style w:type="paragraph" w:styleId="Footer">
    <w:name w:val="footer"/>
    <w:basedOn w:val="Normal"/>
    <w:link w:val="FooterChar"/>
    <w:uiPriority w:val="99"/>
    <w:unhideWhenUsed/>
    <w:rsid w:val="00FA3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124"/>
  </w:style>
  <w:style w:type="character" w:styleId="UnresolvedMention">
    <w:name w:val="Unresolved Mention"/>
    <w:basedOn w:val="DefaultParagraphFont"/>
    <w:uiPriority w:val="99"/>
    <w:semiHidden/>
    <w:unhideWhenUsed/>
    <w:rsid w:val="00740A77"/>
    <w:rPr>
      <w:color w:val="605E5C"/>
      <w:shd w:val="clear" w:color="auto" w:fill="E1DFDD"/>
    </w:rPr>
  </w:style>
  <w:style w:type="paragraph" w:customStyle="1" w:styleId="Body">
    <w:name w:val="Body"/>
    <w:basedOn w:val="Normal"/>
    <w:rsid w:val="00BF1C99"/>
    <w:pPr>
      <w:spacing w:after="240" w:line="240" w:lineRule="auto"/>
      <w:jc w:val="both"/>
    </w:pPr>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4498</Words>
  <Characters>25642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favour daramola</dc:creator>
  <cp:keywords/>
  <dc:description/>
  <cp:lastModifiedBy>SDI 1084</cp:lastModifiedBy>
  <cp:revision>5</cp:revision>
  <dcterms:created xsi:type="dcterms:W3CDTF">2026-03-19T16:43:00Z</dcterms:created>
  <dcterms:modified xsi:type="dcterms:W3CDTF">2026-03-20T11:22:00Z</dcterms:modified>
</cp:coreProperties>
</file>