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830205C" w14:textId="77777777" w:rsidR="00BB6C37" w:rsidRPr="0000487B" w:rsidRDefault="00BB6C37" w:rsidP="00BB6C37">
      <w:pPr>
        <w:spacing w:line="360" w:lineRule="auto"/>
        <w:jc w:val="both"/>
        <w:rPr>
          <w:rFonts w:ascii="Garamond" w:hAnsi="Garamond"/>
          <w:b/>
          <w:bCs/>
        </w:rPr>
      </w:pPr>
      <w:r w:rsidRPr="0000487B">
        <w:rPr>
          <w:rFonts w:ascii="Garamond" w:hAnsi="Garamond"/>
          <w:b/>
          <w:bCs/>
        </w:rPr>
        <w:t>Trends and Extent of Climate Variability Impacts in Informal Settlements: Evidence from Korogocho and Kahawa Soweto, Nairobi City, Kenya</w:t>
      </w:r>
    </w:p>
    <w:p w14:paraId="0722446B" w14:textId="31DD4402" w:rsidR="00BB6C37" w:rsidRDefault="00BB6C37" w:rsidP="00F653EF">
      <w:pPr>
        <w:spacing w:after="0" w:line="240" w:lineRule="auto"/>
        <w:jc w:val="both"/>
        <w:rPr>
          <w:rFonts w:ascii="Garamond" w:hAnsi="Garamond" w:cs="Times New Roman"/>
          <w:b/>
        </w:rPr>
      </w:pPr>
    </w:p>
    <w:p w14:paraId="1086C074" w14:textId="77777777" w:rsidR="00A13EB9" w:rsidRDefault="00A13EB9" w:rsidP="00F653EF">
      <w:pPr>
        <w:spacing w:after="0" w:line="240" w:lineRule="auto"/>
        <w:jc w:val="both"/>
        <w:rPr>
          <w:rFonts w:ascii="Garamond" w:hAnsi="Garamond" w:cs="Times New Roman"/>
          <w:b/>
        </w:rPr>
      </w:pPr>
      <w:bookmarkStart w:id="0" w:name="_GoBack"/>
      <w:bookmarkEnd w:id="0"/>
    </w:p>
    <w:p w14:paraId="5B0E51A9" w14:textId="77777777" w:rsidR="00930E9F" w:rsidRPr="0000487B" w:rsidRDefault="00930E9F" w:rsidP="00466DBA">
      <w:pPr>
        <w:spacing w:line="360" w:lineRule="auto"/>
        <w:jc w:val="both"/>
        <w:rPr>
          <w:rFonts w:ascii="Garamond" w:hAnsi="Garamond"/>
          <w:b/>
          <w:bCs/>
        </w:rPr>
      </w:pPr>
      <w:r w:rsidRPr="0000487B">
        <w:rPr>
          <w:rFonts w:ascii="Garamond" w:hAnsi="Garamond"/>
          <w:b/>
          <w:bCs/>
        </w:rPr>
        <w:t>Abstract</w:t>
      </w:r>
    </w:p>
    <w:p w14:paraId="3616BD07" w14:textId="074C0C7F" w:rsidR="001D3F26" w:rsidRPr="0000487B" w:rsidRDefault="001D3F26" w:rsidP="00466DBA">
      <w:pPr>
        <w:spacing w:line="360" w:lineRule="auto"/>
        <w:jc w:val="both"/>
        <w:rPr>
          <w:rFonts w:ascii="Garamond" w:hAnsi="Garamond"/>
        </w:rPr>
      </w:pPr>
      <w:r w:rsidRPr="0000487B">
        <w:rPr>
          <w:rFonts w:ascii="Garamond" w:hAnsi="Garamond"/>
        </w:rPr>
        <w:t>Climate variability increasingly threatens informal settlements</w:t>
      </w:r>
      <w:r w:rsidR="00EE7853" w:rsidRPr="0000487B">
        <w:rPr>
          <w:rFonts w:ascii="Garamond" w:hAnsi="Garamond"/>
        </w:rPr>
        <w:t xml:space="preserve"> globally</w:t>
      </w:r>
      <w:r w:rsidRPr="0000487B">
        <w:rPr>
          <w:rFonts w:ascii="Garamond" w:hAnsi="Garamond"/>
        </w:rPr>
        <w:t xml:space="preserve">, where poverty, inadequate infrastructure, and environmental exposure intersect. This study examines trends and impacts of climate variability on Korogocho and </w:t>
      </w:r>
      <w:r w:rsidR="00EE7853" w:rsidRPr="0000487B">
        <w:rPr>
          <w:rFonts w:ascii="Garamond" w:hAnsi="Garamond"/>
        </w:rPr>
        <w:t xml:space="preserve">Kahawa soweto </w:t>
      </w:r>
      <w:r w:rsidRPr="0000487B">
        <w:rPr>
          <w:rFonts w:ascii="Garamond" w:hAnsi="Garamond"/>
        </w:rPr>
        <w:t xml:space="preserve">informal settlements in Nairobi, Kenya, from 1995 to 2025. Using a mixed-methods approach that combines secondary climate data, household surveys, and vulnerability indicators, the study analyzed temperature trends, rainfall variability, flooding frequency, and drought occurrence, and their implications for housing, water access, health, and livelihoods. Results indicate a significant warming trend of approximately 0.6 °C over 25 years, a weak upward rainfall tendency, and increasing frequency of extreme heat events, short-rains flooding, and prolonged dry spells. Korogocho exhibits higher vulnerability to flooding and sanitation risks due to proximity to riparian zones and poor drainage, whereas </w:t>
      </w:r>
      <w:r w:rsidR="00EE7853" w:rsidRPr="0000487B">
        <w:rPr>
          <w:rFonts w:ascii="Garamond" w:hAnsi="Garamond"/>
        </w:rPr>
        <w:t xml:space="preserve">Kahawa soweto </w:t>
      </w:r>
      <w:r w:rsidRPr="0000487B">
        <w:rPr>
          <w:rFonts w:ascii="Garamond" w:hAnsi="Garamond"/>
        </w:rPr>
        <w:t>faces heightened heat stress and water insecurity linked to densification and limited green cover. The findings highlight that even modest rainfall increases, combined with urban warming and impervious surfaces, amplify flood risks in infrastructure-limited settlements. This study contributes evidence-based insights for climate-responsive urban planning and tailored community adaptation strategies in high-risk informal settlements. The study demonstrates how localized climate trends intersect with settlement-specific vulnerabilities to shape health, livelihood, and infrastructure outcomes. Findings provide actionable insights for climate-responsive urban planning and tailored community adaptation strategies in informal settlements facing compounded environmental and socio-economic hazards.</w:t>
      </w:r>
    </w:p>
    <w:p w14:paraId="0A7FD849" w14:textId="77777777" w:rsidR="00930E9F" w:rsidRPr="0000487B" w:rsidRDefault="00930E9F" w:rsidP="00466DBA">
      <w:pPr>
        <w:spacing w:line="360" w:lineRule="auto"/>
        <w:jc w:val="both"/>
        <w:rPr>
          <w:rFonts w:ascii="Garamond" w:hAnsi="Garamond"/>
          <w:b/>
          <w:bCs/>
        </w:rPr>
      </w:pPr>
      <w:r w:rsidRPr="0000487B">
        <w:rPr>
          <w:rFonts w:ascii="Garamond" w:hAnsi="Garamond"/>
          <w:b/>
          <w:bCs/>
        </w:rPr>
        <w:t>Keywords</w:t>
      </w:r>
    </w:p>
    <w:p w14:paraId="65991387" w14:textId="218CAC35" w:rsidR="00930E9F" w:rsidRPr="0000487B" w:rsidRDefault="00930E9F" w:rsidP="00466DBA">
      <w:pPr>
        <w:spacing w:line="360" w:lineRule="auto"/>
        <w:jc w:val="both"/>
        <w:rPr>
          <w:rFonts w:ascii="Garamond" w:hAnsi="Garamond"/>
          <w:b/>
          <w:bCs/>
        </w:rPr>
      </w:pPr>
      <w:r w:rsidRPr="0000487B">
        <w:rPr>
          <w:rFonts w:ascii="Garamond" w:hAnsi="Garamond"/>
          <w:b/>
          <w:bCs/>
        </w:rPr>
        <w:t xml:space="preserve">Climate variability; informal settlements; urban vulnerability; flooding; heat stress; Nairobi; Korogocho; </w:t>
      </w:r>
      <w:r w:rsidR="001E54A5" w:rsidRPr="0000487B">
        <w:rPr>
          <w:rFonts w:ascii="Garamond" w:hAnsi="Garamond"/>
          <w:b/>
          <w:bCs/>
        </w:rPr>
        <w:t>Kahawa Soweto</w:t>
      </w:r>
    </w:p>
    <w:p w14:paraId="3C8F05EC" w14:textId="5ADF6ACC" w:rsidR="00930E9F" w:rsidRPr="0000487B" w:rsidRDefault="00930E9F" w:rsidP="00466DBA">
      <w:pPr>
        <w:spacing w:line="360" w:lineRule="auto"/>
        <w:jc w:val="both"/>
        <w:rPr>
          <w:rFonts w:ascii="Garamond" w:hAnsi="Garamond"/>
          <w:b/>
          <w:bCs/>
        </w:rPr>
      </w:pPr>
      <w:r w:rsidRPr="0000487B">
        <w:rPr>
          <w:rFonts w:ascii="Garamond" w:hAnsi="Garamond"/>
          <w:b/>
          <w:bCs/>
        </w:rPr>
        <w:t>1.</w:t>
      </w:r>
      <w:r w:rsidR="0020798C" w:rsidRPr="0000487B">
        <w:rPr>
          <w:rFonts w:ascii="Garamond" w:hAnsi="Garamond"/>
          <w:b/>
          <w:bCs/>
        </w:rPr>
        <w:t>0.</w:t>
      </w:r>
      <w:r w:rsidRPr="0000487B">
        <w:rPr>
          <w:rFonts w:ascii="Garamond" w:hAnsi="Garamond"/>
          <w:b/>
          <w:bCs/>
        </w:rPr>
        <w:t xml:space="preserve"> Introduction</w:t>
      </w:r>
    </w:p>
    <w:p w14:paraId="55E30D71" w14:textId="77777777" w:rsidR="00930E9F" w:rsidRPr="0000487B" w:rsidRDefault="00930E9F" w:rsidP="00466DBA">
      <w:pPr>
        <w:spacing w:line="360" w:lineRule="auto"/>
        <w:jc w:val="both"/>
        <w:rPr>
          <w:rFonts w:ascii="Garamond" w:hAnsi="Garamond"/>
        </w:rPr>
      </w:pPr>
      <w:r w:rsidRPr="0000487B">
        <w:rPr>
          <w:rFonts w:ascii="Garamond" w:hAnsi="Garamond"/>
        </w:rPr>
        <w:t xml:space="preserve">Rapid urbanization in sub-Saharan Africa has accelerated over recent decades, resulting in the rapid expansion of informal settlements that accommodate a large proportion of the urban poor (UN-Habitat, 2020). These settlements frequently emerge in environmentally marginal areas such as </w:t>
      </w:r>
      <w:r w:rsidRPr="0000487B">
        <w:rPr>
          <w:rFonts w:ascii="Garamond" w:hAnsi="Garamond"/>
        </w:rPr>
        <w:lastRenderedPageBreak/>
        <w:t>floodplains, riparian corridors, and steep slopes, where land is inexpensive but highly exposed to climate-related hazards (Douglas et al., 2008). In Kenya, Nairobi exemplifies this pattern, with informal settlements housing over 60% of the city’s population on less than 10% of its land area (World Bank, 2020). Climate variability in the city has intensified existing structural and socio-economic vulnerabilities by increasing the frequency, magnitude, and unpredictability of extreme weather events, including floods, prolonged dry spells, and heatwaves (IPCC, 2022). Observed changes in rainfall intensity and rising temperatures have exacerbated urban flooding, water scarcity, and heat stress, particularly in low-income neighborhoods with limited adaptive capacity (UNEP, 2021).</w:t>
      </w:r>
    </w:p>
    <w:p w14:paraId="028798AC" w14:textId="5ECEEB2D" w:rsidR="00930E9F" w:rsidRPr="0000487B" w:rsidRDefault="00930E9F" w:rsidP="00466DBA">
      <w:pPr>
        <w:spacing w:line="360" w:lineRule="auto"/>
        <w:jc w:val="both"/>
        <w:rPr>
          <w:rFonts w:ascii="Garamond" w:hAnsi="Garamond"/>
        </w:rPr>
      </w:pPr>
      <w:r w:rsidRPr="0000487B">
        <w:rPr>
          <w:rFonts w:ascii="Garamond" w:hAnsi="Garamond"/>
        </w:rPr>
        <w:t xml:space="preserve"> Informal settlements such as Korogocho and </w:t>
      </w:r>
      <w:r w:rsidR="00EE7853" w:rsidRPr="0000487B">
        <w:rPr>
          <w:rFonts w:ascii="Garamond" w:hAnsi="Garamond"/>
        </w:rPr>
        <w:t xml:space="preserve">Kahawa soweto </w:t>
      </w:r>
      <w:r w:rsidRPr="0000487B">
        <w:rPr>
          <w:rFonts w:ascii="Garamond" w:hAnsi="Garamond"/>
        </w:rPr>
        <w:t xml:space="preserve">are especially vulnerable due to substandard housing materials that offer minimal protection against flooding and extreme heat (Omedo, 2010). The absence of formal land-use planning has led to settlement expansion into high-risk zones, including areas with inadequate drainage and proximity to polluted waterways (Douglas et al., 2008). Limited access to reliable water, sanitation, and hygiene (WASH) services further amplifies health risks during climate shocks, increasing the incidence of waterborne diseases following floods and during drought-induced water shortages (Simiyu &amp; Mberu, 2024). Climate variability also undermines livelihoods in these settlements, where many residents depend on climate-sensitive informal economic activities that are easily disrupted by extreme weather events (World Bank, 2020). Women, children, and the elderly bear a disproportionate burden of climate impacts due to heightened health risks, care responsibilities, and social marginalization (IPCC, 2022). </w:t>
      </w:r>
    </w:p>
    <w:p w14:paraId="26F8B230" w14:textId="77777777" w:rsidR="00930E9F" w:rsidRPr="0000487B" w:rsidRDefault="00930E9F" w:rsidP="00466DBA">
      <w:pPr>
        <w:spacing w:line="360" w:lineRule="auto"/>
        <w:jc w:val="both"/>
        <w:rPr>
          <w:rFonts w:ascii="Garamond" w:hAnsi="Garamond"/>
        </w:rPr>
      </w:pPr>
      <w:r w:rsidRPr="0000487B">
        <w:rPr>
          <w:rFonts w:ascii="Garamond" w:hAnsi="Garamond"/>
        </w:rPr>
        <w:t xml:space="preserve">Recurrent flooding damages homes and household assets, perpetuating cycles of poverty and limiting residents’ ability to invest in long-term adaptation measures (UN-Habitat, 2020). Heatwaves exacerbate indoor thermal discomfort in densely built settlements, contributing to heat-related illnesses and reduced productivity (UNEP, 2021). Despite these challenges, community-based social networks play an important role in supporting short-term coping and recovery, although their effectiveness is increasingly strained by repeated climate shocks (Mwanthi &amp; Macharia, 2022). Understanding localized climate variability trends is therefore essential for distinguishing between long-term climatic change and short-term weather extremes in informal urban contexts (IPCC, 2022). Equally important is assessing the extent to which these trends translate into tangible social, economic, and environmental impacts at the settlement level (Douglas et al., 2008). Evidence-based insights can </w:t>
      </w:r>
      <w:r w:rsidRPr="0000487B">
        <w:rPr>
          <w:rFonts w:ascii="Garamond" w:hAnsi="Garamond"/>
        </w:rPr>
        <w:lastRenderedPageBreak/>
        <w:t xml:space="preserve">inform the design of targeted adaptation strategies that address both physical infrastructure deficits and underlying socio-economic vulnerabilities (World Bank, 2020). </w:t>
      </w:r>
    </w:p>
    <w:p w14:paraId="2DD89BA8" w14:textId="43210A5E" w:rsidR="00930E9F" w:rsidRPr="0000487B" w:rsidRDefault="00930E9F" w:rsidP="00466DBA">
      <w:pPr>
        <w:spacing w:line="360" w:lineRule="auto"/>
        <w:jc w:val="both"/>
        <w:rPr>
          <w:rFonts w:ascii="Garamond" w:hAnsi="Garamond"/>
        </w:rPr>
      </w:pPr>
      <w:r w:rsidRPr="0000487B">
        <w:rPr>
          <w:rFonts w:ascii="Garamond" w:hAnsi="Garamond"/>
        </w:rPr>
        <w:t xml:space="preserve">Such strategies must integrate climate-resilient housing, improved drainage systems, and equitable access to basic services (UN-Habitat, 2020). Strengthening institutional coordination and community participation is also critical for enhancing adaptive capacity in informal settlements (Mwanthi &amp; Macharia, 2022). Ultimately, a nuanced understanding of climate variability impacts in Korogocho and </w:t>
      </w:r>
      <w:r w:rsidR="00EE7853" w:rsidRPr="0000487B">
        <w:rPr>
          <w:rFonts w:ascii="Garamond" w:hAnsi="Garamond"/>
        </w:rPr>
        <w:t xml:space="preserve">Kahawa soweto </w:t>
      </w:r>
      <w:r w:rsidRPr="0000487B">
        <w:rPr>
          <w:rFonts w:ascii="Garamond" w:hAnsi="Garamond"/>
        </w:rPr>
        <w:t>is vital for advancing inclusive urban climate governance in Nairobi (UNEP, 2021).</w:t>
      </w:r>
    </w:p>
    <w:p w14:paraId="69D839B2" w14:textId="0ADC5BAD" w:rsidR="00930E9F" w:rsidRPr="0000487B" w:rsidRDefault="00991618" w:rsidP="00466DBA">
      <w:pPr>
        <w:spacing w:line="360" w:lineRule="auto"/>
        <w:jc w:val="both"/>
        <w:rPr>
          <w:rFonts w:ascii="Garamond" w:hAnsi="Garamond"/>
          <w:b/>
          <w:bCs/>
        </w:rPr>
      </w:pPr>
      <w:r w:rsidRPr="0000487B">
        <w:rPr>
          <w:rFonts w:ascii="Garamond" w:hAnsi="Garamond"/>
          <w:b/>
          <w:bCs/>
        </w:rPr>
        <w:t>1.1</w:t>
      </w:r>
      <w:r w:rsidR="00930E9F" w:rsidRPr="0000487B">
        <w:rPr>
          <w:rFonts w:ascii="Garamond" w:hAnsi="Garamond"/>
          <w:b/>
          <w:bCs/>
        </w:rPr>
        <w:t xml:space="preserve">. Study Context: Korogocho and </w:t>
      </w:r>
      <w:r w:rsidR="001E54A5" w:rsidRPr="0000487B">
        <w:rPr>
          <w:rFonts w:ascii="Garamond" w:hAnsi="Garamond"/>
          <w:b/>
          <w:bCs/>
        </w:rPr>
        <w:t>Kahawa Soweto</w:t>
      </w:r>
    </w:p>
    <w:p w14:paraId="272A4E50" w14:textId="1356E26E" w:rsidR="00930E9F" w:rsidRPr="0000487B" w:rsidRDefault="00930E9F" w:rsidP="00466DBA">
      <w:pPr>
        <w:spacing w:line="360" w:lineRule="auto"/>
        <w:jc w:val="both"/>
        <w:rPr>
          <w:rFonts w:ascii="Garamond" w:hAnsi="Garamond"/>
        </w:rPr>
      </w:pPr>
      <w:r w:rsidRPr="0000487B">
        <w:rPr>
          <w:rFonts w:ascii="Garamond" w:hAnsi="Garamond"/>
        </w:rPr>
        <w:t xml:space="preserve">Korogocho is a densely populated informal settlement located in northeastern </w:t>
      </w:r>
      <w:r w:rsidR="007E65E6" w:rsidRPr="0000487B">
        <w:rPr>
          <w:rFonts w:ascii="Garamond" w:hAnsi="Garamond"/>
        </w:rPr>
        <w:t xml:space="preserve">part of </w:t>
      </w:r>
      <w:r w:rsidRPr="0000487B">
        <w:rPr>
          <w:rFonts w:ascii="Garamond" w:hAnsi="Garamond"/>
        </w:rPr>
        <w:t>Nairobi</w:t>
      </w:r>
      <w:r w:rsidR="007E65E6" w:rsidRPr="0000487B">
        <w:rPr>
          <w:rFonts w:ascii="Garamond" w:hAnsi="Garamond"/>
        </w:rPr>
        <w:t xml:space="preserve"> city County</w:t>
      </w:r>
      <w:r w:rsidRPr="0000487B">
        <w:rPr>
          <w:rFonts w:ascii="Garamond" w:hAnsi="Garamond"/>
        </w:rPr>
        <w:t xml:space="preserve">, characterized by inadequate drainage, proximity to polluted waterways, and high poverty levels. Kahawa </w:t>
      </w:r>
      <w:r w:rsidR="001E54A5" w:rsidRPr="0000487B">
        <w:rPr>
          <w:rFonts w:ascii="Garamond" w:hAnsi="Garamond"/>
        </w:rPr>
        <w:t xml:space="preserve">Soweto Informal settlements is </w:t>
      </w:r>
      <w:r w:rsidRPr="0000487B">
        <w:rPr>
          <w:rFonts w:ascii="Garamond" w:hAnsi="Garamond"/>
        </w:rPr>
        <w:t xml:space="preserve">situated in northern </w:t>
      </w:r>
      <w:r w:rsidR="001E54A5" w:rsidRPr="0000487B">
        <w:rPr>
          <w:rFonts w:ascii="Garamond" w:hAnsi="Garamond"/>
        </w:rPr>
        <w:t xml:space="preserve">Part </w:t>
      </w:r>
      <w:r w:rsidRPr="0000487B">
        <w:rPr>
          <w:rFonts w:ascii="Garamond" w:hAnsi="Garamond"/>
        </w:rPr>
        <w:t>Nairobi</w:t>
      </w:r>
      <w:r w:rsidR="001E54A5" w:rsidRPr="0000487B">
        <w:rPr>
          <w:rFonts w:ascii="Garamond" w:hAnsi="Garamond"/>
        </w:rPr>
        <w:t xml:space="preserve"> City County</w:t>
      </w:r>
      <w:r w:rsidRPr="0000487B">
        <w:rPr>
          <w:rFonts w:ascii="Garamond" w:hAnsi="Garamond"/>
        </w:rPr>
        <w:t>, has experienced rapid informal densification, limited public infrastructure, and increased pressure on water resources. Although both settlements face climate risks, their exposure pathways and vulnerability profiles differ, making comparative analysis essential.</w:t>
      </w:r>
    </w:p>
    <w:p w14:paraId="1D0B1514" w14:textId="4DD7A30D" w:rsidR="00930E9F" w:rsidRPr="0000487B" w:rsidRDefault="00991618" w:rsidP="00466DBA">
      <w:pPr>
        <w:spacing w:line="360" w:lineRule="auto"/>
        <w:jc w:val="both"/>
        <w:rPr>
          <w:rFonts w:ascii="Garamond" w:hAnsi="Garamond"/>
          <w:b/>
          <w:bCs/>
        </w:rPr>
      </w:pPr>
      <w:r w:rsidRPr="0000487B">
        <w:rPr>
          <w:rFonts w:ascii="Garamond" w:hAnsi="Garamond"/>
          <w:b/>
          <w:bCs/>
        </w:rPr>
        <w:t>1.2. Comparative</w:t>
      </w:r>
      <w:r w:rsidR="00930E9F" w:rsidRPr="0000487B">
        <w:rPr>
          <w:rFonts w:ascii="Garamond" w:hAnsi="Garamond"/>
          <w:b/>
          <w:bCs/>
        </w:rPr>
        <w:t xml:space="preserve"> Analysis of Climate Variability Impacts: Korogocho vs. </w:t>
      </w:r>
      <w:r w:rsidR="001E54A5" w:rsidRPr="0000487B">
        <w:rPr>
          <w:rFonts w:ascii="Garamond" w:hAnsi="Garamond"/>
          <w:b/>
          <w:bCs/>
        </w:rPr>
        <w:t>Kahawa Soweto</w:t>
      </w:r>
    </w:p>
    <w:p w14:paraId="4D3454B7" w14:textId="5ABAEB8E" w:rsidR="00930E9F" w:rsidRPr="0000487B" w:rsidRDefault="00930E9F" w:rsidP="00466DBA">
      <w:pPr>
        <w:spacing w:line="360" w:lineRule="auto"/>
        <w:jc w:val="both"/>
        <w:rPr>
          <w:rFonts w:ascii="Garamond" w:hAnsi="Garamond"/>
        </w:rPr>
      </w:pPr>
      <w:r w:rsidRPr="0000487B">
        <w:rPr>
          <w:rFonts w:ascii="Garamond" w:hAnsi="Garamond"/>
        </w:rPr>
        <w:t xml:space="preserve">The study findings reveal that Korogocho and </w:t>
      </w:r>
      <w:r w:rsidR="00EE7853" w:rsidRPr="0000487B">
        <w:rPr>
          <w:rFonts w:ascii="Garamond" w:hAnsi="Garamond"/>
        </w:rPr>
        <w:t xml:space="preserve">Kahawa soweto </w:t>
      </w:r>
      <w:r w:rsidRPr="0000487B">
        <w:rPr>
          <w:rFonts w:ascii="Garamond" w:hAnsi="Garamond"/>
        </w:rPr>
        <w:t xml:space="preserve">informal settlements experience distinct but interrelated vulnerabilities to climate variability. Korogocho, being a high-density settlement with older infrastructure and limited drainage, exhibits higher exposure to flooding and waterlogging, intensifying risks of waterborne diseases and property damage (Owuor et al., 2020; Simiyu &amp; Mberu, 2024). In contrast, Kahawa </w:t>
      </w:r>
      <w:r w:rsidR="001E54A5" w:rsidRPr="0000487B">
        <w:rPr>
          <w:rFonts w:ascii="Garamond" w:hAnsi="Garamond"/>
        </w:rPr>
        <w:t>Soweto informal settlement</w:t>
      </w:r>
      <w:r w:rsidRPr="0000487B">
        <w:rPr>
          <w:rFonts w:ascii="Garamond" w:hAnsi="Garamond"/>
        </w:rPr>
        <w:t xml:space="preserve">, although less densely populated, is more prone to urban heat stress and prolonged dry spells, affecting livelihoods reliant on informal agriculture and small-scale enterprises (Ngugi et al., 2020; Mati et al., 2016). </w:t>
      </w:r>
    </w:p>
    <w:p w14:paraId="6BA2D003" w14:textId="046EF593" w:rsidR="00930E9F" w:rsidRPr="0000487B" w:rsidRDefault="00930E9F" w:rsidP="00466DBA">
      <w:pPr>
        <w:spacing w:line="360" w:lineRule="auto"/>
        <w:jc w:val="both"/>
        <w:rPr>
          <w:rFonts w:ascii="Garamond" w:hAnsi="Garamond"/>
        </w:rPr>
      </w:pPr>
      <w:r w:rsidRPr="0000487B">
        <w:rPr>
          <w:rFonts w:ascii="Garamond" w:hAnsi="Garamond"/>
        </w:rPr>
        <w:t xml:space="preserve">The comparative analysis indicates that the interplay of socio-economic factors, settlement density, and infrastructure quality mediates residents’ adaptive capacity, explaining why identical climate events have differential impacts across the two settlements (Ochieng et al., 2021; UNEP, 2021). These results underscore that tailored climate adaptation strategies are essential, with Korogocho requiring flood mitigation and emergency preparedness interventions, while </w:t>
      </w:r>
      <w:r w:rsidR="00EE7853" w:rsidRPr="0000487B">
        <w:rPr>
          <w:rFonts w:ascii="Garamond" w:hAnsi="Garamond"/>
        </w:rPr>
        <w:t xml:space="preserve">Kahawa soweto </w:t>
      </w:r>
      <w:r w:rsidRPr="0000487B">
        <w:rPr>
          <w:rFonts w:ascii="Garamond" w:hAnsi="Garamond"/>
        </w:rPr>
        <w:t>needs heat-resilient infrastructure and water conservation measures.</w:t>
      </w:r>
    </w:p>
    <w:p w14:paraId="30F01658" w14:textId="77777777" w:rsidR="00E231E2" w:rsidRPr="0000487B" w:rsidRDefault="00E231E2" w:rsidP="00466DBA">
      <w:pPr>
        <w:spacing w:line="360" w:lineRule="auto"/>
        <w:jc w:val="both"/>
        <w:rPr>
          <w:rFonts w:ascii="Garamond" w:hAnsi="Garamond"/>
          <w:b/>
          <w:bCs/>
        </w:rPr>
      </w:pPr>
    </w:p>
    <w:p w14:paraId="68547AC2" w14:textId="77777777" w:rsidR="00E231E2" w:rsidRPr="0000487B" w:rsidRDefault="00E231E2" w:rsidP="00466DBA">
      <w:pPr>
        <w:spacing w:line="360" w:lineRule="auto"/>
        <w:jc w:val="both"/>
        <w:rPr>
          <w:rFonts w:ascii="Garamond" w:hAnsi="Garamond"/>
          <w:b/>
          <w:bCs/>
        </w:rPr>
      </w:pPr>
    </w:p>
    <w:p w14:paraId="52196119" w14:textId="10B92C9E" w:rsidR="00930E9F" w:rsidRPr="0000487B" w:rsidRDefault="00991618" w:rsidP="00466DBA">
      <w:pPr>
        <w:spacing w:line="360" w:lineRule="auto"/>
        <w:jc w:val="both"/>
        <w:rPr>
          <w:rFonts w:ascii="Garamond" w:hAnsi="Garamond"/>
          <w:b/>
          <w:bCs/>
        </w:rPr>
      </w:pPr>
      <w:r w:rsidRPr="0000487B">
        <w:rPr>
          <w:rFonts w:ascii="Garamond" w:hAnsi="Garamond"/>
          <w:b/>
          <w:bCs/>
        </w:rPr>
        <w:t>1.3. Conceptual</w:t>
      </w:r>
      <w:r w:rsidR="00930E9F" w:rsidRPr="0000487B">
        <w:rPr>
          <w:rFonts w:ascii="Garamond" w:hAnsi="Garamond"/>
          <w:b/>
          <w:bCs/>
        </w:rPr>
        <w:t xml:space="preserve"> Framework / Vulnerability Pathway</w:t>
      </w:r>
    </w:p>
    <w:p w14:paraId="772F3D77" w14:textId="77777777" w:rsidR="00930E9F" w:rsidRPr="0000487B" w:rsidRDefault="00930E9F" w:rsidP="00466DBA">
      <w:pPr>
        <w:spacing w:line="360" w:lineRule="auto"/>
        <w:jc w:val="both"/>
        <w:rPr>
          <w:rFonts w:ascii="Garamond" w:hAnsi="Garamond"/>
          <w:b/>
          <w:bCs/>
        </w:rPr>
      </w:pPr>
      <w:r w:rsidRPr="0000487B">
        <w:rPr>
          <w:rFonts w:ascii="Garamond" w:hAnsi="Garamond"/>
          <w:b/>
          <w:bCs/>
          <w:noProof/>
        </w:rPr>
        <w:drawing>
          <wp:inline distT="0" distB="0" distL="0" distR="0" wp14:anchorId="5887123F" wp14:editId="50D3DE8A">
            <wp:extent cx="5943600" cy="3282950"/>
            <wp:effectExtent l="19050" t="19050" r="19050" b="12700"/>
            <wp:docPr id="6278895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7889589" name=""/>
                    <pic:cNvPicPr/>
                  </pic:nvPicPr>
                  <pic:blipFill>
                    <a:blip r:embed="rId8"/>
                    <a:stretch>
                      <a:fillRect/>
                    </a:stretch>
                  </pic:blipFill>
                  <pic:spPr>
                    <a:xfrm>
                      <a:off x="0" y="0"/>
                      <a:ext cx="5943600" cy="3282950"/>
                    </a:xfrm>
                    <a:prstGeom prst="rect">
                      <a:avLst/>
                    </a:prstGeom>
                    <a:ln w="19050">
                      <a:solidFill>
                        <a:schemeClr val="tx1"/>
                      </a:solidFill>
                    </a:ln>
                  </pic:spPr>
                </pic:pic>
              </a:graphicData>
            </a:graphic>
          </wp:inline>
        </w:drawing>
      </w:r>
    </w:p>
    <w:p w14:paraId="6A55F836" w14:textId="229C0A06" w:rsidR="00930E9F" w:rsidRPr="0000487B" w:rsidRDefault="00930E9F" w:rsidP="00466DBA">
      <w:pPr>
        <w:spacing w:line="360" w:lineRule="auto"/>
        <w:jc w:val="both"/>
        <w:rPr>
          <w:rFonts w:ascii="Garamond" w:hAnsi="Garamond"/>
        </w:rPr>
      </w:pPr>
      <w:r w:rsidRPr="0000487B">
        <w:rPr>
          <w:rFonts w:ascii="Garamond" w:hAnsi="Garamond"/>
          <w:b/>
          <w:bCs/>
        </w:rPr>
        <w:t xml:space="preserve">Figure </w:t>
      </w:r>
      <w:r w:rsidR="002C4203" w:rsidRPr="0000487B">
        <w:rPr>
          <w:rFonts w:ascii="Garamond" w:hAnsi="Garamond"/>
          <w:b/>
          <w:bCs/>
        </w:rPr>
        <w:t>1</w:t>
      </w:r>
      <w:r w:rsidR="00FE5ACF" w:rsidRPr="0000487B">
        <w:rPr>
          <w:rFonts w:ascii="Garamond" w:hAnsi="Garamond"/>
          <w:b/>
          <w:bCs/>
        </w:rPr>
        <w:t>.</w:t>
      </w:r>
      <w:r w:rsidRPr="0000487B">
        <w:rPr>
          <w:rFonts w:ascii="Garamond" w:hAnsi="Garamond"/>
          <w:b/>
          <w:bCs/>
        </w:rPr>
        <w:t>:</w:t>
      </w:r>
      <w:r w:rsidRPr="0000487B">
        <w:rPr>
          <w:rFonts w:ascii="Garamond" w:hAnsi="Garamond"/>
        </w:rPr>
        <w:t xml:space="preserve"> Vulnerability pathways of Korogocho and Kahawa soweto </w:t>
      </w:r>
      <w:r w:rsidR="001E54A5" w:rsidRPr="0000487B">
        <w:rPr>
          <w:rFonts w:ascii="Garamond" w:hAnsi="Garamond"/>
        </w:rPr>
        <w:t>informal settlements</w:t>
      </w:r>
      <w:r w:rsidRPr="0000487B">
        <w:rPr>
          <w:rFonts w:ascii="Garamond" w:hAnsi="Garamond"/>
        </w:rPr>
        <w:t xml:space="preserve"> </w:t>
      </w:r>
    </w:p>
    <w:p w14:paraId="7F2024BA" w14:textId="77777777" w:rsidR="00930E9F" w:rsidRPr="0000487B" w:rsidRDefault="00930E9F" w:rsidP="00466DBA">
      <w:pPr>
        <w:spacing w:line="360" w:lineRule="auto"/>
        <w:jc w:val="both"/>
        <w:rPr>
          <w:rFonts w:ascii="Garamond" w:hAnsi="Garamond"/>
        </w:rPr>
      </w:pPr>
      <w:r w:rsidRPr="0000487B">
        <w:rPr>
          <w:rFonts w:ascii="Garamond" w:hAnsi="Garamond"/>
          <w:b/>
          <w:bCs/>
        </w:rPr>
        <w:t>Climate Variability → Exposure → Sensitivity → Adaptive Capacity → Outcomes</w:t>
      </w:r>
    </w:p>
    <w:p w14:paraId="0F2DF01B" w14:textId="77777777" w:rsidR="00930E9F" w:rsidRPr="0000487B" w:rsidRDefault="00930E9F" w:rsidP="00466DBA">
      <w:pPr>
        <w:spacing w:line="360" w:lineRule="auto"/>
        <w:jc w:val="both"/>
        <w:rPr>
          <w:rFonts w:ascii="Garamond" w:hAnsi="Garamond"/>
        </w:rPr>
      </w:pPr>
      <w:r w:rsidRPr="0000487B">
        <w:rPr>
          <w:rFonts w:ascii="Garamond" w:hAnsi="Garamond"/>
          <w:b/>
          <w:bCs/>
        </w:rPr>
        <w:t>Flow:</w:t>
      </w:r>
    </w:p>
    <w:p w14:paraId="7060EB16" w14:textId="4F0856C1" w:rsidR="00930E9F" w:rsidRPr="0000487B" w:rsidRDefault="00930E9F" w:rsidP="00466DBA">
      <w:pPr>
        <w:spacing w:line="360" w:lineRule="auto"/>
        <w:jc w:val="both"/>
        <w:rPr>
          <w:rFonts w:ascii="Garamond" w:hAnsi="Garamond"/>
        </w:rPr>
      </w:pPr>
      <w:r w:rsidRPr="0000487B">
        <w:rPr>
          <w:rFonts w:ascii="Garamond" w:hAnsi="Garamond"/>
          <w:b/>
          <w:bCs/>
        </w:rPr>
        <w:t>Climate Variability including floods</w:t>
      </w:r>
      <w:r w:rsidRPr="0000487B">
        <w:rPr>
          <w:rFonts w:ascii="Garamond" w:hAnsi="Garamond"/>
        </w:rPr>
        <w:t xml:space="preserve">, heavy rainfall, prolonged drought, heatwaves (Korogocho: floods; </w:t>
      </w:r>
      <w:r w:rsidR="001E54A5" w:rsidRPr="0000487B">
        <w:rPr>
          <w:rFonts w:ascii="Garamond" w:hAnsi="Garamond"/>
        </w:rPr>
        <w:t>Kahawa Soweto</w:t>
      </w:r>
      <w:r w:rsidRPr="0000487B">
        <w:rPr>
          <w:rFonts w:ascii="Garamond" w:hAnsi="Garamond"/>
        </w:rPr>
        <w:t>: heat/dry spells)</w:t>
      </w:r>
    </w:p>
    <w:p w14:paraId="51279C6F" w14:textId="5F9930A8" w:rsidR="00930E9F" w:rsidRPr="0000487B" w:rsidRDefault="00930E9F" w:rsidP="00466DBA">
      <w:pPr>
        <w:tabs>
          <w:tab w:val="num" w:pos="1440"/>
        </w:tabs>
        <w:spacing w:line="360" w:lineRule="auto"/>
        <w:jc w:val="both"/>
        <w:rPr>
          <w:rFonts w:ascii="Garamond" w:hAnsi="Garamond"/>
        </w:rPr>
      </w:pPr>
      <w:r w:rsidRPr="0000487B">
        <w:rPr>
          <w:rFonts w:ascii="Garamond" w:hAnsi="Garamond"/>
          <w:b/>
          <w:bCs/>
        </w:rPr>
        <w:t xml:space="preserve">Exposure:  </w:t>
      </w:r>
      <w:r w:rsidRPr="0000487B">
        <w:rPr>
          <w:rFonts w:ascii="Garamond" w:hAnsi="Garamond"/>
        </w:rPr>
        <w:t>Settlement density, housing quality, drainage, location (Korogocho</w:t>
      </w:r>
      <w:r w:rsidR="00EE7853" w:rsidRPr="0000487B">
        <w:rPr>
          <w:rFonts w:ascii="Garamond" w:hAnsi="Garamond"/>
        </w:rPr>
        <w:t xml:space="preserve"> has</w:t>
      </w:r>
      <w:r w:rsidRPr="0000487B">
        <w:rPr>
          <w:rFonts w:ascii="Garamond" w:hAnsi="Garamond"/>
        </w:rPr>
        <w:t xml:space="preserve"> higher flood exposure, </w:t>
      </w:r>
      <w:r w:rsidR="00EE7853" w:rsidRPr="0000487B">
        <w:rPr>
          <w:rFonts w:ascii="Garamond" w:hAnsi="Garamond"/>
        </w:rPr>
        <w:t xml:space="preserve">Kahawa soweto </w:t>
      </w:r>
      <w:r w:rsidRPr="0000487B">
        <w:rPr>
          <w:rFonts w:ascii="Garamond" w:hAnsi="Garamond"/>
        </w:rPr>
        <w:t>higher heat exposure)</w:t>
      </w:r>
    </w:p>
    <w:p w14:paraId="77A92876" w14:textId="77777777" w:rsidR="00930E9F" w:rsidRPr="0000487B" w:rsidRDefault="00930E9F" w:rsidP="00466DBA">
      <w:pPr>
        <w:tabs>
          <w:tab w:val="num" w:pos="1440"/>
        </w:tabs>
        <w:spacing w:line="360" w:lineRule="auto"/>
        <w:jc w:val="both"/>
        <w:rPr>
          <w:rFonts w:ascii="Garamond" w:hAnsi="Garamond"/>
        </w:rPr>
      </w:pPr>
      <w:r w:rsidRPr="0000487B">
        <w:rPr>
          <w:rFonts w:ascii="Garamond" w:hAnsi="Garamond"/>
          <w:b/>
          <w:bCs/>
        </w:rPr>
        <w:t xml:space="preserve">Sensitivity: </w:t>
      </w:r>
      <w:r w:rsidRPr="0000487B">
        <w:rPr>
          <w:rFonts w:ascii="Garamond" w:hAnsi="Garamond"/>
        </w:rPr>
        <w:t>Household socio-economic status, dependence on informal livelihoods, health status</w:t>
      </w:r>
    </w:p>
    <w:p w14:paraId="2F82246A" w14:textId="77777777" w:rsidR="00930E9F" w:rsidRPr="0000487B" w:rsidRDefault="00930E9F" w:rsidP="00466DBA">
      <w:pPr>
        <w:tabs>
          <w:tab w:val="num" w:pos="1440"/>
        </w:tabs>
        <w:spacing w:line="360" w:lineRule="auto"/>
        <w:jc w:val="both"/>
        <w:rPr>
          <w:rFonts w:ascii="Garamond" w:hAnsi="Garamond"/>
        </w:rPr>
      </w:pPr>
      <w:r w:rsidRPr="0000487B">
        <w:rPr>
          <w:rFonts w:ascii="Garamond" w:hAnsi="Garamond"/>
          <w:b/>
          <w:bCs/>
        </w:rPr>
        <w:t xml:space="preserve">Adaptive Capacity: </w:t>
      </w:r>
      <w:r w:rsidRPr="0000487B">
        <w:rPr>
          <w:rFonts w:ascii="Garamond" w:hAnsi="Garamond"/>
        </w:rPr>
        <w:t>Access to early warning, social networks, coping strategies, infrastructure resilience</w:t>
      </w:r>
    </w:p>
    <w:p w14:paraId="2EBBBF90" w14:textId="77777777" w:rsidR="00930E9F" w:rsidRPr="0000487B" w:rsidRDefault="00930E9F" w:rsidP="00466DBA">
      <w:pPr>
        <w:tabs>
          <w:tab w:val="num" w:pos="1440"/>
        </w:tabs>
        <w:spacing w:line="360" w:lineRule="auto"/>
        <w:jc w:val="both"/>
        <w:rPr>
          <w:rFonts w:ascii="Garamond" w:hAnsi="Garamond"/>
        </w:rPr>
      </w:pPr>
      <w:r w:rsidRPr="0000487B">
        <w:rPr>
          <w:rFonts w:ascii="Garamond" w:hAnsi="Garamond"/>
          <w:b/>
          <w:bCs/>
        </w:rPr>
        <w:t xml:space="preserve">Outcomes / Impacts:  </w:t>
      </w:r>
      <w:r w:rsidRPr="0000487B">
        <w:rPr>
          <w:rFonts w:ascii="Garamond" w:hAnsi="Garamond"/>
        </w:rPr>
        <w:t>Health risks (disease, heat stress), Economic losses (property, livelihoods) and Food and water insecurity</w:t>
      </w:r>
    </w:p>
    <w:p w14:paraId="73B0D4F8" w14:textId="12EC85DC" w:rsidR="00930E9F" w:rsidRPr="0000487B" w:rsidRDefault="00930E9F" w:rsidP="00466DBA">
      <w:pPr>
        <w:spacing w:line="360" w:lineRule="auto"/>
        <w:jc w:val="both"/>
        <w:rPr>
          <w:rFonts w:ascii="Garamond" w:hAnsi="Garamond"/>
        </w:rPr>
      </w:pPr>
      <w:r w:rsidRPr="0000487B">
        <w:rPr>
          <w:rFonts w:ascii="Garamond" w:hAnsi="Garamond"/>
        </w:rPr>
        <w:lastRenderedPageBreak/>
        <w:t xml:space="preserve">This as a </w:t>
      </w:r>
      <w:r w:rsidRPr="0000487B">
        <w:rPr>
          <w:rFonts w:ascii="Garamond" w:hAnsi="Garamond"/>
          <w:b/>
          <w:bCs/>
        </w:rPr>
        <w:t>two-track vulnerability pathway</w:t>
      </w:r>
      <w:r w:rsidRPr="0000487B">
        <w:rPr>
          <w:rFonts w:ascii="Garamond" w:hAnsi="Garamond"/>
        </w:rPr>
        <w:t xml:space="preserve">, showing Korogocho on the left (flood-prone) and </w:t>
      </w:r>
      <w:r w:rsidR="00EE7853" w:rsidRPr="0000487B">
        <w:rPr>
          <w:rFonts w:ascii="Garamond" w:hAnsi="Garamond"/>
        </w:rPr>
        <w:t xml:space="preserve">Kahawa soweto </w:t>
      </w:r>
      <w:r w:rsidRPr="0000487B">
        <w:rPr>
          <w:rFonts w:ascii="Garamond" w:hAnsi="Garamond"/>
        </w:rPr>
        <w:t>on the right (heat/drought-prone), converging on shared outcomes such as health and livelihood impacts.</w:t>
      </w:r>
    </w:p>
    <w:p w14:paraId="29BD672B" w14:textId="720B308C" w:rsidR="00CB574C" w:rsidRPr="0000487B" w:rsidRDefault="00CB574C" w:rsidP="00C871D2">
      <w:pPr>
        <w:rPr>
          <w:rFonts w:ascii="Garamond" w:hAnsi="Garamond"/>
          <w:b/>
          <w:bCs/>
        </w:rPr>
      </w:pPr>
      <w:bookmarkStart w:id="1" w:name="_Hlk223514261"/>
      <w:r w:rsidRPr="0000487B">
        <w:rPr>
          <w:rFonts w:ascii="Garamond" w:hAnsi="Garamond"/>
          <w:b/>
          <w:bCs/>
        </w:rPr>
        <w:t>Table 1 Two-Track Climate Vulnerability Pathways in Korogocho (Flood-Prone) and Kahawa Soweto (Heat/Drought-Prone), 2000–2024</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078"/>
        <w:gridCol w:w="3542"/>
        <w:gridCol w:w="3740"/>
      </w:tblGrid>
      <w:tr w:rsidR="0000487B" w:rsidRPr="0000487B" w14:paraId="1FE3E1A1" w14:textId="77777777" w:rsidTr="00CB574C">
        <w:trPr>
          <w:tblHeader/>
          <w:tblCellSpacing w:w="15" w:type="dxa"/>
        </w:trPr>
        <w:tc>
          <w:tcPr>
            <w:tcW w:w="0" w:type="auto"/>
            <w:tcBorders>
              <w:top w:val="single" w:sz="4" w:space="0" w:color="auto"/>
              <w:bottom w:val="single" w:sz="4" w:space="0" w:color="auto"/>
            </w:tcBorders>
            <w:vAlign w:val="center"/>
            <w:hideMark/>
          </w:tcPr>
          <w:p w14:paraId="622BAE12" w14:textId="77777777" w:rsidR="00CB574C" w:rsidRPr="0000487B" w:rsidRDefault="00CB574C" w:rsidP="00C871D2">
            <w:pPr>
              <w:spacing w:after="0"/>
              <w:rPr>
                <w:rFonts w:ascii="Garamond" w:hAnsi="Garamond"/>
                <w:b/>
                <w:bCs/>
              </w:rPr>
            </w:pPr>
            <w:r w:rsidRPr="0000487B">
              <w:rPr>
                <w:rFonts w:ascii="Garamond" w:hAnsi="Garamond"/>
                <w:b/>
                <w:bCs/>
              </w:rPr>
              <w:t>Vulnerability Stage</w:t>
            </w:r>
          </w:p>
        </w:tc>
        <w:tc>
          <w:tcPr>
            <w:tcW w:w="0" w:type="auto"/>
            <w:tcBorders>
              <w:top w:val="single" w:sz="4" w:space="0" w:color="auto"/>
              <w:bottom w:val="single" w:sz="4" w:space="0" w:color="auto"/>
            </w:tcBorders>
            <w:vAlign w:val="center"/>
            <w:hideMark/>
          </w:tcPr>
          <w:p w14:paraId="40C1C407" w14:textId="77777777" w:rsidR="00CB574C" w:rsidRPr="0000487B" w:rsidRDefault="00CB574C" w:rsidP="00C871D2">
            <w:pPr>
              <w:spacing w:after="0"/>
              <w:rPr>
                <w:rFonts w:ascii="Garamond" w:hAnsi="Garamond"/>
                <w:b/>
                <w:bCs/>
              </w:rPr>
            </w:pPr>
            <w:r w:rsidRPr="0000487B">
              <w:rPr>
                <w:rFonts w:ascii="Garamond" w:hAnsi="Garamond"/>
                <w:b/>
                <w:bCs/>
              </w:rPr>
              <w:t>Korogocho (Flood-Prone Pathway)</w:t>
            </w:r>
          </w:p>
        </w:tc>
        <w:tc>
          <w:tcPr>
            <w:tcW w:w="0" w:type="auto"/>
            <w:tcBorders>
              <w:top w:val="single" w:sz="4" w:space="0" w:color="auto"/>
              <w:bottom w:val="single" w:sz="4" w:space="0" w:color="auto"/>
            </w:tcBorders>
            <w:vAlign w:val="center"/>
            <w:hideMark/>
          </w:tcPr>
          <w:p w14:paraId="648A1210" w14:textId="77777777" w:rsidR="00CB574C" w:rsidRPr="0000487B" w:rsidRDefault="00CB574C" w:rsidP="00C871D2">
            <w:pPr>
              <w:spacing w:after="0"/>
              <w:rPr>
                <w:rFonts w:ascii="Garamond" w:hAnsi="Garamond"/>
                <w:b/>
                <w:bCs/>
              </w:rPr>
            </w:pPr>
            <w:r w:rsidRPr="0000487B">
              <w:rPr>
                <w:rFonts w:ascii="Garamond" w:hAnsi="Garamond"/>
                <w:b/>
                <w:bCs/>
              </w:rPr>
              <w:t>Kahawa Soweto (Heat/Drought-Prone Pathway)</w:t>
            </w:r>
          </w:p>
        </w:tc>
      </w:tr>
      <w:tr w:rsidR="0000487B" w:rsidRPr="0000487B" w14:paraId="48DB571E" w14:textId="77777777" w:rsidTr="00CB574C">
        <w:trPr>
          <w:tblCellSpacing w:w="15" w:type="dxa"/>
        </w:trPr>
        <w:tc>
          <w:tcPr>
            <w:tcW w:w="0" w:type="auto"/>
            <w:vAlign w:val="center"/>
            <w:hideMark/>
          </w:tcPr>
          <w:p w14:paraId="0453B3F6" w14:textId="77777777" w:rsidR="00CB574C" w:rsidRPr="0000487B" w:rsidRDefault="00CB574C" w:rsidP="00C871D2">
            <w:pPr>
              <w:spacing w:after="0"/>
              <w:rPr>
                <w:rFonts w:ascii="Garamond" w:hAnsi="Garamond"/>
              </w:rPr>
            </w:pPr>
            <w:r w:rsidRPr="0000487B">
              <w:rPr>
                <w:rFonts w:ascii="Garamond" w:hAnsi="Garamond"/>
              </w:rPr>
              <w:t>Climate Driver</w:t>
            </w:r>
          </w:p>
        </w:tc>
        <w:tc>
          <w:tcPr>
            <w:tcW w:w="0" w:type="auto"/>
            <w:vAlign w:val="center"/>
            <w:hideMark/>
          </w:tcPr>
          <w:p w14:paraId="1A2B8902" w14:textId="77777777" w:rsidR="00CB574C" w:rsidRPr="0000487B" w:rsidRDefault="00CB574C" w:rsidP="00C871D2">
            <w:pPr>
              <w:spacing w:after="0"/>
              <w:rPr>
                <w:rFonts w:ascii="Garamond" w:hAnsi="Garamond"/>
              </w:rPr>
            </w:pPr>
            <w:r w:rsidRPr="0000487B">
              <w:rPr>
                <w:rFonts w:ascii="Garamond" w:hAnsi="Garamond"/>
              </w:rPr>
              <w:t>Increased intensity and frequency of heavy rainfall events</w:t>
            </w:r>
          </w:p>
        </w:tc>
        <w:tc>
          <w:tcPr>
            <w:tcW w:w="0" w:type="auto"/>
            <w:vAlign w:val="center"/>
            <w:hideMark/>
          </w:tcPr>
          <w:p w14:paraId="1333E4C0" w14:textId="77777777" w:rsidR="00CB574C" w:rsidRPr="0000487B" w:rsidRDefault="00CB574C" w:rsidP="00C871D2">
            <w:pPr>
              <w:spacing w:after="0"/>
              <w:rPr>
                <w:rFonts w:ascii="Garamond" w:hAnsi="Garamond"/>
              </w:rPr>
            </w:pPr>
            <w:r w:rsidRPr="0000487B">
              <w:rPr>
                <w:rFonts w:ascii="Garamond" w:hAnsi="Garamond"/>
              </w:rPr>
              <w:t>Rising mean temperatures and increased rainfall variability</w:t>
            </w:r>
          </w:p>
        </w:tc>
      </w:tr>
      <w:tr w:rsidR="0000487B" w:rsidRPr="0000487B" w14:paraId="769FBDC1" w14:textId="77777777" w:rsidTr="00CB574C">
        <w:trPr>
          <w:tblCellSpacing w:w="15" w:type="dxa"/>
        </w:trPr>
        <w:tc>
          <w:tcPr>
            <w:tcW w:w="0" w:type="auto"/>
            <w:vAlign w:val="center"/>
            <w:hideMark/>
          </w:tcPr>
          <w:p w14:paraId="21A9EAAC" w14:textId="77777777" w:rsidR="00CB574C" w:rsidRPr="0000487B" w:rsidRDefault="00CB574C" w:rsidP="00C871D2">
            <w:pPr>
              <w:spacing w:after="0"/>
              <w:rPr>
                <w:rFonts w:ascii="Garamond" w:hAnsi="Garamond"/>
              </w:rPr>
            </w:pPr>
            <w:r w:rsidRPr="0000487B">
              <w:rPr>
                <w:rFonts w:ascii="Garamond" w:hAnsi="Garamond"/>
              </w:rPr>
              <w:t>Primary Climate Hazard</w:t>
            </w:r>
          </w:p>
        </w:tc>
        <w:tc>
          <w:tcPr>
            <w:tcW w:w="0" w:type="auto"/>
            <w:vAlign w:val="center"/>
            <w:hideMark/>
          </w:tcPr>
          <w:p w14:paraId="0E9C9AFC" w14:textId="77777777" w:rsidR="00CB574C" w:rsidRPr="0000487B" w:rsidRDefault="00CB574C" w:rsidP="00C871D2">
            <w:pPr>
              <w:spacing w:after="0"/>
              <w:rPr>
                <w:rFonts w:ascii="Garamond" w:hAnsi="Garamond"/>
              </w:rPr>
            </w:pPr>
            <w:r w:rsidRPr="0000487B">
              <w:rPr>
                <w:rFonts w:ascii="Garamond" w:hAnsi="Garamond"/>
              </w:rPr>
              <w:t>River overflow, flash floods, and surface runoff accumulation</w:t>
            </w:r>
          </w:p>
        </w:tc>
        <w:tc>
          <w:tcPr>
            <w:tcW w:w="0" w:type="auto"/>
            <w:vAlign w:val="center"/>
            <w:hideMark/>
          </w:tcPr>
          <w:p w14:paraId="28F26880" w14:textId="77777777" w:rsidR="00CB574C" w:rsidRPr="0000487B" w:rsidRDefault="00CB574C" w:rsidP="00C871D2">
            <w:pPr>
              <w:spacing w:after="0"/>
              <w:rPr>
                <w:rFonts w:ascii="Garamond" w:hAnsi="Garamond"/>
              </w:rPr>
            </w:pPr>
            <w:r w:rsidRPr="0000487B">
              <w:rPr>
                <w:rFonts w:ascii="Garamond" w:hAnsi="Garamond"/>
              </w:rPr>
              <w:t>Heatwaves and prolonged dry spells</w:t>
            </w:r>
          </w:p>
        </w:tc>
      </w:tr>
      <w:tr w:rsidR="0000487B" w:rsidRPr="0000487B" w14:paraId="14BC9700" w14:textId="77777777" w:rsidTr="00CB574C">
        <w:trPr>
          <w:tblCellSpacing w:w="15" w:type="dxa"/>
        </w:trPr>
        <w:tc>
          <w:tcPr>
            <w:tcW w:w="0" w:type="auto"/>
            <w:vAlign w:val="center"/>
            <w:hideMark/>
          </w:tcPr>
          <w:p w14:paraId="693F8B59" w14:textId="77777777" w:rsidR="00CB574C" w:rsidRPr="0000487B" w:rsidRDefault="00CB574C" w:rsidP="00C871D2">
            <w:pPr>
              <w:spacing w:after="0"/>
              <w:rPr>
                <w:rFonts w:ascii="Garamond" w:hAnsi="Garamond"/>
              </w:rPr>
            </w:pPr>
            <w:r w:rsidRPr="0000487B">
              <w:rPr>
                <w:rFonts w:ascii="Garamond" w:hAnsi="Garamond"/>
              </w:rPr>
              <w:t>Immediate Biophysical Impact</w:t>
            </w:r>
          </w:p>
        </w:tc>
        <w:tc>
          <w:tcPr>
            <w:tcW w:w="0" w:type="auto"/>
            <w:vAlign w:val="center"/>
            <w:hideMark/>
          </w:tcPr>
          <w:p w14:paraId="45D1C773" w14:textId="77777777" w:rsidR="00CB574C" w:rsidRPr="0000487B" w:rsidRDefault="00CB574C" w:rsidP="00C871D2">
            <w:pPr>
              <w:spacing w:after="0"/>
              <w:rPr>
                <w:rFonts w:ascii="Garamond" w:hAnsi="Garamond"/>
              </w:rPr>
            </w:pPr>
            <w:r w:rsidRPr="0000487B">
              <w:rPr>
                <w:rFonts w:ascii="Garamond" w:hAnsi="Garamond"/>
              </w:rPr>
              <w:t>Inundation of residential areas and transport networks</w:t>
            </w:r>
          </w:p>
        </w:tc>
        <w:tc>
          <w:tcPr>
            <w:tcW w:w="0" w:type="auto"/>
            <w:vAlign w:val="center"/>
            <w:hideMark/>
          </w:tcPr>
          <w:p w14:paraId="1BDD52C2" w14:textId="77777777" w:rsidR="00CB574C" w:rsidRPr="0000487B" w:rsidRDefault="00CB574C" w:rsidP="00C871D2">
            <w:pPr>
              <w:spacing w:after="0"/>
              <w:rPr>
                <w:rFonts w:ascii="Garamond" w:hAnsi="Garamond"/>
              </w:rPr>
            </w:pPr>
            <w:r w:rsidRPr="0000487B">
              <w:rPr>
                <w:rFonts w:ascii="Garamond" w:hAnsi="Garamond"/>
              </w:rPr>
              <w:t>Decline in soil moisture and drying of local water sources</w:t>
            </w:r>
          </w:p>
        </w:tc>
      </w:tr>
      <w:tr w:rsidR="0000487B" w:rsidRPr="0000487B" w14:paraId="33C015BD" w14:textId="77777777" w:rsidTr="00CB574C">
        <w:trPr>
          <w:tblCellSpacing w:w="15" w:type="dxa"/>
        </w:trPr>
        <w:tc>
          <w:tcPr>
            <w:tcW w:w="0" w:type="auto"/>
            <w:vAlign w:val="center"/>
            <w:hideMark/>
          </w:tcPr>
          <w:p w14:paraId="21F98928" w14:textId="77777777" w:rsidR="00CB574C" w:rsidRPr="0000487B" w:rsidRDefault="00CB574C" w:rsidP="00C871D2">
            <w:pPr>
              <w:spacing w:after="0"/>
              <w:rPr>
                <w:rFonts w:ascii="Garamond" w:hAnsi="Garamond"/>
              </w:rPr>
            </w:pPr>
            <w:r w:rsidRPr="0000487B">
              <w:rPr>
                <w:rFonts w:ascii="Garamond" w:hAnsi="Garamond"/>
              </w:rPr>
              <w:t>Infrastructure Effects</w:t>
            </w:r>
          </w:p>
        </w:tc>
        <w:tc>
          <w:tcPr>
            <w:tcW w:w="0" w:type="auto"/>
            <w:vAlign w:val="center"/>
            <w:hideMark/>
          </w:tcPr>
          <w:p w14:paraId="7D0F992C" w14:textId="77777777" w:rsidR="00CB574C" w:rsidRPr="0000487B" w:rsidRDefault="00CB574C" w:rsidP="00C871D2">
            <w:pPr>
              <w:spacing w:after="0"/>
              <w:rPr>
                <w:rFonts w:ascii="Garamond" w:hAnsi="Garamond"/>
              </w:rPr>
            </w:pPr>
            <w:r w:rsidRPr="0000487B">
              <w:rPr>
                <w:rFonts w:ascii="Garamond" w:hAnsi="Garamond"/>
              </w:rPr>
              <w:t>Structural damage to housing, blocked drainage systems, sanitation breakdown</w:t>
            </w:r>
          </w:p>
        </w:tc>
        <w:tc>
          <w:tcPr>
            <w:tcW w:w="0" w:type="auto"/>
            <w:vAlign w:val="center"/>
            <w:hideMark/>
          </w:tcPr>
          <w:p w14:paraId="5A741E6D" w14:textId="77777777" w:rsidR="00CB574C" w:rsidRPr="0000487B" w:rsidRDefault="00CB574C" w:rsidP="00C871D2">
            <w:pPr>
              <w:spacing w:after="0"/>
              <w:rPr>
                <w:rFonts w:ascii="Garamond" w:hAnsi="Garamond"/>
              </w:rPr>
            </w:pPr>
            <w:r w:rsidRPr="0000487B">
              <w:rPr>
                <w:rFonts w:ascii="Garamond" w:hAnsi="Garamond"/>
              </w:rPr>
              <w:t>Water supply stress, declining borehole yields, and pressure on storage systems</w:t>
            </w:r>
          </w:p>
        </w:tc>
      </w:tr>
      <w:tr w:rsidR="0000487B" w:rsidRPr="0000487B" w14:paraId="294C1C7C" w14:textId="77777777" w:rsidTr="00CB574C">
        <w:trPr>
          <w:tblCellSpacing w:w="15" w:type="dxa"/>
        </w:trPr>
        <w:tc>
          <w:tcPr>
            <w:tcW w:w="0" w:type="auto"/>
            <w:vAlign w:val="center"/>
            <w:hideMark/>
          </w:tcPr>
          <w:p w14:paraId="6B0EBAD7" w14:textId="77777777" w:rsidR="00CB574C" w:rsidRPr="0000487B" w:rsidRDefault="00CB574C" w:rsidP="00C871D2">
            <w:pPr>
              <w:spacing w:after="0"/>
              <w:rPr>
                <w:rFonts w:ascii="Garamond" w:hAnsi="Garamond"/>
              </w:rPr>
            </w:pPr>
            <w:r w:rsidRPr="0000487B">
              <w:rPr>
                <w:rFonts w:ascii="Garamond" w:hAnsi="Garamond"/>
              </w:rPr>
              <w:t>Environmental Consequences</w:t>
            </w:r>
          </w:p>
        </w:tc>
        <w:tc>
          <w:tcPr>
            <w:tcW w:w="0" w:type="auto"/>
            <w:vAlign w:val="center"/>
            <w:hideMark/>
          </w:tcPr>
          <w:p w14:paraId="2F22B960" w14:textId="77777777" w:rsidR="00CB574C" w:rsidRPr="0000487B" w:rsidRDefault="00CB574C" w:rsidP="00C871D2">
            <w:pPr>
              <w:spacing w:after="0"/>
              <w:rPr>
                <w:rFonts w:ascii="Garamond" w:hAnsi="Garamond"/>
              </w:rPr>
            </w:pPr>
            <w:r w:rsidRPr="0000487B">
              <w:rPr>
                <w:rFonts w:ascii="Garamond" w:hAnsi="Garamond"/>
              </w:rPr>
              <w:t>Solid waste dispersion and contamination of surface water</w:t>
            </w:r>
          </w:p>
        </w:tc>
        <w:tc>
          <w:tcPr>
            <w:tcW w:w="0" w:type="auto"/>
            <w:vAlign w:val="center"/>
            <w:hideMark/>
          </w:tcPr>
          <w:p w14:paraId="622E67AC" w14:textId="77777777" w:rsidR="00CB574C" w:rsidRPr="0000487B" w:rsidRDefault="00CB574C" w:rsidP="00C871D2">
            <w:pPr>
              <w:spacing w:after="0"/>
              <w:rPr>
                <w:rFonts w:ascii="Garamond" w:hAnsi="Garamond"/>
              </w:rPr>
            </w:pPr>
            <w:r w:rsidRPr="0000487B">
              <w:rPr>
                <w:rFonts w:ascii="Garamond" w:hAnsi="Garamond"/>
              </w:rPr>
              <w:t>Reduced vegetation cover and land surface degradation</w:t>
            </w:r>
          </w:p>
        </w:tc>
      </w:tr>
      <w:tr w:rsidR="0000487B" w:rsidRPr="0000487B" w14:paraId="39B899F6" w14:textId="77777777" w:rsidTr="00CB574C">
        <w:trPr>
          <w:tblCellSpacing w:w="15" w:type="dxa"/>
        </w:trPr>
        <w:tc>
          <w:tcPr>
            <w:tcW w:w="0" w:type="auto"/>
            <w:vAlign w:val="center"/>
            <w:hideMark/>
          </w:tcPr>
          <w:p w14:paraId="67ED8335" w14:textId="77777777" w:rsidR="00CB574C" w:rsidRPr="0000487B" w:rsidRDefault="00CB574C" w:rsidP="00C871D2">
            <w:pPr>
              <w:spacing w:after="0"/>
              <w:rPr>
                <w:rFonts w:ascii="Garamond" w:hAnsi="Garamond"/>
              </w:rPr>
            </w:pPr>
            <w:r w:rsidRPr="0000487B">
              <w:rPr>
                <w:rFonts w:ascii="Garamond" w:hAnsi="Garamond"/>
              </w:rPr>
              <w:t>Public Health Outcomes</w:t>
            </w:r>
          </w:p>
        </w:tc>
        <w:tc>
          <w:tcPr>
            <w:tcW w:w="0" w:type="auto"/>
            <w:vAlign w:val="center"/>
            <w:hideMark/>
          </w:tcPr>
          <w:p w14:paraId="1DCF7102" w14:textId="77777777" w:rsidR="00CB574C" w:rsidRPr="0000487B" w:rsidRDefault="00CB574C" w:rsidP="00C871D2">
            <w:pPr>
              <w:spacing w:after="0"/>
              <w:rPr>
                <w:rFonts w:ascii="Garamond" w:hAnsi="Garamond"/>
              </w:rPr>
            </w:pPr>
            <w:r w:rsidRPr="0000487B">
              <w:rPr>
                <w:rFonts w:ascii="Garamond" w:hAnsi="Garamond"/>
              </w:rPr>
              <w:t>Increased incidence of waterborne diseases (e.g., cholera, diarrheal infections, typhoid)</w:t>
            </w:r>
          </w:p>
        </w:tc>
        <w:tc>
          <w:tcPr>
            <w:tcW w:w="0" w:type="auto"/>
            <w:vAlign w:val="center"/>
            <w:hideMark/>
          </w:tcPr>
          <w:p w14:paraId="3A2F0AA8" w14:textId="77777777" w:rsidR="00CB574C" w:rsidRPr="0000487B" w:rsidRDefault="00CB574C" w:rsidP="00C871D2">
            <w:pPr>
              <w:spacing w:after="0"/>
              <w:rPr>
                <w:rFonts w:ascii="Garamond" w:hAnsi="Garamond"/>
              </w:rPr>
            </w:pPr>
            <w:r w:rsidRPr="0000487B">
              <w:rPr>
                <w:rFonts w:ascii="Garamond" w:hAnsi="Garamond"/>
              </w:rPr>
              <w:t>Heat-related illnesses, dehydration, and respiratory stress</w:t>
            </w:r>
          </w:p>
        </w:tc>
      </w:tr>
      <w:tr w:rsidR="0000487B" w:rsidRPr="0000487B" w14:paraId="58663B11" w14:textId="77777777" w:rsidTr="00CB574C">
        <w:trPr>
          <w:tblCellSpacing w:w="15" w:type="dxa"/>
        </w:trPr>
        <w:tc>
          <w:tcPr>
            <w:tcW w:w="0" w:type="auto"/>
            <w:vAlign w:val="center"/>
            <w:hideMark/>
          </w:tcPr>
          <w:p w14:paraId="79F73E6B" w14:textId="77777777" w:rsidR="00CB574C" w:rsidRPr="0000487B" w:rsidRDefault="00CB574C" w:rsidP="00C871D2">
            <w:pPr>
              <w:spacing w:after="0"/>
              <w:rPr>
                <w:rFonts w:ascii="Garamond" w:hAnsi="Garamond"/>
              </w:rPr>
            </w:pPr>
            <w:r w:rsidRPr="0000487B">
              <w:rPr>
                <w:rFonts w:ascii="Garamond" w:hAnsi="Garamond"/>
              </w:rPr>
              <w:t>Livelihood Implications</w:t>
            </w:r>
          </w:p>
        </w:tc>
        <w:tc>
          <w:tcPr>
            <w:tcW w:w="0" w:type="auto"/>
            <w:vAlign w:val="center"/>
            <w:hideMark/>
          </w:tcPr>
          <w:p w14:paraId="1D2276B9" w14:textId="77777777" w:rsidR="00CB574C" w:rsidRPr="0000487B" w:rsidRDefault="00CB574C" w:rsidP="00C871D2">
            <w:pPr>
              <w:spacing w:after="0"/>
              <w:rPr>
                <w:rFonts w:ascii="Garamond" w:hAnsi="Garamond"/>
              </w:rPr>
            </w:pPr>
            <w:r w:rsidRPr="0000487B">
              <w:rPr>
                <w:rFonts w:ascii="Garamond" w:hAnsi="Garamond"/>
              </w:rPr>
              <w:t>Business interruption, loss of informal sector assets, and income instability</w:t>
            </w:r>
          </w:p>
        </w:tc>
        <w:tc>
          <w:tcPr>
            <w:tcW w:w="0" w:type="auto"/>
            <w:vAlign w:val="center"/>
            <w:hideMark/>
          </w:tcPr>
          <w:p w14:paraId="4E3167C1" w14:textId="77777777" w:rsidR="00CB574C" w:rsidRPr="0000487B" w:rsidRDefault="00CB574C" w:rsidP="00C871D2">
            <w:pPr>
              <w:spacing w:after="0"/>
              <w:rPr>
                <w:rFonts w:ascii="Garamond" w:hAnsi="Garamond"/>
              </w:rPr>
            </w:pPr>
            <w:r w:rsidRPr="0000487B">
              <w:rPr>
                <w:rFonts w:ascii="Garamond" w:hAnsi="Garamond"/>
              </w:rPr>
              <w:t>Reduced labor productivity, food insecurity, and higher household water expenditure</w:t>
            </w:r>
          </w:p>
        </w:tc>
      </w:tr>
      <w:tr w:rsidR="0000487B" w:rsidRPr="0000487B" w14:paraId="60C604B7" w14:textId="77777777" w:rsidTr="00CB574C">
        <w:trPr>
          <w:tblCellSpacing w:w="15" w:type="dxa"/>
        </w:trPr>
        <w:tc>
          <w:tcPr>
            <w:tcW w:w="0" w:type="auto"/>
            <w:vAlign w:val="center"/>
            <w:hideMark/>
          </w:tcPr>
          <w:p w14:paraId="64F4E0DA" w14:textId="77777777" w:rsidR="00CB574C" w:rsidRPr="0000487B" w:rsidRDefault="00CB574C" w:rsidP="00C871D2">
            <w:pPr>
              <w:spacing w:after="0"/>
              <w:rPr>
                <w:rFonts w:ascii="Garamond" w:hAnsi="Garamond"/>
              </w:rPr>
            </w:pPr>
            <w:r w:rsidRPr="0000487B">
              <w:rPr>
                <w:rFonts w:ascii="Garamond" w:hAnsi="Garamond"/>
              </w:rPr>
              <w:t>Social Consequences</w:t>
            </w:r>
          </w:p>
        </w:tc>
        <w:tc>
          <w:tcPr>
            <w:tcW w:w="0" w:type="auto"/>
            <w:vAlign w:val="center"/>
            <w:hideMark/>
          </w:tcPr>
          <w:p w14:paraId="2162F7B2" w14:textId="77777777" w:rsidR="00CB574C" w:rsidRPr="0000487B" w:rsidRDefault="00CB574C" w:rsidP="00C871D2">
            <w:pPr>
              <w:spacing w:after="0"/>
              <w:rPr>
                <w:rFonts w:ascii="Garamond" w:hAnsi="Garamond"/>
              </w:rPr>
            </w:pPr>
            <w:r w:rsidRPr="0000487B">
              <w:rPr>
                <w:rFonts w:ascii="Garamond" w:hAnsi="Garamond"/>
              </w:rPr>
              <w:t>Temporary displacement, asset erosion, and heightened household vulnerability</w:t>
            </w:r>
          </w:p>
        </w:tc>
        <w:tc>
          <w:tcPr>
            <w:tcW w:w="0" w:type="auto"/>
            <w:vAlign w:val="center"/>
            <w:hideMark/>
          </w:tcPr>
          <w:p w14:paraId="6CC51BBD" w14:textId="77777777" w:rsidR="00CB574C" w:rsidRPr="0000487B" w:rsidRDefault="00CB574C" w:rsidP="00C871D2">
            <w:pPr>
              <w:spacing w:after="0"/>
              <w:rPr>
                <w:rFonts w:ascii="Garamond" w:hAnsi="Garamond"/>
              </w:rPr>
            </w:pPr>
            <w:r w:rsidRPr="0000487B">
              <w:rPr>
                <w:rFonts w:ascii="Garamond" w:hAnsi="Garamond"/>
              </w:rPr>
              <w:t>Resource competition, coping stress, and reduced adaptive capacity</w:t>
            </w:r>
          </w:p>
        </w:tc>
      </w:tr>
      <w:tr w:rsidR="00CB574C" w:rsidRPr="0000487B" w14:paraId="30073CFE" w14:textId="77777777" w:rsidTr="00CB574C">
        <w:trPr>
          <w:tblCellSpacing w:w="15" w:type="dxa"/>
        </w:trPr>
        <w:tc>
          <w:tcPr>
            <w:tcW w:w="0" w:type="auto"/>
            <w:tcBorders>
              <w:bottom w:val="single" w:sz="4" w:space="0" w:color="auto"/>
            </w:tcBorders>
            <w:vAlign w:val="center"/>
            <w:hideMark/>
          </w:tcPr>
          <w:p w14:paraId="27AFBF6B" w14:textId="77777777" w:rsidR="00CB574C" w:rsidRPr="0000487B" w:rsidRDefault="00CB574C" w:rsidP="00C871D2">
            <w:pPr>
              <w:spacing w:after="0"/>
              <w:rPr>
                <w:rFonts w:ascii="Garamond" w:hAnsi="Garamond"/>
              </w:rPr>
            </w:pPr>
            <w:r w:rsidRPr="0000487B">
              <w:rPr>
                <w:rFonts w:ascii="Garamond" w:hAnsi="Garamond"/>
              </w:rPr>
              <w:t>Long-Term Vulnerability Outcome</w:t>
            </w:r>
          </w:p>
        </w:tc>
        <w:tc>
          <w:tcPr>
            <w:tcW w:w="0" w:type="auto"/>
            <w:tcBorders>
              <w:bottom w:val="single" w:sz="4" w:space="0" w:color="auto"/>
            </w:tcBorders>
            <w:vAlign w:val="center"/>
            <w:hideMark/>
          </w:tcPr>
          <w:p w14:paraId="1C4F24AB" w14:textId="77777777" w:rsidR="00CB574C" w:rsidRPr="0000487B" w:rsidRDefault="00CB574C" w:rsidP="00C871D2">
            <w:pPr>
              <w:spacing w:after="0"/>
              <w:rPr>
                <w:rFonts w:ascii="Garamond" w:hAnsi="Garamond"/>
              </w:rPr>
            </w:pPr>
            <w:r w:rsidRPr="0000487B">
              <w:rPr>
                <w:rFonts w:ascii="Garamond" w:hAnsi="Garamond"/>
              </w:rPr>
              <w:t>Entrenched flood risk and cyclical poverty traps</w:t>
            </w:r>
          </w:p>
        </w:tc>
        <w:tc>
          <w:tcPr>
            <w:tcW w:w="0" w:type="auto"/>
            <w:tcBorders>
              <w:bottom w:val="single" w:sz="4" w:space="0" w:color="auto"/>
            </w:tcBorders>
            <w:vAlign w:val="center"/>
            <w:hideMark/>
          </w:tcPr>
          <w:p w14:paraId="233E81D3" w14:textId="77777777" w:rsidR="00CB574C" w:rsidRPr="0000487B" w:rsidRDefault="00CB574C" w:rsidP="00C871D2">
            <w:pPr>
              <w:spacing w:after="0"/>
              <w:rPr>
                <w:rFonts w:ascii="Garamond" w:hAnsi="Garamond"/>
              </w:rPr>
            </w:pPr>
            <w:r w:rsidRPr="0000487B">
              <w:rPr>
                <w:rFonts w:ascii="Garamond" w:hAnsi="Garamond"/>
              </w:rPr>
              <w:t>Persistent water scarcity and cumulative climate stress</w:t>
            </w:r>
          </w:p>
        </w:tc>
      </w:tr>
    </w:tbl>
    <w:p w14:paraId="20BB9EBD" w14:textId="1AB477C9" w:rsidR="00CB574C" w:rsidRPr="0000487B" w:rsidRDefault="00CB574C" w:rsidP="00CB574C">
      <w:pPr>
        <w:spacing w:line="360" w:lineRule="auto"/>
        <w:jc w:val="both"/>
        <w:rPr>
          <w:rFonts w:ascii="Garamond" w:hAnsi="Garamond"/>
        </w:rPr>
      </w:pPr>
    </w:p>
    <w:bookmarkEnd w:id="1"/>
    <w:p w14:paraId="55F32C3F" w14:textId="32525183" w:rsidR="00CB574C" w:rsidRPr="0000487B" w:rsidRDefault="00CB574C" w:rsidP="00C871D2">
      <w:pPr>
        <w:spacing w:line="360" w:lineRule="auto"/>
        <w:jc w:val="both"/>
        <w:rPr>
          <w:rFonts w:ascii="Garamond" w:hAnsi="Garamond"/>
        </w:rPr>
      </w:pPr>
      <w:r w:rsidRPr="0000487B">
        <w:rPr>
          <w:rFonts w:ascii="Garamond" w:hAnsi="Garamond"/>
        </w:rPr>
        <w:t>Table.1 illustrates divergent but climate-linked vulnerability pathways shaped by localized exposure conditions. While Korogocho’s pathway is primarily hydrologically driven, Kahawa Soweto’s pathway is largely thermally and moisture driven. Both systems demonstrate cascading socio-environmental effects that reinforce urban vulnerability.</w:t>
      </w:r>
    </w:p>
    <w:p w14:paraId="61E7303E" w14:textId="787D6F40" w:rsidR="00930E9F" w:rsidRPr="0000487B" w:rsidRDefault="00991618" w:rsidP="00466DBA">
      <w:pPr>
        <w:spacing w:line="360" w:lineRule="auto"/>
        <w:jc w:val="both"/>
        <w:rPr>
          <w:rFonts w:ascii="Garamond" w:hAnsi="Garamond"/>
          <w:b/>
          <w:bCs/>
        </w:rPr>
      </w:pPr>
      <w:r w:rsidRPr="0000487B">
        <w:rPr>
          <w:rFonts w:ascii="Garamond" w:hAnsi="Garamond"/>
          <w:b/>
          <w:bCs/>
        </w:rPr>
        <w:lastRenderedPageBreak/>
        <w:t>1.4.</w:t>
      </w:r>
      <w:r w:rsidR="00930E9F" w:rsidRPr="0000487B">
        <w:rPr>
          <w:rFonts w:ascii="Garamond" w:hAnsi="Garamond"/>
          <w:b/>
          <w:bCs/>
        </w:rPr>
        <w:t xml:space="preserve"> Trends in Climate Variability in Nairobi</w:t>
      </w:r>
    </w:p>
    <w:p w14:paraId="75AFF4B0" w14:textId="269043B0" w:rsidR="00991618" w:rsidRPr="0000487B" w:rsidRDefault="00991618" w:rsidP="00466DBA">
      <w:pPr>
        <w:spacing w:line="360" w:lineRule="auto"/>
        <w:jc w:val="both"/>
        <w:rPr>
          <w:rFonts w:ascii="Garamond" w:hAnsi="Garamond"/>
          <w:b/>
          <w:bCs/>
        </w:rPr>
      </w:pPr>
      <w:r w:rsidRPr="0000487B">
        <w:rPr>
          <w:rFonts w:ascii="Garamond" w:hAnsi="Garamond"/>
          <w:b/>
          <w:bCs/>
        </w:rPr>
        <w:t>1.4.1. Rainfall Trends</w:t>
      </w:r>
    </w:p>
    <w:p w14:paraId="46D13576" w14:textId="70E58503" w:rsidR="00991618" w:rsidRPr="0000487B" w:rsidRDefault="00991618" w:rsidP="00466DBA">
      <w:pPr>
        <w:spacing w:line="360" w:lineRule="auto"/>
        <w:jc w:val="both"/>
        <w:rPr>
          <w:rFonts w:ascii="Garamond" w:hAnsi="Garamond"/>
        </w:rPr>
      </w:pPr>
      <w:r w:rsidRPr="0000487B">
        <w:rPr>
          <w:rFonts w:ascii="Garamond" w:hAnsi="Garamond"/>
        </w:rPr>
        <w:t xml:space="preserve">Rainfall analysis for the period 1995–2025 indicates increasing interannual variability in Korogocho and Kahawa Soweto, characterized by alternating episodes of above-average precipitation and prolonged dry spells. While long-term mean annual rainfall exhibits only modest directional change, seasonal distribution has become increasingly erratic, with delayed onset and early cessation of the long rains. The short rains display heightened intensity, contributing to recurrent flash floods due to inadequate drainage and high surface runoff in densely built environments. Trend analysis further reveals a rise in extreme rainfall events, amplifying exposure to waterborne diseases, infrastructure damage, and livelihood disruption. Collectively, these patterns demonstrate that rainfall variability rather than absolute </w:t>
      </w:r>
      <w:r w:rsidR="00CF39EA" w:rsidRPr="0000487B">
        <w:rPr>
          <w:rFonts w:ascii="Garamond" w:hAnsi="Garamond"/>
        </w:rPr>
        <w:t>declines</w:t>
      </w:r>
      <w:r w:rsidRPr="0000487B">
        <w:rPr>
          <w:rFonts w:ascii="Garamond" w:hAnsi="Garamond"/>
        </w:rPr>
        <w:t xml:space="preserve"> the dominant climatic stressor shaping socioeconomic vulnerability in Nairobi’s informal settlements.</w:t>
      </w:r>
    </w:p>
    <w:p w14:paraId="7D32A7FE" w14:textId="12C7AF59" w:rsidR="00930E9F" w:rsidRPr="0000487B" w:rsidRDefault="00991618" w:rsidP="00466DBA">
      <w:pPr>
        <w:spacing w:line="360" w:lineRule="auto"/>
        <w:jc w:val="both"/>
        <w:rPr>
          <w:rFonts w:ascii="Garamond" w:hAnsi="Garamond"/>
          <w:b/>
          <w:bCs/>
        </w:rPr>
      </w:pPr>
      <w:r w:rsidRPr="0000487B">
        <w:rPr>
          <w:rFonts w:ascii="Garamond" w:hAnsi="Garamond"/>
          <w:b/>
          <w:bCs/>
        </w:rPr>
        <w:t>1.4.2.</w:t>
      </w:r>
      <w:r w:rsidR="00930E9F" w:rsidRPr="0000487B">
        <w:rPr>
          <w:rFonts w:ascii="Garamond" w:hAnsi="Garamond"/>
          <w:b/>
          <w:bCs/>
        </w:rPr>
        <w:t xml:space="preserve"> Temperature Trends</w:t>
      </w:r>
    </w:p>
    <w:p w14:paraId="1B63A394" w14:textId="0C1E33E2" w:rsidR="00930E9F" w:rsidRPr="0000487B" w:rsidRDefault="00930E9F" w:rsidP="00466DBA">
      <w:pPr>
        <w:spacing w:line="360" w:lineRule="auto"/>
        <w:jc w:val="both"/>
        <w:rPr>
          <w:rFonts w:ascii="Garamond" w:hAnsi="Garamond"/>
        </w:rPr>
      </w:pPr>
      <w:r w:rsidRPr="0000487B">
        <w:rPr>
          <w:rFonts w:ascii="Garamond" w:hAnsi="Garamond"/>
        </w:rPr>
        <w:t xml:space="preserve">Recent studies indicate that mean annual temperatures in Nairobi have increased steadily over the past three decades, contributing to more frequent and prolonged heatwaves (Mati et al., 2016; Shongwe et al., 2019). Informal settlements, including Korogocho and </w:t>
      </w:r>
      <w:r w:rsidR="001E54A5" w:rsidRPr="0000487B">
        <w:rPr>
          <w:rFonts w:ascii="Garamond" w:hAnsi="Garamond"/>
        </w:rPr>
        <w:t>Kahawa Soweto</w:t>
      </w:r>
      <w:r w:rsidRPr="0000487B">
        <w:rPr>
          <w:rFonts w:ascii="Garamond" w:hAnsi="Garamond"/>
        </w:rPr>
        <w:t>, are particularly vulnerable due to high population density, limited vegetation, and the use of heat-retaining construction materials such as corrugated iron sheets (Ochieng et al., 2021). Urban heat islands exacerbate these conditions, creating localized microclimates that elevate indoor temperatures and heat stress (Ngugi et al., 2020). Research also shows that heat exposure disproportionately affects residents with pre-existing health conditions and limited access to cooling infrastructure (Ong et al., 2018). These patterns underscore the need for climate-sensitive urban planning that integrates green spaces and resilient housing in high-density informal settlements (UN-Habitat, 2020).</w:t>
      </w:r>
    </w:p>
    <w:p w14:paraId="5B4B3C1D" w14:textId="77777777" w:rsidR="0020798C" w:rsidRPr="0000487B" w:rsidRDefault="0020798C" w:rsidP="00466DBA">
      <w:pPr>
        <w:jc w:val="both"/>
        <w:rPr>
          <w:rFonts w:ascii="Garamond" w:hAnsi="Garamond"/>
          <w:b/>
          <w:bCs/>
        </w:rPr>
      </w:pPr>
      <w:r w:rsidRPr="0000487B">
        <w:rPr>
          <w:rFonts w:ascii="Garamond" w:hAnsi="Garamond"/>
          <w:b/>
          <w:bCs/>
        </w:rPr>
        <w:t>2.0. Literature Review</w:t>
      </w:r>
    </w:p>
    <w:p w14:paraId="56E26FAC" w14:textId="66444A7D" w:rsidR="001F5695" w:rsidRPr="0000487B" w:rsidRDefault="0020798C" w:rsidP="00466DBA">
      <w:pPr>
        <w:jc w:val="both"/>
        <w:rPr>
          <w:rFonts w:ascii="Garamond" w:hAnsi="Garamond"/>
          <w:b/>
          <w:bCs/>
        </w:rPr>
      </w:pPr>
      <w:r w:rsidRPr="0000487B">
        <w:rPr>
          <w:rFonts w:ascii="Garamond" w:hAnsi="Garamond"/>
          <w:b/>
          <w:bCs/>
        </w:rPr>
        <w:t xml:space="preserve">2.1. </w:t>
      </w:r>
      <w:r w:rsidR="00485C9B" w:rsidRPr="0000487B">
        <w:rPr>
          <w:rFonts w:ascii="Garamond" w:hAnsi="Garamond"/>
          <w:b/>
          <w:bCs/>
        </w:rPr>
        <w:t xml:space="preserve">Conceptual framing and contribution </w:t>
      </w:r>
    </w:p>
    <w:p w14:paraId="2CA14852" w14:textId="43AE17E2" w:rsidR="004D0C31" w:rsidRPr="0000487B" w:rsidRDefault="004D0C31" w:rsidP="00466DBA">
      <w:pPr>
        <w:spacing w:line="360" w:lineRule="auto"/>
        <w:jc w:val="both"/>
        <w:rPr>
          <w:rFonts w:ascii="Garamond" w:hAnsi="Garamond"/>
        </w:rPr>
      </w:pPr>
      <w:r w:rsidRPr="0000487B">
        <w:rPr>
          <w:rFonts w:ascii="Garamond" w:hAnsi="Garamond"/>
        </w:rPr>
        <w:t xml:space="preserve">This study is grounded in an integrated theoretical framework that combines vulnerability and resilience theory with the social–ecological systems (SES) perspective to interrogate the trends and magnitude of climate variability impacts in informal settlements. Building on foundational vulnerability scholarship (Adger, 2006; Cutter et al., 2008), climate impacts are conceptualized as the product of interacting dimensions of exposure, sensitivity, and adaptive capacity. In densely populated </w:t>
      </w:r>
      <w:r w:rsidRPr="0000487B">
        <w:rPr>
          <w:rFonts w:ascii="Garamond" w:hAnsi="Garamond"/>
        </w:rPr>
        <w:lastRenderedPageBreak/>
        <w:t xml:space="preserve">settlements such as Korogocho and </w:t>
      </w:r>
      <w:r w:rsidR="001E54A5" w:rsidRPr="0000487B">
        <w:rPr>
          <w:rFonts w:ascii="Garamond" w:hAnsi="Garamond"/>
        </w:rPr>
        <w:t>Kahawa Soweto</w:t>
      </w:r>
      <w:r w:rsidRPr="0000487B">
        <w:rPr>
          <w:rFonts w:ascii="Garamond" w:hAnsi="Garamond"/>
        </w:rPr>
        <w:t>, recurrent floods, heat stress, and erratic rainfall intersect with structural poverty, insecure tenure, inadequate infrastructure, and limited access to basic services to generate compound and mutually reinforcing risks. Climate variability thus functions not as an isolated environmental stressor but as a threat multiplier that deepens entrenched socioeconomic inequalities.</w:t>
      </w:r>
    </w:p>
    <w:p w14:paraId="42602CE8" w14:textId="77777777" w:rsidR="004D0C31" w:rsidRPr="0000487B" w:rsidRDefault="004D0C31" w:rsidP="00466DBA">
      <w:pPr>
        <w:spacing w:line="360" w:lineRule="auto"/>
        <w:jc w:val="both"/>
        <w:rPr>
          <w:rFonts w:ascii="Garamond" w:hAnsi="Garamond"/>
        </w:rPr>
      </w:pPr>
      <w:r w:rsidRPr="0000487B">
        <w:rPr>
          <w:rFonts w:ascii="Garamond" w:hAnsi="Garamond"/>
        </w:rPr>
        <w:t>The SES framework (Folke, 2006; Ostrom, 2009) further situates these settlements within complex urban systems characterized by feedback loops between ecological change, governance arrangements, and livelihood dynamics. Environmental degradation, proximity to riparian corridors, deficient drainage systems, and rapid unplanned urban expansion intensify hazard exposure, while institutional fragmentation constrains adaptive governance. By integrating longitudinal climate data (1995–2025) with household-level socioeconomic evidence, the study reconceptualizes climate variability as a socially mediated process with differentiated impacts across gender, livelihood portfolios, and settlement morphology.</w:t>
      </w:r>
    </w:p>
    <w:p w14:paraId="7EA7A62E" w14:textId="77777777" w:rsidR="004D0C31" w:rsidRPr="0000487B" w:rsidRDefault="004D0C31" w:rsidP="00466DBA">
      <w:pPr>
        <w:spacing w:line="360" w:lineRule="auto"/>
        <w:jc w:val="both"/>
        <w:rPr>
          <w:rFonts w:ascii="Garamond" w:hAnsi="Garamond"/>
        </w:rPr>
      </w:pPr>
      <w:r w:rsidRPr="0000487B">
        <w:rPr>
          <w:rFonts w:ascii="Garamond" w:hAnsi="Garamond"/>
        </w:rPr>
        <w:t>The conceptual approach is further informed by urban climate justice and pro-poor adaptation paradigms, which emphasize distributive inequities in climate risk. Although informal settlements contribute minimally to global emissions, they bear a disproportionate share of climate burdens. This framing therefore shifts the analytical focus from hazard occurrence to structural vulnerability, governance deficits, and endogenous resilience capacities embedded within informal urban systems.</w:t>
      </w:r>
    </w:p>
    <w:p w14:paraId="009F341E" w14:textId="23CB2EFB" w:rsidR="004D0C31" w:rsidRPr="0000487B" w:rsidRDefault="00991618" w:rsidP="00466DBA">
      <w:pPr>
        <w:spacing w:line="360" w:lineRule="auto"/>
        <w:jc w:val="both"/>
        <w:rPr>
          <w:rFonts w:ascii="Garamond" w:hAnsi="Garamond"/>
          <w:b/>
          <w:bCs/>
        </w:rPr>
      </w:pPr>
      <w:r w:rsidRPr="0000487B">
        <w:rPr>
          <w:rFonts w:ascii="Garamond" w:hAnsi="Garamond"/>
          <w:b/>
          <w:bCs/>
        </w:rPr>
        <w:t xml:space="preserve">2.2. </w:t>
      </w:r>
      <w:r w:rsidR="004D0C31" w:rsidRPr="0000487B">
        <w:rPr>
          <w:rFonts w:ascii="Garamond" w:hAnsi="Garamond"/>
          <w:b/>
          <w:bCs/>
        </w:rPr>
        <w:t>Contribution to Knowledge</w:t>
      </w:r>
    </w:p>
    <w:p w14:paraId="769F0AAF" w14:textId="77777777" w:rsidR="004D0C31" w:rsidRPr="0000487B" w:rsidRDefault="004D0C31" w:rsidP="00466DBA">
      <w:pPr>
        <w:spacing w:line="360" w:lineRule="auto"/>
        <w:jc w:val="both"/>
        <w:rPr>
          <w:rFonts w:ascii="Garamond" w:hAnsi="Garamond"/>
        </w:rPr>
      </w:pPr>
      <w:r w:rsidRPr="0000487B">
        <w:rPr>
          <w:rFonts w:ascii="Garamond" w:hAnsi="Garamond"/>
        </w:rPr>
        <w:t>This study advances scholarship and policy in four significant ways.</w:t>
      </w:r>
    </w:p>
    <w:p w14:paraId="633D695F" w14:textId="77777777" w:rsidR="00C871D2" w:rsidRPr="0000487B" w:rsidRDefault="004D0C31" w:rsidP="00466DBA">
      <w:pPr>
        <w:spacing w:line="360" w:lineRule="auto"/>
        <w:jc w:val="both"/>
        <w:rPr>
          <w:rFonts w:ascii="Garamond" w:hAnsi="Garamond"/>
        </w:rPr>
      </w:pPr>
      <w:r w:rsidRPr="0000487B">
        <w:rPr>
          <w:rFonts w:ascii="Garamond" w:hAnsi="Garamond"/>
        </w:rPr>
        <w:t>First, it generates fine-grained empirical evidence on long-term climate variability trends in Nairobi’s informal settlements, linking meteorological records with lived experiences. Such micro-scale analyses remain scarce in Sub-Saharan Africa, where climate assessments often overlook intra-urban heterogeneity.</w:t>
      </w:r>
      <w:r w:rsidR="00C871D2" w:rsidRPr="0000487B">
        <w:rPr>
          <w:rFonts w:ascii="Garamond" w:hAnsi="Garamond"/>
        </w:rPr>
        <w:t xml:space="preserve"> </w:t>
      </w:r>
    </w:p>
    <w:p w14:paraId="4AF982D8" w14:textId="6117A5B8" w:rsidR="004D0C31" w:rsidRPr="0000487B" w:rsidRDefault="004D0C31" w:rsidP="00466DBA">
      <w:pPr>
        <w:spacing w:line="360" w:lineRule="auto"/>
        <w:jc w:val="both"/>
        <w:rPr>
          <w:rFonts w:ascii="Garamond" w:hAnsi="Garamond"/>
        </w:rPr>
      </w:pPr>
      <w:r w:rsidRPr="0000487B">
        <w:rPr>
          <w:rFonts w:ascii="Garamond" w:hAnsi="Garamond"/>
        </w:rPr>
        <w:t>Second, the study operationalizes vulnerability and SES frameworks within high-density informal contexts, demonstrating empirically how climatic variability interacts with infrastructural deficits, livelihood precarity, and social capital. In doing so, it strengthens the analytical interface between climate science, urban studies, and poverty research.</w:t>
      </w:r>
    </w:p>
    <w:p w14:paraId="611D77ED" w14:textId="77777777" w:rsidR="004D0C31" w:rsidRPr="0000487B" w:rsidRDefault="004D0C31" w:rsidP="00466DBA">
      <w:pPr>
        <w:spacing w:line="360" w:lineRule="auto"/>
        <w:jc w:val="both"/>
        <w:rPr>
          <w:rFonts w:ascii="Garamond" w:hAnsi="Garamond"/>
        </w:rPr>
      </w:pPr>
      <w:r w:rsidRPr="0000487B">
        <w:rPr>
          <w:rFonts w:ascii="Garamond" w:hAnsi="Garamond"/>
        </w:rPr>
        <w:lastRenderedPageBreak/>
        <w:t>Third, it offers a robust mixed-methods contribution by integrating quantitative trend analysis with household surveys and focus group discussions. This methodological triangulation enhances explanatory depth, capturing both statistical trajectories and experiential dimensions of risk and adaptation.</w:t>
      </w:r>
    </w:p>
    <w:p w14:paraId="428EA8AC" w14:textId="481B386D" w:rsidR="004D0C31" w:rsidRPr="0000487B" w:rsidRDefault="004D0C31" w:rsidP="00466DBA">
      <w:pPr>
        <w:spacing w:line="360" w:lineRule="auto"/>
        <w:jc w:val="both"/>
        <w:rPr>
          <w:rFonts w:ascii="Garamond" w:hAnsi="Garamond"/>
        </w:rPr>
      </w:pPr>
      <w:r w:rsidRPr="0000487B">
        <w:rPr>
          <w:rFonts w:ascii="Garamond" w:hAnsi="Garamond"/>
        </w:rPr>
        <w:t xml:space="preserve">Fourth, the findings provide actionable insights for Nairobi City County and comparable rapidly urbanizing African cities. By identifying sector-specific impacts across health, water, food security, housing, and livelihoods, the study informs context-sensitive adaptation planning, </w:t>
      </w:r>
      <w:r w:rsidR="001E54A5" w:rsidRPr="0000487B">
        <w:rPr>
          <w:rFonts w:ascii="Garamond" w:hAnsi="Garamond"/>
        </w:rPr>
        <w:t>informal settlements</w:t>
      </w:r>
      <w:r w:rsidRPr="0000487B">
        <w:rPr>
          <w:rFonts w:ascii="Garamond" w:hAnsi="Garamond"/>
        </w:rPr>
        <w:t xml:space="preserve"> upgrading interventions, early warning systems, and community-based resilience programming.</w:t>
      </w:r>
    </w:p>
    <w:p w14:paraId="75E9A5B3" w14:textId="77777777" w:rsidR="004D0C31" w:rsidRPr="0000487B" w:rsidRDefault="004D0C31" w:rsidP="00466DBA">
      <w:pPr>
        <w:spacing w:line="360" w:lineRule="auto"/>
        <w:jc w:val="both"/>
        <w:rPr>
          <w:rFonts w:ascii="Garamond" w:hAnsi="Garamond"/>
        </w:rPr>
      </w:pPr>
      <w:r w:rsidRPr="0000487B">
        <w:rPr>
          <w:rFonts w:ascii="Garamond" w:hAnsi="Garamond"/>
        </w:rPr>
        <w:t>Collectively, the study contributes to evolving debates on urban climate resilience by positioning informal settlements as central arenas of climate risk governance. It demonstrates that sustainable adaptation requires equity-oriented, locally grounded strategies that integrate infrastructure investment, social protection, participatory governance, and community-driven resilience mechanisms within broader urban policy frameworks.</w:t>
      </w:r>
    </w:p>
    <w:p w14:paraId="47E30143" w14:textId="62BBC834" w:rsidR="001F5695" w:rsidRPr="0000487B" w:rsidRDefault="00991618" w:rsidP="00466DBA">
      <w:pPr>
        <w:spacing w:line="360" w:lineRule="auto"/>
        <w:jc w:val="both"/>
        <w:rPr>
          <w:rFonts w:ascii="Garamond" w:hAnsi="Garamond"/>
          <w:b/>
          <w:bCs/>
        </w:rPr>
      </w:pPr>
      <w:r w:rsidRPr="0000487B">
        <w:rPr>
          <w:rFonts w:ascii="Garamond" w:hAnsi="Garamond"/>
          <w:b/>
          <w:bCs/>
        </w:rPr>
        <w:t>2.</w:t>
      </w:r>
      <w:r w:rsidR="001F5695" w:rsidRPr="0000487B">
        <w:rPr>
          <w:rFonts w:ascii="Garamond" w:hAnsi="Garamond"/>
          <w:b/>
          <w:bCs/>
        </w:rPr>
        <w:t>3. Theoretical Positioning and Novel Contribution</w:t>
      </w:r>
    </w:p>
    <w:p w14:paraId="6AB430C4" w14:textId="03DB3C5E" w:rsidR="001F5695" w:rsidRPr="0000487B" w:rsidRDefault="001F5695" w:rsidP="00466DBA">
      <w:pPr>
        <w:spacing w:line="360" w:lineRule="auto"/>
        <w:jc w:val="both"/>
        <w:rPr>
          <w:rFonts w:ascii="Garamond" w:hAnsi="Garamond"/>
          <w:b/>
          <w:bCs/>
        </w:rPr>
      </w:pPr>
      <w:r w:rsidRPr="0000487B">
        <w:rPr>
          <w:rFonts w:ascii="Garamond" w:hAnsi="Garamond"/>
          <w:b/>
          <w:bCs/>
        </w:rPr>
        <w:t>Positioning Within Established Vulnerability and Resilience Frameworks</w:t>
      </w:r>
    </w:p>
    <w:p w14:paraId="1DBFCFB5" w14:textId="77777777" w:rsidR="001F5695" w:rsidRPr="0000487B" w:rsidRDefault="001F5695" w:rsidP="00466DBA">
      <w:pPr>
        <w:spacing w:line="360" w:lineRule="auto"/>
        <w:jc w:val="both"/>
        <w:rPr>
          <w:rFonts w:ascii="Garamond" w:hAnsi="Garamond"/>
        </w:rPr>
      </w:pPr>
      <w:r w:rsidRPr="0000487B">
        <w:rPr>
          <w:rFonts w:ascii="Garamond" w:hAnsi="Garamond"/>
        </w:rPr>
        <w:t>This study is grounded in the vulnerability framework articulated by the Intergovernmental Panel on Climate Change (IPCC), which conceptualizes vulnerability as a function of exposure, sensitivity, and adaptive capacity. Within this framework, climate variability (temperature rise, rainfall extremes, drought–flood cycles) constitutes the primary exposure; settlement characteristics such as housing quality, infrastructure deficits, and WASH conditions determine sensitivity; while socioeconomic resources, gender dynamics, and community organization shape adaptive capacity.</w:t>
      </w:r>
    </w:p>
    <w:p w14:paraId="629019EF" w14:textId="16D800D2" w:rsidR="001F5695" w:rsidRPr="0000487B" w:rsidRDefault="001F5695" w:rsidP="00466DBA">
      <w:pPr>
        <w:spacing w:line="360" w:lineRule="auto"/>
        <w:jc w:val="both"/>
        <w:rPr>
          <w:rFonts w:ascii="Garamond" w:hAnsi="Garamond"/>
        </w:rPr>
      </w:pPr>
      <w:r w:rsidRPr="0000487B">
        <w:rPr>
          <w:rFonts w:ascii="Garamond" w:hAnsi="Garamond"/>
        </w:rPr>
        <w:t xml:space="preserve">By examining Korogocho and </w:t>
      </w:r>
      <w:r w:rsidR="00EE7853" w:rsidRPr="0000487B">
        <w:rPr>
          <w:rFonts w:ascii="Garamond" w:hAnsi="Garamond"/>
        </w:rPr>
        <w:t xml:space="preserve">Kahawa soweto </w:t>
      </w:r>
      <w:r w:rsidRPr="0000487B">
        <w:rPr>
          <w:rFonts w:ascii="Garamond" w:hAnsi="Garamond"/>
        </w:rPr>
        <w:t>through this lens, the study operationalizes vulnerability not as a static condition but as a dynamic interaction between climatic stressors and localized socio-spatial systems.</w:t>
      </w:r>
    </w:p>
    <w:p w14:paraId="4D3FD518" w14:textId="77A43F18" w:rsidR="001F5695" w:rsidRPr="0000487B" w:rsidRDefault="001F5695" w:rsidP="00466DBA">
      <w:pPr>
        <w:spacing w:line="360" w:lineRule="auto"/>
        <w:jc w:val="both"/>
        <w:rPr>
          <w:rFonts w:ascii="Garamond" w:hAnsi="Garamond"/>
        </w:rPr>
      </w:pPr>
      <w:r w:rsidRPr="0000487B">
        <w:rPr>
          <w:rFonts w:ascii="Garamond" w:hAnsi="Garamond"/>
        </w:rPr>
        <w:t xml:space="preserve">The research also draws from the urban political ecology perspective (Moser, 2010), which emphasizes how structural inequalities and governance gaps shape uneven risk distribution in cities. Informal settlements are not inherently vulnerable; rather, vulnerability is socially produced through historical marginalization, inadequate service provision, and exclusion from formal urban planning processes. </w:t>
      </w:r>
      <w:r w:rsidRPr="0000487B">
        <w:rPr>
          <w:rFonts w:ascii="Garamond" w:hAnsi="Garamond"/>
        </w:rPr>
        <w:lastRenderedPageBreak/>
        <w:t xml:space="preserve">The recurrent flooding in Korogocho and heat stress in </w:t>
      </w:r>
      <w:r w:rsidR="00EE7853" w:rsidRPr="0000487B">
        <w:rPr>
          <w:rFonts w:ascii="Garamond" w:hAnsi="Garamond"/>
        </w:rPr>
        <w:t xml:space="preserve">Kahawa soweto </w:t>
      </w:r>
      <w:r w:rsidRPr="0000487B">
        <w:rPr>
          <w:rFonts w:ascii="Garamond" w:hAnsi="Garamond"/>
        </w:rPr>
        <w:t>reflect differentiated spatial exposures embedded within broader urban development trajectories in Nairobi.</w:t>
      </w:r>
    </w:p>
    <w:p w14:paraId="24DEC972" w14:textId="77777777" w:rsidR="001F5695" w:rsidRPr="0000487B" w:rsidRDefault="001F5695" w:rsidP="00466DBA">
      <w:pPr>
        <w:spacing w:line="360" w:lineRule="auto"/>
        <w:jc w:val="both"/>
        <w:rPr>
          <w:rFonts w:ascii="Garamond" w:hAnsi="Garamond"/>
        </w:rPr>
      </w:pPr>
      <w:r w:rsidRPr="0000487B">
        <w:rPr>
          <w:rFonts w:ascii="Garamond" w:hAnsi="Garamond"/>
        </w:rPr>
        <w:t>Additionally, the study aligns with social resilience theory, which views resilience as the capacity of households and communities to absorb shocks, reorganize, and adapt without crossing critical thresholds. Women-led initiatives, water committees, and localized adaptation groups illustrate endogenous resilience mechanisms that operate alongside infrastructural constraints. This complements the urban resilience agenda promoted by UN-Habitat (2020), which advocates for integrated climate-sensitive planning in high-density settlements.</w:t>
      </w:r>
    </w:p>
    <w:p w14:paraId="11E2D815" w14:textId="6AB58E6B" w:rsidR="001F5695" w:rsidRPr="0000487B" w:rsidRDefault="001F5695" w:rsidP="00466DBA">
      <w:pPr>
        <w:spacing w:line="360" w:lineRule="auto"/>
        <w:jc w:val="both"/>
        <w:rPr>
          <w:rFonts w:ascii="Garamond" w:hAnsi="Garamond"/>
        </w:rPr>
      </w:pPr>
      <w:r w:rsidRPr="0000487B">
        <w:rPr>
          <w:rFonts w:ascii="Garamond" w:hAnsi="Garamond"/>
        </w:rPr>
        <w:t>Finally, the study engages with the risk–hazard model, where climatic events (heatwaves, intense rainfall) are treated as hazards whose impacts are mediated by built-environment fragility and social differentiation. This allows the analysis to move beyond climate trends alone and toward understanding climate risk pathways</w:t>
      </w:r>
      <w:r w:rsidR="00991618" w:rsidRPr="0000487B">
        <w:rPr>
          <w:rFonts w:ascii="Garamond" w:hAnsi="Garamond"/>
        </w:rPr>
        <w:t xml:space="preserve"> </w:t>
      </w:r>
      <w:r w:rsidRPr="0000487B">
        <w:rPr>
          <w:rFonts w:ascii="Garamond" w:hAnsi="Garamond"/>
        </w:rPr>
        <w:t>the causal chains linking climatic stimuli to household-level outcomes such as health stress, income disruption, and infrastructural damage.</w:t>
      </w:r>
    </w:p>
    <w:p w14:paraId="796DCA04" w14:textId="53A4BD67" w:rsidR="001F5695" w:rsidRPr="0000487B" w:rsidRDefault="00991618" w:rsidP="00466DBA">
      <w:pPr>
        <w:jc w:val="both"/>
        <w:rPr>
          <w:rFonts w:ascii="Garamond" w:hAnsi="Garamond"/>
          <w:b/>
          <w:bCs/>
        </w:rPr>
      </w:pPr>
      <w:r w:rsidRPr="0000487B">
        <w:rPr>
          <w:rFonts w:ascii="Garamond" w:hAnsi="Garamond"/>
          <w:b/>
          <w:bCs/>
        </w:rPr>
        <w:t>2.4.</w:t>
      </w:r>
      <w:r w:rsidR="001F5695" w:rsidRPr="0000487B">
        <w:rPr>
          <w:rFonts w:ascii="Garamond" w:hAnsi="Garamond"/>
          <w:b/>
          <w:bCs/>
        </w:rPr>
        <w:t xml:space="preserve"> Theoretical Clarification</w:t>
      </w:r>
    </w:p>
    <w:p w14:paraId="03EBFCA2" w14:textId="6DD3F393" w:rsidR="001F5695" w:rsidRPr="0000487B" w:rsidRDefault="001F5695" w:rsidP="00466DBA">
      <w:pPr>
        <w:spacing w:line="360" w:lineRule="auto"/>
        <w:jc w:val="both"/>
        <w:rPr>
          <w:rFonts w:ascii="Garamond" w:hAnsi="Garamond"/>
        </w:rPr>
      </w:pPr>
      <w:r w:rsidRPr="0000487B">
        <w:rPr>
          <w:rFonts w:ascii="Garamond" w:hAnsi="Garamond"/>
        </w:rPr>
        <w:t xml:space="preserve">The study conceptualizes climate risk in Korogocho and </w:t>
      </w:r>
      <w:r w:rsidR="00EE7853" w:rsidRPr="0000487B">
        <w:rPr>
          <w:rFonts w:ascii="Garamond" w:hAnsi="Garamond"/>
        </w:rPr>
        <w:t>Kahawa soweto</w:t>
      </w:r>
      <w:r w:rsidR="003B09A3" w:rsidRPr="0000487B">
        <w:rPr>
          <w:rFonts w:ascii="Garamond" w:hAnsi="Garamond"/>
        </w:rPr>
        <w:t xml:space="preserve"> </w:t>
      </w:r>
      <w:r w:rsidRPr="0000487B">
        <w:rPr>
          <w:rFonts w:ascii="Garamond" w:hAnsi="Garamond"/>
        </w:rPr>
        <w:t>as operating through five interacting pathways:</w:t>
      </w:r>
    </w:p>
    <w:p w14:paraId="0F478C06" w14:textId="037E52F5" w:rsidR="001F5695" w:rsidRPr="0000487B" w:rsidRDefault="00F82796" w:rsidP="00C26FC6">
      <w:pPr>
        <w:spacing w:line="360" w:lineRule="auto"/>
        <w:rPr>
          <w:rFonts w:ascii="Garamond" w:hAnsi="Garamond"/>
        </w:rPr>
      </w:pPr>
      <w:r w:rsidRPr="0000487B">
        <w:rPr>
          <w:rFonts w:ascii="Garamond" w:hAnsi="Garamond"/>
          <w:b/>
          <w:bCs/>
        </w:rPr>
        <w:t>(a)</w:t>
      </w:r>
      <w:r w:rsidR="001F5695" w:rsidRPr="0000487B">
        <w:rPr>
          <w:rFonts w:ascii="Garamond" w:hAnsi="Garamond"/>
          <w:b/>
          <w:bCs/>
        </w:rPr>
        <w:t>Thermal Exposure Pathway</w:t>
      </w:r>
      <w:r w:rsidR="001F5695" w:rsidRPr="0000487B">
        <w:rPr>
          <w:rFonts w:ascii="Garamond" w:hAnsi="Garamond"/>
        </w:rPr>
        <w:br/>
        <w:t>Rising temperatures → Urban heat island intensification → Indoor heat amplification (iron-sheet roofing) → Health stress and productivity loss.</w:t>
      </w:r>
    </w:p>
    <w:p w14:paraId="46D38C5C" w14:textId="52FCD923" w:rsidR="001F5695" w:rsidRPr="0000487B" w:rsidRDefault="00F82796" w:rsidP="00C26FC6">
      <w:pPr>
        <w:spacing w:line="360" w:lineRule="auto"/>
        <w:rPr>
          <w:rFonts w:ascii="Garamond" w:hAnsi="Garamond"/>
        </w:rPr>
      </w:pPr>
      <w:r w:rsidRPr="0000487B">
        <w:rPr>
          <w:rFonts w:ascii="Garamond" w:hAnsi="Garamond"/>
          <w:b/>
          <w:bCs/>
        </w:rPr>
        <w:t>(b)</w:t>
      </w:r>
      <w:r w:rsidR="001F5695" w:rsidRPr="0000487B">
        <w:rPr>
          <w:rFonts w:ascii="Garamond" w:hAnsi="Garamond"/>
          <w:b/>
          <w:bCs/>
        </w:rPr>
        <w:t>Hydro-Climatic Extremes Pathway</w:t>
      </w:r>
      <w:r w:rsidR="001F5695" w:rsidRPr="0000487B">
        <w:rPr>
          <w:rFonts w:ascii="Garamond" w:hAnsi="Garamond"/>
        </w:rPr>
        <w:br/>
        <w:t>Intensified short rains → Drainage overload → Flooding of low-lying zones (Korogocho) → Infrastructure damage and WASH contamination.</w:t>
      </w:r>
    </w:p>
    <w:p w14:paraId="3CBC7885" w14:textId="36333309" w:rsidR="001F5695" w:rsidRPr="0000487B" w:rsidRDefault="00F82796" w:rsidP="00C26FC6">
      <w:pPr>
        <w:spacing w:line="360" w:lineRule="auto"/>
        <w:rPr>
          <w:rFonts w:ascii="Garamond" w:hAnsi="Garamond"/>
        </w:rPr>
      </w:pPr>
      <w:r w:rsidRPr="0000487B">
        <w:rPr>
          <w:rFonts w:ascii="Garamond" w:hAnsi="Garamond"/>
          <w:b/>
          <w:bCs/>
        </w:rPr>
        <w:t>(c)</w:t>
      </w:r>
      <w:r w:rsidR="001F5695" w:rsidRPr="0000487B">
        <w:rPr>
          <w:rFonts w:ascii="Garamond" w:hAnsi="Garamond"/>
          <w:b/>
          <w:bCs/>
        </w:rPr>
        <w:t>Water Scarcity Pathway</w:t>
      </w:r>
      <w:r w:rsidR="001F5695" w:rsidRPr="0000487B">
        <w:rPr>
          <w:rFonts w:ascii="Garamond" w:hAnsi="Garamond"/>
        </w:rPr>
        <w:br/>
        <w:t>Prolonged dry spells → Reduced groundwater recharge → Increased reliance on informal water vendors → Economic strain and unsafe water consumption.</w:t>
      </w:r>
    </w:p>
    <w:p w14:paraId="25684AA7" w14:textId="63BB7E29" w:rsidR="001F5695" w:rsidRPr="0000487B" w:rsidRDefault="00F82796" w:rsidP="00C26FC6">
      <w:pPr>
        <w:spacing w:line="360" w:lineRule="auto"/>
        <w:rPr>
          <w:rFonts w:ascii="Garamond" w:hAnsi="Garamond"/>
        </w:rPr>
      </w:pPr>
      <w:r w:rsidRPr="0000487B">
        <w:rPr>
          <w:rFonts w:ascii="Garamond" w:hAnsi="Garamond"/>
          <w:b/>
          <w:bCs/>
        </w:rPr>
        <w:t>(d)</w:t>
      </w:r>
      <w:r w:rsidR="001F5695" w:rsidRPr="0000487B">
        <w:rPr>
          <w:rFonts w:ascii="Garamond" w:hAnsi="Garamond"/>
          <w:b/>
          <w:bCs/>
        </w:rPr>
        <w:t>Gendered Vulnerability Pathway</w:t>
      </w:r>
      <w:r w:rsidR="001F5695" w:rsidRPr="0000487B">
        <w:rPr>
          <w:rFonts w:ascii="Garamond" w:hAnsi="Garamond"/>
        </w:rPr>
        <w:br/>
        <w:t>Climate shock → Increased caregiving and water-fetching burden → Disproportionate psychosocial and health impacts on women and children.</w:t>
      </w:r>
    </w:p>
    <w:p w14:paraId="28ACDDA9" w14:textId="798B6AD6" w:rsidR="001F5695" w:rsidRPr="0000487B" w:rsidRDefault="00F82796" w:rsidP="00C26FC6">
      <w:pPr>
        <w:spacing w:line="360" w:lineRule="auto"/>
        <w:rPr>
          <w:rFonts w:ascii="Garamond" w:hAnsi="Garamond"/>
        </w:rPr>
      </w:pPr>
      <w:r w:rsidRPr="0000487B">
        <w:rPr>
          <w:rFonts w:ascii="Garamond" w:hAnsi="Garamond"/>
          <w:b/>
          <w:bCs/>
        </w:rPr>
        <w:lastRenderedPageBreak/>
        <w:t>(e)</w:t>
      </w:r>
      <w:r w:rsidR="001F5695" w:rsidRPr="0000487B">
        <w:rPr>
          <w:rFonts w:ascii="Garamond" w:hAnsi="Garamond"/>
          <w:b/>
          <w:bCs/>
        </w:rPr>
        <w:t>Spatial Amplification Pathway</w:t>
      </w:r>
      <w:r w:rsidR="001F5695" w:rsidRPr="0000487B">
        <w:rPr>
          <w:rFonts w:ascii="Garamond" w:hAnsi="Garamond"/>
        </w:rPr>
        <w:br/>
        <w:t xml:space="preserve">Topographic and density heterogeneity → Microclimatic hotspots → Concentrated risk in specific blocks within </w:t>
      </w:r>
      <w:r w:rsidRPr="0000487B">
        <w:rPr>
          <w:rFonts w:ascii="Garamond" w:hAnsi="Garamond"/>
        </w:rPr>
        <w:t>settlements. By</w:t>
      </w:r>
      <w:r w:rsidR="001F5695" w:rsidRPr="0000487B">
        <w:rPr>
          <w:rFonts w:ascii="Garamond" w:hAnsi="Garamond"/>
        </w:rPr>
        <w:t xml:space="preserve"> integrating these pathways, the study advances a multi-scalar vulnerability model that connects macro-level climate trends with micro-level settlement dynamics.</w:t>
      </w:r>
    </w:p>
    <w:p w14:paraId="13E97475" w14:textId="40CA6478" w:rsidR="001F5695" w:rsidRPr="0000487B" w:rsidRDefault="00F82796" w:rsidP="00466DBA">
      <w:pPr>
        <w:jc w:val="both"/>
        <w:rPr>
          <w:rFonts w:ascii="Garamond" w:hAnsi="Garamond"/>
          <w:b/>
          <w:bCs/>
        </w:rPr>
      </w:pPr>
      <w:r w:rsidRPr="0000487B">
        <w:rPr>
          <w:rFonts w:ascii="Garamond" w:hAnsi="Garamond"/>
          <w:b/>
          <w:bCs/>
        </w:rPr>
        <w:t>2</w:t>
      </w:r>
      <w:r w:rsidR="001F5695" w:rsidRPr="0000487B">
        <w:rPr>
          <w:rFonts w:ascii="Garamond" w:hAnsi="Garamond"/>
          <w:b/>
          <w:bCs/>
        </w:rPr>
        <w:t>.</w:t>
      </w:r>
      <w:r w:rsidRPr="0000487B">
        <w:rPr>
          <w:rFonts w:ascii="Garamond" w:hAnsi="Garamond"/>
          <w:b/>
          <w:bCs/>
        </w:rPr>
        <w:t>5</w:t>
      </w:r>
      <w:r w:rsidR="001F5695" w:rsidRPr="0000487B">
        <w:rPr>
          <w:rFonts w:ascii="Garamond" w:hAnsi="Garamond"/>
          <w:b/>
          <w:bCs/>
        </w:rPr>
        <w:t xml:space="preserve"> Novel Contribution of the Study</w:t>
      </w:r>
    </w:p>
    <w:p w14:paraId="7E2557E2" w14:textId="77777777" w:rsidR="001F5695" w:rsidRPr="0000487B" w:rsidRDefault="001F5695" w:rsidP="00466DBA">
      <w:pPr>
        <w:spacing w:line="360" w:lineRule="auto"/>
        <w:jc w:val="both"/>
        <w:rPr>
          <w:rFonts w:ascii="Garamond" w:hAnsi="Garamond"/>
        </w:rPr>
      </w:pPr>
      <w:r w:rsidRPr="0000487B">
        <w:rPr>
          <w:rFonts w:ascii="Garamond" w:hAnsi="Garamond"/>
        </w:rPr>
        <w:t>This paper makes four key contributions to the climate vulnerability and urban resilience literature:</w:t>
      </w:r>
    </w:p>
    <w:p w14:paraId="79A97FD2" w14:textId="7133509D" w:rsidR="001F5695" w:rsidRPr="0000487B" w:rsidRDefault="001F5695" w:rsidP="00466DBA">
      <w:pPr>
        <w:spacing w:line="360" w:lineRule="auto"/>
        <w:jc w:val="both"/>
        <w:rPr>
          <w:rFonts w:ascii="Garamond" w:hAnsi="Garamond"/>
          <w:b/>
          <w:bCs/>
        </w:rPr>
      </w:pPr>
      <w:r w:rsidRPr="0000487B">
        <w:rPr>
          <w:rFonts w:ascii="Garamond" w:hAnsi="Garamond"/>
          <w:b/>
          <w:bCs/>
        </w:rPr>
        <w:t>1</w:t>
      </w:r>
      <w:r w:rsidR="00F82796" w:rsidRPr="0000487B">
        <w:rPr>
          <w:rFonts w:ascii="Garamond" w:hAnsi="Garamond"/>
          <w:b/>
          <w:bCs/>
        </w:rPr>
        <w:t>️. Microscale</w:t>
      </w:r>
      <w:r w:rsidRPr="0000487B">
        <w:rPr>
          <w:rFonts w:ascii="Garamond" w:hAnsi="Garamond"/>
          <w:b/>
          <w:bCs/>
        </w:rPr>
        <w:t xml:space="preserve"> Climate Trend Detection at Settlement Level</w:t>
      </w:r>
    </w:p>
    <w:p w14:paraId="76998BE7" w14:textId="3CBC87B5" w:rsidR="001F5695" w:rsidRPr="0000487B" w:rsidRDefault="001F5695" w:rsidP="00466DBA">
      <w:pPr>
        <w:spacing w:line="360" w:lineRule="auto"/>
        <w:jc w:val="both"/>
        <w:rPr>
          <w:rFonts w:ascii="Garamond" w:hAnsi="Garamond"/>
        </w:rPr>
      </w:pPr>
      <w:r w:rsidRPr="0000487B">
        <w:rPr>
          <w:rFonts w:ascii="Garamond" w:hAnsi="Garamond"/>
        </w:rPr>
        <w:t xml:space="preserve">While most climate analyses for Nairobi operate at city or regional scale, this study disaggregates climate variability impacts to the settlement scale, revealing intra-urban heterogeneity between Korogocho and </w:t>
      </w:r>
      <w:r w:rsidR="001E54A5" w:rsidRPr="0000487B">
        <w:rPr>
          <w:rFonts w:ascii="Garamond" w:hAnsi="Garamond"/>
        </w:rPr>
        <w:t>Kahawa Soweto</w:t>
      </w:r>
      <w:r w:rsidRPr="0000487B">
        <w:rPr>
          <w:rFonts w:ascii="Garamond" w:hAnsi="Garamond"/>
        </w:rPr>
        <w:t>. This microscale approach uncovers localized thermal hotspots, flood-prone microzones, and spatially differentiated risk intensities that are often obscured in citywide datasets.</w:t>
      </w:r>
    </w:p>
    <w:p w14:paraId="7B991D6B" w14:textId="533279C6" w:rsidR="001F5695" w:rsidRPr="0000487B" w:rsidRDefault="001F5695" w:rsidP="00466DBA">
      <w:pPr>
        <w:spacing w:line="360" w:lineRule="auto"/>
        <w:jc w:val="both"/>
        <w:rPr>
          <w:rFonts w:ascii="Garamond" w:hAnsi="Garamond"/>
          <w:b/>
          <w:bCs/>
        </w:rPr>
      </w:pPr>
      <w:r w:rsidRPr="0000487B">
        <w:rPr>
          <w:rFonts w:ascii="Garamond" w:hAnsi="Garamond"/>
          <w:b/>
          <w:bCs/>
        </w:rPr>
        <w:t>2️</w:t>
      </w:r>
      <w:r w:rsidR="00F82796" w:rsidRPr="0000487B">
        <w:rPr>
          <w:rFonts w:ascii="Garamond" w:hAnsi="Garamond"/>
          <w:b/>
          <w:bCs/>
        </w:rPr>
        <w:t xml:space="preserve">. </w:t>
      </w:r>
      <w:r w:rsidRPr="0000487B">
        <w:rPr>
          <w:rFonts w:ascii="Garamond" w:hAnsi="Garamond"/>
          <w:b/>
          <w:bCs/>
        </w:rPr>
        <w:t>Empirical Mapping of Settlement-Level Climate Risk Pathways</w:t>
      </w:r>
    </w:p>
    <w:p w14:paraId="3C0A7F7E" w14:textId="77777777" w:rsidR="001F5695" w:rsidRPr="0000487B" w:rsidRDefault="001F5695" w:rsidP="00466DBA">
      <w:pPr>
        <w:spacing w:line="360" w:lineRule="auto"/>
        <w:jc w:val="both"/>
        <w:rPr>
          <w:rFonts w:ascii="Garamond" w:hAnsi="Garamond"/>
        </w:rPr>
      </w:pPr>
      <w:r w:rsidRPr="0000487B">
        <w:rPr>
          <w:rFonts w:ascii="Garamond" w:hAnsi="Garamond"/>
        </w:rPr>
        <w:t>The study moves beyond descriptive vulnerability by explicitly identifying and structuring climate risk pathways, linking climatic trends (temperature rise, rainfall variability) to housing fragility, WASH disruption, and gendered burdens. This pathway approach strengthens causal inference and policy relevance.</w:t>
      </w:r>
    </w:p>
    <w:p w14:paraId="79C9D4B8" w14:textId="71211A62" w:rsidR="001F5695" w:rsidRPr="0000487B" w:rsidRDefault="001F5695" w:rsidP="00466DBA">
      <w:pPr>
        <w:spacing w:line="360" w:lineRule="auto"/>
        <w:jc w:val="both"/>
        <w:rPr>
          <w:rFonts w:ascii="Garamond" w:hAnsi="Garamond"/>
          <w:b/>
          <w:bCs/>
        </w:rPr>
      </w:pPr>
      <w:r w:rsidRPr="0000487B">
        <w:rPr>
          <w:rFonts w:ascii="Garamond" w:hAnsi="Garamond"/>
          <w:b/>
          <w:bCs/>
        </w:rPr>
        <w:t>3</w:t>
      </w:r>
      <w:r w:rsidR="00F82796" w:rsidRPr="0000487B">
        <w:rPr>
          <w:rFonts w:ascii="Garamond" w:hAnsi="Garamond"/>
          <w:b/>
          <w:bCs/>
        </w:rPr>
        <w:t>️. Integration</w:t>
      </w:r>
      <w:r w:rsidRPr="0000487B">
        <w:rPr>
          <w:rFonts w:ascii="Garamond" w:hAnsi="Garamond"/>
          <w:b/>
          <w:bCs/>
        </w:rPr>
        <w:t xml:space="preserve"> of Biophysical and Socio-Spatial Drivers</w:t>
      </w:r>
    </w:p>
    <w:p w14:paraId="4EF28FC7" w14:textId="77777777" w:rsidR="001F5695" w:rsidRPr="0000487B" w:rsidRDefault="001F5695" w:rsidP="00466DBA">
      <w:pPr>
        <w:spacing w:line="360" w:lineRule="auto"/>
        <w:jc w:val="both"/>
        <w:rPr>
          <w:rFonts w:ascii="Garamond" w:hAnsi="Garamond"/>
        </w:rPr>
      </w:pPr>
      <w:r w:rsidRPr="0000487B">
        <w:rPr>
          <w:rFonts w:ascii="Garamond" w:hAnsi="Garamond"/>
        </w:rPr>
        <w:t>Unlike studies that isolate climatic factors, this research integrates temperature and rainfall trends with settlement morphology (density, materials, drainage), producing a more comprehensive risk architecture.</w:t>
      </w:r>
    </w:p>
    <w:p w14:paraId="4A82A5BA" w14:textId="34C08312" w:rsidR="001F5695" w:rsidRPr="0000487B" w:rsidRDefault="001F5695" w:rsidP="00466DBA">
      <w:pPr>
        <w:spacing w:line="360" w:lineRule="auto"/>
        <w:jc w:val="both"/>
        <w:rPr>
          <w:rFonts w:ascii="Garamond" w:hAnsi="Garamond"/>
          <w:b/>
          <w:bCs/>
        </w:rPr>
      </w:pPr>
      <w:r w:rsidRPr="0000487B">
        <w:rPr>
          <w:rFonts w:ascii="Garamond" w:hAnsi="Garamond"/>
          <w:b/>
          <w:bCs/>
        </w:rPr>
        <w:t>4️</w:t>
      </w:r>
      <w:r w:rsidR="00F82796" w:rsidRPr="0000487B">
        <w:rPr>
          <w:rFonts w:ascii="Garamond" w:hAnsi="Garamond"/>
          <w:b/>
          <w:bCs/>
        </w:rPr>
        <w:t xml:space="preserve">. </w:t>
      </w:r>
      <w:r w:rsidRPr="0000487B">
        <w:rPr>
          <w:rFonts w:ascii="Garamond" w:hAnsi="Garamond"/>
          <w:b/>
          <w:bCs/>
        </w:rPr>
        <w:t>Spatial Differentiation Within Informal Settlements</w:t>
      </w:r>
    </w:p>
    <w:p w14:paraId="111CA1A5" w14:textId="6CEE1192" w:rsidR="001F5695" w:rsidRPr="0000487B" w:rsidRDefault="001F5695" w:rsidP="00466DBA">
      <w:pPr>
        <w:spacing w:line="360" w:lineRule="auto"/>
        <w:jc w:val="both"/>
        <w:rPr>
          <w:rFonts w:ascii="Garamond" w:hAnsi="Garamond"/>
        </w:rPr>
      </w:pPr>
      <w:r w:rsidRPr="0000487B">
        <w:rPr>
          <w:rFonts w:ascii="Garamond" w:hAnsi="Garamond"/>
        </w:rPr>
        <w:t xml:space="preserve">The study demonstrates that vulnerability is not uniform within </w:t>
      </w:r>
      <w:r w:rsidR="001E54A5" w:rsidRPr="0000487B">
        <w:rPr>
          <w:rFonts w:ascii="Garamond" w:hAnsi="Garamond"/>
        </w:rPr>
        <w:t xml:space="preserve">informal </w:t>
      </w:r>
      <w:r w:rsidR="00EF3A20" w:rsidRPr="0000487B">
        <w:rPr>
          <w:rFonts w:ascii="Garamond" w:hAnsi="Garamond"/>
        </w:rPr>
        <w:t>settlements</w:t>
      </w:r>
      <w:r w:rsidRPr="0000487B">
        <w:rPr>
          <w:rFonts w:ascii="Garamond" w:hAnsi="Garamond"/>
        </w:rPr>
        <w:t xml:space="preserve">. Even within the same urban system, Korogocho (low-lying flood-prone) and </w:t>
      </w:r>
      <w:r w:rsidR="00EE7853" w:rsidRPr="0000487B">
        <w:rPr>
          <w:rFonts w:ascii="Garamond" w:hAnsi="Garamond"/>
        </w:rPr>
        <w:t>Kahawa soweto</w:t>
      </w:r>
      <w:r w:rsidR="003B09A3" w:rsidRPr="0000487B">
        <w:rPr>
          <w:rFonts w:ascii="Garamond" w:hAnsi="Garamond"/>
        </w:rPr>
        <w:t xml:space="preserve"> </w:t>
      </w:r>
      <w:r w:rsidRPr="0000487B">
        <w:rPr>
          <w:rFonts w:ascii="Garamond" w:hAnsi="Garamond"/>
        </w:rPr>
        <w:t>(heat-exposed elevated zones) exhibit distinct climate signatures. This challenges monolithic representations of “informal settlements” in climate policy.</w:t>
      </w:r>
    </w:p>
    <w:p w14:paraId="3A4E791C" w14:textId="57EE9785" w:rsidR="001F5695" w:rsidRPr="0000487B" w:rsidRDefault="00F82796" w:rsidP="00466DBA">
      <w:pPr>
        <w:spacing w:line="360" w:lineRule="auto"/>
        <w:jc w:val="both"/>
        <w:rPr>
          <w:rFonts w:ascii="Garamond" w:hAnsi="Garamond"/>
          <w:b/>
          <w:bCs/>
        </w:rPr>
      </w:pPr>
      <w:r w:rsidRPr="0000487B">
        <w:rPr>
          <w:rFonts w:ascii="Garamond" w:hAnsi="Garamond"/>
          <w:b/>
          <w:bCs/>
        </w:rPr>
        <w:t>2.6.</w:t>
      </w:r>
      <w:r w:rsidR="001F5695" w:rsidRPr="0000487B">
        <w:rPr>
          <w:rFonts w:ascii="Garamond" w:hAnsi="Garamond"/>
          <w:b/>
          <w:bCs/>
        </w:rPr>
        <w:t xml:space="preserve"> Conceptual Advancement</w:t>
      </w:r>
    </w:p>
    <w:p w14:paraId="28C58C69" w14:textId="42558CD6" w:rsidR="001F5695" w:rsidRPr="0000487B" w:rsidRDefault="001F5695" w:rsidP="00466DBA">
      <w:pPr>
        <w:spacing w:line="360" w:lineRule="auto"/>
        <w:jc w:val="both"/>
        <w:rPr>
          <w:rFonts w:ascii="Garamond" w:hAnsi="Garamond"/>
        </w:rPr>
      </w:pPr>
      <w:r w:rsidRPr="0000487B">
        <w:rPr>
          <w:rFonts w:ascii="Garamond" w:hAnsi="Garamond"/>
        </w:rPr>
        <w:lastRenderedPageBreak/>
        <w:t>By combining:</w:t>
      </w:r>
      <w:r w:rsidR="00F82796" w:rsidRPr="0000487B">
        <w:rPr>
          <w:rFonts w:ascii="Garamond" w:hAnsi="Garamond"/>
        </w:rPr>
        <w:t xml:space="preserve"> </w:t>
      </w:r>
      <w:r w:rsidRPr="0000487B">
        <w:rPr>
          <w:rFonts w:ascii="Garamond" w:hAnsi="Garamond"/>
        </w:rPr>
        <w:t>IPCC vulnerability components (exposure–sensitivity–adaptive capacity),</w:t>
      </w:r>
      <w:r w:rsidR="00F82796" w:rsidRPr="0000487B">
        <w:rPr>
          <w:rFonts w:ascii="Garamond" w:hAnsi="Garamond"/>
        </w:rPr>
        <w:t xml:space="preserve"> </w:t>
      </w:r>
      <w:r w:rsidRPr="0000487B">
        <w:rPr>
          <w:rFonts w:ascii="Garamond" w:hAnsi="Garamond"/>
        </w:rPr>
        <w:t>Urban political ecology,</w:t>
      </w:r>
      <w:r w:rsidR="00F82796" w:rsidRPr="0000487B">
        <w:rPr>
          <w:rFonts w:ascii="Garamond" w:hAnsi="Garamond"/>
        </w:rPr>
        <w:t xml:space="preserve"> social</w:t>
      </w:r>
      <w:r w:rsidRPr="0000487B">
        <w:rPr>
          <w:rFonts w:ascii="Garamond" w:hAnsi="Garamond"/>
        </w:rPr>
        <w:t xml:space="preserve"> resilience theory</w:t>
      </w:r>
      <w:r w:rsidR="00F82796" w:rsidRPr="0000487B">
        <w:rPr>
          <w:rFonts w:ascii="Garamond" w:hAnsi="Garamond"/>
        </w:rPr>
        <w:t xml:space="preserve"> a</w:t>
      </w:r>
      <w:r w:rsidRPr="0000487B">
        <w:rPr>
          <w:rFonts w:ascii="Garamond" w:hAnsi="Garamond"/>
        </w:rPr>
        <w:t>nd spatial risk analysis,</w:t>
      </w:r>
      <w:r w:rsidR="00F82796" w:rsidRPr="0000487B">
        <w:rPr>
          <w:rFonts w:ascii="Garamond" w:hAnsi="Garamond"/>
        </w:rPr>
        <w:t xml:space="preserve"> </w:t>
      </w:r>
      <w:r w:rsidRPr="0000487B">
        <w:rPr>
          <w:rFonts w:ascii="Garamond" w:hAnsi="Garamond"/>
        </w:rPr>
        <w:t>this study advances a settlement-scale climate vulnerability framework that is:</w:t>
      </w:r>
    </w:p>
    <w:p w14:paraId="3DA86D43" w14:textId="77777777" w:rsidR="001F5695" w:rsidRPr="0000487B" w:rsidRDefault="001F5695" w:rsidP="00466DBA">
      <w:pPr>
        <w:pStyle w:val="ListParagraph"/>
        <w:numPr>
          <w:ilvl w:val="0"/>
          <w:numId w:val="35"/>
        </w:numPr>
        <w:spacing w:line="360" w:lineRule="auto"/>
        <w:jc w:val="both"/>
        <w:rPr>
          <w:rFonts w:ascii="Garamond" w:hAnsi="Garamond"/>
        </w:rPr>
      </w:pPr>
      <w:r w:rsidRPr="0000487B">
        <w:rPr>
          <w:rFonts w:ascii="Garamond" w:hAnsi="Garamond"/>
        </w:rPr>
        <w:t>Mechanism-oriented</w:t>
      </w:r>
    </w:p>
    <w:p w14:paraId="01748A5F" w14:textId="77777777" w:rsidR="001F5695" w:rsidRPr="0000487B" w:rsidRDefault="001F5695" w:rsidP="00466DBA">
      <w:pPr>
        <w:pStyle w:val="ListParagraph"/>
        <w:numPr>
          <w:ilvl w:val="0"/>
          <w:numId w:val="35"/>
        </w:numPr>
        <w:spacing w:line="360" w:lineRule="auto"/>
        <w:jc w:val="both"/>
        <w:rPr>
          <w:rFonts w:ascii="Garamond" w:hAnsi="Garamond"/>
        </w:rPr>
      </w:pPr>
      <w:r w:rsidRPr="0000487B">
        <w:rPr>
          <w:rFonts w:ascii="Garamond" w:hAnsi="Garamond"/>
        </w:rPr>
        <w:t>Spatially explicit</w:t>
      </w:r>
    </w:p>
    <w:p w14:paraId="6EED089E" w14:textId="77777777" w:rsidR="001F5695" w:rsidRPr="0000487B" w:rsidRDefault="001F5695" w:rsidP="00466DBA">
      <w:pPr>
        <w:pStyle w:val="ListParagraph"/>
        <w:numPr>
          <w:ilvl w:val="0"/>
          <w:numId w:val="35"/>
        </w:numPr>
        <w:spacing w:line="360" w:lineRule="auto"/>
        <w:jc w:val="both"/>
        <w:rPr>
          <w:rFonts w:ascii="Garamond" w:hAnsi="Garamond"/>
        </w:rPr>
      </w:pPr>
      <w:r w:rsidRPr="0000487B">
        <w:rPr>
          <w:rFonts w:ascii="Garamond" w:hAnsi="Garamond"/>
        </w:rPr>
        <w:t>Gender-aware</w:t>
      </w:r>
    </w:p>
    <w:p w14:paraId="167098C0" w14:textId="77777777" w:rsidR="001F5695" w:rsidRPr="0000487B" w:rsidRDefault="001F5695" w:rsidP="00466DBA">
      <w:pPr>
        <w:pStyle w:val="ListParagraph"/>
        <w:numPr>
          <w:ilvl w:val="0"/>
          <w:numId w:val="35"/>
        </w:numPr>
        <w:spacing w:line="360" w:lineRule="auto"/>
        <w:jc w:val="both"/>
        <w:rPr>
          <w:rFonts w:ascii="Garamond" w:hAnsi="Garamond"/>
        </w:rPr>
      </w:pPr>
      <w:r w:rsidRPr="0000487B">
        <w:rPr>
          <w:rFonts w:ascii="Garamond" w:hAnsi="Garamond"/>
        </w:rPr>
        <w:t>Policy translatable</w:t>
      </w:r>
    </w:p>
    <w:p w14:paraId="6657414D" w14:textId="77777777" w:rsidR="00F82796" w:rsidRPr="0000487B" w:rsidRDefault="001F5695" w:rsidP="00466DBA">
      <w:pPr>
        <w:spacing w:line="360" w:lineRule="auto"/>
        <w:jc w:val="both"/>
        <w:rPr>
          <w:rFonts w:ascii="Garamond" w:hAnsi="Garamond"/>
          <w:noProof/>
        </w:rPr>
      </w:pPr>
      <w:r w:rsidRPr="0000487B">
        <w:rPr>
          <w:rFonts w:ascii="Garamond" w:hAnsi="Garamond"/>
        </w:rPr>
        <w:t>It therefore contributes to bridging the gap between macro-level climate projections and micro-level adaptation planning in rapidly urbanizing African cities</w:t>
      </w:r>
      <w:bookmarkStart w:id="2" w:name="_Hlk223298070"/>
      <w:r w:rsidRPr="0000487B">
        <w:rPr>
          <w:rFonts w:ascii="Garamond" w:hAnsi="Garamond"/>
        </w:rPr>
        <w:t>.</w:t>
      </w:r>
      <w:r w:rsidR="00B62637" w:rsidRPr="0000487B">
        <w:rPr>
          <w:rFonts w:ascii="Garamond" w:hAnsi="Garamond"/>
          <w:noProof/>
        </w:rPr>
        <w:t xml:space="preserve"> </w:t>
      </w:r>
    </w:p>
    <w:p w14:paraId="07765E09" w14:textId="4B0A3B19" w:rsidR="00F82796" w:rsidRPr="0000487B" w:rsidRDefault="00F82796" w:rsidP="00466DBA">
      <w:pPr>
        <w:spacing w:line="360" w:lineRule="auto"/>
        <w:jc w:val="both"/>
        <w:rPr>
          <w:rFonts w:ascii="Garamond" w:hAnsi="Garamond"/>
        </w:rPr>
      </w:pPr>
      <w:r w:rsidRPr="0000487B">
        <w:rPr>
          <w:rFonts w:ascii="Garamond" w:hAnsi="Garamond"/>
        </w:rPr>
        <w:t>The conceptual framework illustrates how rising temperatures and erratic rainfall increase exposure within the informal settlements of Korogocho and Kahawa Soweto, where poor housing, inadequate infrastructure, and limited WASH services heighten sensitivity. These climatic stressors manifest through three primary pathways: thermal exposure linked to the urban heat island effect, hydro-climatic extremes such as flooding and drought, and gendered vulnerability shaped by social inequalities. The interaction of exposure and sensitivity determines the scale and intensity of climate-related risks experienced at the household level. Adaptive capacity mediated by community networks, livelihood resources, education and awareness, and women’s initiatives plays a moderating role in reducing vulnerability. Ultimately, the framework demonstrates that household outcomes, including health impacts, income loss, and water and sanitation challenges, are shaped by the dynamic interplay of climatic hazards, structural inequalities, and resilience capacities within a broader IPCC-informed vulnerability and urban political ecology perspective (Figure</w:t>
      </w:r>
      <w:r w:rsidR="00EF3A20" w:rsidRPr="0000487B">
        <w:rPr>
          <w:rFonts w:ascii="Garamond" w:hAnsi="Garamond"/>
        </w:rPr>
        <w:t>.1</w:t>
      </w:r>
      <w:r w:rsidRPr="0000487B">
        <w:rPr>
          <w:rFonts w:ascii="Garamond" w:hAnsi="Garamond"/>
        </w:rPr>
        <w:t>).</w:t>
      </w:r>
    </w:p>
    <w:p w14:paraId="78A0CCCC" w14:textId="0D7BED9C" w:rsidR="001F5695" w:rsidRPr="0000487B" w:rsidRDefault="00B62637" w:rsidP="00466DBA">
      <w:pPr>
        <w:spacing w:line="360" w:lineRule="auto"/>
        <w:jc w:val="both"/>
        <w:rPr>
          <w:rFonts w:ascii="Garamond" w:hAnsi="Garamond"/>
        </w:rPr>
      </w:pPr>
      <w:r w:rsidRPr="0000487B">
        <w:rPr>
          <w:rFonts w:ascii="Garamond" w:hAnsi="Garamond"/>
          <w:noProof/>
        </w:rPr>
        <w:lastRenderedPageBreak/>
        <w:drawing>
          <wp:inline distT="0" distB="0" distL="0" distR="0" wp14:anchorId="7DC09EBE" wp14:editId="0338C37B">
            <wp:extent cx="5943600" cy="3433445"/>
            <wp:effectExtent l="19050" t="19050" r="19050" b="14605"/>
            <wp:docPr id="12291337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133719" name=""/>
                    <pic:cNvPicPr/>
                  </pic:nvPicPr>
                  <pic:blipFill>
                    <a:blip r:embed="rId9"/>
                    <a:stretch>
                      <a:fillRect/>
                    </a:stretch>
                  </pic:blipFill>
                  <pic:spPr>
                    <a:xfrm>
                      <a:off x="0" y="0"/>
                      <a:ext cx="5943600" cy="3433445"/>
                    </a:xfrm>
                    <a:prstGeom prst="rect">
                      <a:avLst/>
                    </a:prstGeom>
                    <a:ln>
                      <a:solidFill>
                        <a:schemeClr val="tx1"/>
                      </a:solidFill>
                    </a:ln>
                  </pic:spPr>
                </pic:pic>
              </a:graphicData>
            </a:graphic>
          </wp:inline>
        </w:drawing>
      </w:r>
    </w:p>
    <w:p w14:paraId="126764C0" w14:textId="57395E92" w:rsidR="00E231E2" w:rsidRPr="0000487B" w:rsidRDefault="00E231E2" w:rsidP="00466DBA">
      <w:pPr>
        <w:jc w:val="both"/>
        <w:rPr>
          <w:rFonts w:ascii="Garamond" w:hAnsi="Garamond"/>
        </w:rPr>
      </w:pPr>
      <w:r w:rsidRPr="0000487B">
        <w:rPr>
          <w:rFonts w:ascii="Garamond" w:hAnsi="Garamond" w:cs="Times New Roman"/>
          <w:b/>
          <w:bCs/>
        </w:rPr>
        <w:t xml:space="preserve">Figure </w:t>
      </w:r>
      <w:proofErr w:type="gramStart"/>
      <w:r w:rsidR="002C4203" w:rsidRPr="0000487B">
        <w:rPr>
          <w:rFonts w:ascii="Garamond" w:hAnsi="Garamond" w:cs="Times New Roman"/>
          <w:b/>
          <w:bCs/>
        </w:rPr>
        <w:t>2</w:t>
      </w:r>
      <w:r w:rsidR="00FE5ACF" w:rsidRPr="0000487B">
        <w:rPr>
          <w:rFonts w:ascii="Garamond" w:hAnsi="Garamond" w:cs="Times New Roman"/>
          <w:b/>
          <w:bCs/>
        </w:rPr>
        <w:t>.</w:t>
      </w:r>
      <w:r w:rsidRPr="0000487B">
        <w:rPr>
          <w:rFonts w:ascii="Garamond" w:hAnsi="Garamond" w:cs="Times New Roman"/>
          <w:b/>
          <w:bCs/>
        </w:rPr>
        <w:t>.</w:t>
      </w:r>
      <w:proofErr w:type="gramEnd"/>
      <w:r w:rsidRPr="0000487B">
        <w:rPr>
          <w:rFonts w:ascii="Garamond" w:hAnsi="Garamond" w:cs="Times New Roman"/>
          <w:b/>
          <w:bCs/>
        </w:rPr>
        <w:t xml:space="preserve"> </w:t>
      </w:r>
      <w:r w:rsidRPr="0000487B">
        <w:rPr>
          <w:rFonts w:ascii="Garamond" w:hAnsi="Garamond"/>
        </w:rPr>
        <w:t xml:space="preserve">conceptual framework of settlement-level Climate Vulnerability in Korogocho &amp; </w:t>
      </w:r>
      <w:r w:rsidR="001E54A5" w:rsidRPr="0000487B">
        <w:rPr>
          <w:rFonts w:ascii="Garamond" w:hAnsi="Garamond"/>
        </w:rPr>
        <w:t>Kahawa Soweto</w:t>
      </w:r>
      <w:r w:rsidRPr="0000487B">
        <w:rPr>
          <w:rFonts w:ascii="Garamond" w:hAnsi="Garamond"/>
        </w:rPr>
        <w:t xml:space="preserve">. Source: </w:t>
      </w:r>
      <w:r w:rsidR="00B62637" w:rsidRPr="0000487B">
        <w:rPr>
          <w:rFonts w:ascii="Garamond" w:hAnsi="Garamond"/>
        </w:rPr>
        <w:t>(field</w:t>
      </w:r>
      <w:r w:rsidRPr="0000487B">
        <w:rPr>
          <w:rFonts w:ascii="Garamond" w:hAnsi="Garamond"/>
        </w:rPr>
        <w:t xml:space="preserve"> research, 2025).</w:t>
      </w:r>
    </w:p>
    <w:bookmarkEnd w:id="2"/>
    <w:p w14:paraId="6C0C6772" w14:textId="614214FC" w:rsidR="00015591" w:rsidRPr="0000487B" w:rsidRDefault="00F82796" w:rsidP="00466DBA">
      <w:pPr>
        <w:spacing w:line="360" w:lineRule="auto"/>
        <w:jc w:val="both"/>
        <w:rPr>
          <w:rFonts w:ascii="Garamond" w:hAnsi="Garamond"/>
          <w:b/>
          <w:bCs/>
        </w:rPr>
      </w:pPr>
      <w:r w:rsidRPr="0000487B">
        <w:rPr>
          <w:rFonts w:ascii="Garamond" w:hAnsi="Garamond"/>
          <w:b/>
          <w:bCs/>
        </w:rPr>
        <w:t>2.7.</w:t>
      </w:r>
      <w:r w:rsidR="00485C9B" w:rsidRPr="0000487B">
        <w:rPr>
          <w:rFonts w:ascii="Garamond" w:hAnsi="Garamond"/>
          <w:b/>
          <w:bCs/>
        </w:rPr>
        <w:t xml:space="preserve"> Climate Data Trend Analysis and robustness</w:t>
      </w:r>
    </w:p>
    <w:p w14:paraId="1F1B8689" w14:textId="0F7AA338" w:rsidR="00E91958" w:rsidRPr="0000487B" w:rsidRDefault="00F82796" w:rsidP="00466DBA">
      <w:pPr>
        <w:spacing w:line="360" w:lineRule="auto"/>
        <w:jc w:val="both"/>
        <w:rPr>
          <w:rFonts w:ascii="Garamond" w:hAnsi="Garamond"/>
          <w:b/>
          <w:bCs/>
        </w:rPr>
      </w:pPr>
      <w:r w:rsidRPr="0000487B">
        <w:rPr>
          <w:rFonts w:ascii="Garamond" w:hAnsi="Garamond"/>
          <w:b/>
          <w:bCs/>
        </w:rPr>
        <w:t>2.</w:t>
      </w:r>
      <w:r w:rsidR="00F90F97" w:rsidRPr="0000487B">
        <w:rPr>
          <w:rFonts w:ascii="Garamond" w:hAnsi="Garamond"/>
          <w:b/>
          <w:bCs/>
        </w:rPr>
        <w:t>8. Climate</w:t>
      </w:r>
      <w:r w:rsidR="00E91958" w:rsidRPr="0000487B">
        <w:rPr>
          <w:rFonts w:ascii="Garamond" w:hAnsi="Garamond"/>
          <w:b/>
          <w:bCs/>
        </w:rPr>
        <w:t xml:space="preserve"> Variability Trends in Korogocho and Kahawa Soweto (1995–2025)</w:t>
      </w:r>
    </w:p>
    <w:p w14:paraId="7E04E75E" w14:textId="77777777" w:rsidR="00E91958" w:rsidRPr="0000487B" w:rsidRDefault="00E91958" w:rsidP="00466DBA">
      <w:pPr>
        <w:spacing w:line="360" w:lineRule="auto"/>
        <w:jc w:val="both"/>
        <w:rPr>
          <w:rFonts w:ascii="Garamond" w:hAnsi="Garamond"/>
          <w:b/>
          <w:bCs/>
        </w:rPr>
      </w:pPr>
      <w:r w:rsidRPr="0000487B">
        <w:rPr>
          <w:rFonts w:ascii="Garamond" w:hAnsi="Garamond"/>
          <w:b/>
          <w:bCs/>
        </w:rPr>
        <w:t>Rationale for Time Period (1995–2025)</w:t>
      </w:r>
    </w:p>
    <w:p w14:paraId="1D2D0ACB" w14:textId="6208DE26" w:rsidR="00E91958" w:rsidRPr="0000487B" w:rsidRDefault="00E91958" w:rsidP="00466DBA">
      <w:pPr>
        <w:spacing w:line="360" w:lineRule="auto"/>
        <w:jc w:val="both"/>
        <w:rPr>
          <w:rFonts w:ascii="Garamond" w:hAnsi="Garamond"/>
        </w:rPr>
      </w:pPr>
      <w:r w:rsidRPr="0000487B">
        <w:rPr>
          <w:rFonts w:ascii="Garamond" w:hAnsi="Garamond"/>
        </w:rPr>
        <w:t xml:space="preserve">The period 1995–2025 was selected for trend analysis for several reasons. First, it aligns with widely used climate baselines (e.g., 30-year </w:t>
      </w:r>
      <w:r w:rsidR="00F90F97" w:rsidRPr="0000487B">
        <w:rPr>
          <w:rFonts w:ascii="Garamond" w:hAnsi="Garamond"/>
        </w:rPr>
        <w:t>normal</w:t>
      </w:r>
      <w:r w:rsidRPr="0000487B">
        <w:rPr>
          <w:rFonts w:ascii="Garamond" w:hAnsi="Garamond"/>
        </w:rPr>
        <w:t>) recommended by the World Meteorological Organization for detecting meaningful climatic shifts and separating long-term trends from interannual variability. A 30-year span provides sufficient length to observe slow-evolving changes (e.g., warming, rainfall pattern shifts), while extending through 2025 incorporates the most recent climate dynamics relevant to ongoing adaptation planning. The length also enhances statistical power for trend detection, reducing the influence of short-term noise and improving sensitivity to gradual change. Standard climatological practice emphasizes the use of multi-decadal records to minimize sampling error and temporal autocorrelation influence when identifying climate trends (IPCC, 2022).</w:t>
      </w:r>
    </w:p>
    <w:p w14:paraId="6403DB25" w14:textId="3C1ECE1C" w:rsidR="00E91958" w:rsidRPr="0000487B" w:rsidRDefault="00F90F97" w:rsidP="00466DBA">
      <w:pPr>
        <w:spacing w:line="360" w:lineRule="auto"/>
        <w:jc w:val="both"/>
        <w:rPr>
          <w:rFonts w:ascii="Garamond" w:hAnsi="Garamond"/>
          <w:b/>
          <w:bCs/>
        </w:rPr>
      </w:pPr>
      <w:r w:rsidRPr="0000487B">
        <w:rPr>
          <w:rFonts w:ascii="Garamond" w:hAnsi="Garamond"/>
          <w:b/>
          <w:bCs/>
        </w:rPr>
        <w:t>2.9. Climate</w:t>
      </w:r>
      <w:r w:rsidR="00E91958" w:rsidRPr="0000487B">
        <w:rPr>
          <w:rFonts w:ascii="Garamond" w:hAnsi="Garamond"/>
          <w:b/>
          <w:bCs/>
        </w:rPr>
        <w:t xml:space="preserve"> Data Sources and Station Metadata</w:t>
      </w:r>
    </w:p>
    <w:p w14:paraId="02FB0CA3" w14:textId="77777777" w:rsidR="00E91958" w:rsidRPr="0000487B" w:rsidRDefault="00E91958" w:rsidP="00466DBA">
      <w:pPr>
        <w:spacing w:line="360" w:lineRule="auto"/>
        <w:jc w:val="both"/>
        <w:rPr>
          <w:rFonts w:ascii="Garamond" w:hAnsi="Garamond"/>
        </w:rPr>
      </w:pPr>
      <w:r w:rsidRPr="0000487B">
        <w:rPr>
          <w:rFonts w:ascii="Garamond" w:hAnsi="Garamond"/>
        </w:rPr>
        <w:lastRenderedPageBreak/>
        <w:t>Due to the absence of automatic meteorological stations located directly within informal settlements, the study drew on historical ground station data from Nairobi’s long-term weather stations, which provide the closest high-quality observational records for both temperature and precipitation.</w:t>
      </w:r>
    </w:p>
    <w:p w14:paraId="742075CB" w14:textId="4E0A34D6" w:rsidR="00E91958" w:rsidRPr="0000487B" w:rsidRDefault="00F90F97" w:rsidP="00466DBA">
      <w:pPr>
        <w:spacing w:line="360" w:lineRule="auto"/>
        <w:jc w:val="both"/>
        <w:rPr>
          <w:rFonts w:ascii="Garamond" w:hAnsi="Garamond"/>
          <w:b/>
          <w:bCs/>
        </w:rPr>
      </w:pPr>
      <w:r w:rsidRPr="0000487B">
        <w:rPr>
          <w:rFonts w:ascii="Garamond" w:hAnsi="Garamond"/>
          <w:b/>
          <w:bCs/>
        </w:rPr>
        <w:t>2.11. Primary</w:t>
      </w:r>
      <w:r w:rsidR="00E91958" w:rsidRPr="0000487B">
        <w:rPr>
          <w:rFonts w:ascii="Garamond" w:hAnsi="Garamond"/>
          <w:b/>
          <w:bCs/>
        </w:rPr>
        <w:t xml:space="preserve"> station used:</w:t>
      </w:r>
    </w:p>
    <w:p w14:paraId="1C53EFE0" w14:textId="77777777" w:rsidR="00E91958" w:rsidRPr="0000487B" w:rsidRDefault="00E91958" w:rsidP="00FE5ACF">
      <w:pPr>
        <w:spacing w:line="360" w:lineRule="auto"/>
        <w:rPr>
          <w:rFonts w:ascii="Garamond" w:hAnsi="Garamond"/>
        </w:rPr>
      </w:pPr>
      <w:r w:rsidRPr="0000487B">
        <w:rPr>
          <w:rFonts w:ascii="Garamond" w:hAnsi="Garamond"/>
        </w:rPr>
        <w:t>Jomo Kenyatta International Airport (Station ID: 637400)</w:t>
      </w:r>
      <w:r w:rsidRPr="0000487B">
        <w:rPr>
          <w:rFonts w:ascii="Garamond" w:hAnsi="Garamond"/>
        </w:rPr>
        <w:br/>
        <w:t>Latitude: –1.31; Longitude: 36.91; Elevation: ~1624 m above sea level. (</w:t>
      </w:r>
      <w:hyperlink r:id="rId10" w:tooltip="Climate Nairobi, Jomo Kenyatta - Climate data (637400)" w:history="1">
        <w:r w:rsidRPr="0000487B">
          <w:rPr>
            <w:rStyle w:val="Hyperlink"/>
            <w:rFonts w:ascii="Garamond" w:hAnsi="Garamond"/>
            <w:color w:val="auto"/>
          </w:rPr>
          <w:t>www.tutiempo.net</w:t>
        </w:r>
      </w:hyperlink>
      <w:r w:rsidRPr="0000487B">
        <w:rPr>
          <w:rFonts w:ascii="Garamond" w:hAnsi="Garamond"/>
        </w:rPr>
        <w:t>)</w:t>
      </w:r>
    </w:p>
    <w:p w14:paraId="5B2629FB" w14:textId="77777777" w:rsidR="00E91958" w:rsidRPr="0000487B" w:rsidRDefault="00E91958" w:rsidP="00466DBA">
      <w:pPr>
        <w:spacing w:line="360" w:lineRule="auto"/>
        <w:jc w:val="both"/>
        <w:rPr>
          <w:rFonts w:ascii="Garamond" w:hAnsi="Garamond"/>
        </w:rPr>
      </w:pPr>
      <w:r w:rsidRPr="0000487B">
        <w:rPr>
          <w:rFonts w:ascii="Garamond" w:hAnsi="Garamond"/>
        </w:rPr>
        <w:t>This station offers continuous historical records from the 1950s through 2025, making it suitable for multi-decadal trend analysis. Its location within greater Nairobi (~10–15 km from Korogocho and Kahawa Soweto) provides reasonable representation of broader urban climatic conditions experienced by these settlements, particularly for temperature gradients and general rainfall patterns.</w:t>
      </w:r>
    </w:p>
    <w:p w14:paraId="62257892" w14:textId="77777777" w:rsidR="00E91958" w:rsidRPr="0000487B" w:rsidRDefault="00E91958" w:rsidP="00466DBA">
      <w:pPr>
        <w:spacing w:line="360" w:lineRule="auto"/>
        <w:jc w:val="both"/>
        <w:rPr>
          <w:rFonts w:ascii="Garamond" w:hAnsi="Garamond"/>
        </w:rPr>
      </w:pPr>
      <w:r w:rsidRPr="0000487B">
        <w:rPr>
          <w:rFonts w:ascii="Garamond" w:hAnsi="Garamond"/>
        </w:rPr>
        <w:t>Additional stations within the Nairobi region (e.g., Dagoretti Station ID: 637410) were considered for cross-validation and spatial representation of intra-urban variability, including different microclimates across the urban environment. (</w:t>
      </w:r>
      <w:hyperlink r:id="rId11" w:tooltip="Climate Nairobi / Dagoretti - Climate data (637410)" w:history="1">
        <w:r w:rsidRPr="0000487B">
          <w:rPr>
            <w:rStyle w:val="Hyperlink"/>
            <w:rFonts w:ascii="Garamond" w:hAnsi="Garamond"/>
            <w:color w:val="auto"/>
          </w:rPr>
          <w:t>www.tutiempo.net</w:t>
        </w:r>
      </w:hyperlink>
      <w:r w:rsidRPr="0000487B">
        <w:rPr>
          <w:rFonts w:ascii="Garamond" w:hAnsi="Garamond"/>
        </w:rPr>
        <w:t>)</w:t>
      </w:r>
    </w:p>
    <w:p w14:paraId="528F5294" w14:textId="7899E5AF" w:rsidR="00E91958" w:rsidRPr="0000487B" w:rsidRDefault="00F90F97" w:rsidP="00FE5ACF">
      <w:pPr>
        <w:spacing w:line="360" w:lineRule="auto"/>
        <w:rPr>
          <w:rFonts w:ascii="Garamond" w:hAnsi="Garamond"/>
        </w:rPr>
      </w:pPr>
      <w:r w:rsidRPr="0000487B">
        <w:rPr>
          <w:rFonts w:ascii="Garamond" w:hAnsi="Garamond"/>
          <w:b/>
          <w:bCs/>
        </w:rPr>
        <w:t xml:space="preserve">2.12. </w:t>
      </w:r>
      <w:r w:rsidR="00E91958" w:rsidRPr="0000487B">
        <w:rPr>
          <w:rFonts w:ascii="Garamond" w:hAnsi="Garamond"/>
          <w:b/>
          <w:bCs/>
        </w:rPr>
        <w:t>Distance to study sites:</w:t>
      </w:r>
      <w:r w:rsidR="00E91958" w:rsidRPr="0000487B">
        <w:rPr>
          <w:rFonts w:ascii="Garamond" w:hAnsi="Garamond"/>
        </w:rPr>
        <w:br/>
        <w:t>Korogocho and Kahawa Soweto lie within ~8–15 km of Nairobi’s central weather stations, ensuring regional climate signals are applicable. Data represent broader metropolitan climate influences rather than hyper-local settlement microclimates, which would require a denser in-situ network (currently unavailable).</w:t>
      </w:r>
    </w:p>
    <w:p w14:paraId="5F5FD3ED" w14:textId="5BB4D3FB" w:rsidR="00E91958" w:rsidRPr="0000487B" w:rsidRDefault="00F90F97" w:rsidP="00466DBA">
      <w:pPr>
        <w:spacing w:line="360" w:lineRule="auto"/>
        <w:jc w:val="both"/>
        <w:rPr>
          <w:rFonts w:ascii="Garamond" w:hAnsi="Garamond"/>
          <w:b/>
          <w:bCs/>
        </w:rPr>
      </w:pPr>
      <w:r w:rsidRPr="0000487B">
        <w:rPr>
          <w:rFonts w:ascii="Garamond" w:hAnsi="Garamond"/>
          <w:b/>
          <w:bCs/>
        </w:rPr>
        <w:t xml:space="preserve">2.13. </w:t>
      </w:r>
      <w:r w:rsidR="00E91958" w:rsidRPr="0000487B">
        <w:rPr>
          <w:rFonts w:ascii="Garamond" w:hAnsi="Garamond"/>
          <w:b/>
          <w:bCs/>
        </w:rPr>
        <w:t>Data Completeness, Quality Control, and Missing Data Treatment</w:t>
      </w:r>
    </w:p>
    <w:p w14:paraId="7A5214F8" w14:textId="7EB7B375" w:rsidR="00E91958" w:rsidRPr="0000487B" w:rsidRDefault="00F90F97" w:rsidP="00FE5ACF">
      <w:pPr>
        <w:spacing w:line="360" w:lineRule="auto"/>
        <w:rPr>
          <w:rFonts w:ascii="Garamond" w:hAnsi="Garamond"/>
        </w:rPr>
      </w:pPr>
      <w:r w:rsidRPr="0000487B">
        <w:rPr>
          <w:rFonts w:ascii="Garamond" w:hAnsi="Garamond"/>
          <w:b/>
          <w:bCs/>
        </w:rPr>
        <w:t xml:space="preserve">(a) </w:t>
      </w:r>
      <w:r w:rsidR="00E91958" w:rsidRPr="0000487B">
        <w:rPr>
          <w:rFonts w:ascii="Garamond" w:hAnsi="Garamond"/>
          <w:b/>
          <w:bCs/>
        </w:rPr>
        <w:t>Data completeness</w:t>
      </w:r>
      <w:r w:rsidR="00E91958" w:rsidRPr="0000487B">
        <w:rPr>
          <w:rFonts w:ascii="Garamond" w:hAnsi="Garamond"/>
        </w:rPr>
        <w:br/>
        <w:t>Climate records spanning 1995–2025 were evaluated for gaps in monthly temperature and precipitation series. Stations such as Jomo Kenyatta report continuous annual data; however, some months in earlier periods can be missing or flagged incomplete</w:t>
      </w:r>
      <w:r w:rsidR="00EF3A20" w:rsidRPr="0000487B">
        <w:rPr>
          <w:rFonts w:ascii="Garamond" w:hAnsi="Garamond"/>
        </w:rPr>
        <w:t xml:space="preserve">, </w:t>
      </w:r>
      <w:r w:rsidR="00E91958" w:rsidRPr="0000487B">
        <w:rPr>
          <w:rFonts w:ascii="Garamond" w:hAnsi="Garamond"/>
        </w:rPr>
        <w:t>common in long-term observational series.</w:t>
      </w:r>
    </w:p>
    <w:p w14:paraId="39FB612F" w14:textId="1F78BB36" w:rsidR="00E91958" w:rsidRPr="0000487B" w:rsidRDefault="00F90F97" w:rsidP="00466DBA">
      <w:pPr>
        <w:spacing w:line="360" w:lineRule="auto"/>
        <w:jc w:val="both"/>
        <w:rPr>
          <w:rFonts w:ascii="Garamond" w:hAnsi="Garamond"/>
          <w:b/>
          <w:bCs/>
        </w:rPr>
      </w:pPr>
      <w:r w:rsidRPr="0000487B">
        <w:rPr>
          <w:rFonts w:ascii="Garamond" w:hAnsi="Garamond"/>
          <w:b/>
          <w:bCs/>
        </w:rPr>
        <w:t xml:space="preserve">(b) </w:t>
      </w:r>
      <w:r w:rsidR="00E91958" w:rsidRPr="0000487B">
        <w:rPr>
          <w:rFonts w:ascii="Garamond" w:hAnsi="Garamond"/>
          <w:b/>
          <w:bCs/>
        </w:rPr>
        <w:t>Quality control procedures</w:t>
      </w:r>
    </w:p>
    <w:p w14:paraId="7BCC21E9" w14:textId="77777777" w:rsidR="00E91958" w:rsidRPr="0000487B" w:rsidRDefault="00E91958" w:rsidP="00466DBA">
      <w:pPr>
        <w:spacing w:line="360" w:lineRule="auto"/>
        <w:jc w:val="both"/>
        <w:rPr>
          <w:rFonts w:ascii="Garamond" w:hAnsi="Garamond"/>
        </w:rPr>
      </w:pPr>
      <w:r w:rsidRPr="0000487B">
        <w:rPr>
          <w:rFonts w:ascii="Garamond" w:hAnsi="Garamond"/>
        </w:rPr>
        <w:t>Initial screening for outliers and physically implausible values (e.g., extreme temperatures outside regional climatology) was applied.</w:t>
      </w:r>
    </w:p>
    <w:p w14:paraId="613DDFAE" w14:textId="77777777" w:rsidR="00E91958" w:rsidRPr="0000487B" w:rsidRDefault="00E91958" w:rsidP="00466DBA">
      <w:pPr>
        <w:spacing w:line="360" w:lineRule="auto"/>
        <w:jc w:val="both"/>
        <w:rPr>
          <w:rFonts w:ascii="Garamond" w:hAnsi="Garamond"/>
        </w:rPr>
      </w:pPr>
      <w:r w:rsidRPr="0000487B">
        <w:rPr>
          <w:rFonts w:ascii="Garamond" w:hAnsi="Garamond"/>
        </w:rPr>
        <w:lastRenderedPageBreak/>
        <w:t>Records were checked for consistency flags and cross-validated against neighbor station data where available (e.g., Dagoretti) to confirm anomalous values.</w:t>
      </w:r>
    </w:p>
    <w:p w14:paraId="1DBAEFC1" w14:textId="77777777" w:rsidR="00E91958" w:rsidRPr="0000487B" w:rsidRDefault="00E91958" w:rsidP="00466DBA">
      <w:pPr>
        <w:spacing w:line="360" w:lineRule="auto"/>
        <w:jc w:val="both"/>
        <w:rPr>
          <w:rFonts w:ascii="Garamond" w:hAnsi="Garamond"/>
        </w:rPr>
      </w:pPr>
      <w:r w:rsidRPr="0000487B">
        <w:rPr>
          <w:rFonts w:ascii="Garamond" w:hAnsi="Garamond"/>
        </w:rPr>
        <w:t>Data were harmonized into a uniform time series format, and quality flags indicating potential measurement errors were excluded following best practices for observational climatology (e.g., removal of suspect or flagged records prior to analysis). (</w:t>
      </w:r>
      <w:hyperlink r:id="rId12" w:tooltip="Climate Data - TAHMO" w:history="1">
        <w:r w:rsidRPr="0000487B">
          <w:rPr>
            <w:rStyle w:val="Hyperlink"/>
            <w:rFonts w:ascii="Garamond" w:hAnsi="Garamond"/>
            <w:color w:val="auto"/>
          </w:rPr>
          <w:t>TAHMO</w:t>
        </w:r>
      </w:hyperlink>
      <w:r w:rsidRPr="0000487B">
        <w:rPr>
          <w:rFonts w:ascii="Garamond" w:hAnsi="Garamond"/>
        </w:rPr>
        <w:t>)</w:t>
      </w:r>
    </w:p>
    <w:p w14:paraId="278C74EA" w14:textId="09096BD0" w:rsidR="00E91958" w:rsidRPr="0000487B" w:rsidRDefault="00F90F97" w:rsidP="00466DBA">
      <w:pPr>
        <w:spacing w:line="360" w:lineRule="auto"/>
        <w:jc w:val="both"/>
        <w:rPr>
          <w:rFonts w:ascii="Garamond" w:hAnsi="Garamond"/>
          <w:b/>
          <w:bCs/>
        </w:rPr>
      </w:pPr>
      <w:r w:rsidRPr="0000487B">
        <w:rPr>
          <w:rFonts w:ascii="Garamond" w:hAnsi="Garamond"/>
          <w:b/>
          <w:bCs/>
        </w:rPr>
        <w:t xml:space="preserve">(c) </w:t>
      </w:r>
      <w:r w:rsidR="00E91958" w:rsidRPr="0000487B">
        <w:rPr>
          <w:rFonts w:ascii="Garamond" w:hAnsi="Garamond"/>
          <w:b/>
          <w:bCs/>
        </w:rPr>
        <w:t>Treatment of missing values</w:t>
      </w:r>
    </w:p>
    <w:p w14:paraId="422426D6" w14:textId="13EF5141" w:rsidR="00E91958" w:rsidRPr="0000487B" w:rsidRDefault="00E91958" w:rsidP="00466DBA">
      <w:pPr>
        <w:spacing w:line="360" w:lineRule="auto"/>
        <w:jc w:val="both"/>
        <w:rPr>
          <w:rFonts w:ascii="Garamond" w:hAnsi="Garamond"/>
        </w:rPr>
      </w:pPr>
      <w:r w:rsidRPr="0000487B">
        <w:rPr>
          <w:rFonts w:ascii="Garamond" w:hAnsi="Garamond"/>
        </w:rPr>
        <w:t>Gaps of ≤2 consecutive months were infilled using linear interpolation between neighboring months.</w:t>
      </w:r>
      <w:r w:rsidR="00930E9F" w:rsidRPr="0000487B">
        <w:rPr>
          <w:rFonts w:ascii="Garamond" w:hAnsi="Garamond"/>
        </w:rPr>
        <w:t xml:space="preserve"> </w:t>
      </w:r>
      <w:r w:rsidRPr="0000487B">
        <w:rPr>
          <w:rFonts w:ascii="Garamond" w:hAnsi="Garamond"/>
        </w:rPr>
        <w:t>Larger gaps were treated conservatively; missing records were left blank and not used in trend calculations to avoid introducing bias.</w:t>
      </w:r>
      <w:r w:rsidR="00930E9F" w:rsidRPr="0000487B">
        <w:rPr>
          <w:rFonts w:ascii="Garamond" w:hAnsi="Garamond"/>
        </w:rPr>
        <w:t xml:space="preserve"> </w:t>
      </w:r>
      <w:r w:rsidRPr="0000487B">
        <w:rPr>
          <w:rFonts w:ascii="Garamond" w:hAnsi="Garamond"/>
        </w:rPr>
        <w:t>The effects of missing values on trend estimation were assessed through sensitivity checks, ensuring that trend direction and significance were robust regardless of infill assumptions.</w:t>
      </w:r>
    </w:p>
    <w:p w14:paraId="7FF2B169" w14:textId="51DA97A5" w:rsidR="00E91958" w:rsidRPr="0000487B" w:rsidRDefault="00F90F97" w:rsidP="00466DBA">
      <w:pPr>
        <w:spacing w:line="360" w:lineRule="auto"/>
        <w:jc w:val="both"/>
        <w:rPr>
          <w:rFonts w:ascii="Garamond" w:hAnsi="Garamond"/>
          <w:b/>
          <w:bCs/>
        </w:rPr>
      </w:pPr>
      <w:r w:rsidRPr="0000487B">
        <w:rPr>
          <w:rFonts w:ascii="Garamond" w:hAnsi="Garamond"/>
          <w:b/>
          <w:bCs/>
        </w:rPr>
        <w:t xml:space="preserve">(d) </w:t>
      </w:r>
      <w:r w:rsidR="00E91958" w:rsidRPr="0000487B">
        <w:rPr>
          <w:rFonts w:ascii="Garamond" w:hAnsi="Garamond"/>
          <w:b/>
          <w:bCs/>
        </w:rPr>
        <w:t>Statistical Trend Analysis and Serial Correlation Control</w:t>
      </w:r>
    </w:p>
    <w:p w14:paraId="1C8D08E6" w14:textId="77777777" w:rsidR="00E91958" w:rsidRPr="0000487B" w:rsidRDefault="00E91958" w:rsidP="00466DBA">
      <w:pPr>
        <w:spacing w:line="360" w:lineRule="auto"/>
        <w:jc w:val="both"/>
        <w:rPr>
          <w:rFonts w:ascii="Garamond" w:hAnsi="Garamond"/>
        </w:rPr>
      </w:pPr>
      <w:r w:rsidRPr="0000487B">
        <w:rPr>
          <w:rFonts w:ascii="Garamond" w:hAnsi="Garamond"/>
        </w:rPr>
        <w:t>To detect long-term trends in annual temperature and precipitation, this study applied non-parametric trend detection methods that are robust to non-normal distributions and missing values. Specifically:</w:t>
      </w:r>
    </w:p>
    <w:p w14:paraId="699B2DDA" w14:textId="4979CD40" w:rsidR="00E91958" w:rsidRPr="0000487B" w:rsidRDefault="00F90F97" w:rsidP="004A7280">
      <w:pPr>
        <w:spacing w:line="360" w:lineRule="auto"/>
        <w:rPr>
          <w:rFonts w:ascii="Garamond" w:hAnsi="Garamond"/>
          <w:b/>
          <w:bCs/>
        </w:rPr>
      </w:pPr>
      <w:r w:rsidRPr="0000487B">
        <w:rPr>
          <w:rFonts w:ascii="Garamond" w:hAnsi="Garamond"/>
          <w:b/>
          <w:bCs/>
        </w:rPr>
        <w:t xml:space="preserve">2.14.  </w:t>
      </w:r>
      <w:r w:rsidR="00E91958" w:rsidRPr="0000487B">
        <w:rPr>
          <w:rFonts w:ascii="Garamond" w:hAnsi="Garamond"/>
          <w:b/>
          <w:bCs/>
        </w:rPr>
        <w:t>Modified Mann–Kendall (MMK) Test</w:t>
      </w:r>
      <w:r w:rsidR="00E91958" w:rsidRPr="0000487B">
        <w:rPr>
          <w:rFonts w:ascii="Garamond" w:hAnsi="Garamond"/>
        </w:rPr>
        <w:br/>
        <w:t>The Modified Mann–Kendall test was employed to evaluate monotonic trends in time series for annual mean temperature and total annual precipitation. The MMK approach adjusts for serial correlation, which can inflate the likelihood of false trend detection in climatic records. This adjustment involves pre-whitening the time series or using variance correction procedures that account for autocorrelation in residuals before testing for trend significance.</w:t>
      </w:r>
    </w:p>
    <w:p w14:paraId="013AFD49" w14:textId="1A310F62" w:rsidR="00E91958" w:rsidRPr="0000487B" w:rsidRDefault="00F90F97" w:rsidP="00466DBA">
      <w:pPr>
        <w:spacing w:line="360" w:lineRule="auto"/>
        <w:jc w:val="both"/>
        <w:rPr>
          <w:rFonts w:ascii="Garamond" w:hAnsi="Garamond"/>
          <w:b/>
          <w:bCs/>
        </w:rPr>
      </w:pPr>
      <w:r w:rsidRPr="0000487B">
        <w:rPr>
          <w:rFonts w:ascii="Garamond" w:hAnsi="Garamond"/>
          <w:b/>
          <w:bCs/>
        </w:rPr>
        <w:t xml:space="preserve">(a) </w:t>
      </w:r>
      <w:r w:rsidR="00E91958" w:rsidRPr="0000487B">
        <w:rPr>
          <w:rFonts w:ascii="Garamond" w:hAnsi="Garamond"/>
          <w:b/>
          <w:bCs/>
        </w:rPr>
        <w:t>Pre-whitening removes the lag-1 autocorrelation component from the time series prior to trend testing.</w:t>
      </w:r>
    </w:p>
    <w:p w14:paraId="39630359" w14:textId="5E53E377" w:rsidR="00E91958" w:rsidRPr="0000487B" w:rsidRDefault="00E91958" w:rsidP="00466DBA">
      <w:pPr>
        <w:spacing w:line="360" w:lineRule="auto"/>
        <w:jc w:val="both"/>
        <w:rPr>
          <w:rFonts w:ascii="Garamond" w:hAnsi="Garamond"/>
        </w:rPr>
      </w:pPr>
      <w:r w:rsidRPr="0000487B">
        <w:rPr>
          <w:rFonts w:ascii="Garamond" w:hAnsi="Garamond"/>
        </w:rPr>
        <w:t>Trend significance was assessed at standard levels (α = 0.05), allowing for robust interpretation of warming or drying trends while accounting for temporal dependence.</w:t>
      </w:r>
      <w:r w:rsidR="00930E9F" w:rsidRPr="0000487B">
        <w:rPr>
          <w:rFonts w:ascii="Garamond" w:hAnsi="Garamond"/>
        </w:rPr>
        <w:t xml:space="preserve">  </w:t>
      </w:r>
      <w:r w:rsidRPr="0000487B">
        <w:rPr>
          <w:rFonts w:ascii="Garamond" w:hAnsi="Garamond"/>
        </w:rPr>
        <w:t>Applying the MMK test to 1995–2025 data enhances confidence in detecting genuine climatic trends rather than artifacts of persistence or serial correlation. This follows recommended best practices for hydro-climatic trend studies.</w:t>
      </w:r>
    </w:p>
    <w:p w14:paraId="3C0FD021" w14:textId="7DBCD566" w:rsidR="00E91958" w:rsidRPr="0000487B" w:rsidRDefault="00F90F97" w:rsidP="00466DBA">
      <w:pPr>
        <w:spacing w:line="360" w:lineRule="auto"/>
        <w:jc w:val="both"/>
        <w:rPr>
          <w:rFonts w:ascii="Garamond" w:hAnsi="Garamond"/>
          <w:b/>
          <w:bCs/>
        </w:rPr>
      </w:pPr>
      <w:r w:rsidRPr="0000487B">
        <w:rPr>
          <w:rFonts w:ascii="Garamond" w:hAnsi="Garamond"/>
          <w:b/>
          <w:bCs/>
        </w:rPr>
        <w:t xml:space="preserve">(b) </w:t>
      </w:r>
      <w:r w:rsidR="00E91958" w:rsidRPr="0000487B">
        <w:rPr>
          <w:rFonts w:ascii="Garamond" w:hAnsi="Garamond"/>
          <w:b/>
          <w:bCs/>
        </w:rPr>
        <w:t>Implications of Trend Detectability</w:t>
      </w:r>
    </w:p>
    <w:p w14:paraId="45B06498" w14:textId="77777777" w:rsidR="00E91958" w:rsidRPr="0000487B" w:rsidRDefault="00E91958" w:rsidP="00466DBA">
      <w:pPr>
        <w:spacing w:line="360" w:lineRule="auto"/>
        <w:jc w:val="both"/>
        <w:rPr>
          <w:rFonts w:ascii="Garamond" w:hAnsi="Garamond" w:cs="Times New Roman"/>
        </w:rPr>
      </w:pPr>
      <w:r w:rsidRPr="0000487B">
        <w:rPr>
          <w:rFonts w:ascii="Garamond" w:hAnsi="Garamond"/>
        </w:rPr>
        <w:lastRenderedPageBreak/>
        <w:t>The chosen period (1995–2025) strikes a balance between length (multi-decadal) and contemporaneity, enabling detection of subtle climatic shifts relevant to urban informal settlements. Longer records would further improve signal detection but are often limited by data availability and quality at the local scale. The use of multiple stations and careful treatment of missing values increases reliability, while trend methods that correct for serial dependence provide more credible inference of climate change impacts. These statistical procedures strengthen the evidence base for linking climate variability to socio-environmental vulnerability in Korogocho</w:t>
      </w:r>
      <w:r w:rsidRPr="0000487B">
        <w:rPr>
          <w:rFonts w:ascii="Garamond" w:hAnsi="Garamond" w:cs="Times New Roman"/>
        </w:rPr>
        <w:t xml:space="preserve"> and Kahawa Soweto.</w:t>
      </w:r>
    </w:p>
    <w:p w14:paraId="2FA6450A" w14:textId="5751E5FB" w:rsidR="00E91958" w:rsidRPr="0000487B" w:rsidRDefault="00E91958" w:rsidP="00466DBA">
      <w:pPr>
        <w:spacing w:line="360" w:lineRule="auto"/>
        <w:jc w:val="both"/>
        <w:rPr>
          <w:rFonts w:ascii="Garamond" w:hAnsi="Garamond" w:cs="Times New Roman"/>
          <w:b/>
          <w:bCs/>
        </w:rPr>
      </w:pPr>
      <w:r w:rsidRPr="0000487B">
        <w:rPr>
          <w:rFonts w:ascii="Garamond" w:hAnsi="Garamond" w:cs="Times New Roman"/>
          <w:b/>
          <w:bCs/>
        </w:rPr>
        <w:t>Modified Mann–Kendall Trend Results (1995–2025)</w:t>
      </w:r>
    </w:p>
    <w:p w14:paraId="18B35711" w14:textId="79BC54D2" w:rsidR="00E91958" w:rsidRPr="0000487B" w:rsidRDefault="00AA59C1" w:rsidP="00466DBA">
      <w:pPr>
        <w:spacing w:line="360" w:lineRule="auto"/>
        <w:jc w:val="both"/>
        <w:rPr>
          <w:rFonts w:ascii="Garamond" w:hAnsi="Garamond" w:cs="Times New Roman"/>
          <w:b/>
          <w:bCs/>
        </w:rPr>
      </w:pPr>
      <w:r w:rsidRPr="0000487B">
        <w:rPr>
          <w:rFonts w:ascii="Garamond" w:hAnsi="Garamond" w:cs="Times New Roman"/>
          <w:b/>
          <w:bCs/>
          <w:noProof/>
        </w:rPr>
        <w:t>n</w:t>
      </w:r>
      <w:r w:rsidR="00E91958" w:rsidRPr="0000487B">
        <w:rPr>
          <w:rFonts w:ascii="Garamond" w:hAnsi="Garamond" w:cs="Times New Roman"/>
          <w:b/>
          <w:bCs/>
          <w:noProof/>
        </w:rPr>
        <w:drawing>
          <wp:inline distT="0" distB="0" distL="0" distR="0" wp14:anchorId="0808F12B" wp14:editId="47E033BD">
            <wp:extent cx="5943600" cy="3314700"/>
            <wp:effectExtent l="19050" t="19050" r="19050" b="19050"/>
            <wp:docPr id="4739306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3314700"/>
                    </a:xfrm>
                    <a:prstGeom prst="rect">
                      <a:avLst/>
                    </a:prstGeom>
                    <a:noFill/>
                    <a:ln w="19050">
                      <a:solidFill>
                        <a:schemeClr val="tx1"/>
                      </a:solidFill>
                    </a:ln>
                  </pic:spPr>
                </pic:pic>
              </a:graphicData>
            </a:graphic>
          </wp:inline>
        </w:drawing>
      </w:r>
    </w:p>
    <w:p w14:paraId="28F11D99" w14:textId="19542CD5" w:rsidR="002C4203" w:rsidRPr="0000487B" w:rsidRDefault="002C4203" w:rsidP="00466DBA">
      <w:pPr>
        <w:spacing w:line="360" w:lineRule="auto"/>
        <w:jc w:val="both"/>
        <w:rPr>
          <w:rFonts w:ascii="Garamond" w:hAnsi="Garamond" w:cs="Times New Roman"/>
        </w:rPr>
      </w:pPr>
      <w:r w:rsidRPr="0000487B">
        <w:rPr>
          <w:rFonts w:ascii="Garamond" w:hAnsi="Garamond" w:cs="Times New Roman"/>
        </w:rPr>
        <w:t xml:space="preserve">Figure </w:t>
      </w:r>
      <w:r w:rsidR="00E71642">
        <w:rPr>
          <w:rFonts w:ascii="Garamond" w:hAnsi="Garamond" w:cs="Times New Roman"/>
        </w:rPr>
        <w:t>3</w:t>
      </w:r>
      <w:r w:rsidRPr="0000487B">
        <w:rPr>
          <w:rFonts w:ascii="Garamond" w:hAnsi="Garamond" w:cs="Times New Roman"/>
        </w:rPr>
        <w:t xml:space="preserve">. Annual Rainfall trends from 1995-2025 for Korogocho </w:t>
      </w:r>
      <w:r w:rsidR="001E54A5" w:rsidRPr="0000487B">
        <w:rPr>
          <w:rFonts w:ascii="Garamond" w:hAnsi="Garamond" w:cs="Times New Roman"/>
        </w:rPr>
        <w:t>Informal settlements</w:t>
      </w:r>
    </w:p>
    <w:p w14:paraId="298B05FD" w14:textId="7BEC07B8" w:rsidR="00E91958" w:rsidRPr="0000487B" w:rsidRDefault="00F90F97" w:rsidP="00466DBA">
      <w:pPr>
        <w:spacing w:line="360" w:lineRule="auto"/>
        <w:jc w:val="both"/>
        <w:rPr>
          <w:rFonts w:ascii="Garamond" w:hAnsi="Garamond" w:cs="Times New Roman"/>
        </w:rPr>
      </w:pPr>
      <w:r w:rsidRPr="0000487B">
        <w:rPr>
          <w:rFonts w:ascii="Garamond" w:hAnsi="Garamond" w:cs="Times New Roman"/>
        </w:rPr>
        <w:t xml:space="preserve">Results from Korogocho showed </w:t>
      </w:r>
      <w:r w:rsidR="00E91958" w:rsidRPr="0000487B">
        <w:rPr>
          <w:rFonts w:ascii="Garamond" w:hAnsi="Garamond" w:cs="Times New Roman"/>
        </w:rPr>
        <w:t>Sen’s slope: +3.00 mm/year</w:t>
      </w:r>
      <w:r w:rsidRPr="0000487B">
        <w:rPr>
          <w:rFonts w:ascii="Garamond" w:hAnsi="Garamond" w:cs="Times New Roman"/>
        </w:rPr>
        <w:t xml:space="preserve"> and </w:t>
      </w:r>
      <w:r w:rsidR="00E91958" w:rsidRPr="0000487B">
        <w:rPr>
          <w:rFonts w:ascii="Garamond" w:hAnsi="Garamond" w:cs="Times New Roman"/>
        </w:rPr>
        <w:t>p-value: 0.374</w:t>
      </w:r>
      <w:r w:rsidRPr="0000487B">
        <w:rPr>
          <w:rFonts w:ascii="Garamond" w:hAnsi="Garamond" w:cs="Times New Roman"/>
        </w:rPr>
        <w:t xml:space="preserve"> this is i</w:t>
      </w:r>
      <w:r w:rsidR="00E91958" w:rsidRPr="0000487B">
        <w:rPr>
          <w:rFonts w:ascii="Garamond" w:hAnsi="Garamond" w:cs="Times New Roman"/>
        </w:rPr>
        <w:t>nterpretat</w:t>
      </w:r>
      <w:r w:rsidRPr="0000487B">
        <w:rPr>
          <w:rFonts w:ascii="Garamond" w:hAnsi="Garamond" w:cs="Times New Roman"/>
        </w:rPr>
        <w:t>ed to mean that there was s</w:t>
      </w:r>
      <w:r w:rsidR="00E91958" w:rsidRPr="0000487B">
        <w:rPr>
          <w:rFonts w:ascii="Garamond" w:hAnsi="Garamond" w:cs="Times New Roman"/>
        </w:rPr>
        <w:t>light upward rainfall trend, but not statistically significant at α = 0.05.</w:t>
      </w:r>
    </w:p>
    <w:p w14:paraId="55719220" w14:textId="77777777" w:rsidR="00E91958" w:rsidRPr="0000487B" w:rsidRDefault="00E91958" w:rsidP="00466DBA">
      <w:pPr>
        <w:spacing w:line="360" w:lineRule="auto"/>
        <w:jc w:val="both"/>
        <w:rPr>
          <w:rFonts w:ascii="Garamond" w:hAnsi="Garamond" w:cs="Times New Roman"/>
          <w:b/>
          <w:bCs/>
        </w:rPr>
      </w:pPr>
    </w:p>
    <w:p w14:paraId="70549A5E" w14:textId="77777777" w:rsidR="002C4203" w:rsidRPr="0000487B" w:rsidRDefault="00E91958" w:rsidP="00466DBA">
      <w:pPr>
        <w:spacing w:line="360" w:lineRule="auto"/>
        <w:jc w:val="both"/>
        <w:rPr>
          <w:rFonts w:ascii="Garamond" w:hAnsi="Garamond"/>
        </w:rPr>
      </w:pPr>
      <w:r w:rsidRPr="0000487B">
        <w:rPr>
          <w:rFonts w:ascii="Garamond" w:hAnsi="Garamond" w:cs="Times New Roman"/>
          <w:b/>
          <w:bCs/>
          <w:noProof/>
        </w:rPr>
        <w:lastRenderedPageBreak/>
        <w:drawing>
          <wp:inline distT="0" distB="0" distL="0" distR="0" wp14:anchorId="0160F027" wp14:editId="41DEA5B5">
            <wp:extent cx="6096000" cy="3314700"/>
            <wp:effectExtent l="19050" t="19050" r="19050" b="19050"/>
            <wp:docPr id="66092719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96000" cy="3314700"/>
                    </a:xfrm>
                    <a:prstGeom prst="rect">
                      <a:avLst/>
                    </a:prstGeom>
                    <a:noFill/>
                    <a:ln w="19050">
                      <a:solidFill>
                        <a:schemeClr val="tx1"/>
                      </a:solidFill>
                    </a:ln>
                  </pic:spPr>
                </pic:pic>
              </a:graphicData>
            </a:graphic>
          </wp:inline>
        </w:drawing>
      </w:r>
    </w:p>
    <w:p w14:paraId="546F09E9" w14:textId="674738E9" w:rsidR="002C4203" w:rsidRPr="0000487B" w:rsidRDefault="002C4203" w:rsidP="00466DBA">
      <w:pPr>
        <w:spacing w:line="360" w:lineRule="auto"/>
        <w:jc w:val="both"/>
        <w:rPr>
          <w:rFonts w:ascii="Garamond" w:hAnsi="Garamond" w:cs="Times New Roman"/>
        </w:rPr>
      </w:pPr>
      <w:r w:rsidRPr="0000487B">
        <w:rPr>
          <w:rFonts w:ascii="Garamond" w:hAnsi="Garamond" w:cs="Times New Roman"/>
        </w:rPr>
        <w:t xml:space="preserve">Figure </w:t>
      </w:r>
      <w:r w:rsidR="00C417C0">
        <w:rPr>
          <w:rFonts w:ascii="Garamond" w:hAnsi="Garamond" w:cs="Times New Roman"/>
        </w:rPr>
        <w:t>4</w:t>
      </w:r>
      <w:r w:rsidRPr="0000487B">
        <w:rPr>
          <w:rFonts w:ascii="Garamond" w:hAnsi="Garamond" w:cs="Times New Roman"/>
        </w:rPr>
        <w:t xml:space="preserve">. Annual Rainfall trends from 1995-2025 for Kahawa Soweto </w:t>
      </w:r>
      <w:r w:rsidR="001E54A5" w:rsidRPr="0000487B">
        <w:rPr>
          <w:rFonts w:ascii="Garamond" w:hAnsi="Garamond" w:cs="Times New Roman"/>
        </w:rPr>
        <w:t>Informal settlements</w:t>
      </w:r>
    </w:p>
    <w:p w14:paraId="24EA9926" w14:textId="78B2F671" w:rsidR="00E91958" w:rsidRPr="0000487B" w:rsidRDefault="00F90F97" w:rsidP="00466DBA">
      <w:pPr>
        <w:spacing w:line="360" w:lineRule="auto"/>
        <w:jc w:val="both"/>
        <w:rPr>
          <w:rFonts w:ascii="Garamond" w:hAnsi="Garamond"/>
        </w:rPr>
      </w:pPr>
      <w:r w:rsidRPr="0000487B">
        <w:rPr>
          <w:rFonts w:ascii="Garamond" w:hAnsi="Garamond"/>
        </w:rPr>
        <w:t xml:space="preserve">Results from </w:t>
      </w:r>
      <w:r w:rsidR="00E91958" w:rsidRPr="0000487B">
        <w:rPr>
          <w:rFonts w:ascii="Garamond" w:hAnsi="Garamond"/>
        </w:rPr>
        <w:t>Kahawa Soweto</w:t>
      </w:r>
      <w:r w:rsidRPr="0000487B">
        <w:rPr>
          <w:rFonts w:ascii="Garamond" w:hAnsi="Garamond"/>
        </w:rPr>
        <w:t xml:space="preserve"> showed that </w:t>
      </w:r>
      <w:r w:rsidR="00E91958" w:rsidRPr="0000487B">
        <w:rPr>
          <w:rFonts w:ascii="Garamond" w:hAnsi="Garamond"/>
        </w:rPr>
        <w:t>Sen’s slope</w:t>
      </w:r>
      <w:r w:rsidRPr="0000487B">
        <w:rPr>
          <w:rFonts w:ascii="Garamond" w:hAnsi="Garamond"/>
        </w:rPr>
        <w:t xml:space="preserve"> was</w:t>
      </w:r>
      <w:r w:rsidR="00E91958" w:rsidRPr="0000487B">
        <w:rPr>
          <w:rFonts w:ascii="Garamond" w:hAnsi="Garamond"/>
        </w:rPr>
        <w:t xml:space="preserve"> +3.05 mm/year</w:t>
      </w:r>
      <w:r w:rsidRPr="0000487B">
        <w:rPr>
          <w:rFonts w:ascii="Garamond" w:hAnsi="Garamond"/>
        </w:rPr>
        <w:t xml:space="preserve"> and </w:t>
      </w:r>
      <w:r w:rsidR="00E91958" w:rsidRPr="0000487B">
        <w:rPr>
          <w:rFonts w:ascii="Garamond" w:hAnsi="Garamond"/>
        </w:rPr>
        <w:t>p-value: 0.364</w:t>
      </w:r>
      <w:r w:rsidRPr="0000487B">
        <w:rPr>
          <w:rFonts w:ascii="Garamond" w:hAnsi="Garamond"/>
        </w:rPr>
        <w:t xml:space="preserve"> i</w:t>
      </w:r>
      <w:r w:rsidR="00E91958" w:rsidRPr="0000487B">
        <w:rPr>
          <w:rFonts w:ascii="Garamond" w:hAnsi="Garamond"/>
        </w:rPr>
        <w:t>nterpretat</w:t>
      </w:r>
      <w:r w:rsidRPr="0000487B">
        <w:rPr>
          <w:rFonts w:ascii="Garamond" w:hAnsi="Garamond"/>
        </w:rPr>
        <w:t>ed to mean there was w</w:t>
      </w:r>
      <w:r w:rsidR="00E91958" w:rsidRPr="0000487B">
        <w:rPr>
          <w:rFonts w:ascii="Garamond" w:hAnsi="Garamond"/>
        </w:rPr>
        <w:t>eak increasing rainfall trend, also not statistically significant.</w:t>
      </w:r>
    </w:p>
    <w:p w14:paraId="055266A5" w14:textId="0DBB0775" w:rsidR="00E91958" w:rsidRPr="0000487B" w:rsidRDefault="00CF39EA" w:rsidP="00466DBA">
      <w:pPr>
        <w:spacing w:line="360" w:lineRule="auto"/>
        <w:jc w:val="both"/>
        <w:rPr>
          <w:rFonts w:ascii="Garamond" w:hAnsi="Garamond"/>
          <w:b/>
          <w:bCs/>
        </w:rPr>
      </w:pPr>
      <w:r w:rsidRPr="0000487B">
        <w:rPr>
          <w:rFonts w:ascii="Garamond" w:hAnsi="Garamond"/>
          <w:b/>
          <w:bCs/>
        </w:rPr>
        <w:t>(c)</w:t>
      </w:r>
      <w:r w:rsidR="00E91958" w:rsidRPr="0000487B">
        <w:rPr>
          <w:rFonts w:ascii="Garamond" w:hAnsi="Garamond"/>
          <w:b/>
          <w:bCs/>
        </w:rPr>
        <w:t>Technical Interpretation</w:t>
      </w:r>
    </w:p>
    <w:p w14:paraId="73F6BA4F" w14:textId="5ECFBB75" w:rsidR="00E91958" w:rsidRPr="0000487B" w:rsidRDefault="00E91958" w:rsidP="00466DBA">
      <w:pPr>
        <w:spacing w:line="360" w:lineRule="auto"/>
        <w:jc w:val="both"/>
        <w:rPr>
          <w:rFonts w:ascii="Garamond" w:hAnsi="Garamond"/>
        </w:rPr>
      </w:pPr>
      <w:r w:rsidRPr="0000487B">
        <w:rPr>
          <w:rFonts w:ascii="Garamond" w:hAnsi="Garamond"/>
        </w:rPr>
        <w:t>Both settlements show a small positive Sen’s slope (~3 mm/year), suggesting a gradual increase in annual rainfall over the 30-year period.</w:t>
      </w:r>
      <w:r w:rsidR="00CF39EA" w:rsidRPr="0000487B">
        <w:rPr>
          <w:rFonts w:ascii="Garamond" w:hAnsi="Garamond"/>
        </w:rPr>
        <w:t xml:space="preserve"> </w:t>
      </w:r>
      <w:r w:rsidRPr="0000487B">
        <w:rPr>
          <w:rFonts w:ascii="Garamond" w:hAnsi="Garamond"/>
        </w:rPr>
        <w:t>However, p &gt; 0.05, meaning the trend is statistically insignificant.</w:t>
      </w:r>
      <w:r w:rsidR="00CF39EA" w:rsidRPr="0000487B">
        <w:rPr>
          <w:rFonts w:ascii="Garamond" w:hAnsi="Garamond"/>
        </w:rPr>
        <w:t xml:space="preserve"> </w:t>
      </w:r>
      <w:r w:rsidRPr="0000487B">
        <w:rPr>
          <w:rFonts w:ascii="Garamond" w:hAnsi="Garamond"/>
        </w:rPr>
        <w:t>High interannual variability (e.g., 1997 El Niño peaks, 2011 &amp; 2022 drought years) dominates the signal.</w:t>
      </w:r>
      <w:r w:rsidR="00CF39EA" w:rsidRPr="0000487B">
        <w:rPr>
          <w:rFonts w:ascii="Garamond" w:hAnsi="Garamond"/>
        </w:rPr>
        <w:t xml:space="preserve"> </w:t>
      </w:r>
      <w:r w:rsidRPr="0000487B">
        <w:rPr>
          <w:rFonts w:ascii="Garamond" w:hAnsi="Garamond"/>
        </w:rPr>
        <w:t>Modified Mann–Kendall accounted for lag-1 serial correlation, preventing inflated significance.</w:t>
      </w:r>
    </w:p>
    <w:p w14:paraId="5B566827" w14:textId="41997BDB" w:rsidR="00E91958" w:rsidRPr="0000487B" w:rsidRDefault="00CF39EA" w:rsidP="00466DBA">
      <w:pPr>
        <w:spacing w:line="360" w:lineRule="auto"/>
        <w:jc w:val="both"/>
        <w:rPr>
          <w:rFonts w:ascii="Garamond" w:hAnsi="Garamond" w:cs="Times New Roman"/>
          <w:b/>
          <w:bCs/>
        </w:rPr>
      </w:pPr>
      <w:r w:rsidRPr="0000487B">
        <w:rPr>
          <w:rFonts w:ascii="Garamond" w:hAnsi="Garamond" w:cs="Times New Roman"/>
          <w:b/>
          <w:bCs/>
        </w:rPr>
        <w:t xml:space="preserve">(d) </w:t>
      </w:r>
      <w:r w:rsidR="00E91958" w:rsidRPr="0000487B">
        <w:rPr>
          <w:rFonts w:ascii="Garamond" w:hAnsi="Garamond" w:cs="Times New Roman"/>
          <w:b/>
          <w:bCs/>
        </w:rPr>
        <w:t>Implication for Trend Detectability</w:t>
      </w:r>
    </w:p>
    <w:p w14:paraId="6F78CACC" w14:textId="179C1949" w:rsidR="00E91958" w:rsidRPr="0000487B" w:rsidRDefault="00E91958" w:rsidP="00AA59C1">
      <w:pPr>
        <w:spacing w:line="360" w:lineRule="auto"/>
        <w:jc w:val="both"/>
        <w:rPr>
          <w:rFonts w:ascii="Garamond" w:hAnsi="Garamond"/>
        </w:rPr>
      </w:pPr>
      <w:r w:rsidRPr="0000487B">
        <w:rPr>
          <w:rFonts w:ascii="Garamond" w:hAnsi="Garamond"/>
        </w:rPr>
        <w:t>The 30-year window is adequate for detecting monotonic trends, but:</w:t>
      </w:r>
      <w:r w:rsidR="00AA59C1" w:rsidRPr="0000487B">
        <w:rPr>
          <w:rFonts w:ascii="Garamond" w:hAnsi="Garamond"/>
        </w:rPr>
        <w:t xml:space="preserve"> </w:t>
      </w:r>
      <w:r w:rsidRPr="0000487B">
        <w:rPr>
          <w:rFonts w:ascii="Garamond" w:hAnsi="Garamond"/>
        </w:rPr>
        <w:t>Rainfall variability in Nairobi is strongly ENSO-driven</w:t>
      </w:r>
      <w:r w:rsidR="00CF39EA" w:rsidRPr="0000487B">
        <w:rPr>
          <w:rFonts w:ascii="Garamond" w:hAnsi="Garamond"/>
        </w:rPr>
        <w:t>, v</w:t>
      </w:r>
      <w:r w:rsidRPr="0000487B">
        <w:rPr>
          <w:rFonts w:ascii="Garamond" w:hAnsi="Garamond"/>
        </w:rPr>
        <w:t>ariability magnitude (&gt;500 mm range) masks small long-term trends.</w:t>
      </w:r>
      <w:r w:rsidR="00CF39EA" w:rsidRPr="0000487B">
        <w:rPr>
          <w:rFonts w:ascii="Garamond" w:hAnsi="Garamond"/>
        </w:rPr>
        <w:t xml:space="preserve"> </w:t>
      </w:r>
      <w:r w:rsidRPr="0000487B">
        <w:rPr>
          <w:rFonts w:ascii="Garamond" w:hAnsi="Garamond"/>
        </w:rPr>
        <w:t>Longer datasets (40–50 years) would improve statistical power.</w:t>
      </w:r>
    </w:p>
    <w:p w14:paraId="43C523E5" w14:textId="4CCBE175" w:rsidR="00CF39EA" w:rsidRPr="0000487B" w:rsidRDefault="00CF39EA" w:rsidP="00466DBA">
      <w:pPr>
        <w:spacing w:line="360" w:lineRule="auto"/>
        <w:jc w:val="both"/>
        <w:rPr>
          <w:rFonts w:ascii="Garamond" w:hAnsi="Garamond"/>
          <w:b/>
          <w:bCs/>
        </w:rPr>
      </w:pPr>
      <w:r w:rsidRPr="0000487B">
        <w:rPr>
          <w:rFonts w:ascii="Garamond" w:hAnsi="Garamond"/>
          <w:b/>
          <w:bCs/>
        </w:rPr>
        <w:t xml:space="preserve">2.15. Literature Gap </w:t>
      </w:r>
    </w:p>
    <w:p w14:paraId="799F00E9" w14:textId="748F79F1" w:rsidR="00CF39EA" w:rsidRPr="0000487B" w:rsidRDefault="00CF39EA" w:rsidP="00466DBA">
      <w:pPr>
        <w:spacing w:line="360" w:lineRule="auto"/>
        <w:jc w:val="both"/>
        <w:rPr>
          <w:rFonts w:ascii="Garamond" w:hAnsi="Garamond"/>
        </w:rPr>
      </w:pPr>
      <w:r w:rsidRPr="0000487B">
        <w:rPr>
          <w:rFonts w:ascii="Garamond" w:hAnsi="Garamond"/>
        </w:rPr>
        <w:lastRenderedPageBreak/>
        <w:t xml:space="preserve">Despite growing recognition of urban climate risks, literature on the localized trends and extent of climate variability impacts within </w:t>
      </w:r>
      <w:r w:rsidR="0000487B">
        <w:rPr>
          <w:rFonts w:ascii="Garamond" w:hAnsi="Garamond"/>
        </w:rPr>
        <w:t xml:space="preserve">the two </w:t>
      </w:r>
      <w:r w:rsidRPr="0000487B">
        <w:rPr>
          <w:rFonts w:ascii="Garamond" w:hAnsi="Garamond"/>
        </w:rPr>
        <w:t xml:space="preserve">informal settlements remains limited, particularly at the intra-settlement scale in Sub-Saharan Africa. Most existing studies focus on broader national or regional climate patterns, neglecting how micro-climatic variability interacts with settlement-specific socioeconomic conditions such as housing typologies, livelihood portfolios, and service deficits. There is also a paucity of research that integrates longitudinal climatic trend analysis with household-level vulnerability outcomes, constraining understanding of how rainfall and temperature extremes have evolved over time and translated into lived impacts. Additionally, the role of adaptive capacity factors—including community networks, gendered strategies, and informal governance mechanisms—remains under-theorized in explaining differential resilience within </w:t>
      </w:r>
      <w:r w:rsidR="001E54A5" w:rsidRPr="0000487B">
        <w:rPr>
          <w:rFonts w:ascii="Garamond" w:hAnsi="Garamond"/>
        </w:rPr>
        <w:t>informal settlements</w:t>
      </w:r>
      <w:r w:rsidRPr="0000487B">
        <w:rPr>
          <w:rFonts w:ascii="Garamond" w:hAnsi="Garamond"/>
        </w:rPr>
        <w:t xml:space="preserve"> contexts. Consequently, there is a critical gap in evidence that can inform context-specific planning and policy responses tailored to the unique environmental and social dynamics of informal settlements like Korogocho and Kahawa Soweto.</w:t>
      </w:r>
    </w:p>
    <w:p w14:paraId="1A4B3DEC" w14:textId="77777777" w:rsidR="00CF39EA" w:rsidRPr="0000487B" w:rsidRDefault="00CF39EA" w:rsidP="00466DBA">
      <w:pPr>
        <w:pStyle w:val="NormalWeb"/>
        <w:spacing w:line="360" w:lineRule="auto"/>
        <w:jc w:val="both"/>
        <w:rPr>
          <w:rFonts w:ascii="Garamond" w:hAnsi="Garamond"/>
          <w:b/>
        </w:rPr>
      </w:pPr>
      <w:r w:rsidRPr="0000487B">
        <w:rPr>
          <w:rFonts w:ascii="Garamond" w:hAnsi="Garamond"/>
          <w:b/>
        </w:rPr>
        <w:t>3.0. Materials and Methods</w:t>
      </w:r>
    </w:p>
    <w:p w14:paraId="539334BD" w14:textId="77777777" w:rsidR="00CF39EA" w:rsidRPr="0000487B" w:rsidRDefault="00CF39EA" w:rsidP="00466DBA">
      <w:pPr>
        <w:spacing w:line="360" w:lineRule="auto"/>
        <w:jc w:val="both"/>
        <w:rPr>
          <w:rFonts w:ascii="Garamond" w:hAnsi="Garamond"/>
          <w:b/>
        </w:rPr>
      </w:pPr>
      <w:r w:rsidRPr="0000487B">
        <w:rPr>
          <w:rFonts w:ascii="Garamond" w:hAnsi="Garamond"/>
          <w:b/>
        </w:rPr>
        <w:t>3.1. Study Area and Location</w:t>
      </w:r>
    </w:p>
    <w:p w14:paraId="515B24BB" w14:textId="77777777" w:rsidR="00CF39EA" w:rsidRPr="0000487B" w:rsidRDefault="00CF39EA" w:rsidP="00466DBA">
      <w:pPr>
        <w:spacing w:line="360" w:lineRule="auto"/>
        <w:jc w:val="both"/>
        <w:rPr>
          <w:rFonts w:ascii="Garamond" w:hAnsi="Garamond" w:cs="Times New Roman"/>
        </w:rPr>
      </w:pPr>
      <w:r w:rsidRPr="0000487B">
        <w:rPr>
          <w:rFonts w:ascii="Garamond" w:hAnsi="Garamond" w:cs="Times New Roman"/>
        </w:rPr>
        <w:t>The study was conducted in Korogocho and Kahawa Soweto, informal settlements in Nairobi City County. These sites were selected due to limited knowledge on how climate variability interacts with socioeconomic factors to influence livelihoods in informal settlements. The two locations offer a valuable comparative perspective on urban poverty, informal settlement dynamics, and the effectiveness of existing interventions (Corburn et al., 2022; Namayi et al., 2025).</w:t>
      </w:r>
    </w:p>
    <w:p w14:paraId="309CED41" w14:textId="06C8E7BB" w:rsidR="00CF39EA" w:rsidRPr="0000487B" w:rsidRDefault="00CF39EA" w:rsidP="00466DBA">
      <w:pPr>
        <w:spacing w:line="360" w:lineRule="auto"/>
        <w:jc w:val="both"/>
        <w:rPr>
          <w:rFonts w:ascii="Garamond" w:hAnsi="Garamond" w:cs="Times New Roman"/>
        </w:rPr>
      </w:pPr>
      <w:r w:rsidRPr="0000487B">
        <w:rPr>
          <w:rFonts w:ascii="Garamond" w:hAnsi="Garamond" w:cs="Times New Roman"/>
        </w:rPr>
        <w:t xml:space="preserve">Korogocho lies at 1°14′46″S, 36°52′20″E, while Kahawa Soweto is located at 1°11′28″S, 36°54′46″E (Figure </w:t>
      </w:r>
      <w:r w:rsidR="00C417C0">
        <w:rPr>
          <w:rFonts w:ascii="Garamond" w:hAnsi="Garamond" w:cs="Times New Roman"/>
        </w:rPr>
        <w:t>4</w:t>
      </w:r>
      <w:r w:rsidRPr="0000487B">
        <w:rPr>
          <w:rFonts w:ascii="Garamond" w:hAnsi="Garamond" w:cs="Times New Roman"/>
        </w:rPr>
        <w:t>). The findings from these areas will inform urban development strategies and policies to improve living conditions, promote sustainable growth, and enhance spatial understanding of vulnerability in informal settlements.</w:t>
      </w:r>
    </w:p>
    <w:p w14:paraId="0F46AFDB" w14:textId="77777777" w:rsidR="00CF39EA" w:rsidRPr="0000487B" w:rsidRDefault="00CF39EA" w:rsidP="00466DBA">
      <w:pPr>
        <w:spacing w:line="360" w:lineRule="auto"/>
        <w:jc w:val="both"/>
        <w:rPr>
          <w:rFonts w:ascii="Garamond" w:hAnsi="Garamond" w:cs="Times New Roman"/>
        </w:rPr>
      </w:pPr>
      <w:r w:rsidRPr="0000487B">
        <w:rPr>
          <w:rFonts w:ascii="Garamond" w:hAnsi="Garamond" w:cs="Times New Roman"/>
          <w:noProof/>
        </w:rPr>
        <w:lastRenderedPageBreak/>
        <w:drawing>
          <wp:inline distT="0" distB="0" distL="0" distR="0" wp14:anchorId="5CB6827D" wp14:editId="60B8CB47">
            <wp:extent cx="6115050" cy="3619500"/>
            <wp:effectExtent l="19050" t="19050" r="19050" b="19050"/>
            <wp:docPr id="14" name="Picture 14" descr="C:\Users\henry.joseph\Downloads\Stud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nry.joseph\Downloads\Study (3).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22828" cy="3624104"/>
                    </a:xfrm>
                    <a:prstGeom prst="rect">
                      <a:avLst/>
                    </a:prstGeom>
                    <a:noFill/>
                    <a:ln w="19050">
                      <a:solidFill>
                        <a:schemeClr val="tx1"/>
                      </a:solidFill>
                    </a:ln>
                  </pic:spPr>
                </pic:pic>
              </a:graphicData>
            </a:graphic>
          </wp:inline>
        </w:drawing>
      </w:r>
    </w:p>
    <w:p w14:paraId="25D524D9" w14:textId="02D44B43" w:rsidR="00CF39EA" w:rsidRPr="0000487B" w:rsidRDefault="00CF39EA" w:rsidP="00466DBA">
      <w:pPr>
        <w:pStyle w:val="MyFigure"/>
        <w:rPr>
          <w:color w:val="auto"/>
        </w:rPr>
      </w:pPr>
      <w:r w:rsidRPr="0000487B">
        <w:rPr>
          <w:rStyle w:val="MyFigureChar"/>
          <w:color w:val="auto"/>
          <w:sz w:val="24"/>
          <w:szCs w:val="24"/>
        </w:rPr>
        <w:t xml:space="preserve">Figure </w:t>
      </w:r>
      <w:r w:rsidR="00C417C0">
        <w:rPr>
          <w:rStyle w:val="MyFigureChar"/>
          <w:color w:val="auto"/>
          <w:sz w:val="24"/>
          <w:szCs w:val="24"/>
        </w:rPr>
        <w:t>5</w:t>
      </w:r>
      <w:r w:rsidRPr="0000487B">
        <w:rPr>
          <w:rStyle w:val="MyFigureChar"/>
          <w:color w:val="auto"/>
          <w:sz w:val="24"/>
          <w:szCs w:val="24"/>
        </w:rPr>
        <w:t xml:space="preserve">: Map showing Korogocho and Kahawa Soweto </w:t>
      </w:r>
      <w:r w:rsidR="001E54A5" w:rsidRPr="0000487B">
        <w:rPr>
          <w:rStyle w:val="MyFigureChar"/>
          <w:color w:val="auto"/>
          <w:sz w:val="24"/>
          <w:szCs w:val="24"/>
        </w:rPr>
        <w:t xml:space="preserve">informal </w:t>
      </w:r>
      <w:r w:rsidR="00AA59C1" w:rsidRPr="0000487B">
        <w:rPr>
          <w:rStyle w:val="MyFigureChar"/>
          <w:color w:val="auto"/>
          <w:sz w:val="24"/>
          <w:szCs w:val="24"/>
        </w:rPr>
        <w:t>settlements</w:t>
      </w:r>
      <w:r w:rsidRPr="0000487B">
        <w:rPr>
          <w:rStyle w:val="MyFigureChar"/>
          <w:color w:val="auto"/>
          <w:sz w:val="24"/>
          <w:szCs w:val="24"/>
        </w:rPr>
        <w:t xml:space="preserve"> (Earth Observation, 2025</w:t>
      </w:r>
      <w:r w:rsidRPr="0000487B">
        <w:rPr>
          <w:color w:val="auto"/>
        </w:rPr>
        <w:t>).</w:t>
      </w:r>
    </w:p>
    <w:p w14:paraId="7CF36CD3" w14:textId="77777777" w:rsidR="00CF39EA" w:rsidRPr="0000487B" w:rsidRDefault="00CF39EA" w:rsidP="00466DBA">
      <w:pPr>
        <w:spacing w:line="360" w:lineRule="auto"/>
        <w:jc w:val="both"/>
        <w:rPr>
          <w:rFonts w:ascii="Garamond" w:hAnsi="Garamond"/>
          <w:b/>
        </w:rPr>
      </w:pPr>
      <w:r w:rsidRPr="0000487B">
        <w:rPr>
          <w:rFonts w:ascii="Garamond" w:hAnsi="Garamond"/>
          <w:b/>
        </w:rPr>
        <w:t>3.2. Urban Growth and Population</w:t>
      </w:r>
    </w:p>
    <w:p w14:paraId="21A2CC3F" w14:textId="7A61F4DD" w:rsidR="00CF39EA" w:rsidRPr="0000487B" w:rsidRDefault="00CF39EA" w:rsidP="00466DBA">
      <w:pPr>
        <w:spacing w:line="360" w:lineRule="auto"/>
        <w:jc w:val="both"/>
        <w:rPr>
          <w:rFonts w:ascii="Garamond" w:hAnsi="Garamond" w:cs="Times New Roman"/>
        </w:rPr>
      </w:pPr>
      <w:r w:rsidRPr="0000487B">
        <w:rPr>
          <w:rFonts w:ascii="Garamond" w:hAnsi="Garamond" w:cs="Times New Roman"/>
        </w:rPr>
        <w:t xml:space="preserve">The study utilized a 10% anonymized random sample of household-level data from the 2019 census for Nairobi’s </w:t>
      </w:r>
      <w:r w:rsidR="0000487B">
        <w:rPr>
          <w:rFonts w:ascii="Garamond" w:hAnsi="Garamond" w:cs="Times New Roman"/>
        </w:rPr>
        <w:t>e</w:t>
      </w:r>
      <w:r w:rsidRPr="0000487B">
        <w:rPr>
          <w:rFonts w:ascii="Garamond" w:hAnsi="Garamond" w:cs="Times New Roman"/>
        </w:rPr>
        <w:t>numeration Areas. Nairobi’s population is projected to grow from 7 million in 2024 to approximately 14.3 million by 2030 (Nairobi City County, 2024). Remote sensing analysis shows substantial land-use change, with built-up areas expanding from 73.08 km² in 1988 to 228.65 km² in 2015, representing a 35% conversion from non-urban to urban land (Urban Growth Simulation, 2030).</w:t>
      </w:r>
    </w:p>
    <w:p w14:paraId="7D824E72" w14:textId="77777777" w:rsidR="00CF39EA" w:rsidRPr="0000487B" w:rsidRDefault="00CF39EA" w:rsidP="00466DBA">
      <w:pPr>
        <w:spacing w:line="360" w:lineRule="auto"/>
        <w:jc w:val="both"/>
        <w:rPr>
          <w:rFonts w:ascii="Garamond" w:hAnsi="Garamond" w:cs="Times New Roman"/>
        </w:rPr>
      </w:pPr>
      <w:r w:rsidRPr="0000487B">
        <w:rPr>
          <w:rFonts w:ascii="Garamond" w:hAnsi="Garamond" w:cs="Times New Roman"/>
        </w:rPr>
        <w:lastRenderedPageBreak/>
        <w:t>A</w:t>
      </w:r>
      <w:r w:rsidRPr="0000487B">
        <w:rPr>
          <w:rFonts w:ascii="Garamond" w:hAnsi="Garamond" w:cs="Times New Roman"/>
          <w:noProof/>
        </w:rPr>
        <w:drawing>
          <wp:inline distT="0" distB="0" distL="0" distR="0" wp14:anchorId="2C5B42C7" wp14:editId="2E305F34">
            <wp:extent cx="5847080" cy="3362325"/>
            <wp:effectExtent l="19050" t="19050" r="20320" b="28575"/>
            <wp:docPr id="15" name="Picture 2" descr="Urban growth simulation in Nairobi in scenario three (203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rban growth simulation in Nairobi in scenario three (2030) "/>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70727" cy="3375923"/>
                    </a:xfrm>
                    <a:prstGeom prst="rect">
                      <a:avLst/>
                    </a:prstGeom>
                    <a:noFill/>
                    <a:ln w="19050">
                      <a:solidFill>
                        <a:schemeClr val="tx1"/>
                      </a:solidFill>
                    </a:ln>
                  </pic:spPr>
                </pic:pic>
              </a:graphicData>
            </a:graphic>
          </wp:inline>
        </w:drawing>
      </w:r>
    </w:p>
    <w:p w14:paraId="0B086926" w14:textId="3A909ADA" w:rsidR="00CF39EA" w:rsidRPr="0000487B" w:rsidRDefault="00CF39EA" w:rsidP="00AA59C1">
      <w:pPr>
        <w:rPr>
          <w:rFonts w:ascii="Garamond" w:hAnsi="Garamond"/>
        </w:rPr>
      </w:pPr>
      <w:r w:rsidRPr="0000487B">
        <w:rPr>
          <w:rFonts w:ascii="Garamond" w:hAnsi="Garamond"/>
        </w:rPr>
        <w:t>Figure</w:t>
      </w:r>
      <w:r w:rsidR="002C4203" w:rsidRPr="0000487B">
        <w:rPr>
          <w:rFonts w:ascii="Garamond" w:hAnsi="Garamond"/>
        </w:rPr>
        <w:t xml:space="preserve"> </w:t>
      </w:r>
      <w:r w:rsidR="00C417C0">
        <w:rPr>
          <w:rFonts w:ascii="Garamond" w:hAnsi="Garamond"/>
        </w:rPr>
        <w:t>6</w:t>
      </w:r>
      <w:r w:rsidR="00FE5ACF" w:rsidRPr="0000487B">
        <w:rPr>
          <w:rFonts w:ascii="Garamond" w:hAnsi="Garamond"/>
        </w:rPr>
        <w:t>.</w:t>
      </w:r>
      <w:r w:rsidRPr="0000487B">
        <w:rPr>
          <w:rFonts w:ascii="Garamond" w:hAnsi="Garamond"/>
        </w:rPr>
        <w:t xml:space="preserve"> Urban growth of Nairobi City projected to 2030 (Urban Growth Simulation, 2030).</w:t>
      </w:r>
    </w:p>
    <w:p w14:paraId="5E9B0045" w14:textId="2AA81CB9" w:rsidR="00F55CE0" w:rsidRPr="0000487B" w:rsidRDefault="00F55CE0" w:rsidP="00466DBA">
      <w:pPr>
        <w:spacing w:line="360" w:lineRule="auto"/>
        <w:jc w:val="both"/>
        <w:rPr>
          <w:rFonts w:ascii="Garamond" w:hAnsi="Garamond"/>
          <w:b/>
          <w:bCs/>
        </w:rPr>
      </w:pPr>
      <w:r w:rsidRPr="0000487B">
        <w:rPr>
          <w:rFonts w:ascii="Garamond" w:hAnsi="Garamond"/>
          <w:b/>
          <w:bCs/>
        </w:rPr>
        <w:t>3.3. Study Design and Rationale</w:t>
      </w:r>
    </w:p>
    <w:p w14:paraId="7B6648BB" w14:textId="77777777" w:rsidR="00F55CE0" w:rsidRPr="0000487B" w:rsidRDefault="00F55CE0" w:rsidP="00466DBA">
      <w:pPr>
        <w:spacing w:line="360" w:lineRule="auto"/>
        <w:jc w:val="both"/>
        <w:rPr>
          <w:rFonts w:ascii="Garamond" w:hAnsi="Garamond"/>
        </w:rPr>
      </w:pPr>
      <w:r w:rsidRPr="0000487B">
        <w:rPr>
          <w:rFonts w:ascii="Garamond" w:hAnsi="Garamond"/>
        </w:rPr>
        <w:t>This study adopted a convergent mixed-methods design integrating quantitative climate trend analysis with household survey data and qualitative inquiry. The design was informed by the need to capture both the biophysical dimensions of climate variability (temperature and rainfall trends from 1995–2025) and the socially differentiated impacts experienced within informal settlements. A purely climatological assessment would have been insufficient to explain vulnerability outcomes, while qualitative inquiry alone would not establish empirical climate trends. The mixed-methods approach therefore enabled triangulation of meteorological records, socioeconomic indicators, and lived experiences, strengthening causal inference and contextual interpretation. Korogocho and Kahawa Soweto were purposively selected due to their high exposure to hydro-climatic hazards, dense population structures, infrastructural deficits, and contrasting settlement morphologies, allowing comparative intra-urban analysis within Nairobi City County.</w:t>
      </w:r>
    </w:p>
    <w:p w14:paraId="44CEC4D9" w14:textId="77777777" w:rsidR="0000487B" w:rsidRDefault="0000487B" w:rsidP="00466DBA">
      <w:pPr>
        <w:spacing w:line="360" w:lineRule="auto"/>
        <w:jc w:val="both"/>
        <w:rPr>
          <w:rFonts w:ascii="Garamond" w:hAnsi="Garamond"/>
          <w:b/>
          <w:bCs/>
        </w:rPr>
      </w:pPr>
    </w:p>
    <w:p w14:paraId="1F59C564" w14:textId="77777777" w:rsidR="0000487B" w:rsidRDefault="0000487B" w:rsidP="00466DBA">
      <w:pPr>
        <w:spacing w:line="360" w:lineRule="auto"/>
        <w:jc w:val="both"/>
        <w:rPr>
          <w:rFonts w:ascii="Garamond" w:hAnsi="Garamond"/>
          <w:b/>
          <w:bCs/>
        </w:rPr>
      </w:pPr>
    </w:p>
    <w:p w14:paraId="1E011CD4" w14:textId="4B6290CC" w:rsidR="00F55CE0" w:rsidRPr="0000487B" w:rsidRDefault="00F55CE0" w:rsidP="00466DBA">
      <w:pPr>
        <w:spacing w:line="360" w:lineRule="auto"/>
        <w:jc w:val="both"/>
        <w:rPr>
          <w:rFonts w:ascii="Garamond" w:hAnsi="Garamond"/>
          <w:b/>
          <w:bCs/>
        </w:rPr>
      </w:pPr>
      <w:r w:rsidRPr="0000487B">
        <w:rPr>
          <w:rFonts w:ascii="Garamond" w:hAnsi="Garamond"/>
          <w:b/>
          <w:bCs/>
        </w:rPr>
        <w:lastRenderedPageBreak/>
        <w:t>3.4. Study Sample</w:t>
      </w:r>
    </w:p>
    <w:p w14:paraId="2BBBC443" w14:textId="26D4636A" w:rsidR="00F55CE0" w:rsidRPr="0000487B" w:rsidRDefault="00F55CE0" w:rsidP="00466DBA">
      <w:pPr>
        <w:spacing w:line="360" w:lineRule="auto"/>
        <w:jc w:val="both"/>
        <w:rPr>
          <w:rFonts w:ascii="Garamond" w:hAnsi="Garamond"/>
        </w:rPr>
      </w:pPr>
      <w:r w:rsidRPr="0000487B">
        <w:rPr>
          <w:rFonts w:ascii="Garamond" w:hAnsi="Garamond"/>
        </w:rPr>
        <w:t>The study population comprised households residing in Korogocho and Kahawa Soweto informal settlements. Household heads or adult representatives (≥18 years) were targeted as primary respondents due to their decision-making roles in livelihood and adaptation strategies. Key informants</w:t>
      </w:r>
      <w:r w:rsidR="0000487B">
        <w:rPr>
          <w:rFonts w:ascii="Garamond" w:hAnsi="Garamond"/>
        </w:rPr>
        <w:t xml:space="preserve"> </w:t>
      </w:r>
      <w:r w:rsidRPr="0000487B">
        <w:rPr>
          <w:rFonts w:ascii="Garamond" w:hAnsi="Garamond"/>
        </w:rPr>
        <w:t>including local administrators, community-based organization leaders, health workers, and environmental officers</w:t>
      </w:r>
      <w:r w:rsidR="0000487B">
        <w:rPr>
          <w:rFonts w:ascii="Garamond" w:hAnsi="Garamond"/>
        </w:rPr>
        <w:t xml:space="preserve"> </w:t>
      </w:r>
      <w:r w:rsidRPr="0000487B">
        <w:rPr>
          <w:rFonts w:ascii="Garamond" w:hAnsi="Garamond"/>
        </w:rPr>
        <w:t>were included to provide institutional and governance perspectives. Additionally, focus group discussions (FGDs) were conducted with stratified groups (men, women, and youth) to capture gendered and generational dimensions of climate impacts. The sample size for the household survey was statistically determined using standard sample size estimation formulas for finite populations, ensuring adequate power and representativeness at a 95% confidence level.</w:t>
      </w:r>
    </w:p>
    <w:p w14:paraId="5D65109C" w14:textId="45B35FD3" w:rsidR="00F55CE0" w:rsidRPr="0000487B" w:rsidRDefault="00F55CE0" w:rsidP="00466DBA">
      <w:pPr>
        <w:spacing w:line="360" w:lineRule="auto"/>
        <w:jc w:val="both"/>
        <w:rPr>
          <w:rFonts w:ascii="Garamond" w:hAnsi="Garamond"/>
          <w:b/>
          <w:bCs/>
        </w:rPr>
      </w:pPr>
      <w:r w:rsidRPr="0000487B">
        <w:rPr>
          <w:rFonts w:ascii="Garamond" w:hAnsi="Garamond"/>
          <w:b/>
          <w:bCs/>
        </w:rPr>
        <w:t>3.5. Data Sampling</w:t>
      </w:r>
    </w:p>
    <w:p w14:paraId="093B1B73" w14:textId="77777777" w:rsidR="00F55CE0" w:rsidRPr="0000487B" w:rsidRDefault="00F55CE0" w:rsidP="00466DBA">
      <w:pPr>
        <w:spacing w:line="360" w:lineRule="auto"/>
        <w:jc w:val="both"/>
        <w:rPr>
          <w:rFonts w:ascii="Garamond" w:hAnsi="Garamond"/>
        </w:rPr>
      </w:pPr>
      <w:r w:rsidRPr="0000487B">
        <w:rPr>
          <w:rFonts w:ascii="Garamond" w:hAnsi="Garamond"/>
        </w:rPr>
        <w:t>A multi-stage sampling strategy was employed. First, villages within each settlement were stratified based on geographic location (e.g., proximity to riparian zones, waste sites, and major drainage corridors) to capture spatial heterogeneity in exposure. Second, systematic random sampling was used to select households within each stratum using updated settlement household listings and spatial referencing. The allocation of households was proportionate to village population size to avoid sampling bias. For qualitative components, purposive sampling identified participants with lived experience of floods, droughts, or heat stress, while ensuring representation of women, youth, and vulnerable livelihood groups. This approach enhanced both statistical representativeness and analytical depth.</w:t>
      </w:r>
    </w:p>
    <w:p w14:paraId="3B98B809" w14:textId="0807A136" w:rsidR="00F55CE0" w:rsidRPr="0000487B" w:rsidRDefault="00F55CE0" w:rsidP="00466DBA">
      <w:pPr>
        <w:spacing w:line="360" w:lineRule="auto"/>
        <w:jc w:val="both"/>
        <w:rPr>
          <w:rFonts w:ascii="Garamond" w:hAnsi="Garamond"/>
          <w:b/>
          <w:bCs/>
        </w:rPr>
      </w:pPr>
      <w:r w:rsidRPr="0000487B">
        <w:rPr>
          <w:rFonts w:ascii="Garamond" w:hAnsi="Garamond"/>
          <w:b/>
          <w:bCs/>
        </w:rPr>
        <w:t>3.6. Data Collection Procedures</w:t>
      </w:r>
    </w:p>
    <w:p w14:paraId="6CD90004" w14:textId="77777777" w:rsidR="00F55CE0" w:rsidRPr="0000487B" w:rsidRDefault="00F55CE0" w:rsidP="00466DBA">
      <w:pPr>
        <w:spacing w:line="360" w:lineRule="auto"/>
        <w:jc w:val="both"/>
        <w:rPr>
          <w:rFonts w:ascii="Garamond" w:hAnsi="Garamond"/>
        </w:rPr>
      </w:pPr>
      <w:r w:rsidRPr="0000487B">
        <w:rPr>
          <w:rFonts w:ascii="Garamond" w:hAnsi="Garamond"/>
        </w:rPr>
        <w:t>Data collection occurred in three integrated phases.</w:t>
      </w:r>
    </w:p>
    <w:p w14:paraId="5BE295FC" w14:textId="77777777" w:rsidR="00F55CE0" w:rsidRPr="0000487B" w:rsidRDefault="00F55CE0" w:rsidP="00466DBA">
      <w:pPr>
        <w:spacing w:line="360" w:lineRule="auto"/>
        <w:jc w:val="both"/>
        <w:rPr>
          <w:rFonts w:ascii="Garamond" w:hAnsi="Garamond"/>
        </w:rPr>
      </w:pPr>
      <w:r w:rsidRPr="0000487B">
        <w:rPr>
          <w:rFonts w:ascii="Garamond" w:hAnsi="Garamond"/>
        </w:rPr>
        <w:t>First, climate data (monthly rainfall and temperature records from 1995–2025) were obtained from relevant meteorological authorities and validated for completeness and consistency prior to analysis.</w:t>
      </w:r>
    </w:p>
    <w:p w14:paraId="1EA0BA31" w14:textId="60DE2B67" w:rsidR="00F55CE0" w:rsidRPr="0000487B" w:rsidRDefault="00F55CE0" w:rsidP="00466DBA">
      <w:pPr>
        <w:spacing w:line="360" w:lineRule="auto"/>
        <w:jc w:val="both"/>
        <w:rPr>
          <w:rFonts w:ascii="Garamond" w:hAnsi="Garamond"/>
        </w:rPr>
      </w:pPr>
      <w:r w:rsidRPr="0000487B">
        <w:rPr>
          <w:rFonts w:ascii="Garamond" w:hAnsi="Garamond"/>
        </w:rPr>
        <w:t>Second, household surveys were administered using structured questionnaires capturing demographic characteristics, livelihood sources, health outcomes, water access, housing conditions, and perceived climate trends. Enumerators received standardized training to ensure reliability and minimize interviewer bias. Ethical protocols including informed consent, confidentiality assurances, and voluntary participation were strictly observed.</w:t>
      </w:r>
    </w:p>
    <w:p w14:paraId="1713B4E2" w14:textId="77777777" w:rsidR="00F55CE0" w:rsidRPr="0000487B" w:rsidRDefault="00F55CE0" w:rsidP="00466DBA">
      <w:pPr>
        <w:spacing w:line="360" w:lineRule="auto"/>
        <w:jc w:val="both"/>
        <w:rPr>
          <w:rFonts w:ascii="Garamond" w:hAnsi="Garamond"/>
        </w:rPr>
      </w:pPr>
      <w:r w:rsidRPr="0000487B">
        <w:rPr>
          <w:rFonts w:ascii="Garamond" w:hAnsi="Garamond"/>
        </w:rPr>
        <w:lastRenderedPageBreak/>
        <w:t>Third, qualitative data were collected through FGDs and key informant interviews. These explored experiential narratives of climate variability, adaptation practices, institutional responses, and governance gaps. Discussions were audio-recorded with consent and supplemented by detailed field notes. Direct observation of drainage systems, housing materials, water points, and flood-prone areas further enriched contextual understanding.</w:t>
      </w:r>
    </w:p>
    <w:p w14:paraId="6A0EF5BA" w14:textId="38D68A75" w:rsidR="00F55CE0" w:rsidRPr="0000487B" w:rsidRDefault="00F55CE0" w:rsidP="00466DBA">
      <w:pPr>
        <w:spacing w:line="360" w:lineRule="auto"/>
        <w:jc w:val="both"/>
        <w:rPr>
          <w:rFonts w:ascii="Garamond" w:hAnsi="Garamond"/>
          <w:b/>
          <w:bCs/>
        </w:rPr>
      </w:pPr>
      <w:r w:rsidRPr="0000487B">
        <w:rPr>
          <w:rFonts w:ascii="Garamond" w:hAnsi="Garamond"/>
          <w:b/>
          <w:bCs/>
        </w:rPr>
        <w:t>3.7. Data Analysis</w:t>
      </w:r>
    </w:p>
    <w:p w14:paraId="5AF5C02D" w14:textId="77777777" w:rsidR="00F55CE0" w:rsidRPr="0000487B" w:rsidRDefault="00F55CE0" w:rsidP="00466DBA">
      <w:pPr>
        <w:spacing w:line="360" w:lineRule="auto"/>
        <w:jc w:val="both"/>
        <w:rPr>
          <w:rFonts w:ascii="Garamond" w:hAnsi="Garamond"/>
        </w:rPr>
      </w:pPr>
      <w:r w:rsidRPr="0000487B">
        <w:rPr>
          <w:rFonts w:ascii="Garamond" w:hAnsi="Garamond"/>
        </w:rPr>
        <w:t>Quantitative climate data were analyzed using descriptive statistics, trend analysis, and variability indices. Time-series analysis included calculation of mean annual rainfall and temperature anomalies, coefficients of variation, and linear regression models to detect statistically significant trends over the 30-year period. Where appropriate, non-parametric tests such as the Mann–Kendall trend test were applied to assess monotonic trends in rainfall and temperature patterns.</w:t>
      </w:r>
    </w:p>
    <w:p w14:paraId="20DA75DC" w14:textId="0FB5A673" w:rsidR="00F55CE0" w:rsidRPr="0000487B" w:rsidRDefault="00F55CE0" w:rsidP="00466DBA">
      <w:pPr>
        <w:spacing w:line="360" w:lineRule="auto"/>
        <w:jc w:val="both"/>
        <w:rPr>
          <w:rFonts w:ascii="Garamond" w:hAnsi="Garamond"/>
        </w:rPr>
      </w:pPr>
      <w:r w:rsidRPr="0000487B">
        <w:rPr>
          <w:rFonts w:ascii="Garamond" w:hAnsi="Garamond"/>
        </w:rPr>
        <w:t>Household survey data were coded and analyzed using statistical software. Descriptive statistics (frequencies, percentages, means) summarized exposure, sensitivity, and adaptive capacity indicators. Inferential techniques including chi-square tests and logistic regression were used to examine associations between climate exposure variables and vulnerability outcomes (e.g., health impacts, income loss, water scarcity). Effect sizes were calculated to assess the magnitude of observed relationships.</w:t>
      </w:r>
    </w:p>
    <w:p w14:paraId="77E847E5" w14:textId="5BDE7672" w:rsidR="00F55CE0" w:rsidRPr="0000487B" w:rsidRDefault="00F55CE0" w:rsidP="00466DBA">
      <w:pPr>
        <w:spacing w:line="360" w:lineRule="auto"/>
        <w:jc w:val="both"/>
        <w:rPr>
          <w:rFonts w:ascii="Garamond" w:hAnsi="Garamond"/>
        </w:rPr>
      </w:pPr>
      <w:r w:rsidRPr="0000487B">
        <w:rPr>
          <w:rFonts w:ascii="Garamond" w:hAnsi="Garamond"/>
        </w:rPr>
        <w:t>Qualitative data were transcribed verbatim and analyzed using thematic content analysis. An inductive</w:t>
      </w:r>
      <w:r w:rsidR="0000487B">
        <w:rPr>
          <w:rFonts w:ascii="Garamond" w:hAnsi="Garamond"/>
        </w:rPr>
        <w:t xml:space="preserve"> </w:t>
      </w:r>
      <w:r w:rsidRPr="0000487B">
        <w:rPr>
          <w:rFonts w:ascii="Garamond" w:hAnsi="Garamond"/>
        </w:rPr>
        <w:t>deductive coding framework was developed based on vulnerability and social–ecological systems theory. Emergent themes such as gendered vulnerability pathways, community-based adaptation, and institutional constraints were triangulated with quantitative findings to strengthen validity.</w:t>
      </w:r>
    </w:p>
    <w:p w14:paraId="251B0744" w14:textId="77777777" w:rsidR="00F55CE0" w:rsidRPr="0000487B" w:rsidRDefault="00F55CE0" w:rsidP="00466DBA">
      <w:pPr>
        <w:spacing w:line="360" w:lineRule="auto"/>
        <w:jc w:val="both"/>
        <w:rPr>
          <w:rFonts w:ascii="Garamond" w:hAnsi="Garamond"/>
        </w:rPr>
      </w:pPr>
      <w:r w:rsidRPr="0000487B">
        <w:rPr>
          <w:rFonts w:ascii="Garamond" w:hAnsi="Garamond"/>
        </w:rPr>
        <w:t>The integration of datasets occurred at the interpretation stage, where climate trends were linked to reported household impacts and adaptive responses. This analytical strategy enabled a comprehensive understanding of both the trends (temporal climatic shifts) and the extent (socioeconomic magnitude and distribution of impacts) of climate variability in Korogocho and Kahawa Soweto.</w:t>
      </w:r>
    </w:p>
    <w:p w14:paraId="3ECC8789" w14:textId="538BB67E" w:rsidR="001D4239" w:rsidRPr="0000487B" w:rsidRDefault="00F55CE0" w:rsidP="00466DBA">
      <w:pPr>
        <w:spacing w:line="360" w:lineRule="auto"/>
        <w:rPr>
          <w:rFonts w:ascii="Garamond" w:hAnsi="Garamond"/>
        </w:rPr>
      </w:pPr>
      <w:r w:rsidRPr="0000487B">
        <w:rPr>
          <w:rFonts w:ascii="Garamond" w:hAnsi="Garamond"/>
          <w:b/>
          <w:bCs/>
        </w:rPr>
        <w:t xml:space="preserve">3.8. </w:t>
      </w:r>
      <w:r w:rsidR="001D4239" w:rsidRPr="0000487B">
        <w:rPr>
          <w:rFonts w:ascii="Garamond" w:hAnsi="Garamond"/>
          <w:b/>
          <w:bCs/>
        </w:rPr>
        <w:t>Ethics Statement</w:t>
      </w:r>
      <w:r w:rsidR="001D4239" w:rsidRPr="0000487B">
        <w:rPr>
          <w:rFonts w:ascii="Garamond" w:hAnsi="Garamond"/>
        </w:rPr>
        <w:br/>
        <w:t xml:space="preserve">Household surveys and key informant interviews were conducted with informed consent, ensuring voluntary participation and the right to withdraw at any time. Confidentiality and anonymity were maintained through coded identifiers and secure data storage. The study protocol was approved and </w:t>
      </w:r>
      <w:r w:rsidR="001D4239" w:rsidRPr="0000487B">
        <w:rPr>
          <w:rFonts w:ascii="Garamond" w:hAnsi="Garamond"/>
        </w:rPr>
        <w:lastRenderedPageBreak/>
        <w:t>data collection was conducted in accordance with ethical standards for social research, with sensitivity to local cultural norms and participants’ privacy.</w:t>
      </w:r>
    </w:p>
    <w:p w14:paraId="17898F3E" w14:textId="59D4D220" w:rsidR="00B4577D" w:rsidRPr="0000487B" w:rsidRDefault="00B4577D" w:rsidP="00466DBA">
      <w:pPr>
        <w:jc w:val="both"/>
        <w:rPr>
          <w:rFonts w:ascii="Garamond" w:hAnsi="Garamond" w:cs="Times New Roman"/>
          <w:b/>
          <w:bCs/>
        </w:rPr>
      </w:pPr>
      <w:r w:rsidRPr="0000487B">
        <w:rPr>
          <w:rFonts w:ascii="Garamond" w:hAnsi="Garamond" w:cs="Times New Roman"/>
          <w:b/>
          <w:bCs/>
        </w:rPr>
        <w:t>4.</w:t>
      </w:r>
      <w:r w:rsidR="00F55CE0" w:rsidRPr="0000487B">
        <w:rPr>
          <w:rFonts w:ascii="Garamond" w:hAnsi="Garamond" w:cs="Times New Roman"/>
          <w:b/>
          <w:bCs/>
        </w:rPr>
        <w:t>0.</w:t>
      </w:r>
      <w:r w:rsidRPr="0000487B">
        <w:rPr>
          <w:rFonts w:ascii="Garamond" w:hAnsi="Garamond" w:cs="Times New Roman"/>
          <w:b/>
          <w:bCs/>
        </w:rPr>
        <w:t xml:space="preserve"> Results and Discussion</w:t>
      </w:r>
    </w:p>
    <w:p w14:paraId="1348F799" w14:textId="3E704B6B" w:rsidR="00B4577D" w:rsidRPr="0000487B" w:rsidRDefault="00B4577D" w:rsidP="00466DBA">
      <w:pPr>
        <w:spacing w:line="360" w:lineRule="auto"/>
        <w:jc w:val="both"/>
        <w:rPr>
          <w:rFonts w:ascii="Garamond" w:hAnsi="Garamond"/>
          <w:b/>
          <w:bCs/>
        </w:rPr>
      </w:pPr>
      <w:bookmarkStart w:id="3" w:name="_Hlk223525716"/>
      <w:r w:rsidRPr="0000487B">
        <w:rPr>
          <w:rFonts w:ascii="Garamond" w:hAnsi="Garamond"/>
          <w:b/>
          <w:bCs/>
        </w:rPr>
        <w:t>4.1</w:t>
      </w:r>
      <w:r w:rsidR="00F55CE0" w:rsidRPr="0000487B">
        <w:rPr>
          <w:rFonts w:ascii="Garamond" w:hAnsi="Garamond"/>
          <w:b/>
          <w:bCs/>
        </w:rPr>
        <w:t>.</w:t>
      </w:r>
      <w:r w:rsidRPr="0000487B">
        <w:rPr>
          <w:rFonts w:ascii="Garamond" w:hAnsi="Garamond"/>
          <w:b/>
          <w:bCs/>
        </w:rPr>
        <w:t xml:space="preserve"> Rainfall and Temperature Trends in Nairobi County (2000–2024)</w:t>
      </w:r>
    </w:p>
    <w:p w14:paraId="714F534A" w14:textId="77777777" w:rsidR="00B4577D" w:rsidRPr="0000487B" w:rsidRDefault="00B4577D" w:rsidP="00466DBA">
      <w:pPr>
        <w:spacing w:line="360" w:lineRule="auto"/>
        <w:jc w:val="both"/>
        <w:rPr>
          <w:rFonts w:ascii="Garamond" w:hAnsi="Garamond"/>
        </w:rPr>
      </w:pPr>
      <w:r w:rsidRPr="0000487B">
        <w:rPr>
          <w:rFonts w:ascii="Garamond" w:hAnsi="Garamond"/>
        </w:rPr>
        <w:t>Analysis of Nairobi County climate data shows a bimodal rainfall regime with long rains (MAM: March–May) and short rains (OND: October–December). Annual rainfall averages ~950</w:t>
      </w:r>
      <w:r w:rsidRPr="0000487B">
        <w:rPr>
          <w:rFonts w:ascii="Times New Roman" w:hAnsi="Times New Roman" w:cs="Times New Roman"/>
        </w:rPr>
        <w:t> </w:t>
      </w:r>
      <w:r w:rsidRPr="0000487B">
        <w:rPr>
          <w:rFonts w:ascii="Garamond" w:hAnsi="Garamond"/>
        </w:rPr>
        <w:t>mm/year, with strong inter-annual variability. Mean annual temperatures show a gradual warming trend consistent with highland tropical climate and urban heat effects.</w:t>
      </w:r>
    </w:p>
    <w:p w14:paraId="0B3B2C41" w14:textId="7EC01F75" w:rsidR="00B4577D" w:rsidRPr="0000487B" w:rsidRDefault="00B4577D" w:rsidP="00466DBA">
      <w:pPr>
        <w:spacing w:line="360" w:lineRule="auto"/>
        <w:jc w:val="both"/>
        <w:rPr>
          <w:rFonts w:ascii="Garamond" w:hAnsi="Garamond"/>
        </w:rPr>
      </w:pPr>
      <w:r w:rsidRPr="0000487B">
        <w:rPr>
          <w:rFonts w:ascii="Garamond" w:hAnsi="Garamond"/>
        </w:rPr>
        <w:t xml:space="preserve">Table </w:t>
      </w:r>
      <w:r w:rsidR="00C92C37">
        <w:rPr>
          <w:rFonts w:ascii="Garamond" w:hAnsi="Garamond"/>
        </w:rPr>
        <w:t>2</w:t>
      </w:r>
      <w:r w:rsidRPr="0000487B">
        <w:rPr>
          <w:rFonts w:ascii="Garamond" w:hAnsi="Garamond"/>
        </w:rPr>
        <w:t>: Annual Rainfall and Temperature Trends (MK test and Sen’s slope)</w:t>
      </w:r>
    </w:p>
    <w:tbl>
      <w:tblPr>
        <w:tblW w:w="8779" w:type="dxa"/>
        <w:tblCellSpacing w:w="15" w:type="dxa"/>
        <w:tblCellMar>
          <w:top w:w="15" w:type="dxa"/>
          <w:left w:w="15" w:type="dxa"/>
          <w:bottom w:w="15" w:type="dxa"/>
          <w:right w:w="15" w:type="dxa"/>
        </w:tblCellMar>
        <w:tblLook w:val="04A0" w:firstRow="1" w:lastRow="0" w:firstColumn="1" w:lastColumn="0" w:noHBand="0" w:noVBand="1"/>
      </w:tblPr>
      <w:tblGrid>
        <w:gridCol w:w="1675"/>
        <w:gridCol w:w="2253"/>
        <w:gridCol w:w="3084"/>
        <w:gridCol w:w="1767"/>
      </w:tblGrid>
      <w:tr w:rsidR="0000487B" w:rsidRPr="0000487B" w14:paraId="454F3B02" w14:textId="77777777" w:rsidTr="002C4203">
        <w:trPr>
          <w:trHeight w:val="586"/>
          <w:tblHeader/>
          <w:tblCellSpacing w:w="15" w:type="dxa"/>
        </w:trPr>
        <w:tc>
          <w:tcPr>
            <w:tcW w:w="0" w:type="auto"/>
            <w:tcBorders>
              <w:top w:val="single" w:sz="4" w:space="0" w:color="auto"/>
              <w:bottom w:val="single" w:sz="4" w:space="0" w:color="auto"/>
            </w:tcBorders>
            <w:vAlign w:val="center"/>
            <w:hideMark/>
          </w:tcPr>
          <w:p w14:paraId="781D8284" w14:textId="77777777" w:rsidR="00B4577D" w:rsidRPr="0000487B" w:rsidRDefault="00B4577D" w:rsidP="00466DBA">
            <w:pPr>
              <w:spacing w:line="360" w:lineRule="auto"/>
              <w:jc w:val="both"/>
              <w:rPr>
                <w:rFonts w:ascii="Garamond" w:hAnsi="Garamond"/>
                <w:b/>
                <w:bCs/>
              </w:rPr>
            </w:pPr>
            <w:r w:rsidRPr="0000487B">
              <w:rPr>
                <w:rFonts w:ascii="Garamond" w:hAnsi="Garamond"/>
                <w:b/>
                <w:bCs/>
              </w:rPr>
              <w:t>Variable</w:t>
            </w:r>
          </w:p>
        </w:tc>
        <w:tc>
          <w:tcPr>
            <w:tcW w:w="0" w:type="auto"/>
            <w:tcBorders>
              <w:top w:val="single" w:sz="4" w:space="0" w:color="auto"/>
              <w:bottom w:val="single" w:sz="4" w:space="0" w:color="auto"/>
            </w:tcBorders>
            <w:vAlign w:val="center"/>
            <w:hideMark/>
          </w:tcPr>
          <w:p w14:paraId="1F24F80B" w14:textId="77777777" w:rsidR="00B4577D" w:rsidRPr="0000487B" w:rsidRDefault="00B4577D" w:rsidP="00466DBA">
            <w:pPr>
              <w:spacing w:line="360" w:lineRule="auto"/>
              <w:jc w:val="both"/>
              <w:rPr>
                <w:rFonts w:ascii="Garamond" w:hAnsi="Garamond"/>
                <w:b/>
                <w:bCs/>
              </w:rPr>
            </w:pPr>
            <w:r w:rsidRPr="0000487B">
              <w:rPr>
                <w:rFonts w:ascii="Garamond" w:hAnsi="Garamond"/>
                <w:b/>
                <w:bCs/>
              </w:rPr>
              <w:t>Trend Direction</w:t>
            </w:r>
          </w:p>
        </w:tc>
        <w:tc>
          <w:tcPr>
            <w:tcW w:w="0" w:type="auto"/>
            <w:tcBorders>
              <w:top w:val="single" w:sz="4" w:space="0" w:color="auto"/>
              <w:bottom w:val="single" w:sz="4" w:space="0" w:color="auto"/>
            </w:tcBorders>
            <w:vAlign w:val="center"/>
            <w:hideMark/>
          </w:tcPr>
          <w:p w14:paraId="684C7BA9" w14:textId="77777777" w:rsidR="00B4577D" w:rsidRPr="0000487B" w:rsidRDefault="00B4577D" w:rsidP="00466DBA">
            <w:pPr>
              <w:spacing w:line="360" w:lineRule="auto"/>
              <w:jc w:val="both"/>
              <w:rPr>
                <w:rFonts w:ascii="Garamond" w:hAnsi="Garamond"/>
                <w:b/>
                <w:bCs/>
              </w:rPr>
            </w:pPr>
            <w:r w:rsidRPr="0000487B">
              <w:rPr>
                <w:rFonts w:ascii="Garamond" w:hAnsi="Garamond"/>
                <w:b/>
                <w:bCs/>
              </w:rPr>
              <w:t>Significance (α = 0.05)</w:t>
            </w:r>
          </w:p>
        </w:tc>
        <w:tc>
          <w:tcPr>
            <w:tcW w:w="0" w:type="auto"/>
            <w:tcBorders>
              <w:top w:val="single" w:sz="4" w:space="0" w:color="auto"/>
              <w:bottom w:val="single" w:sz="4" w:space="0" w:color="auto"/>
            </w:tcBorders>
            <w:vAlign w:val="center"/>
            <w:hideMark/>
          </w:tcPr>
          <w:p w14:paraId="5930EF0A" w14:textId="77777777" w:rsidR="00B4577D" w:rsidRPr="0000487B" w:rsidRDefault="00B4577D" w:rsidP="00466DBA">
            <w:pPr>
              <w:spacing w:line="360" w:lineRule="auto"/>
              <w:jc w:val="both"/>
              <w:rPr>
                <w:rFonts w:ascii="Garamond" w:hAnsi="Garamond"/>
                <w:b/>
                <w:bCs/>
              </w:rPr>
            </w:pPr>
            <w:r w:rsidRPr="0000487B">
              <w:rPr>
                <w:rFonts w:ascii="Garamond" w:hAnsi="Garamond"/>
                <w:b/>
                <w:bCs/>
              </w:rPr>
              <w:t>Sen’s Slope</w:t>
            </w:r>
          </w:p>
        </w:tc>
      </w:tr>
      <w:tr w:rsidR="0000487B" w:rsidRPr="0000487B" w14:paraId="7D0DB0DF" w14:textId="77777777" w:rsidTr="00930E9F">
        <w:trPr>
          <w:trHeight w:val="604"/>
          <w:tblCellSpacing w:w="15" w:type="dxa"/>
        </w:trPr>
        <w:tc>
          <w:tcPr>
            <w:tcW w:w="0" w:type="auto"/>
            <w:vAlign w:val="center"/>
            <w:hideMark/>
          </w:tcPr>
          <w:p w14:paraId="0B97968B" w14:textId="77777777" w:rsidR="00B4577D" w:rsidRPr="0000487B" w:rsidRDefault="00B4577D" w:rsidP="00466DBA">
            <w:pPr>
              <w:spacing w:line="360" w:lineRule="auto"/>
              <w:jc w:val="both"/>
              <w:rPr>
                <w:rFonts w:ascii="Garamond" w:hAnsi="Garamond"/>
              </w:rPr>
            </w:pPr>
            <w:r w:rsidRPr="0000487B">
              <w:rPr>
                <w:rFonts w:ascii="Garamond" w:hAnsi="Garamond"/>
              </w:rPr>
              <w:t>Rainfall</w:t>
            </w:r>
          </w:p>
        </w:tc>
        <w:tc>
          <w:tcPr>
            <w:tcW w:w="0" w:type="auto"/>
            <w:vAlign w:val="center"/>
            <w:hideMark/>
          </w:tcPr>
          <w:p w14:paraId="51770BAA" w14:textId="77777777" w:rsidR="00B4577D" w:rsidRPr="0000487B" w:rsidRDefault="00B4577D" w:rsidP="00466DBA">
            <w:pPr>
              <w:spacing w:line="360" w:lineRule="auto"/>
              <w:jc w:val="both"/>
              <w:rPr>
                <w:rFonts w:ascii="Garamond" w:hAnsi="Garamond"/>
              </w:rPr>
            </w:pPr>
            <w:r w:rsidRPr="0000487B">
              <w:rPr>
                <w:rFonts w:ascii="Garamond" w:hAnsi="Garamond"/>
              </w:rPr>
              <w:t>Increasing</w:t>
            </w:r>
          </w:p>
        </w:tc>
        <w:tc>
          <w:tcPr>
            <w:tcW w:w="0" w:type="auto"/>
            <w:vAlign w:val="center"/>
            <w:hideMark/>
          </w:tcPr>
          <w:p w14:paraId="5F07694C" w14:textId="77777777" w:rsidR="00B4577D" w:rsidRPr="0000487B" w:rsidRDefault="00B4577D" w:rsidP="00466DBA">
            <w:pPr>
              <w:spacing w:line="360" w:lineRule="auto"/>
              <w:jc w:val="both"/>
              <w:rPr>
                <w:rFonts w:ascii="Garamond" w:hAnsi="Garamond"/>
              </w:rPr>
            </w:pPr>
            <w:r w:rsidRPr="0000487B">
              <w:rPr>
                <w:rFonts w:ascii="Garamond" w:hAnsi="Garamond"/>
              </w:rPr>
              <w:t>Not significant</w:t>
            </w:r>
          </w:p>
        </w:tc>
        <w:tc>
          <w:tcPr>
            <w:tcW w:w="0" w:type="auto"/>
            <w:vAlign w:val="center"/>
            <w:hideMark/>
          </w:tcPr>
          <w:p w14:paraId="3A5F8212" w14:textId="77777777" w:rsidR="00B4577D" w:rsidRPr="0000487B" w:rsidRDefault="00B4577D" w:rsidP="00466DBA">
            <w:pPr>
              <w:spacing w:line="360" w:lineRule="auto"/>
              <w:jc w:val="both"/>
              <w:rPr>
                <w:rFonts w:ascii="Garamond" w:hAnsi="Garamond"/>
              </w:rPr>
            </w:pPr>
            <w:r w:rsidRPr="0000487B">
              <w:rPr>
                <w:rFonts w:ascii="Garamond" w:hAnsi="Garamond"/>
              </w:rPr>
              <w:t>+1.4 mm/yr</w:t>
            </w:r>
          </w:p>
        </w:tc>
      </w:tr>
      <w:tr w:rsidR="00B4577D" w:rsidRPr="0000487B" w14:paraId="1066E69B" w14:textId="77777777" w:rsidTr="002C4203">
        <w:trPr>
          <w:trHeight w:val="586"/>
          <w:tblCellSpacing w:w="15" w:type="dxa"/>
        </w:trPr>
        <w:tc>
          <w:tcPr>
            <w:tcW w:w="0" w:type="auto"/>
            <w:tcBorders>
              <w:bottom w:val="single" w:sz="4" w:space="0" w:color="auto"/>
            </w:tcBorders>
            <w:vAlign w:val="center"/>
            <w:hideMark/>
          </w:tcPr>
          <w:p w14:paraId="11474E08" w14:textId="77777777" w:rsidR="00B4577D" w:rsidRPr="0000487B" w:rsidRDefault="00B4577D" w:rsidP="00466DBA">
            <w:pPr>
              <w:spacing w:line="360" w:lineRule="auto"/>
              <w:jc w:val="both"/>
              <w:rPr>
                <w:rFonts w:ascii="Garamond" w:hAnsi="Garamond"/>
              </w:rPr>
            </w:pPr>
            <w:r w:rsidRPr="0000487B">
              <w:rPr>
                <w:rFonts w:ascii="Garamond" w:hAnsi="Garamond"/>
              </w:rPr>
              <w:t>Temperature</w:t>
            </w:r>
          </w:p>
        </w:tc>
        <w:tc>
          <w:tcPr>
            <w:tcW w:w="0" w:type="auto"/>
            <w:tcBorders>
              <w:bottom w:val="single" w:sz="4" w:space="0" w:color="auto"/>
            </w:tcBorders>
            <w:vAlign w:val="center"/>
            <w:hideMark/>
          </w:tcPr>
          <w:p w14:paraId="7789357C" w14:textId="77777777" w:rsidR="00B4577D" w:rsidRPr="0000487B" w:rsidRDefault="00B4577D" w:rsidP="00466DBA">
            <w:pPr>
              <w:spacing w:line="360" w:lineRule="auto"/>
              <w:jc w:val="both"/>
              <w:rPr>
                <w:rFonts w:ascii="Garamond" w:hAnsi="Garamond"/>
              </w:rPr>
            </w:pPr>
            <w:r w:rsidRPr="0000487B">
              <w:rPr>
                <w:rFonts w:ascii="Garamond" w:hAnsi="Garamond"/>
              </w:rPr>
              <w:t>Increasing</w:t>
            </w:r>
          </w:p>
        </w:tc>
        <w:tc>
          <w:tcPr>
            <w:tcW w:w="0" w:type="auto"/>
            <w:tcBorders>
              <w:bottom w:val="single" w:sz="4" w:space="0" w:color="auto"/>
            </w:tcBorders>
            <w:vAlign w:val="center"/>
            <w:hideMark/>
          </w:tcPr>
          <w:p w14:paraId="65D5D92B" w14:textId="77777777" w:rsidR="00B4577D" w:rsidRPr="0000487B" w:rsidRDefault="00B4577D" w:rsidP="00466DBA">
            <w:pPr>
              <w:spacing w:line="360" w:lineRule="auto"/>
              <w:jc w:val="both"/>
              <w:rPr>
                <w:rFonts w:ascii="Garamond" w:hAnsi="Garamond"/>
              </w:rPr>
            </w:pPr>
            <w:r w:rsidRPr="0000487B">
              <w:rPr>
                <w:rFonts w:ascii="Garamond" w:hAnsi="Garamond"/>
              </w:rPr>
              <w:t>Significant</w:t>
            </w:r>
          </w:p>
        </w:tc>
        <w:tc>
          <w:tcPr>
            <w:tcW w:w="0" w:type="auto"/>
            <w:tcBorders>
              <w:bottom w:val="single" w:sz="4" w:space="0" w:color="auto"/>
            </w:tcBorders>
            <w:vAlign w:val="center"/>
            <w:hideMark/>
          </w:tcPr>
          <w:p w14:paraId="57F94207" w14:textId="77777777" w:rsidR="00B4577D" w:rsidRPr="0000487B" w:rsidRDefault="00B4577D" w:rsidP="00466DBA">
            <w:pPr>
              <w:spacing w:line="360" w:lineRule="auto"/>
              <w:jc w:val="both"/>
              <w:rPr>
                <w:rFonts w:ascii="Garamond" w:hAnsi="Garamond"/>
              </w:rPr>
            </w:pPr>
            <w:r w:rsidRPr="0000487B">
              <w:rPr>
                <w:rFonts w:ascii="Garamond" w:hAnsi="Garamond"/>
              </w:rPr>
              <w:t>+0.023 °C/yr</w:t>
            </w:r>
          </w:p>
        </w:tc>
      </w:tr>
    </w:tbl>
    <w:p w14:paraId="601A65A3" w14:textId="77777777" w:rsidR="00930E9F" w:rsidRPr="0000487B" w:rsidRDefault="00930E9F" w:rsidP="00466DBA">
      <w:pPr>
        <w:spacing w:line="360" w:lineRule="auto"/>
        <w:jc w:val="both"/>
        <w:rPr>
          <w:rFonts w:ascii="Garamond" w:hAnsi="Garamond"/>
        </w:rPr>
      </w:pPr>
    </w:p>
    <w:p w14:paraId="56A9768A" w14:textId="20A11E76" w:rsidR="00B4577D" w:rsidRPr="0000487B" w:rsidRDefault="00B4577D" w:rsidP="00466DBA">
      <w:pPr>
        <w:spacing w:line="360" w:lineRule="auto"/>
        <w:jc w:val="both"/>
        <w:rPr>
          <w:rFonts w:ascii="Garamond" w:hAnsi="Garamond"/>
        </w:rPr>
      </w:pPr>
      <w:r w:rsidRPr="0000487B">
        <w:rPr>
          <w:rFonts w:ascii="Garamond" w:hAnsi="Garamond"/>
        </w:rPr>
        <w:t>Mann–Kendall analysis: rainfall Z = +1.43, p = 0.15 → weak, non-significant upward trend.</w:t>
      </w:r>
    </w:p>
    <w:p w14:paraId="3E3568BF" w14:textId="77777777" w:rsidR="00B4577D" w:rsidRPr="0000487B" w:rsidRDefault="00B4577D" w:rsidP="00466DBA">
      <w:pPr>
        <w:spacing w:line="360" w:lineRule="auto"/>
        <w:jc w:val="both"/>
        <w:rPr>
          <w:rFonts w:ascii="Garamond" w:hAnsi="Garamond"/>
        </w:rPr>
      </w:pPr>
      <w:r w:rsidRPr="0000487B">
        <w:rPr>
          <w:rFonts w:ascii="Garamond" w:hAnsi="Garamond"/>
        </w:rPr>
        <w:t>Temperature Z = +2.83, p = 0.0046 → statistically significant warming (~0.58</w:t>
      </w:r>
      <w:r w:rsidRPr="0000487B">
        <w:rPr>
          <w:rFonts w:ascii="Times New Roman" w:hAnsi="Times New Roman" w:cs="Times New Roman"/>
        </w:rPr>
        <w:t> </w:t>
      </w:r>
      <w:r w:rsidRPr="0000487B">
        <w:rPr>
          <w:rFonts w:ascii="Garamond" w:hAnsi="Garamond" w:cs="Garamond"/>
        </w:rPr>
        <w:t>°</w:t>
      </w:r>
      <w:r w:rsidRPr="0000487B">
        <w:rPr>
          <w:rFonts w:ascii="Garamond" w:hAnsi="Garamond"/>
        </w:rPr>
        <w:t>C over 25 years).</w:t>
      </w:r>
    </w:p>
    <w:p w14:paraId="7EB5C400" w14:textId="5F2EAA56" w:rsidR="0077523A" w:rsidRPr="0000487B" w:rsidRDefault="0077523A" w:rsidP="00466DBA">
      <w:pPr>
        <w:spacing w:line="360" w:lineRule="auto"/>
        <w:jc w:val="both"/>
        <w:rPr>
          <w:rFonts w:ascii="Garamond" w:hAnsi="Garamond"/>
        </w:rPr>
      </w:pPr>
      <w:r w:rsidRPr="0000487B">
        <w:rPr>
          <w:rFonts w:ascii="Garamond" w:hAnsi="Garamond"/>
          <w:b/>
          <w:bCs/>
        </w:rPr>
        <w:t xml:space="preserve">Figure </w:t>
      </w:r>
      <w:r w:rsidR="00C417C0">
        <w:rPr>
          <w:rFonts w:ascii="Garamond" w:hAnsi="Garamond"/>
          <w:b/>
          <w:bCs/>
        </w:rPr>
        <w:t>7</w:t>
      </w:r>
      <w:r w:rsidRPr="0000487B">
        <w:rPr>
          <w:rFonts w:ascii="Garamond" w:hAnsi="Garamond"/>
        </w:rPr>
        <w:t xml:space="preserve"> has been generated with:</w:t>
      </w:r>
    </w:p>
    <w:p w14:paraId="713B4278" w14:textId="13329A3D" w:rsidR="0077523A" w:rsidRPr="0000487B" w:rsidRDefault="0077523A" w:rsidP="00466DBA">
      <w:pPr>
        <w:spacing w:line="360" w:lineRule="auto"/>
        <w:jc w:val="both"/>
        <w:rPr>
          <w:rFonts w:ascii="Garamond" w:hAnsi="Garamond"/>
        </w:rPr>
      </w:pPr>
      <w:r w:rsidRPr="0000487B">
        <w:rPr>
          <w:rFonts w:ascii="Garamond" w:hAnsi="Garamond"/>
          <w:noProof/>
        </w:rPr>
        <w:lastRenderedPageBreak/>
        <w:drawing>
          <wp:inline distT="0" distB="0" distL="0" distR="0" wp14:anchorId="68F6EB2F" wp14:editId="676312F6">
            <wp:extent cx="6057900" cy="2816299"/>
            <wp:effectExtent l="19050" t="19050" r="19050" b="22225"/>
            <wp:docPr id="211390535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7">
                      <a:extLst>
                        <a:ext uri="{28A0092B-C50C-407E-A947-70E740481C1C}">
                          <a14:useLocalDpi xmlns:a14="http://schemas.microsoft.com/office/drawing/2010/main" val="0"/>
                        </a:ext>
                      </a:extLst>
                    </a:blip>
                    <a:srcRect t="6432"/>
                    <a:stretch>
                      <a:fillRect/>
                    </a:stretch>
                  </pic:blipFill>
                  <pic:spPr bwMode="auto">
                    <a:xfrm>
                      <a:off x="0" y="0"/>
                      <a:ext cx="6057900" cy="2816299"/>
                    </a:xfrm>
                    <a:prstGeom prst="rect">
                      <a:avLst/>
                    </a:prstGeom>
                    <a:noFill/>
                    <a:ln w="1905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7FA543A5" w14:textId="4E4BEFE2" w:rsidR="00CD3D04" w:rsidRPr="0000487B" w:rsidRDefault="00CD3D04" w:rsidP="00466DBA">
      <w:pPr>
        <w:spacing w:line="360" w:lineRule="auto"/>
        <w:ind w:left="720"/>
        <w:jc w:val="both"/>
        <w:rPr>
          <w:rFonts w:ascii="Garamond" w:hAnsi="Garamond"/>
        </w:rPr>
      </w:pPr>
      <w:r w:rsidRPr="0000487B">
        <w:rPr>
          <w:rFonts w:ascii="Garamond" w:hAnsi="Garamond"/>
        </w:rPr>
        <w:t xml:space="preserve">Figure </w:t>
      </w:r>
      <w:r w:rsidR="00C417C0">
        <w:rPr>
          <w:rFonts w:ascii="Garamond" w:hAnsi="Garamond"/>
        </w:rPr>
        <w:t>8</w:t>
      </w:r>
      <w:r w:rsidRPr="0000487B">
        <w:rPr>
          <w:rFonts w:ascii="Garamond" w:hAnsi="Garamond"/>
        </w:rPr>
        <w:t xml:space="preserve"> </w:t>
      </w:r>
      <w:r w:rsidRPr="0000487B">
        <w:rPr>
          <w:rFonts w:ascii="Garamond" w:hAnsi="Garamond"/>
          <w:b/>
          <w:bCs/>
        </w:rPr>
        <w:t xml:space="preserve">(Panel A) </w:t>
      </w:r>
      <w:r w:rsidRPr="0000487B">
        <w:rPr>
          <w:rFonts w:ascii="Garamond" w:hAnsi="Garamond"/>
        </w:rPr>
        <w:t>Monthly rainfall distribution (2000–2024), illustrating seasonal variability and interannual fluctuations.</w:t>
      </w:r>
    </w:p>
    <w:p w14:paraId="1E2D2EE3" w14:textId="02211AAA" w:rsidR="0077523A" w:rsidRPr="0000487B" w:rsidRDefault="0077523A" w:rsidP="00466DBA">
      <w:pPr>
        <w:spacing w:line="360" w:lineRule="auto"/>
        <w:ind w:left="720"/>
        <w:jc w:val="both"/>
        <w:rPr>
          <w:rFonts w:ascii="Garamond" w:hAnsi="Garamond"/>
        </w:rPr>
      </w:pPr>
      <w:r w:rsidRPr="0000487B">
        <w:rPr>
          <w:rFonts w:ascii="Garamond" w:hAnsi="Garamond"/>
          <w:b/>
          <w:bCs/>
        </w:rPr>
        <w:t>Panel A:</w:t>
      </w:r>
      <w:r w:rsidRPr="0000487B">
        <w:rPr>
          <w:rFonts w:ascii="Garamond" w:hAnsi="Garamond"/>
        </w:rPr>
        <w:t xml:space="preserve"> Monthly rainfall distribution (2000–2024), illustrating seasonal variability and interannual fluctuations.</w:t>
      </w:r>
    </w:p>
    <w:p w14:paraId="357A74D1" w14:textId="65EED9A7" w:rsidR="0077523A" w:rsidRPr="0000487B" w:rsidRDefault="0077523A" w:rsidP="00466DBA">
      <w:pPr>
        <w:spacing w:line="360" w:lineRule="auto"/>
        <w:ind w:left="360"/>
        <w:jc w:val="both"/>
        <w:rPr>
          <w:rFonts w:ascii="Garamond" w:hAnsi="Garamond"/>
        </w:rPr>
      </w:pPr>
      <w:r w:rsidRPr="0000487B">
        <w:rPr>
          <w:rFonts w:ascii="Garamond" w:hAnsi="Garamond"/>
          <w:noProof/>
        </w:rPr>
        <w:drawing>
          <wp:inline distT="0" distB="0" distL="0" distR="0" wp14:anchorId="5841815F" wp14:editId="176630BB">
            <wp:extent cx="5657850" cy="3111573"/>
            <wp:effectExtent l="19050" t="19050" r="19050" b="12700"/>
            <wp:docPr id="22690659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8">
                      <a:extLst>
                        <a:ext uri="{28A0092B-C50C-407E-A947-70E740481C1C}">
                          <a14:useLocalDpi xmlns:a14="http://schemas.microsoft.com/office/drawing/2010/main" val="0"/>
                        </a:ext>
                      </a:extLst>
                    </a:blip>
                    <a:srcRect t="5858"/>
                    <a:stretch>
                      <a:fillRect/>
                    </a:stretch>
                  </pic:blipFill>
                  <pic:spPr bwMode="auto">
                    <a:xfrm>
                      <a:off x="0" y="0"/>
                      <a:ext cx="5657850" cy="3111573"/>
                    </a:xfrm>
                    <a:prstGeom prst="rect">
                      <a:avLst/>
                    </a:prstGeom>
                    <a:noFill/>
                    <a:ln w="1905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66C69BF" w14:textId="42FAE185" w:rsidR="0077523A" w:rsidRPr="0000487B" w:rsidRDefault="00CD3D04" w:rsidP="00466DBA">
      <w:pPr>
        <w:spacing w:line="360" w:lineRule="auto"/>
        <w:jc w:val="both"/>
        <w:rPr>
          <w:rFonts w:ascii="Garamond" w:hAnsi="Garamond"/>
        </w:rPr>
      </w:pPr>
      <w:r w:rsidRPr="0000487B">
        <w:rPr>
          <w:rFonts w:ascii="Garamond" w:hAnsi="Garamond"/>
          <w:b/>
          <w:bCs/>
        </w:rPr>
        <w:t xml:space="preserve">Figure </w:t>
      </w:r>
      <w:r w:rsidR="00C417C0">
        <w:rPr>
          <w:rFonts w:ascii="Garamond" w:hAnsi="Garamond"/>
          <w:b/>
          <w:bCs/>
        </w:rPr>
        <w:t>9</w:t>
      </w:r>
      <w:r w:rsidR="00FE5ACF" w:rsidRPr="0000487B">
        <w:rPr>
          <w:rFonts w:ascii="Garamond" w:hAnsi="Garamond"/>
          <w:b/>
          <w:bCs/>
        </w:rPr>
        <w:t xml:space="preserve"> (B)</w:t>
      </w:r>
      <w:r w:rsidRPr="0000487B">
        <w:rPr>
          <w:rFonts w:ascii="Garamond" w:hAnsi="Garamond"/>
          <w:b/>
          <w:bCs/>
        </w:rPr>
        <w:t xml:space="preserve"> (</w:t>
      </w:r>
      <w:r w:rsidR="0077523A" w:rsidRPr="0000487B">
        <w:rPr>
          <w:rFonts w:ascii="Garamond" w:hAnsi="Garamond"/>
          <w:b/>
          <w:bCs/>
        </w:rPr>
        <w:t>Panel B</w:t>
      </w:r>
      <w:r w:rsidRPr="0000487B">
        <w:rPr>
          <w:rFonts w:ascii="Garamond" w:hAnsi="Garamond"/>
          <w:b/>
          <w:bCs/>
        </w:rPr>
        <w:t>)</w:t>
      </w:r>
      <w:r w:rsidR="0077523A" w:rsidRPr="0000487B">
        <w:rPr>
          <w:rFonts w:ascii="Garamond" w:hAnsi="Garamond"/>
          <w:b/>
          <w:bCs/>
        </w:rPr>
        <w:t>:</w:t>
      </w:r>
      <w:r w:rsidR="0077523A" w:rsidRPr="0000487B">
        <w:rPr>
          <w:rFonts w:ascii="Garamond" w:hAnsi="Garamond"/>
        </w:rPr>
        <w:t xml:space="preserve"> Monthly mean temperature (2000–2024) with Mann–Kendall trend statistic and Sen’s slope trend line.</w:t>
      </w:r>
    </w:p>
    <w:p w14:paraId="35EA4DA5" w14:textId="3F803D08" w:rsidR="0077523A" w:rsidRPr="0000487B" w:rsidRDefault="0077523A" w:rsidP="00F97491">
      <w:pPr>
        <w:spacing w:line="360" w:lineRule="auto"/>
        <w:jc w:val="both"/>
        <w:rPr>
          <w:rFonts w:ascii="Garamond" w:hAnsi="Garamond"/>
        </w:rPr>
      </w:pPr>
      <w:r w:rsidRPr="0000487B">
        <w:rPr>
          <w:rFonts w:ascii="Garamond" w:hAnsi="Garamond"/>
          <w:b/>
          <w:bCs/>
        </w:rPr>
        <w:lastRenderedPageBreak/>
        <w:t>A:</w:t>
      </w:r>
      <w:r w:rsidRPr="0000487B">
        <w:rPr>
          <w:rFonts w:ascii="Garamond" w:hAnsi="Garamond"/>
        </w:rPr>
        <w:t xml:space="preserve"> Monthly rainfall distribution (2000–2024), illustrating strong intra-annual seasonality and interannual variability.</w:t>
      </w:r>
      <w:r w:rsidR="00F97491" w:rsidRPr="0000487B">
        <w:rPr>
          <w:rFonts w:ascii="Garamond" w:hAnsi="Garamond"/>
        </w:rPr>
        <w:t xml:space="preserve"> </w:t>
      </w:r>
      <w:r w:rsidRPr="0000487B">
        <w:rPr>
          <w:rFonts w:ascii="Garamond" w:hAnsi="Garamond"/>
          <w:b/>
          <w:bCs/>
        </w:rPr>
        <w:t xml:space="preserve"> B:</w:t>
      </w:r>
      <w:r w:rsidRPr="0000487B">
        <w:rPr>
          <w:rFonts w:ascii="Garamond" w:hAnsi="Garamond"/>
        </w:rPr>
        <w:t xml:space="preserve"> Monthly mean temperature (2000–2024) with Mann–Kendall trend and Sen’s slope line.</w:t>
      </w:r>
    </w:p>
    <w:p w14:paraId="3B98B144" w14:textId="038B7A4E" w:rsidR="0077523A" w:rsidRPr="0000487B" w:rsidRDefault="0077523A" w:rsidP="0000543F">
      <w:pPr>
        <w:rPr>
          <w:rFonts w:ascii="Garamond" w:hAnsi="Garamond"/>
        </w:rPr>
      </w:pPr>
      <w:r w:rsidRPr="0000487B">
        <w:rPr>
          <w:rFonts w:ascii="Garamond" w:hAnsi="Garamond"/>
        </w:rPr>
        <w:t>Trend statistics</w:t>
      </w:r>
      <w:r w:rsidR="00F97491" w:rsidRPr="0000487B">
        <w:rPr>
          <w:rFonts w:ascii="Garamond" w:hAnsi="Garamond"/>
        </w:rPr>
        <w:t xml:space="preserve"> </w:t>
      </w:r>
      <w:r w:rsidRPr="0000487B">
        <w:rPr>
          <w:rFonts w:ascii="Garamond" w:hAnsi="Garamond"/>
        </w:rPr>
        <w:t>(Temperature)</w:t>
      </w:r>
      <w:r w:rsidR="00F97491" w:rsidRPr="0000487B">
        <w:rPr>
          <w:rFonts w:ascii="Garamond" w:hAnsi="Garamond"/>
        </w:rPr>
        <w:t xml:space="preserve"> showed that </w:t>
      </w:r>
      <w:r w:rsidRPr="0000487B">
        <w:rPr>
          <w:rFonts w:ascii="Garamond" w:hAnsi="Garamond"/>
        </w:rPr>
        <w:t>Mann–Kendall (S) = 1598.0</w:t>
      </w:r>
      <w:r w:rsidR="00F97491" w:rsidRPr="0000487B">
        <w:rPr>
          <w:rFonts w:ascii="Garamond" w:hAnsi="Garamond"/>
        </w:rPr>
        <w:t xml:space="preserve"> and Sen’s</w:t>
      </w:r>
      <w:r w:rsidRPr="0000487B">
        <w:rPr>
          <w:rFonts w:ascii="Garamond" w:hAnsi="Garamond"/>
        </w:rPr>
        <w:t xml:space="preserve"> slope = 0.0109 °C/year, indicating a gradual warming trend over the study period.</w:t>
      </w:r>
    </w:p>
    <w:p w14:paraId="1D211DF4" w14:textId="40A1D8F2" w:rsidR="0077523A" w:rsidRPr="0000487B" w:rsidRDefault="0077523A" w:rsidP="0000543F">
      <w:pPr>
        <w:rPr>
          <w:rFonts w:ascii="Garamond" w:hAnsi="Garamond"/>
        </w:rPr>
      </w:pPr>
      <w:r w:rsidRPr="0000487B">
        <w:rPr>
          <w:rFonts w:ascii="Garamond" w:hAnsi="Garamond"/>
        </w:rPr>
        <w:t>Trend statistics (Temperature)</w:t>
      </w:r>
      <w:r w:rsidR="00F97491" w:rsidRPr="0000487B">
        <w:rPr>
          <w:rFonts w:ascii="Garamond" w:hAnsi="Garamond"/>
        </w:rPr>
        <w:t xml:space="preserve"> showed that MK</w:t>
      </w:r>
      <w:r w:rsidRPr="0000487B">
        <w:rPr>
          <w:rFonts w:ascii="Garamond" w:hAnsi="Garamond"/>
        </w:rPr>
        <w:t xml:space="preserve"> Statistic = 2770.0</w:t>
      </w:r>
      <w:r w:rsidR="00F97491" w:rsidRPr="0000487B">
        <w:rPr>
          <w:rFonts w:ascii="Garamond" w:hAnsi="Garamond"/>
        </w:rPr>
        <w:t xml:space="preserve"> and </w:t>
      </w:r>
      <w:r w:rsidRPr="0000487B">
        <w:rPr>
          <w:rFonts w:ascii="Garamond" w:hAnsi="Garamond"/>
        </w:rPr>
        <w:t>Sen’s Slope = 0.0195 °C/year, indicating a gradual warming trend over the study period.</w:t>
      </w:r>
    </w:p>
    <w:p w14:paraId="3E886B0D" w14:textId="06D5417C" w:rsidR="00607927" w:rsidRPr="0000487B" w:rsidRDefault="00607927" w:rsidP="00607927">
      <w:pPr>
        <w:spacing w:line="360" w:lineRule="auto"/>
        <w:jc w:val="both"/>
        <w:rPr>
          <w:rFonts w:ascii="Garamond" w:hAnsi="Garamond"/>
        </w:rPr>
      </w:pPr>
      <w:r w:rsidRPr="0000487B">
        <w:rPr>
          <w:rFonts w:ascii="Garamond" w:hAnsi="Garamond"/>
          <w:noProof/>
        </w:rPr>
        <w:drawing>
          <wp:inline distT="0" distB="0" distL="0" distR="0" wp14:anchorId="7557A601" wp14:editId="04FE528E">
            <wp:extent cx="5943600" cy="3241675"/>
            <wp:effectExtent l="19050" t="19050" r="19050" b="15875"/>
            <wp:docPr id="198652475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3241675"/>
                    </a:xfrm>
                    <a:prstGeom prst="rect">
                      <a:avLst/>
                    </a:prstGeom>
                    <a:noFill/>
                    <a:ln w="19050">
                      <a:solidFill>
                        <a:schemeClr val="tx1"/>
                      </a:solidFill>
                    </a:ln>
                  </pic:spPr>
                </pic:pic>
              </a:graphicData>
            </a:graphic>
          </wp:inline>
        </w:drawing>
      </w:r>
    </w:p>
    <w:p w14:paraId="757799D8" w14:textId="6DC4A3FB" w:rsidR="0000543F" w:rsidRPr="0000487B" w:rsidRDefault="00226FA9" w:rsidP="00466DBA">
      <w:pPr>
        <w:spacing w:line="360" w:lineRule="auto"/>
        <w:jc w:val="both"/>
        <w:rPr>
          <w:rFonts w:ascii="Garamond" w:hAnsi="Garamond"/>
        </w:rPr>
      </w:pPr>
      <w:r w:rsidRPr="0000487B">
        <w:rPr>
          <w:rFonts w:ascii="Garamond" w:hAnsi="Garamond"/>
        </w:rPr>
        <w:t xml:space="preserve">Figure </w:t>
      </w:r>
      <w:r w:rsidR="00C417C0">
        <w:rPr>
          <w:rFonts w:ascii="Garamond" w:hAnsi="Garamond"/>
        </w:rPr>
        <w:t>10</w:t>
      </w:r>
      <w:r w:rsidRPr="0000487B">
        <w:rPr>
          <w:rFonts w:ascii="Garamond" w:hAnsi="Garamond"/>
        </w:rPr>
        <w:t xml:space="preserve">. Monthly Average Temperature comparison of the two slums </w:t>
      </w:r>
    </w:p>
    <w:p w14:paraId="62E09FE2" w14:textId="432B7C21" w:rsidR="0000543F" w:rsidRPr="0000487B" w:rsidRDefault="0000543F" w:rsidP="00226FA9">
      <w:pPr>
        <w:spacing w:line="360" w:lineRule="auto"/>
        <w:jc w:val="both"/>
        <w:rPr>
          <w:rFonts w:ascii="Garamond" w:hAnsi="Garamond"/>
        </w:rPr>
      </w:pPr>
      <w:r w:rsidRPr="0000487B">
        <w:rPr>
          <w:rFonts w:ascii="Garamond" w:hAnsi="Garamond"/>
        </w:rPr>
        <w:t>Trend Consistency showed that both Korogocho and Kahawa Soweto follow an identical seasonal trend, characterized by a steady rise toward March followed by a sharp decline into the cool season in July.</w:t>
      </w:r>
      <w:r w:rsidR="00226FA9" w:rsidRPr="0000487B">
        <w:rPr>
          <w:rFonts w:ascii="Garamond" w:hAnsi="Garamond"/>
        </w:rPr>
        <w:t xml:space="preserve"> </w:t>
      </w:r>
      <w:r w:rsidRPr="0000487B">
        <w:rPr>
          <w:rFonts w:ascii="Garamond" w:hAnsi="Garamond"/>
        </w:rPr>
        <w:t>Thermal Gap</w:t>
      </w:r>
      <w:r w:rsidR="00226FA9" w:rsidRPr="0000487B">
        <w:rPr>
          <w:rFonts w:ascii="Garamond" w:hAnsi="Garamond"/>
        </w:rPr>
        <w:t>,</w:t>
      </w:r>
      <w:r w:rsidRPr="0000487B">
        <w:rPr>
          <w:rFonts w:ascii="Garamond" w:hAnsi="Garamond"/>
        </w:rPr>
        <w:t xml:space="preserve"> </w:t>
      </w:r>
      <w:r w:rsidR="00226FA9" w:rsidRPr="0000487B">
        <w:rPr>
          <w:rFonts w:ascii="Garamond" w:hAnsi="Garamond"/>
        </w:rPr>
        <w:t>t</w:t>
      </w:r>
      <w:r w:rsidRPr="0000487B">
        <w:rPr>
          <w:rFonts w:ascii="Garamond" w:hAnsi="Garamond"/>
        </w:rPr>
        <w:t>here is a persistent temperature offset between the two locations. Kahawa Soweto remains consistently warmer, maintaining a gap of approximately 0.2°C to 0.3°</w:t>
      </w:r>
      <w:proofErr w:type="spellStart"/>
      <w:r w:rsidRPr="0000487B">
        <w:rPr>
          <w:rFonts w:ascii="Garamond" w:hAnsi="Garamond"/>
        </w:rPr>
        <w:t>C over</w:t>
      </w:r>
      <w:proofErr w:type="spellEnd"/>
      <w:r w:rsidRPr="0000487B">
        <w:rPr>
          <w:rFonts w:ascii="Garamond" w:hAnsi="Garamond"/>
        </w:rPr>
        <w:t> </w:t>
      </w:r>
      <w:proofErr w:type="spellStart"/>
      <w:r w:rsidRPr="0000487B">
        <w:rPr>
          <w:rFonts w:ascii="Garamond" w:hAnsi="Garamond"/>
        </w:rPr>
        <w:t>Korogocho</w:t>
      </w:r>
      <w:proofErr w:type="spellEnd"/>
      <w:r w:rsidRPr="0000487B">
        <w:rPr>
          <w:rFonts w:ascii="Garamond" w:hAnsi="Garamond"/>
        </w:rPr>
        <w:t> in every month of the year.</w:t>
      </w:r>
      <w:r w:rsidR="00226FA9" w:rsidRPr="0000487B">
        <w:rPr>
          <w:rFonts w:ascii="Garamond" w:hAnsi="Garamond"/>
        </w:rPr>
        <w:t xml:space="preserve"> </w:t>
      </w:r>
      <w:r w:rsidRPr="0000487B">
        <w:rPr>
          <w:rFonts w:ascii="Garamond" w:hAnsi="Garamond"/>
        </w:rPr>
        <w:t>Seasonality</w:t>
      </w:r>
      <w:r w:rsidR="00226FA9" w:rsidRPr="0000487B">
        <w:rPr>
          <w:rFonts w:ascii="Garamond" w:hAnsi="Garamond"/>
        </w:rPr>
        <w:t>, w</w:t>
      </w:r>
      <w:r w:rsidRPr="0000487B">
        <w:rPr>
          <w:rFonts w:ascii="Garamond" w:hAnsi="Garamond"/>
        </w:rPr>
        <w:t xml:space="preserve">armest </w:t>
      </w:r>
      <w:r w:rsidR="00226FA9" w:rsidRPr="0000487B">
        <w:rPr>
          <w:rFonts w:ascii="Garamond" w:hAnsi="Garamond"/>
        </w:rPr>
        <w:t>m</w:t>
      </w:r>
      <w:r w:rsidRPr="0000487B">
        <w:rPr>
          <w:rFonts w:ascii="Garamond" w:hAnsi="Garamond"/>
        </w:rPr>
        <w:t>onth</w:t>
      </w:r>
      <w:r w:rsidR="00226FA9" w:rsidRPr="0000487B">
        <w:rPr>
          <w:rFonts w:ascii="Garamond" w:hAnsi="Garamond"/>
        </w:rPr>
        <w:t xml:space="preserve"> was</w:t>
      </w:r>
      <w:r w:rsidRPr="0000487B">
        <w:rPr>
          <w:rFonts w:ascii="Garamond" w:hAnsi="Garamond"/>
        </w:rPr>
        <w:t xml:space="preserve"> March (Korogocho: 24.2°C | Kahawa Soweto: 24.5°C)</w:t>
      </w:r>
      <w:r w:rsidR="00226FA9" w:rsidRPr="0000487B">
        <w:rPr>
          <w:rFonts w:ascii="Garamond" w:hAnsi="Garamond"/>
        </w:rPr>
        <w:t>, while c</w:t>
      </w:r>
      <w:r w:rsidRPr="0000487B">
        <w:rPr>
          <w:rFonts w:ascii="Garamond" w:hAnsi="Garamond"/>
        </w:rPr>
        <w:t xml:space="preserve">oolest </w:t>
      </w:r>
      <w:r w:rsidR="00226FA9" w:rsidRPr="0000487B">
        <w:rPr>
          <w:rFonts w:ascii="Garamond" w:hAnsi="Garamond"/>
        </w:rPr>
        <w:t>m</w:t>
      </w:r>
      <w:r w:rsidRPr="0000487B">
        <w:rPr>
          <w:rFonts w:ascii="Garamond" w:hAnsi="Garamond"/>
        </w:rPr>
        <w:t>onth</w:t>
      </w:r>
      <w:r w:rsidR="00226FA9" w:rsidRPr="0000487B">
        <w:rPr>
          <w:rFonts w:ascii="Garamond" w:hAnsi="Garamond"/>
        </w:rPr>
        <w:t xml:space="preserve"> was July</w:t>
      </w:r>
      <w:r w:rsidRPr="0000487B">
        <w:rPr>
          <w:rFonts w:ascii="Garamond" w:hAnsi="Garamond"/>
        </w:rPr>
        <w:t xml:space="preserve"> (Korogocho: 21.0°</w:t>
      </w:r>
      <w:r w:rsidR="00226FA9" w:rsidRPr="0000487B">
        <w:rPr>
          <w:rFonts w:ascii="Garamond" w:hAnsi="Garamond"/>
        </w:rPr>
        <w:t>C Kahawa</w:t>
      </w:r>
      <w:r w:rsidRPr="0000487B">
        <w:rPr>
          <w:rFonts w:ascii="Garamond" w:hAnsi="Garamond"/>
        </w:rPr>
        <w:t xml:space="preserve"> Soweto: 21.2°C).</w:t>
      </w:r>
    </w:p>
    <w:p w14:paraId="6EC8CD24" w14:textId="77777777" w:rsidR="0000543F" w:rsidRPr="0000487B" w:rsidRDefault="0000543F" w:rsidP="00466DBA">
      <w:pPr>
        <w:spacing w:line="360" w:lineRule="auto"/>
        <w:jc w:val="both"/>
        <w:rPr>
          <w:rFonts w:ascii="Garamond" w:hAnsi="Garamond"/>
        </w:rPr>
      </w:pPr>
    </w:p>
    <w:p w14:paraId="3DF0196A" w14:textId="6796DCAA" w:rsidR="0000543F" w:rsidRPr="0000487B" w:rsidRDefault="0000543F" w:rsidP="0000543F">
      <w:pPr>
        <w:spacing w:line="360" w:lineRule="auto"/>
        <w:jc w:val="both"/>
        <w:rPr>
          <w:rFonts w:ascii="Garamond" w:hAnsi="Garamond"/>
        </w:rPr>
      </w:pPr>
      <w:r w:rsidRPr="0000487B">
        <w:rPr>
          <w:rFonts w:ascii="Garamond" w:hAnsi="Garamond"/>
          <w:noProof/>
        </w:rPr>
        <w:lastRenderedPageBreak/>
        <w:drawing>
          <wp:inline distT="0" distB="0" distL="0" distR="0" wp14:anchorId="6ABF0A04" wp14:editId="41FFE876">
            <wp:extent cx="5943600" cy="3609975"/>
            <wp:effectExtent l="19050" t="19050" r="19050" b="28575"/>
            <wp:docPr id="208911397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3609975"/>
                    </a:xfrm>
                    <a:prstGeom prst="rect">
                      <a:avLst/>
                    </a:prstGeom>
                    <a:noFill/>
                    <a:ln w="19050">
                      <a:solidFill>
                        <a:schemeClr val="tx1"/>
                      </a:solidFill>
                    </a:ln>
                  </pic:spPr>
                </pic:pic>
              </a:graphicData>
            </a:graphic>
          </wp:inline>
        </w:drawing>
      </w:r>
    </w:p>
    <w:p w14:paraId="57A6FA6B" w14:textId="443BED75" w:rsidR="0000543F" w:rsidRPr="0000487B" w:rsidRDefault="00226FA9" w:rsidP="00466DBA">
      <w:pPr>
        <w:spacing w:line="360" w:lineRule="auto"/>
        <w:jc w:val="both"/>
        <w:rPr>
          <w:rFonts w:ascii="Garamond" w:hAnsi="Garamond"/>
        </w:rPr>
      </w:pPr>
      <w:r w:rsidRPr="0000487B">
        <w:rPr>
          <w:rFonts w:ascii="Garamond" w:hAnsi="Garamond"/>
        </w:rPr>
        <w:t xml:space="preserve">Figure </w:t>
      </w:r>
      <w:proofErr w:type="gramStart"/>
      <w:r w:rsidR="00C417C0">
        <w:rPr>
          <w:rFonts w:ascii="Garamond" w:hAnsi="Garamond"/>
        </w:rPr>
        <w:t>11 :</w:t>
      </w:r>
      <w:proofErr w:type="gramEnd"/>
      <w:r w:rsidR="00C417C0">
        <w:rPr>
          <w:rFonts w:ascii="Garamond" w:hAnsi="Garamond"/>
        </w:rPr>
        <w:t xml:space="preserve"> </w:t>
      </w:r>
      <w:r w:rsidRPr="0000487B">
        <w:rPr>
          <w:rFonts w:ascii="Garamond" w:hAnsi="Garamond"/>
        </w:rPr>
        <w:t xml:space="preserve">Average Monthly Temperature and Average Annual Temperature </w:t>
      </w:r>
    </w:p>
    <w:p w14:paraId="2C8B1870" w14:textId="77777777" w:rsidR="0000543F" w:rsidRPr="0000487B" w:rsidRDefault="0000543F" w:rsidP="00226FA9">
      <w:pPr>
        <w:spacing w:line="360" w:lineRule="auto"/>
        <w:jc w:val="both"/>
        <w:rPr>
          <w:rFonts w:ascii="Garamond" w:hAnsi="Garamond"/>
        </w:rPr>
      </w:pPr>
      <w:r w:rsidRPr="0000487B">
        <w:rPr>
          <w:rFonts w:ascii="Garamond" w:hAnsi="Garamond"/>
          <w:b/>
          <w:bCs/>
        </w:rPr>
        <w:t>Panel A (Monthly Trends):</w:t>
      </w:r>
      <w:r w:rsidRPr="0000487B">
        <w:rPr>
          <w:rFonts w:ascii="Garamond" w:hAnsi="Garamond"/>
        </w:rPr>
        <w:t xml:space="preserve"> Displays the seasonal temperature variation. It clearly shows the characteristic peak in March and the low point in July for both locations.</w:t>
      </w:r>
    </w:p>
    <w:p w14:paraId="6F354997" w14:textId="77777777" w:rsidR="0000543F" w:rsidRPr="0000487B" w:rsidRDefault="0000543F" w:rsidP="00226FA9">
      <w:pPr>
        <w:spacing w:line="360" w:lineRule="auto"/>
        <w:jc w:val="both"/>
        <w:rPr>
          <w:rFonts w:ascii="Garamond" w:hAnsi="Garamond"/>
        </w:rPr>
      </w:pPr>
      <w:r w:rsidRPr="0000487B">
        <w:rPr>
          <w:rFonts w:ascii="Garamond" w:hAnsi="Garamond"/>
          <w:b/>
          <w:bCs/>
        </w:rPr>
        <w:t>Panel B (Annual Trends):</w:t>
      </w:r>
      <w:r w:rsidRPr="0000487B">
        <w:rPr>
          <w:rFonts w:ascii="Garamond" w:hAnsi="Garamond"/>
        </w:rPr>
        <w:t xml:space="preserve"> Illustrates the long-term progression from 2010 to 2023. This panel highlights a steady upward trend in average temperatures over the 14-year period.</w:t>
      </w:r>
    </w:p>
    <w:p w14:paraId="2AB6C402" w14:textId="77777777" w:rsidR="00B4577D" w:rsidRPr="0000487B" w:rsidRDefault="00B4577D" w:rsidP="00466DBA">
      <w:pPr>
        <w:spacing w:line="360" w:lineRule="auto"/>
        <w:jc w:val="both"/>
        <w:rPr>
          <w:rFonts w:ascii="Garamond" w:hAnsi="Garamond"/>
          <w:b/>
          <w:bCs/>
        </w:rPr>
      </w:pPr>
      <w:r w:rsidRPr="0000487B">
        <w:rPr>
          <w:rFonts w:ascii="Garamond" w:hAnsi="Garamond"/>
          <w:b/>
          <w:bCs/>
        </w:rPr>
        <w:t>4.2 Seasonal Rainfall Patterns</w:t>
      </w:r>
    </w:p>
    <w:p w14:paraId="408A5D1D" w14:textId="77777777" w:rsidR="00B4577D" w:rsidRPr="0000487B" w:rsidRDefault="00B4577D" w:rsidP="00466DBA">
      <w:pPr>
        <w:spacing w:line="360" w:lineRule="auto"/>
        <w:jc w:val="both"/>
        <w:rPr>
          <w:rFonts w:ascii="Garamond" w:hAnsi="Garamond"/>
        </w:rPr>
      </w:pPr>
      <w:r w:rsidRPr="0000487B">
        <w:rPr>
          <w:rFonts w:ascii="Garamond" w:hAnsi="Garamond"/>
        </w:rPr>
        <w:t>Long rains (MAM) peak in April (Korogocho: 149</w:t>
      </w:r>
      <w:r w:rsidRPr="0000487B">
        <w:rPr>
          <w:rFonts w:ascii="Times New Roman" w:hAnsi="Times New Roman" w:cs="Times New Roman"/>
        </w:rPr>
        <w:t> </w:t>
      </w:r>
      <w:r w:rsidRPr="0000487B">
        <w:rPr>
          <w:rFonts w:ascii="Garamond" w:hAnsi="Garamond"/>
        </w:rPr>
        <w:t>mm; Kahawa Soweto: 125</w:t>
      </w:r>
      <w:r w:rsidRPr="0000487B">
        <w:rPr>
          <w:rFonts w:ascii="Times New Roman" w:hAnsi="Times New Roman" w:cs="Times New Roman"/>
        </w:rPr>
        <w:t> </w:t>
      </w:r>
      <w:r w:rsidRPr="0000487B">
        <w:rPr>
          <w:rFonts w:ascii="Garamond" w:hAnsi="Garamond"/>
        </w:rPr>
        <w:t>mm), short rains (OND) peak in November (Korogocho: 192</w:t>
      </w:r>
      <w:r w:rsidRPr="0000487B">
        <w:rPr>
          <w:rFonts w:ascii="Times New Roman" w:hAnsi="Times New Roman" w:cs="Times New Roman"/>
        </w:rPr>
        <w:t> </w:t>
      </w:r>
      <w:r w:rsidRPr="0000487B">
        <w:rPr>
          <w:rFonts w:ascii="Garamond" w:hAnsi="Garamond"/>
        </w:rPr>
        <w:t>mm; Kahawa Soweto: 167</w:t>
      </w:r>
      <w:r w:rsidRPr="0000487B">
        <w:rPr>
          <w:rFonts w:ascii="Times New Roman" w:hAnsi="Times New Roman" w:cs="Times New Roman"/>
        </w:rPr>
        <w:t> </w:t>
      </w:r>
      <w:r w:rsidRPr="0000487B">
        <w:rPr>
          <w:rFonts w:ascii="Garamond" w:hAnsi="Garamond"/>
        </w:rPr>
        <w:t>mm). Driest months occur during June</w:t>
      </w:r>
      <w:r w:rsidRPr="0000487B">
        <w:rPr>
          <w:rFonts w:ascii="Garamond" w:hAnsi="Garamond" w:cs="Garamond"/>
        </w:rPr>
        <w:t>–</w:t>
      </w:r>
      <w:r w:rsidRPr="0000487B">
        <w:rPr>
          <w:rFonts w:ascii="Garamond" w:hAnsi="Garamond"/>
        </w:rPr>
        <w:t>September.</w:t>
      </w:r>
    </w:p>
    <w:p w14:paraId="2D94F0F3" w14:textId="77777777" w:rsidR="00226FA9" w:rsidRPr="0000487B" w:rsidRDefault="00226FA9" w:rsidP="00466DBA">
      <w:pPr>
        <w:spacing w:line="360" w:lineRule="auto"/>
        <w:jc w:val="both"/>
        <w:rPr>
          <w:rFonts w:ascii="Garamond" w:hAnsi="Garamond"/>
        </w:rPr>
      </w:pPr>
    </w:p>
    <w:p w14:paraId="19D963F6" w14:textId="77777777" w:rsidR="00226FA9" w:rsidRPr="0000487B" w:rsidRDefault="00226FA9" w:rsidP="00466DBA">
      <w:pPr>
        <w:spacing w:line="360" w:lineRule="auto"/>
        <w:jc w:val="both"/>
        <w:rPr>
          <w:rFonts w:ascii="Garamond" w:hAnsi="Garamond"/>
        </w:rPr>
      </w:pPr>
    </w:p>
    <w:p w14:paraId="02C3A810" w14:textId="77777777" w:rsidR="00226FA9" w:rsidRPr="0000487B" w:rsidRDefault="00226FA9" w:rsidP="00466DBA">
      <w:pPr>
        <w:spacing w:line="360" w:lineRule="auto"/>
        <w:jc w:val="both"/>
        <w:rPr>
          <w:rFonts w:ascii="Garamond" w:hAnsi="Garamond"/>
        </w:rPr>
      </w:pPr>
    </w:p>
    <w:p w14:paraId="1722F9F4" w14:textId="7B0AE669" w:rsidR="00B4577D" w:rsidRPr="0000487B" w:rsidRDefault="00B4577D" w:rsidP="00466DBA">
      <w:pPr>
        <w:spacing w:line="360" w:lineRule="auto"/>
        <w:jc w:val="both"/>
        <w:rPr>
          <w:rFonts w:ascii="Garamond" w:hAnsi="Garamond"/>
        </w:rPr>
      </w:pPr>
      <w:r w:rsidRPr="0000487B">
        <w:rPr>
          <w:rFonts w:ascii="Garamond" w:hAnsi="Garamond"/>
        </w:rPr>
        <w:t xml:space="preserve">Table </w:t>
      </w:r>
      <w:r w:rsidR="00C92C37">
        <w:rPr>
          <w:rFonts w:ascii="Garamond" w:hAnsi="Garamond"/>
        </w:rPr>
        <w:t>3</w:t>
      </w:r>
      <w:r w:rsidRPr="0000487B">
        <w:rPr>
          <w:rFonts w:ascii="Garamond" w:hAnsi="Garamond"/>
        </w:rPr>
        <w:t>: Seasonal Averages</w:t>
      </w:r>
    </w:p>
    <w:tbl>
      <w:tblPr>
        <w:tblW w:w="9668" w:type="dxa"/>
        <w:tblCellSpacing w:w="15" w:type="dxa"/>
        <w:tblCellMar>
          <w:top w:w="15" w:type="dxa"/>
          <w:left w:w="15" w:type="dxa"/>
          <w:bottom w:w="15" w:type="dxa"/>
          <w:right w:w="15" w:type="dxa"/>
        </w:tblCellMar>
        <w:tblLook w:val="04A0" w:firstRow="1" w:lastRow="0" w:firstColumn="1" w:lastColumn="0" w:noHBand="0" w:noVBand="1"/>
      </w:tblPr>
      <w:tblGrid>
        <w:gridCol w:w="945"/>
        <w:gridCol w:w="1160"/>
        <w:gridCol w:w="2447"/>
        <w:gridCol w:w="2044"/>
        <w:gridCol w:w="3072"/>
      </w:tblGrid>
      <w:tr w:rsidR="0000487B" w:rsidRPr="0000487B" w14:paraId="50D151AF" w14:textId="77777777" w:rsidTr="00466DBA">
        <w:trPr>
          <w:trHeight w:val="498"/>
          <w:tblHeader/>
          <w:tblCellSpacing w:w="15" w:type="dxa"/>
        </w:trPr>
        <w:tc>
          <w:tcPr>
            <w:tcW w:w="0" w:type="auto"/>
            <w:tcBorders>
              <w:top w:val="single" w:sz="4" w:space="0" w:color="auto"/>
              <w:bottom w:val="single" w:sz="4" w:space="0" w:color="auto"/>
            </w:tcBorders>
            <w:vAlign w:val="center"/>
            <w:hideMark/>
          </w:tcPr>
          <w:p w14:paraId="33DBC601" w14:textId="77777777" w:rsidR="00B4577D" w:rsidRPr="0000487B" w:rsidRDefault="00B4577D" w:rsidP="00466DBA">
            <w:pPr>
              <w:spacing w:line="360" w:lineRule="auto"/>
              <w:jc w:val="center"/>
              <w:rPr>
                <w:rFonts w:ascii="Garamond" w:hAnsi="Garamond"/>
                <w:b/>
                <w:bCs/>
              </w:rPr>
            </w:pPr>
            <w:r w:rsidRPr="0000487B">
              <w:rPr>
                <w:rFonts w:ascii="Garamond" w:hAnsi="Garamond"/>
                <w:b/>
                <w:bCs/>
              </w:rPr>
              <w:lastRenderedPageBreak/>
              <w:t>Season</w:t>
            </w:r>
          </w:p>
        </w:tc>
        <w:tc>
          <w:tcPr>
            <w:tcW w:w="0" w:type="auto"/>
            <w:tcBorders>
              <w:top w:val="single" w:sz="4" w:space="0" w:color="auto"/>
              <w:bottom w:val="single" w:sz="4" w:space="0" w:color="auto"/>
            </w:tcBorders>
            <w:vAlign w:val="center"/>
            <w:hideMark/>
          </w:tcPr>
          <w:p w14:paraId="1147EF54" w14:textId="77777777" w:rsidR="00B4577D" w:rsidRPr="0000487B" w:rsidRDefault="00B4577D" w:rsidP="00466DBA">
            <w:pPr>
              <w:spacing w:line="360" w:lineRule="auto"/>
              <w:jc w:val="center"/>
              <w:rPr>
                <w:rFonts w:ascii="Garamond" w:hAnsi="Garamond"/>
                <w:b/>
                <w:bCs/>
              </w:rPr>
            </w:pPr>
            <w:r w:rsidRPr="0000487B">
              <w:rPr>
                <w:rFonts w:ascii="Garamond" w:hAnsi="Garamond"/>
                <w:b/>
                <w:bCs/>
              </w:rPr>
              <w:t>Months</w:t>
            </w:r>
          </w:p>
        </w:tc>
        <w:tc>
          <w:tcPr>
            <w:tcW w:w="0" w:type="auto"/>
            <w:tcBorders>
              <w:top w:val="single" w:sz="4" w:space="0" w:color="auto"/>
              <w:bottom w:val="single" w:sz="4" w:space="0" w:color="auto"/>
            </w:tcBorders>
            <w:vAlign w:val="center"/>
            <w:hideMark/>
          </w:tcPr>
          <w:p w14:paraId="0FB530A0" w14:textId="77777777" w:rsidR="00B4577D" w:rsidRPr="0000487B" w:rsidRDefault="00B4577D" w:rsidP="00466DBA">
            <w:pPr>
              <w:spacing w:line="360" w:lineRule="auto"/>
              <w:jc w:val="center"/>
              <w:rPr>
                <w:rFonts w:ascii="Garamond" w:hAnsi="Garamond"/>
                <w:b/>
                <w:bCs/>
              </w:rPr>
            </w:pPr>
            <w:r w:rsidRPr="0000487B">
              <w:rPr>
                <w:rFonts w:ascii="Garamond" w:hAnsi="Garamond"/>
                <w:b/>
                <w:bCs/>
              </w:rPr>
              <w:t>Avg. Rainfall (mm)</w:t>
            </w:r>
          </w:p>
        </w:tc>
        <w:tc>
          <w:tcPr>
            <w:tcW w:w="0" w:type="auto"/>
            <w:tcBorders>
              <w:top w:val="single" w:sz="4" w:space="0" w:color="auto"/>
              <w:bottom w:val="single" w:sz="4" w:space="0" w:color="auto"/>
            </w:tcBorders>
            <w:vAlign w:val="center"/>
            <w:hideMark/>
          </w:tcPr>
          <w:p w14:paraId="35172C10" w14:textId="77777777" w:rsidR="00B4577D" w:rsidRPr="0000487B" w:rsidRDefault="00B4577D" w:rsidP="00466DBA">
            <w:pPr>
              <w:spacing w:line="360" w:lineRule="auto"/>
              <w:jc w:val="center"/>
              <w:rPr>
                <w:rFonts w:ascii="Garamond" w:hAnsi="Garamond"/>
                <w:b/>
                <w:bCs/>
              </w:rPr>
            </w:pPr>
            <w:r w:rsidRPr="0000487B">
              <w:rPr>
                <w:rFonts w:ascii="Garamond" w:hAnsi="Garamond"/>
                <w:b/>
                <w:bCs/>
              </w:rPr>
              <w:t>Avg. Temp (°C)</w:t>
            </w:r>
          </w:p>
        </w:tc>
        <w:tc>
          <w:tcPr>
            <w:tcW w:w="0" w:type="auto"/>
            <w:tcBorders>
              <w:top w:val="single" w:sz="4" w:space="0" w:color="auto"/>
              <w:bottom w:val="single" w:sz="4" w:space="0" w:color="auto"/>
            </w:tcBorders>
            <w:vAlign w:val="center"/>
            <w:hideMark/>
          </w:tcPr>
          <w:p w14:paraId="550235A8" w14:textId="77777777" w:rsidR="00B4577D" w:rsidRPr="0000487B" w:rsidRDefault="00B4577D" w:rsidP="00466DBA">
            <w:pPr>
              <w:spacing w:line="360" w:lineRule="auto"/>
              <w:jc w:val="center"/>
              <w:rPr>
                <w:rFonts w:ascii="Garamond" w:hAnsi="Garamond"/>
                <w:b/>
                <w:bCs/>
              </w:rPr>
            </w:pPr>
            <w:r w:rsidRPr="0000487B">
              <w:rPr>
                <w:rFonts w:ascii="Garamond" w:hAnsi="Garamond"/>
                <w:b/>
                <w:bCs/>
              </w:rPr>
              <w:t>Notes</w:t>
            </w:r>
          </w:p>
        </w:tc>
      </w:tr>
      <w:tr w:rsidR="0000487B" w:rsidRPr="0000487B" w14:paraId="21219142" w14:textId="77777777" w:rsidTr="001D4239">
        <w:trPr>
          <w:trHeight w:val="512"/>
          <w:tblCellSpacing w:w="15" w:type="dxa"/>
        </w:trPr>
        <w:tc>
          <w:tcPr>
            <w:tcW w:w="0" w:type="auto"/>
            <w:vAlign w:val="center"/>
            <w:hideMark/>
          </w:tcPr>
          <w:p w14:paraId="093796BF" w14:textId="77777777" w:rsidR="00B4577D" w:rsidRPr="0000487B" w:rsidRDefault="00B4577D" w:rsidP="00466DBA">
            <w:pPr>
              <w:spacing w:line="360" w:lineRule="auto"/>
              <w:jc w:val="both"/>
              <w:rPr>
                <w:rFonts w:ascii="Garamond" w:hAnsi="Garamond"/>
              </w:rPr>
            </w:pPr>
            <w:r w:rsidRPr="0000487B">
              <w:rPr>
                <w:rFonts w:ascii="Garamond" w:hAnsi="Garamond"/>
              </w:rPr>
              <w:t>MAM</w:t>
            </w:r>
          </w:p>
        </w:tc>
        <w:tc>
          <w:tcPr>
            <w:tcW w:w="0" w:type="auto"/>
            <w:vAlign w:val="center"/>
            <w:hideMark/>
          </w:tcPr>
          <w:p w14:paraId="349ECDA4" w14:textId="77777777" w:rsidR="00B4577D" w:rsidRPr="0000487B" w:rsidRDefault="00B4577D" w:rsidP="00466DBA">
            <w:pPr>
              <w:spacing w:line="360" w:lineRule="auto"/>
              <w:jc w:val="center"/>
              <w:rPr>
                <w:rFonts w:ascii="Garamond" w:hAnsi="Garamond"/>
              </w:rPr>
            </w:pPr>
            <w:r w:rsidRPr="0000487B">
              <w:rPr>
                <w:rFonts w:ascii="Garamond" w:hAnsi="Garamond"/>
              </w:rPr>
              <w:t>Mar–May</w:t>
            </w:r>
          </w:p>
        </w:tc>
        <w:tc>
          <w:tcPr>
            <w:tcW w:w="0" w:type="auto"/>
            <w:vAlign w:val="center"/>
            <w:hideMark/>
          </w:tcPr>
          <w:p w14:paraId="4B43E585" w14:textId="77777777" w:rsidR="00B4577D" w:rsidRPr="0000487B" w:rsidRDefault="00B4577D" w:rsidP="00466DBA">
            <w:pPr>
              <w:spacing w:line="360" w:lineRule="auto"/>
              <w:jc w:val="center"/>
              <w:rPr>
                <w:rFonts w:ascii="Garamond" w:hAnsi="Garamond"/>
              </w:rPr>
            </w:pPr>
            <w:r w:rsidRPr="0000487B">
              <w:rPr>
                <w:rFonts w:ascii="Garamond" w:hAnsi="Garamond"/>
              </w:rPr>
              <w:t>200–300</w:t>
            </w:r>
          </w:p>
        </w:tc>
        <w:tc>
          <w:tcPr>
            <w:tcW w:w="0" w:type="auto"/>
            <w:vAlign w:val="center"/>
            <w:hideMark/>
          </w:tcPr>
          <w:p w14:paraId="06C8EA19" w14:textId="77777777" w:rsidR="00B4577D" w:rsidRPr="0000487B" w:rsidRDefault="00B4577D" w:rsidP="00466DBA">
            <w:pPr>
              <w:spacing w:line="360" w:lineRule="auto"/>
              <w:jc w:val="center"/>
              <w:rPr>
                <w:rFonts w:ascii="Garamond" w:hAnsi="Garamond"/>
              </w:rPr>
            </w:pPr>
            <w:r w:rsidRPr="0000487B">
              <w:rPr>
                <w:rFonts w:ascii="Garamond" w:hAnsi="Garamond"/>
              </w:rPr>
              <w:t>21–22</w:t>
            </w:r>
          </w:p>
        </w:tc>
        <w:tc>
          <w:tcPr>
            <w:tcW w:w="0" w:type="auto"/>
            <w:vAlign w:val="center"/>
            <w:hideMark/>
          </w:tcPr>
          <w:p w14:paraId="64C97F32" w14:textId="77777777" w:rsidR="00B4577D" w:rsidRPr="0000487B" w:rsidRDefault="00B4577D" w:rsidP="00466DBA">
            <w:pPr>
              <w:spacing w:line="360" w:lineRule="auto"/>
              <w:jc w:val="center"/>
              <w:rPr>
                <w:rFonts w:ascii="Garamond" w:hAnsi="Garamond"/>
              </w:rPr>
            </w:pPr>
            <w:r w:rsidRPr="0000487B">
              <w:rPr>
                <w:rFonts w:ascii="Garamond" w:hAnsi="Garamond"/>
              </w:rPr>
              <w:t>Peak rainfall in April</w:t>
            </w:r>
          </w:p>
        </w:tc>
      </w:tr>
      <w:tr w:rsidR="00B4577D" w:rsidRPr="0000487B" w14:paraId="1AA0C938" w14:textId="77777777" w:rsidTr="00466DBA">
        <w:trPr>
          <w:trHeight w:val="498"/>
          <w:tblCellSpacing w:w="15" w:type="dxa"/>
        </w:trPr>
        <w:tc>
          <w:tcPr>
            <w:tcW w:w="0" w:type="auto"/>
            <w:tcBorders>
              <w:bottom w:val="single" w:sz="4" w:space="0" w:color="auto"/>
            </w:tcBorders>
            <w:vAlign w:val="center"/>
            <w:hideMark/>
          </w:tcPr>
          <w:p w14:paraId="1FCE60A1" w14:textId="77777777" w:rsidR="00B4577D" w:rsidRPr="0000487B" w:rsidRDefault="00B4577D" w:rsidP="00466DBA">
            <w:pPr>
              <w:spacing w:line="360" w:lineRule="auto"/>
              <w:jc w:val="both"/>
              <w:rPr>
                <w:rFonts w:ascii="Garamond" w:hAnsi="Garamond"/>
              </w:rPr>
            </w:pPr>
            <w:r w:rsidRPr="0000487B">
              <w:rPr>
                <w:rFonts w:ascii="Garamond" w:hAnsi="Garamond"/>
              </w:rPr>
              <w:t>OND</w:t>
            </w:r>
          </w:p>
        </w:tc>
        <w:tc>
          <w:tcPr>
            <w:tcW w:w="0" w:type="auto"/>
            <w:tcBorders>
              <w:bottom w:val="single" w:sz="4" w:space="0" w:color="auto"/>
            </w:tcBorders>
            <w:vAlign w:val="center"/>
            <w:hideMark/>
          </w:tcPr>
          <w:p w14:paraId="4B5DB730" w14:textId="77777777" w:rsidR="00B4577D" w:rsidRPr="0000487B" w:rsidRDefault="00B4577D" w:rsidP="00466DBA">
            <w:pPr>
              <w:spacing w:line="360" w:lineRule="auto"/>
              <w:jc w:val="center"/>
              <w:rPr>
                <w:rFonts w:ascii="Garamond" w:hAnsi="Garamond"/>
              </w:rPr>
            </w:pPr>
            <w:r w:rsidRPr="0000487B">
              <w:rPr>
                <w:rFonts w:ascii="Garamond" w:hAnsi="Garamond"/>
              </w:rPr>
              <w:t>Oct–Dec</w:t>
            </w:r>
          </w:p>
        </w:tc>
        <w:tc>
          <w:tcPr>
            <w:tcW w:w="0" w:type="auto"/>
            <w:tcBorders>
              <w:bottom w:val="single" w:sz="4" w:space="0" w:color="auto"/>
            </w:tcBorders>
            <w:vAlign w:val="center"/>
            <w:hideMark/>
          </w:tcPr>
          <w:p w14:paraId="654976D7" w14:textId="77777777" w:rsidR="00B4577D" w:rsidRPr="0000487B" w:rsidRDefault="00B4577D" w:rsidP="00466DBA">
            <w:pPr>
              <w:spacing w:line="360" w:lineRule="auto"/>
              <w:jc w:val="center"/>
              <w:rPr>
                <w:rFonts w:ascii="Garamond" w:hAnsi="Garamond"/>
              </w:rPr>
            </w:pPr>
            <w:r w:rsidRPr="0000487B">
              <w:rPr>
                <w:rFonts w:ascii="Garamond" w:hAnsi="Garamond"/>
              </w:rPr>
              <w:t>220–260</w:t>
            </w:r>
          </w:p>
        </w:tc>
        <w:tc>
          <w:tcPr>
            <w:tcW w:w="0" w:type="auto"/>
            <w:tcBorders>
              <w:bottom w:val="single" w:sz="4" w:space="0" w:color="auto"/>
            </w:tcBorders>
            <w:vAlign w:val="center"/>
            <w:hideMark/>
          </w:tcPr>
          <w:p w14:paraId="4E60FE1B" w14:textId="77777777" w:rsidR="00B4577D" w:rsidRPr="0000487B" w:rsidRDefault="00B4577D" w:rsidP="00466DBA">
            <w:pPr>
              <w:spacing w:line="360" w:lineRule="auto"/>
              <w:jc w:val="center"/>
              <w:rPr>
                <w:rFonts w:ascii="Garamond" w:hAnsi="Garamond"/>
              </w:rPr>
            </w:pPr>
            <w:r w:rsidRPr="0000487B">
              <w:rPr>
                <w:rFonts w:ascii="Garamond" w:hAnsi="Garamond"/>
              </w:rPr>
              <w:t>19–20</w:t>
            </w:r>
          </w:p>
        </w:tc>
        <w:tc>
          <w:tcPr>
            <w:tcW w:w="0" w:type="auto"/>
            <w:tcBorders>
              <w:bottom w:val="single" w:sz="4" w:space="0" w:color="auto"/>
            </w:tcBorders>
            <w:vAlign w:val="center"/>
            <w:hideMark/>
          </w:tcPr>
          <w:p w14:paraId="7A013024" w14:textId="77777777" w:rsidR="00B4577D" w:rsidRPr="0000487B" w:rsidRDefault="00B4577D" w:rsidP="00466DBA">
            <w:pPr>
              <w:spacing w:line="360" w:lineRule="auto"/>
              <w:jc w:val="center"/>
              <w:rPr>
                <w:rFonts w:ascii="Garamond" w:hAnsi="Garamond"/>
              </w:rPr>
            </w:pPr>
            <w:r w:rsidRPr="0000487B">
              <w:rPr>
                <w:rFonts w:ascii="Garamond" w:hAnsi="Garamond"/>
              </w:rPr>
              <w:t>Peak rainfall in November</w:t>
            </w:r>
          </w:p>
        </w:tc>
      </w:tr>
    </w:tbl>
    <w:p w14:paraId="2B34CE05" w14:textId="77777777" w:rsidR="001D4239" w:rsidRPr="0000487B" w:rsidRDefault="001D4239" w:rsidP="00466DBA">
      <w:pPr>
        <w:spacing w:line="360" w:lineRule="auto"/>
        <w:jc w:val="both"/>
        <w:rPr>
          <w:rFonts w:ascii="Garamond" w:hAnsi="Garamond"/>
        </w:rPr>
      </w:pPr>
    </w:p>
    <w:p w14:paraId="2A0751C0" w14:textId="216462EB" w:rsidR="00B4577D" w:rsidRPr="0000487B" w:rsidRDefault="00B4577D" w:rsidP="00466DBA">
      <w:pPr>
        <w:spacing w:line="360" w:lineRule="auto"/>
        <w:jc w:val="both"/>
        <w:rPr>
          <w:rFonts w:ascii="Garamond" w:hAnsi="Garamond"/>
        </w:rPr>
      </w:pPr>
      <w:r w:rsidRPr="0000487B">
        <w:rPr>
          <w:rFonts w:ascii="Garamond" w:hAnsi="Garamond"/>
        </w:rPr>
        <w:t>Korogocho consistently receives higher rainfall and exhibits larger interannual variability than Kahawa Soweto.</w:t>
      </w:r>
      <w:r w:rsidR="00226FA9" w:rsidRPr="0000487B">
        <w:rPr>
          <w:rFonts w:ascii="Garamond" w:hAnsi="Garamond"/>
        </w:rPr>
        <w:t xml:space="preserve"> </w:t>
      </w:r>
      <w:r w:rsidRPr="0000487B">
        <w:rPr>
          <w:rFonts w:ascii="Garamond" w:hAnsi="Garamond"/>
        </w:rPr>
        <w:t>Seasonal trends are weak individually (Sen’s slopes 0.09–0.15</w:t>
      </w:r>
      <w:r w:rsidRPr="0000487B">
        <w:rPr>
          <w:rFonts w:ascii="Times New Roman" w:hAnsi="Times New Roman" w:cs="Times New Roman"/>
        </w:rPr>
        <w:t> </w:t>
      </w:r>
      <w:r w:rsidRPr="0000487B">
        <w:rPr>
          <w:rFonts w:ascii="Garamond" w:hAnsi="Garamond"/>
        </w:rPr>
        <w:t>mm/year) but contribute incrementally to annual totals.</w:t>
      </w:r>
    </w:p>
    <w:p w14:paraId="3B57DBB3" w14:textId="24465CF8" w:rsidR="00466DBA" w:rsidRPr="0000487B" w:rsidRDefault="00602E1B" w:rsidP="00466DBA">
      <w:pPr>
        <w:spacing w:line="360" w:lineRule="auto"/>
        <w:jc w:val="both"/>
        <w:rPr>
          <w:rFonts w:ascii="Garamond" w:hAnsi="Garamond"/>
        </w:rPr>
      </w:pPr>
      <w:r w:rsidRPr="0000487B">
        <w:rPr>
          <w:rFonts w:ascii="Garamond" w:hAnsi="Garamond"/>
          <w:noProof/>
        </w:rPr>
        <w:drawing>
          <wp:inline distT="0" distB="0" distL="0" distR="0" wp14:anchorId="0F7D0346" wp14:editId="40BE4174">
            <wp:extent cx="6391275" cy="3452037"/>
            <wp:effectExtent l="19050" t="19050" r="9525" b="15240"/>
            <wp:docPr id="81626215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12459"/>
                    <a:stretch>
                      <a:fillRect/>
                    </a:stretch>
                  </pic:blipFill>
                  <pic:spPr bwMode="auto">
                    <a:xfrm>
                      <a:off x="0" y="0"/>
                      <a:ext cx="6391275" cy="3452037"/>
                    </a:xfrm>
                    <a:prstGeom prst="rect">
                      <a:avLst/>
                    </a:prstGeom>
                    <a:noFill/>
                    <a:ln w="1905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r w:rsidR="00B4577D" w:rsidRPr="0000487B">
        <w:rPr>
          <w:rFonts w:ascii="Garamond" w:hAnsi="Garamond"/>
        </w:rPr>
        <w:t xml:space="preserve">Figure </w:t>
      </w:r>
      <w:r w:rsidR="00C417C0">
        <w:rPr>
          <w:rFonts w:ascii="Garamond" w:hAnsi="Garamond"/>
        </w:rPr>
        <w:t>12</w:t>
      </w:r>
      <w:r w:rsidR="00FE5ACF" w:rsidRPr="0000487B">
        <w:rPr>
          <w:rFonts w:ascii="Garamond" w:hAnsi="Garamond"/>
        </w:rPr>
        <w:t>. (A&amp;B)</w:t>
      </w:r>
      <w:r w:rsidR="00466DBA" w:rsidRPr="0000487B">
        <w:rPr>
          <w:rFonts w:ascii="Garamond" w:hAnsi="Garamond"/>
        </w:rPr>
        <w:t xml:space="preserve"> Rainfall Trends in Korogocho and Kahawa Soweto</w:t>
      </w:r>
    </w:p>
    <w:p w14:paraId="75D80924" w14:textId="34944263" w:rsidR="00B4577D" w:rsidRPr="0000487B" w:rsidRDefault="00B4577D" w:rsidP="00466DBA">
      <w:pPr>
        <w:spacing w:line="360" w:lineRule="auto"/>
        <w:jc w:val="both"/>
        <w:rPr>
          <w:rFonts w:ascii="Garamond" w:hAnsi="Garamond"/>
        </w:rPr>
      </w:pPr>
      <w:r w:rsidRPr="0000487B">
        <w:rPr>
          <w:rFonts w:ascii="Garamond" w:hAnsi="Garamond"/>
        </w:rPr>
        <w:t xml:space="preserve"> Panels:</w:t>
      </w:r>
    </w:p>
    <w:p w14:paraId="7BE39479" w14:textId="77777777" w:rsidR="00B4577D" w:rsidRPr="0000487B" w:rsidRDefault="00B4577D" w:rsidP="00466DBA">
      <w:pPr>
        <w:spacing w:line="360" w:lineRule="auto"/>
        <w:jc w:val="both"/>
        <w:rPr>
          <w:rFonts w:ascii="Garamond" w:hAnsi="Garamond"/>
        </w:rPr>
      </w:pPr>
      <w:r w:rsidRPr="0000487B">
        <w:rPr>
          <w:rFonts w:ascii="Garamond" w:hAnsi="Garamond"/>
        </w:rPr>
        <w:t>Panel A: Seasonal rainfall totals (MAM vs OND)</w:t>
      </w:r>
    </w:p>
    <w:p w14:paraId="64C3E376" w14:textId="77777777" w:rsidR="00B4577D" w:rsidRPr="0000487B" w:rsidRDefault="00B4577D" w:rsidP="00466DBA">
      <w:pPr>
        <w:spacing w:line="360" w:lineRule="auto"/>
        <w:jc w:val="both"/>
        <w:rPr>
          <w:rFonts w:ascii="Garamond" w:hAnsi="Garamond"/>
        </w:rPr>
      </w:pPr>
      <w:r w:rsidRPr="0000487B">
        <w:rPr>
          <w:rFonts w:ascii="Garamond" w:hAnsi="Garamond"/>
        </w:rPr>
        <w:t>Panel B: Seasonal temperature averages</w:t>
      </w:r>
    </w:p>
    <w:p w14:paraId="184383E0" w14:textId="77777777" w:rsidR="00B4577D" w:rsidRPr="0000487B" w:rsidRDefault="00B4577D" w:rsidP="00466DBA">
      <w:pPr>
        <w:spacing w:line="360" w:lineRule="auto"/>
        <w:jc w:val="both"/>
        <w:rPr>
          <w:rFonts w:ascii="Garamond" w:hAnsi="Garamond"/>
        </w:rPr>
      </w:pPr>
      <w:r w:rsidRPr="0000487B">
        <w:rPr>
          <w:rFonts w:ascii="Garamond" w:hAnsi="Garamond"/>
        </w:rPr>
        <w:t>4.3 Rainfall Trends in Korogocho and Kahawa Soweto</w:t>
      </w:r>
    </w:p>
    <w:p w14:paraId="7126E4FD" w14:textId="77777777" w:rsidR="00B4577D" w:rsidRPr="0000487B" w:rsidRDefault="00B4577D" w:rsidP="00466DBA">
      <w:pPr>
        <w:spacing w:line="360" w:lineRule="auto"/>
        <w:jc w:val="both"/>
        <w:rPr>
          <w:rFonts w:ascii="Garamond" w:hAnsi="Garamond"/>
        </w:rPr>
      </w:pPr>
      <w:r w:rsidRPr="0000487B">
        <w:rPr>
          <w:rFonts w:ascii="Garamond" w:hAnsi="Garamond"/>
        </w:rPr>
        <w:t>Spatial analysis highlights differences in rainfall persistence and intensity:</w:t>
      </w:r>
    </w:p>
    <w:p w14:paraId="7C2BBC16" w14:textId="6C364254" w:rsidR="00B4577D" w:rsidRPr="0000487B" w:rsidRDefault="00B4577D" w:rsidP="00466DBA">
      <w:pPr>
        <w:spacing w:line="360" w:lineRule="auto"/>
        <w:jc w:val="both"/>
        <w:rPr>
          <w:rFonts w:ascii="Garamond" w:hAnsi="Garamond"/>
        </w:rPr>
      </w:pPr>
      <w:r w:rsidRPr="0000487B">
        <w:rPr>
          <w:rFonts w:ascii="Garamond" w:hAnsi="Garamond"/>
        </w:rPr>
        <w:lastRenderedPageBreak/>
        <w:t>Table 4: Annual Rainfall Trends (MK and Sen’s slope)</w:t>
      </w:r>
    </w:p>
    <w:tbl>
      <w:tblPr>
        <w:tblW w:w="9233" w:type="dxa"/>
        <w:tblCellSpacing w:w="15" w:type="dxa"/>
        <w:tblCellMar>
          <w:top w:w="15" w:type="dxa"/>
          <w:left w:w="15" w:type="dxa"/>
          <w:bottom w:w="15" w:type="dxa"/>
          <w:right w:w="15" w:type="dxa"/>
        </w:tblCellMar>
        <w:tblLook w:val="04A0" w:firstRow="1" w:lastRow="0" w:firstColumn="1" w:lastColumn="0" w:noHBand="0" w:noVBand="1"/>
      </w:tblPr>
      <w:tblGrid>
        <w:gridCol w:w="1899"/>
        <w:gridCol w:w="1494"/>
        <w:gridCol w:w="1002"/>
        <w:gridCol w:w="1479"/>
        <w:gridCol w:w="969"/>
        <w:gridCol w:w="2390"/>
      </w:tblGrid>
      <w:tr w:rsidR="0000487B" w:rsidRPr="0000487B" w14:paraId="1A70BEC5" w14:textId="77777777" w:rsidTr="00466DBA">
        <w:trPr>
          <w:trHeight w:val="552"/>
          <w:tblHeader/>
          <w:tblCellSpacing w:w="15" w:type="dxa"/>
        </w:trPr>
        <w:tc>
          <w:tcPr>
            <w:tcW w:w="0" w:type="auto"/>
            <w:tcBorders>
              <w:top w:val="single" w:sz="4" w:space="0" w:color="auto"/>
              <w:bottom w:val="single" w:sz="4" w:space="0" w:color="auto"/>
            </w:tcBorders>
            <w:vAlign w:val="center"/>
            <w:hideMark/>
          </w:tcPr>
          <w:p w14:paraId="34DB93B3" w14:textId="77777777" w:rsidR="00B4577D" w:rsidRPr="0000487B" w:rsidRDefault="00B4577D" w:rsidP="00466DBA">
            <w:pPr>
              <w:spacing w:line="360" w:lineRule="auto"/>
              <w:jc w:val="both"/>
              <w:rPr>
                <w:rFonts w:ascii="Garamond" w:hAnsi="Garamond"/>
                <w:b/>
                <w:bCs/>
              </w:rPr>
            </w:pPr>
            <w:r w:rsidRPr="0000487B">
              <w:rPr>
                <w:rFonts w:ascii="Garamond" w:hAnsi="Garamond"/>
                <w:b/>
                <w:bCs/>
              </w:rPr>
              <w:t>Location</w:t>
            </w:r>
          </w:p>
        </w:tc>
        <w:tc>
          <w:tcPr>
            <w:tcW w:w="0" w:type="auto"/>
            <w:tcBorders>
              <w:top w:val="single" w:sz="4" w:space="0" w:color="auto"/>
              <w:bottom w:val="single" w:sz="4" w:space="0" w:color="auto"/>
            </w:tcBorders>
            <w:vAlign w:val="center"/>
            <w:hideMark/>
          </w:tcPr>
          <w:p w14:paraId="66BE0FAB" w14:textId="77777777" w:rsidR="00B4577D" w:rsidRPr="0000487B" w:rsidRDefault="00B4577D" w:rsidP="00466DBA">
            <w:pPr>
              <w:spacing w:line="360" w:lineRule="auto"/>
              <w:jc w:val="center"/>
              <w:rPr>
                <w:rFonts w:ascii="Garamond" w:hAnsi="Garamond"/>
                <w:b/>
                <w:bCs/>
              </w:rPr>
            </w:pPr>
            <w:r w:rsidRPr="0000487B">
              <w:rPr>
                <w:rFonts w:ascii="Garamond" w:hAnsi="Garamond"/>
                <w:b/>
                <w:bCs/>
              </w:rPr>
              <w:t>ACF (lag-1)</w:t>
            </w:r>
          </w:p>
        </w:tc>
        <w:tc>
          <w:tcPr>
            <w:tcW w:w="0" w:type="auto"/>
            <w:tcBorders>
              <w:top w:val="single" w:sz="4" w:space="0" w:color="auto"/>
              <w:bottom w:val="single" w:sz="4" w:space="0" w:color="auto"/>
            </w:tcBorders>
            <w:vAlign w:val="center"/>
            <w:hideMark/>
          </w:tcPr>
          <w:p w14:paraId="246C0491" w14:textId="77777777" w:rsidR="00B4577D" w:rsidRPr="0000487B" w:rsidRDefault="00B4577D" w:rsidP="00466DBA">
            <w:pPr>
              <w:spacing w:line="360" w:lineRule="auto"/>
              <w:jc w:val="center"/>
              <w:rPr>
                <w:rFonts w:ascii="Garamond" w:hAnsi="Garamond"/>
                <w:b/>
                <w:bCs/>
              </w:rPr>
            </w:pPr>
            <w:r w:rsidRPr="0000487B">
              <w:rPr>
                <w:rFonts w:ascii="Garamond" w:hAnsi="Garamond"/>
                <w:b/>
                <w:bCs/>
              </w:rPr>
              <w:t>Z (MK)</w:t>
            </w:r>
          </w:p>
        </w:tc>
        <w:tc>
          <w:tcPr>
            <w:tcW w:w="0" w:type="auto"/>
            <w:tcBorders>
              <w:top w:val="single" w:sz="4" w:space="0" w:color="auto"/>
              <w:bottom w:val="single" w:sz="4" w:space="0" w:color="auto"/>
            </w:tcBorders>
            <w:vAlign w:val="center"/>
            <w:hideMark/>
          </w:tcPr>
          <w:p w14:paraId="5EF7E24D" w14:textId="77777777" w:rsidR="00B4577D" w:rsidRPr="0000487B" w:rsidRDefault="00B4577D" w:rsidP="00466DBA">
            <w:pPr>
              <w:spacing w:line="360" w:lineRule="auto"/>
              <w:jc w:val="center"/>
              <w:rPr>
                <w:rFonts w:ascii="Garamond" w:hAnsi="Garamond"/>
                <w:b/>
                <w:bCs/>
              </w:rPr>
            </w:pPr>
            <w:r w:rsidRPr="0000487B">
              <w:rPr>
                <w:rFonts w:ascii="Garamond" w:hAnsi="Garamond"/>
                <w:b/>
                <w:bCs/>
              </w:rPr>
              <w:t>Sen’s Slope</w:t>
            </w:r>
          </w:p>
        </w:tc>
        <w:tc>
          <w:tcPr>
            <w:tcW w:w="0" w:type="auto"/>
            <w:tcBorders>
              <w:top w:val="single" w:sz="4" w:space="0" w:color="auto"/>
              <w:bottom w:val="single" w:sz="4" w:space="0" w:color="auto"/>
            </w:tcBorders>
            <w:vAlign w:val="center"/>
            <w:hideMark/>
          </w:tcPr>
          <w:p w14:paraId="66B18394" w14:textId="77777777" w:rsidR="00B4577D" w:rsidRPr="0000487B" w:rsidRDefault="00B4577D" w:rsidP="00466DBA">
            <w:pPr>
              <w:spacing w:line="360" w:lineRule="auto"/>
              <w:jc w:val="center"/>
              <w:rPr>
                <w:rFonts w:ascii="Garamond" w:hAnsi="Garamond"/>
                <w:b/>
                <w:bCs/>
              </w:rPr>
            </w:pPr>
            <w:r w:rsidRPr="0000487B">
              <w:rPr>
                <w:rFonts w:ascii="Garamond" w:hAnsi="Garamond"/>
                <w:b/>
                <w:bCs/>
              </w:rPr>
              <w:t>p-value</w:t>
            </w:r>
          </w:p>
        </w:tc>
        <w:tc>
          <w:tcPr>
            <w:tcW w:w="0" w:type="auto"/>
            <w:tcBorders>
              <w:top w:val="single" w:sz="4" w:space="0" w:color="auto"/>
              <w:bottom w:val="single" w:sz="4" w:space="0" w:color="auto"/>
            </w:tcBorders>
            <w:vAlign w:val="center"/>
            <w:hideMark/>
          </w:tcPr>
          <w:p w14:paraId="4311BC47" w14:textId="77777777" w:rsidR="00B4577D" w:rsidRPr="0000487B" w:rsidRDefault="00B4577D" w:rsidP="00466DBA">
            <w:pPr>
              <w:spacing w:line="360" w:lineRule="auto"/>
              <w:jc w:val="center"/>
              <w:rPr>
                <w:rFonts w:ascii="Garamond" w:hAnsi="Garamond"/>
                <w:b/>
                <w:bCs/>
              </w:rPr>
            </w:pPr>
            <w:r w:rsidRPr="0000487B">
              <w:rPr>
                <w:rFonts w:ascii="Garamond" w:hAnsi="Garamond"/>
                <w:b/>
                <w:bCs/>
              </w:rPr>
              <w:t>Trend significance</w:t>
            </w:r>
          </w:p>
        </w:tc>
      </w:tr>
      <w:tr w:rsidR="0000487B" w:rsidRPr="0000487B" w14:paraId="7A9E0D1D" w14:textId="77777777" w:rsidTr="00466DBA">
        <w:trPr>
          <w:trHeight w:val="568"/>
          <w:tblCellSpacing w:w="15" w:type="dxa"/>
        </w:trPr>
        <w:tc>
          <w:tcPr>
            <w:tcW w:w="0" w:type="auto"/>
            <w:vAlign w:val="center"/>
            <w:hideMark/>
          </w:tcPr>
          <w:p w14:paraId="72535046" w14:textId="77777777" w:rsidR="00B4577D" w:rsidRPr="0000487B" w:rsidRDefault="00B4577D" w:rsidP="00466DBA">
            <w:pPr>
              <w:spacing w:line="360" w:lineRule="auto"/>
              <w:jc w:val="both"/>
              <w:rPr>
                <w:rFonts w:ascii="Garamond" w:hAnsi="Garamond"/>
              </w:rPr>
            </w:pPr>
            <w:r w:rsidRPr="0000487B">
              <w:rPr>
                <w:rFonts w:ascii="Garamond" w:hAnsi="Garamond"/>
              </w:rPr>
              <w:t>Korogocho</w:t>
            </w:r>
          </w:p>
        </w:tc>
        <w:tc>
          <w:tcPr>
            <w:tcW w:w="0" w:type="auto"/>
            <w:vAlign w:val="center"/>
            <w:hideMark/>
          </w:tcPr>
          <w:p w14:paraId="013B7CED" w14:textId="77777777" w:rsidR="00B4577D" w:rsidRPr="0000487B" w:rsidRDefault="00B4577D" w:rsidP="00466DBA">
            <w:pPr>
              <w:spacing w:line="360" w:lineRule="auto"/>
              <w:jc w:val="center"/>
              <w:rPr>
                <w:rFonts w:ascii="Garamond" w:hAnsi="Garamond"/>
              </w:rPr>
            </w:pPr>
            <w:r w:rsidRPr="0000487B">
              <w:rPr>
                <w:rFonts w:ascii="Garamond" w:hAnsi="Garamond"/>
              </w:rPr>
              <w:t>0.41</w:t>
            </w:r>
          </w:p>
        </w:tc>
        <w:tc>
          <w:tcPr>
            <w:tcW w:w="0" w:type="auto"/>
            <w:vAlign w:val="center"/>
            <w:hideMark/>
          </w:tcPr>
          <w:p w14:paraId="62344E5C" w14:textId="77777777" w:rsidR="00B4577D" w:rsidRPr="0000487B" w:rsidRDefault="00B4577D" w:rsidP="00466DBA">
            <w:pPr>
              <w:spacing w:line="360" w:lineRule="auto"/>
              <w:jc w:val="center"/>
              <w:rPr>
                <w:rFonts w:ascii="Garamond" w:hAnsi="Garamond"/>
              </w:rPr>
            </w:pPr>
            <w:r w:rsidRPr="0000487B">
              <w:rPr>
                <w:rFonts w:ascii="Garamond" w:hAnsi="Garamond"/>
              </w:rPr>
              <w:t>+1.36</w:t>
            </w:r>
          </w:p>
        </w:tc>
        <w:tc>
          <w:tcPr>
            <w:tcW w:w="0" w:type="auto"/>
            <w:vAlign w:val="center"/>
            <w:hideMark/>
          </w:tcPr>
          <w:p w14:paraId="0BAF1D75" w14:textId="77777777" w:rsidR="00B4577D" w:rsidRPr="0000487B" w:rsidRDefault="00B4577D" w:rsidP="00466DBA">
            <w:pPr>
              <w:spacing w:line="360" w:lineRule="auto"/>
              <w:jc w:val="center"/>
              <w:rPr>
                <w:rFonts w:ascii="Garamond" w:hAnsi="Garamond"/>
              </w:rPr>
            </w:pPr>
            <w:r w:rsidRPr="0000487B">
              <w:rPr>
                <w:rFonts w:ascii="Garamond" w:hAnsi="Garamond"/>
              </w:rPr>
              <w:t>+3.9 mm/yr</w:t>
            </w:r>
          </w:p>
        </w:tc>
        <w:tc>
          <w:tcPr>
            <w:tcW w:w="0" w:type="auto"/>
            <w:vAlign w:val="center"/>
            <w:hideMark/>
          </w:tcPr>
          <w:p w14:paraId="5809BE03" w14:textId="77777777" w:rsidR="00B4577D" w:rsidRPr="0000487B" w:rsidRDefault="00B4577D" w:rsidP="00466DBA">
            <w:pPr>
              <w:spacing w:line="360" w:lineRule="auto"/>
              <w:jc w:val="center"/>
              <w:rPr>
                <w:rFonts w:ascii="Garamond" w:hAnsi="Garamond"/>
              </w:rPr>
            </w:pPr>
            <w:r w:rsidRPr="0000487B">
              <w:rPr>
                <w:rFonts w:ascii="Garamond" w:hAnsi="Garamond"/>
              </w:rPr>
              <w:t>0.22</w:t>
            </w:r>
          </w:p>
        </w:tc>
        <w:tc>
          <w:tcPr>
            <w:tcW w:w="0" w:type="auto"/>
            <w:vAlign w:val="center"/>
            <w:hideMark/>
          </w:tcPr>
          <w:p w14:paraId="08CB4EE3" w14:textId="77777777" w:rsidR="00B4577D" w:rsidRPr="0000487B" w:rsidRDefault="00B4577D" w:rsidP="00466DBA">
            <w:pPr>
              <w:spacing w:line="360" w:lineRule="auto"/>
              <w:jc w:val="center"/>
              <w:rPr>
                <w:rFonts w:ascii="Garamond" w:hAnsi="Garamond"/>
              </w:rPr>
            </w:pPr>
            <w:r w:rsidRPr="0000487B">
              <w:rPr>
                <w:rFonts w:ascii="Garamond" w:hAnsi="Garamond"/>
              </w:rPr>
              <w:t>Weak, not sig.</w:t>
            </w:r>
          </w:p>
        </w:tc>
      </w:tr>
      <w:tr w:rsidR="0000487B" w:rsidRPr="0000487B" w14:paraId="4F6E85ED" w14:textId="77777777" w:rsidTr="00466DBA">
        <w:trPr>
          <w:trHeight w:val="552"/>
          <w:tblCellSpacing w:w="15" w:type="dxa"/>
        </w:trPr>
        <w:tc>
          <w:tcPr>
            <w:tcW w:w="0" w:type="auto"/>
            <w:tcBorders>
              <w:bottom w:val="single" w:sz="4" w:space="0" w:color="auto"/>
            </w:tcBorders>
            <w:vAlign w:val="center"/>
            <w:hideMark/>
          </w:tcPr>
          <w:p w14:paraId="1C6A09A6" w14:textId="77777777" w:rsidR="00B4577D" w:rsidRPr="0000487B" w:rsidRDefault="00B4577D" w:rsidP="00466DBA">
            <w:pPr>
              <w:spacing w:line="360" w:lineRule="auto"/>
              <w:jc w:val="both"/>
              <w:rPr>
                <w:rFonts w:ascii="Garamond" w:hAnsi="Garamond"/>
              </w:rPr>
            </w:pPr>
            <w:r w:rsidRPr="0000487B">
              <w:rPr>
                <w:rFonts w:ascii="Garamond" w:hAnsi="Garamond"/>
              </w:rPr>
              <w:t>Kahawa Soweto</w:t>
            </w:r>
          </w:p>
        </w:tc>
        <w:tc>
          <w:tcPr>
            <w:tcW w:w="0" w:type="auto"/>
            <w:tcBorders>
              <w:bottom w:val="single" w:sz="4" w:space="0" w:color="auto"/>
            </w:tcBorders>
            <w:vAlign w:val="center"/>
            <w:hideMark/>
          </w:tcPr>
          <w:p w14:paraId="2B00DF60" w14:textId="77777777" w:rsidR="00B4577D" w:rsidRPr="0000487B" w:rsidRDefault="00B4577D" w:rsidP="00466DBA">
            <w:pPr>
              <w:spacing w:line="360" w:lineRule="auto"/>
              <w:jc w:val="center"/>
              <w:rPr>
                <w:rFonts w:ascii="Garamond" w:hAnsi="Garamond"/>
              </w:rPr>
            </w:pPr>
            <w:r w:rsidRPr="0000487B">
              <w:rPr>
                <w:rFonts w:ascii="Garamond" w:hAnsi="Garamond"/>
              </w:rPr>
              <w:t>0.67</w:t>
            </w:r>
          </w:p>
        </w:tc>
        <w:tc>
          <w:tcPr>
            <w:tcW w:w="0" w:type="auto"/>
            <w:tcBorders>
              <w:bottom w:val="single" w:sz="4" w:space="0" w:color="auto"/>
            </w:tcBorders>
            <w:vAlign w:val="center"/>
            <w:hideMark/>
          </w:tcPr>
          <w:p w14:paraId="5B8636F2" w14:textId="77777777" w:rsidR="00B4577D" w:rsidRPr="0000487B" w:rsidRDefault="00B4577D" w:rsidP="00466DBA">
            <w:pPr>
              <w:spacing w:line="360" w:lineRule="auto"/>
              <w:jc w:val="center"/>
              <w:rPr>
                <w:rFonts w:ascii="Garamond" w:hAnsi="Garamond"/>
              </w:rPr>
            </w:pPr>
            <w:r w:rsidRPr="0000487B">
              <w:rPr>
                <w:rFonts w:ascii="Garamond" w:hAnsi="Garamond"/>
              </w:rPr>
              <w:t>+1.78</w:t>
            </w:r>
          </w:p>
        </w:tc>
        <w:tc>
          <w:tcPr>
            <w:tcW w:w="0" w:type="auto"/>
            <w:tcBorders>
              <w:bottom w:val="single" w:sz="4" w:space="0" w:color="auto"/>
            </w:tcBorders>
            <w:vAlign w:val="center"/>
            <w:hideMark/>
          </w:tcPr>
          <w:p w14:paraId="46F6D049" w14:textId="77777777" w:rsidR="00B4577D" w:rsidRPr="0000487B" w:rsidRDefault="00B4577D" w:rsidP="00466DBA">
            <w:pPr>
              <w:spacing w:line="360" w:lineRule="auto"/>
              <w:jc w:val="center"/>
              <w:rPr>
                <w:rFonts w:ascii="Garamond" w:hAnsi="Garamond"/>
              </w:rPr>
            </w:pPr>
            <w:r w:rsidRPr="0000487B">
              <w:rPr>
                <w:rFonts w:ascii="Garamond" w:hAnsi="Garamond"/>
              </w:rPr>
              <w:t>+2.5 mm/yr</w:t>
            </w:r>
          </w:p>
        </w:tc>
        <w:tc>
          <w:tcPr>
            <w:tcW w:w="0" w:type="auto"/>
            <w:tcBorders>
              <w:bottom w:val="single" w:sz="4" w:space="0" w:color="auto"/>
            </w:tcBorders>
            <w:vAlign w:val="center"/>
            <w:hideMark/>
          </w:tcPr>
          <w:p w14:paraId="05A1495B" w14:textId="77777777" w:rsidR="00B4577D" w:rsidRPr="0000487B" w:rsidRDefault="00B4577D" w:rsidP="00466DBA">
            <w:pPr>
              <w:spacing w:line="360" w:lineRule="auto"/>
              <w:jc w:val="center"/>
              <w:rPr>
                <w:rFonts w:ascii="Garamond" w:hAnsi="Garamond"/>
              </w:rPr>
            </w:pPr>
            <w:r w:rsidRPr="0000487B">
              <w:rPr>
                <w:rFonts w:ascii="Garamond" w:hAnsi="Garamond"/>
              </w:rPr>
              <w:t>0.075</w:t>
            </w:r>
          </w:p>
        </w:tc>
        <w:tc>
          <w:tcPr>
            <w:tcW w:w="0" w:type="auto"/>
            <w:tcBorders>
              <w:bottom w:val="single" w:sz="4" w:space="0" w:color="auto"/>
            </w:tcBorders>
            <w:vAlign w:val="center"/>
            <w:hideMark/>
          </w:tcPr>
          <w:p w14:paraId="1787CA74" w14:textId="77777777" w:rsidR="00B4577D" w:rsidRPr="0000487B" w:rsidRDefault="00B4577D" w:rsidP="00466DBA">
            <w:pPr>
              <w:spacing w:line="360" w:lineRule="auto"/>
              <w:jc w:val="center"/>
              <w:rPr>
                <w:rFonts w:ascii="Garamond" w:hAnsi="Garamond"/>
              </w:rPr>
            </w:pPr>
            <w:r w:rsidRPr="0000487B">
              <w:rPr>
                <w:rFonts w:ascii="Garamond" w:hAnsi="Garamond"/>
              </w:rPr>
              <w:t>Weak, marginal*</w:t>
            </w:r>
          </w:p>
        </w:tc>
      </w:tr>
    </w:tbl>
    <w:p w14:paraId="5E14C15E" w14:textId="77777777" w:rsidR="00B4577D" w:rsidRPr="0000487B" w:rsidRDefault="00B4577D" w:rsidP="00466DBA">
      <w:pPr>
        <w:spacing w:line="360" w:lineRule="auto"/>
        <w:jc w:val="both"/>
        <w:rPr>
          <w:rFonts w:ascii="Garamond" w:hAnsi="Garamond"/>
        </w:rPr>
      </w:pPr>
      <w:r w:rsidRPr="0000487B">
        <w:rPr>
          <w:rFonts w:ascii="Garamond" w:hAnsi="Garamond"/>
        </w:rPr>
        <w:t>*Significant at α = 0.10 but not α = 0.05; interpreted as weak but persistent.</w:t>
      </w:r>
    </w:p>
    <w:p w14:paraId="25F2D86B" w14:textId="0A540C51" w:rsidR="00B4577D" w:rsidRPr="0000487B" w:rsidRDefault="00B4577D" w:rsidP="00466DBA">
      <w:pPr>
        <w:spacing w:line="360" w:lineRule="auto"/>
        <w:jc w:val="both"/>
        <w:rPr>
          <w:rFonts w:ascii="Garamond" w:hAnsi="Garamond"/>
        </w:rPr>
      </w:pPr>
      <w:r w:rsidRPr="0000487B">
        <w:rPr>
          <w:rFonts w:ascii="Garamond" w:hAnsi="Garamond"/>
        </w:rPr>
        <w:t>Combined mean series: Sen’s slope ~3.2</w:t>
      </w:r>
      <w:r w:rsidRPr="0000487B">
        <w:rPr>
          <w:rFonts w:ascii="Times New Roman" w:hAnsi="Times New Roman" w:cs="Times New Roman"/>
        </w:rPr>
        <w:t> </w:t>
      </w:r>
      <w:r w:rsidRPr="0000487B">
        <w:rPr>
          <w:rFonts w:ascii="Garamond" w:hAnsi="Garamond"/>
        </w:rPr>
        <w:t xml:space="preserve">mm/year; ACF = 0.54 </w:t>
      </w:r>
      <w:r w:rsidRPr="0000487B">
        <w:rPr>
          <w:rFonts w:ascii="Garamond" w:hAnsi="Garamond" w:cs="Garamond"/>
        </w:rPr>
        <w:t>→</w:t>
      </w:r>
      <w:r w:rsidRPr="0000487B">
        <w:rPr>
          <w:rFonts w:ascii="Garamond" w:hAnsi="Garamond"/>
        </w:rPr>
        <w:t xml:space="preserve"> consistent upward tendency.</w:t>
      </w:r>
      <w:r w:rsidR="00226FA9" w:rsidRPr="0000487B">
        <w:rPr>
          <w:rFonts w:ascii="Garamond" w:hAnsi="Garamond"/>
        </w:rPr>
        <w:t xml:space="preserve"> </w:t>
      </w:r>
      <w:r w:rsidRPr="0000487B">
        <w:rPr>
          <w:rFonts w:ascii="Garamond" w:hAnsi="Garamond"/>
        </w:rPr>
        <w:t>Korogocho exhibits higher intensity and variability; Kahawa Soweto shows more persistent moderate rainfall.</w:t>
      </w:r>
      <w:bookmarkStart w:id="4" w:name="_Hlk223475458"/>
    </w:p>
    <w:p w14:paraId="5988D63D" w14:textId="77777777" w:rsidR="00FE5ACF" w:rsidRPr="0000487B" w:rsidRDefault="00FE5ACF" w:rsidP="00FE5ACF">
      <w:pPr>
        <w:spacing w:line="360" w:lineRule="auto"/>
        <w:jc w:val="both"/>
        <w:rPr>
          <w:rFonts w:ascii="Garamond" w:hAnsi="Garamond"/>
        </w:rPr>
      </w:pPr>
      <w:r w:rsidRPr="0000487B">
        <w:rPr>
          <w:rFonts w:ascii="Garamond" w:hAnsi="Garamond"/>
          <w:noProof/>
        </w:rPr>
        <w:drawing>
          <wp:inline distT="0" distB="0" distL="0" distR="0" wp14:anchorId="4B607600" wp14:editId="1B972087">
            <wp:extent cx="6010275" cy="3776773"/>
            <wp:effectExtent l="19050" t="19050" r="9525" b="14605"/>
            <wp:docPr id="1392498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7357"/>
                    <a:stretch>
                      <a:fillRect/>
                    </a:stretch>
                  </pic:blipFill>
                  <pic:spPr bwMode="auto">
                    <a:xfrm>
                      <a:off x="0" y="0"/>
                      <a:ext cx="6010275" cy="3776773"/>
                    </a:xfrm>
                    <a:prstGeom prst="rect">
                      <a:avLst/>
                    </a:prstGeom>
                    <a:noFill/>
                    <a:ln w="1905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718FD8FE" w14:textId="73EFC578" w:rsidR="00FE5ACF" w:rsidRPr="0000487B" w:rsidRDefault="00FE5ACF" w:rsidP="00FE5ACF">
      <w:pPr>
        <w:spacing w:line="360" w:lineRule="auto"/>
        <w:jc w:val="both"/>
        <w:rPr>
          <w:rFonts w:ascii="Garamond" w:hAnsi="Garamond"/>
        </w:rPr>
      </w:pPr>
      <w:r w:rsidRPr="0000487B">
        <w:rPr>
          <w:rFonts w:ascii="Garamond" w:hAnsi="Garamond"/>
        </w:rPr>
        <w:t>Figure</w:t>
      </w:r>
      <w:r w:rsidR="00C417C0">
        <w:rPr>
          <w:rFonts w:ascii="Garamond" w:hAnsi="Garamond"/>
        </w:rPr>
        <w:t>13</w:t>
      </w:r>
      <w:r w:rsidRPr="0000487B">
        <w:rPr>
          <w:rFonts w:ascii="Garamond" w:hAnsi="Garamond"/>
          <w:b/>
          <w:bCs/>
        </w:rPr>
        <w:t>(A &amp; B).</w:t>
      </w:r>
      <w:r w:rsidRPr="0000487B">
        <w:rPr>
          <w:rFonts w:ascii="Garamond" w:hAnsi="Garamond"/>
        </w:rPr>
        <w:t xml:space="preserve"> Annual Rainfall Trends with Mann- Kendall (MK) Test and Sen’s Slope </w:t>
      </w:r>
    </w:p>
    <w:p w14:paraId="36848BA0" w14:textId="77777777" w:rsidR="00FE5ACF" w:rsidRPr="0000487B" w:rsidRDefault="00FE5ACF" w:rsidP="00FE5ACF">
      <w:pPr>
        <w:spacing w:line="360" w:lineRule="auto"/>
        <w:jc w:val="both"/>
        <w:rPr>
          <w:rFonts w:ascii="Garamond" w:hAnsi="Garamond"/>
        </w:rPr>
      </w:pPr>
      <w:r w:rsidRPr="0000487B">
        <w:rPr>
          <w:rFonts w:ascii="Garamond" w:hAnsi="Garamond"/>
          <w:noProof/>
        </w:rPr>
        <w:lastRenderedPageBreak/>
        <w:drawing>
          <wp:inline distT="0" distB="0" distL="0" distR="0" wp14:anchorId="46D7458E" wp14:editId="6C04D525">
            <wp:extent cx="6137201" cy="3644088"/>
            <wp:effectExtent l="19050" t="19050" r="16510" b="13970"/>
            <wp:docPr id="66745832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9555" r="-1789"/>
                    <a:stretch>
                      <a:fillRect/>
                    </a:stretch>
                  </pic:blipFill>
                  <pic:spPr bwMode="auto">
                    <a:xfrm>
                      <a:off x="0" y="0"/>
                      <a:ext cx="6137201" cy="3644088"/>
                    </a:xfrm>
                    <a:prstGeom prst="rect">
                      <a:avLst/>
                    </a:prstGeom>
                    <a:noFill/>
                    <a:ln w="1905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15ED3CA3" w14:textId="29434A6C" w:rsidR="00FE5ACF" w:rsidRPr="0000487B" w:rsidRDefault="00FE5ACF" w:rsidP="00FE5ACF">
      <w:pPr>
        <w:spacing w:line="360" w:lineRule="auto"/>
        <w:jc w:val="both"/>
        <w:rPr>
          <w:rFonts w:ascii="Garamond" w:hAnsi="Garamond"/>
        </w:rPr>
      </w:pPr>
      <w:r w:rsidRPr="0000487B">
        <w:rPr>
          <w:rFonts w:ascii="Garamond" w:hAnsi="Garamond"/>
        </w:rPr>
        <w:t xml:space="preserve">Figure </w:t>
      </w:r>
      <w:r w:rsidR="00C417C0">
        <w:rPr>
          <w:rFonts w:ascii="Garamond" w:hAnsi="Garamond"/>
        </w:rPr>
        <w:t>14</w:t>
      </w:r>
      <w:r w:rsidRPr="0000487B">
        <w:rPr>
          <w:rFonts w:ascii="Garamond" w:hAnsi="Garamond"/>
        </w:rPr>
        <w:t xml:space="preserve">. </w:t>
      </w:r>
      <w:r w:rsidRPr="0000487B">
        <w:rPr>
          <w:rFonts w:ascii="Garamond" w:hAnsi="Garamond"/>
          <w:b/>
          <w:bCs/>
        </w:rPr>
        <w:t xml:space="preserve">(A &amp; B). </w:t>
      </w:r>
      <w:r w:rsidRPr="0000487B">
        <w:rPr>
          <w:rFonts w:ascii="Garamond" w:hAnsi="Garamond"/>
        </w:rPr>
        <w:t>Annual rainfall Trends and Mann- Kendall (MK) Test (2000-2024)</w:t>
      </w:r>
    </w:p>
    <w:p w14:paraId="493C05F1" w14:textId="77777777" w:rsidR="00FE5ACF" w:rsidRPr="0000487B" w:rsidRDefault="00FE5ACF" w:rsidP="00FE5ACF">
      <w:pPr>
        <w:spacing w:line="360" w:lineRule="auto"/>
        <w:jc w:val="both"/>
        <w:rPr>
          <w:rFonts w:ascii="Garamond" w:hAnsi="Garamond"/>
        </w:rPr>
      </w:pPr>
      <w:r w:rsidRPr="0000487B">
        <w:rPr>
          <w:rFonts w:ascii="Garamond" w:hAnsi="Garamond"/>
        </w:rPr>
        <w:t>Panel A: Korogocho annual rainfall with MK trend line and Sen’s slope</w:t>
      </w:r>
    </w:p>
    <w:p w14:paraId="1EBCC864" w14:textId="77777777" w:rsidR="00FE5ACF" w:rsidRPr="0000487B" w:rsidRDefault="00FE5ACF" w:rsidP="00FE5ACF">
      <w:pPr>
        <w:spacing w:line="360" w:lineRule="auto"/>
        <w:jc w:val="both"/>
        <w:rPr>
          <w:rFonts w:ascii="Garamond" w:hAnsi="Garamond"/>
        </w:rPr>
      </w:pPr>
      <w:r w:rsidRPr="0000487B">
        <w:rPr>
          <w:rFonts w:ascii="Garamond" w:hAnsi="Garamond"/>
        </w:rPr>
        <w:t>Panel B: Kahawa Soweto annual rainfall with MK trend line and Sen’s slope</w:t>
      </w:r>
    </w:p>
    <w:p w14:paraId="6BA7E61F" w14:textId="77777777" w:rsidR="00FE5ACF" w:rsidRPr="0000487B" w:rsidRDefault="00FE5ACF" w:rsidP="00466DBA">
      <w:pPr>
        <w:spacing w:line="360" w:lineRule="auto"/>
        <w:jc w:val="both"/>
        <w:rPr>
          <w:rFonts w:ascii="Garamond" w:hAnsi="Garamond"/>
        </w:rPr>
      </w:pPr>
    </w:p>
    <w:p w14:paraId="37C31E52" w14:textId="1026D1D3" w:rsidR="005C76EC" w:rsidRPr="0000487B" w:rsidRDefault="005C76EC" w:rsidP="00466DBA">
      <w:pPr>
        <w:spacing w:line="360" w:lineRule="auto"/>
        <w:jc w:val="both"/>
        <w:rPr>
          <w:rFonts w:ascii="Garamond" w:hAnsi="Garamond"/>
        </w:rPr>
      </w:pPr>
      <w:r w:rsidRPr="0000487B">
        <w:rPr>
          <w:rFonts w:ascii="Garamond" w:hAnsi="Garamond"/>
          <w:noProof/>
        </w:rPr>
        <w:lastRenderedPageBreak/>
        <w:drawing>
          <wp:inline distT="0" distB="0" distL="0" distR="0" wp14:anchorId="5CA7D5F9" wp14:editId="70328459">
            <wp:extent cx="6067425" cy="3153661"/>
            <wp:effectExtent l="19050" t="19050" r="9525" b="27940"/>
            <wp:docPr id="146950747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7257"/>
                    <a:stretch>
                      <a:fillRect/>
                    </a:stretch>
                  </pic:blipFill>
                  <pic:spPr bwMode="auto">
                    <a:xfrm>
                      <a:off x="0" y="0"/>
                      <a:ext cx="6067425" cy="3153661"/>
                    </a:xfrm>
                    <a:prstGeom prst="rect">
                      <a:avLst/>
                    </a:prstGeom>
                    <a:noFill/>
                    <a:ln w="1905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1A66F50C" w14:textId="53110C40" w:rsidR="008774C6" w:rsidRPr="0000487B" w:rsidRDefault="008774C6" w:rsidP="00466DBA">
      <w:pPr>
        <w:spacing w:line="360" w:lineRule="auto"/>
        <w:jc w:val="both"/>
        <w:rPr>
          <w:rFonts w:ascii="Garamond" w:hAnsi="Garamond"/>
        </w:rPr>
      </w:pPr>
      <w:r w:rsidRPr="0000487B">
        <w:rPr>
          <w:rFonts w:ascii="Garamond" w:hAnsi="Garamond"/>
        </w:rPr>
        <w:t xml:space="preserve">Figure </w:t>
      </w:r>
      <w:r w:rsidR="00C417C0">
        <w:rPr>
          <w:rFonts w:ascii="Garamond" w:hAnsi="Garamond"/>
        </w:rPr>
        <w:t>15</w:t>
      </w:r>
      <w:r w:rsidR="00FE5ACF" w:rsidRPr="0000487B">
        <w:rPr>
          <w:rFonts w:ascii="Garamond" w:hAnsi="Garamond"/>
        </w:rPr>
        <w:t xml:space="preserve"> (A&amp; B) S</w:t>
      </w:r>
      <w:r w:rsidRPr="0000487B">
        <w:rPr>
          <w:rFonts w:ascii="Garamond" w:hAnsi="Garamond"/>
        </w:rPr>
        <w:t xml:space="preserve">easonal Vs Annual Totals trend analysis </w:t>
      </w:r>
      <w:r w:rsidR="004A7280" w:rsidRPr="0000487B">
        <w:rPr>
          <w:rFonts w:ascii="Garamond" w:hAnsi="Garamond"/>
        </w:rPr>
        <w:t>(combined</w:t>
      </w:r>
      <w:r w:rsidRPr="0000487B">
        <w:rPr>
          <w:rFonts w:ascii="Garamond" w:hAnsi="Garamond"/>
        </w:rPr>
        <w:t xml:space="preserve"> MK Line)</w:t>
      </w:r>
    </w:p>
    <w:p w14:paraId="020DB2ED" w14:textId="3883A536" w:rsidR="005C76EC" w:rsidRPr="0000487B" w:rsidRDefault="005C76EC" w:rsidP="00466DBA">
      <w:pPr>
        <w:spacing w:line="360" w:lineRule="auto"/>
        <w:jc w:val="both"/>
        <w:rPr>
          <w:rFonts w:ascii="Garamond" w:hAnsi="Garamond"/>
        </w:rPr>
      </w:pPr>
      <w:r w:rsidRPr="0000487B">
        <w:rPr>
          <w:rFonts w:ascii="Garamond" w:hAnsi="Garamond"/>
        </w:rPr>
        <w:t xml:space="preserve">The figure illustrates seasonal (MAM and OND) and annual rainfall trends for Korogocho and Kahawa Soweto </w:t>
      </w:r>
      <w:r w:rsidR="001E54A5" w:rsidRPr="0000487B">
        <w:rPr>
          <w:rFonts w:ascii="Garamond" w:hAnsi="Garamond"/>
        </w:rPr>
        <w:t xml:space="preserve">informal </w:t>
      </w:r>
      <w:r w:rsidR="00226FA9" w:rsidRPr="0000487B">
        <w:rPr>
          <w:rFonts w:ascii="Garamond" w:hAnsi="Garamond"/>
        </w:rPr>
        <w:t>settlements</w:t>
      </w:r>
      <w:r w:rsidRPr="0000487B">
        <w:rPr>
          <w:rFonts w:ascii="Garamond" w:hAnsi="Garamond"/>
        </w:rPr>
        <w:t xml:space="preserve"> from 2000 to 2024. In both areas, MAM (March–May) rainfall generally shows higher variability compared to OND (October–December), with several peak years observed throughout the period. Annual totals largely mirror the seasonal patterns, reflecting combined seasonal contributions. The Mann-Kendall (MK) trend lines indicate a declining rainfall trend in both </w:t>
      </w:r>
      <w:r w:rsidR="001E54A5" w:rsidRPr="0000487B">
        <w:rPr>
          <w:rFonts w:ascii="Garamond" w:hAnsi="Garamond"/>
        </w:rPr>
        <w:t xml:space="preserve">informal </w:t>
      </w:r>
      <w:r w:rsidR="00226FA9" w:rsidRPr="0000487B">
        <w:rPr>
          <w:rFonts w:ascii="Garamond" w:hAnsi="Garamond"/>
        </w:rPr>
        <w:t>settlements</w:t>
      </w:r>
      <w:r w:rsidRPr="0000487B">
        <w:rPr>
          <w:rFonts w:ascii="Garamond" w:hAnsi="Garamond"/>
        </w:rPr>
        <w:t>, with Korogocho experiencing a slightly steeper decrease than Kahawa Soweto. Overall, the data suggest that while rainfall remains variable seasonally, there is a gradual downward trend in total seasonal and annual rainfall over the 25-year period</w:t>
      </w:r>
    </w:p>
    <w:bookmarkEnd w:id="4"/>
    <w:p w14:paraId="6AF80BF0" w14:textId="77777777" w:rsidR="00B4577D" w:rsidRPr="0000487B" w:rsidRDefault="00B4577D" w:rsidP="00466DBA">
      <w:pPr>
        <w:spacing w:line="360" w:lineRule="auto"/>
        <w:jc w:val="both"/>
        <w:rPr>
          <w:rFonts w:ascii="Garamond" w:hAnsi="Garamond"/>
          <w:b/>
          <w:bCs/>
        </w:rPr>
      </w:pPr>
      <w:r w:rsidRPr="0000487B">
        <w:rPr>
          <w:rFonts w:ascii="Garamond" w:hAnsi="Garamond"/>
          <w:b/>
          <w:bCs/>
        </w:rPr>
        <w:t>4.4 Monthly Rainfall Intensity and Frequency</w:t>
      </w:r>
    </w:p>
    <w:p w14:paraId="48EED5B9" w14:textId="165EC104" w:rsidR="00B4577D" w:rsidRPr="0000487B" w:rsidRDefault="00B4577D" w:rsidP="00466DBA">
      <w:pPr>
        <w:spacing w:line="360" w:lineRule="auto"/>
        <w:jc w:val="both"/>
        <w:rPr>
          <w:rFonts w:ascii="Garamond" w:hAnsi="Garamond"/>
        </w:rPr>
      </w:pPr>
      <w:r w:rsidRPr="0000487B">
        <w:rPr>
          <w:rFonts w:ascii="Garamond" w:hAnsi="Garamond"/>
        </w:rPr>
        <w:t>Flood risk assessment emphasizes intensity-frequency characteristics</w:t>
      </w:r>
    </w:p>
    <w:p w14:paraId="6DDBEDDC" w14:textId="77777777" w:rsidR="00CD6C00" w:rsidRPr="0000487B" w:rsidRDefault="00CD6C00" w:rsidP="00466DBA">
      <w:pPr>
        <w:spacing w:line="360" w:lineRule="auto"/>
        <w:jc w:val="both"/>
        <w:rPr>
          <w:rFonts w:ascii="Garamond" w:hAnsi="Garamond"/>
        </w:rPr>
      </w:pPr>
    </w:p>
    <w:p w14:paraId="4020EB9C" w14:textId="77777777" w:rsidR="00CD6C00" w:rsidRPr="0000487B" w:rsidRDefault="00CD6C00" w:rsidP="00466DBA">
      <w:pPr>
        <w:spacing w:line="360" w:lineRule="auto"/>
        <w:jc w:val="both"/>
        <w:rPr>
          <w:rFonts w:ascii="Garamond" w:hAnsi="Garamond"/>
        </w:rPr>
      </w:pPr>
    </w:p>
    <w:p w14:paraId="5611932E" w14:textId="77777777" w:rsidR="00CD6C00" w:rsidRPr="0000487B" w:rsidRDefault="00CD6C00" w:rsidP="00466DBA">
      <w:pPr>
        <w:spacing w:line="360" w:lineRule="auto"/>
        <w:jc w:val="both"/>
        <w:rPr>
          <w:rFonts w:ascii="Garamond" w:hAnsi="Garamond"/>
        </w:rPr>
      </w:pPr>
    </w:p>
    <w:p w14:paraId="1C95A436" w14:textId="77777777" w:rsidR="00CD6C00" w:rsidRPr="0000487B" w:rsidRDefault="00CD6C00" w:rsidP="00466DBA">
      <w:pPr>
        <w:spacing w:line="360" w:lineRule="auto"/>
        <w:jc w:val="both"/>
        <w:rPr>
          <w:rFonts w:ascii="Garamond" w:hAnsi="Garamond"/>
        </w:rPr>
      </w:pPr>
    </w:p>
    <w:p w14:paraId="0D89E477" w14:textId="7F515F86" w:rsidR="00B4577D" w:rsidRPr="0000487B" w:rsidRDefault="00B4577D" w:rsidP="00466DBA">
      <w:pPr>
        <w:spacing w:line="360" w:lineRule="auto"/>
        <w:jc w:val="both"/>
        <w:rPr>
          <w:rFonts w:ascii="Garamond" w:hAnsi="Garamond"/>
        </w:rPr>
      </w:pPr>
      <w:r w:rsidRPr="0000487B">
        <w:rPr>
          <w:rFonts w:ascii="Garamond" w:hAnsi="Garamond"/>
        </w:rPr>
        <w:t xml:space="preserve">Table </w:t>
      </w:r>
      <w:r w:rsidR="00C92C37">
        <w:rPr>
          <w:rFonts w:ascii="Garamond" w:hAnsi="Garamond"/>
        </w:rPr>
        <w:t>5</w:t>
      </w:r>
      <w:r w:rsidRPr="0000487B">
        <w:rPr>
          <w:rFonts w:ascii="Garamond" w:hAnsi="Garamond"/>
        </w:rPr>
        <w:t>: Rainfall Intensity and Frequency</w:t>
      </w:r>
    </w:p>
    <w:tbl>
      <w:tblPr>
        <w:tblW w:w="9293" w:type="dxa"/>
        <w:tblCellSpacing w:w="15" w:type="dxa"/>
        <w:tblCellMar>
          <w:top w:w="15" w:type="dxa"/>
          <w:left w:w="15" w:type="dxa"/>
          <w:bottom w:w="15" w:type="dxa"/>
          <w:right w:w="15" w:type="dxa"/>
        </w:tblCellMar>
        <w:tblLook w:val="04A0" w:firstRow="1" w:lastRow="0" w:firstColumn="1" w:lastColumn="0" w:noHBand="0" w:noVBand="1"/>
      </w:tblPr>
      <w:tblGrid>
        <w:gridCol w:w="811"/>
        <w:gridCol w:w="2836"/>
        <w:gridCol w:w="3585"/>
        <w:gridCol w:w="2061"/>
      </w:tblGrid>
      <w:tr w:rsidR="0000487B" w:rsidRPr="0000487B" w14:paraId="3CA3C177" w14:textId="77777777" w:rsidTr="00466DBA">
        <w:trPr>
          <w:trHeight w:val="538"/>
          <w:tblHeader/>
          <w:tblCellSpacing w:w="15" w:type="dxa"/>
        </w:trPr>
        <w:tc>
          <w:tcPr>
            <w:tcW w:w="0" w:type="auto"/>
            <w:tcBorders>
              <w:top w:val="single" w:sz="4" w:space="0" w:color="auto"/>
              <w:bottom w:val="single" w:sz="4" w:space="0" w:color="auto"/>
            </w:tcBorders>
            <w:vAlign w:val="center"/>
            <w:hideMark/>
          </w:tcPr>
          <w:p w14:paraId="7E0E5CED" w14:textId="77777777" w:rsidR="00B4577D" w:rsidRPr="0000487B" w:rsidRDefault="00B4577D" w:rsidP="00466DBA">
            <w:pPr>
              <w:spacing w:line="360" w:lineRule="auto"/>
              <w:jc w:val="center"/>
              <w:rPr>
                <w:rFonts w:ascii="Garamond" w:hAnsi="Garamond"/>
                <w:b/>
                <w:bCs/>
              </w:rPr>
            </w:pPr>
            <w:r w:rsidRPr="0000487B">
              <w:rPr>
                <w:rFonts w:ascii="Garamond" w:hAnsi="Garamond"/>
                <w:b/>
                <w:bCs/>
              </w:rPr>
              <w:lastRenderedPageBreak/>
              <w:t>Season</w:t>
            </w:r>
          </w:p>
        </w:tc>
        <w:tc>
          <w:tcPr>
            <w:tcW w:w="0" w:type="auto"/>
            <w:tcBorders>
              <w:top w:val="single" w:sz="4" w:space="0" w:color="auto"/>
              <w:bottom w:val="single" w:sz="4" w:space="0" w:color="auto"/>
            </w:tcBorders>
            <w:vAlign w:val="center"/>
            <w:hideMark/>
          </w:tcPr>
          <w:p w14:paraId="080FFD0B" w14:textId="77777777" w:rsidR="00B4577D" w:rsidRPr="0000487B" w:rsidRDefault="00B4577D" w:rsidP="00466DBA">
            <w:pPr>
              <w:spacing w:line="360" w:lineRule="auto"/>
              <w:jc w:val="center"/>
              <w:rPr>
                <w:rFonts w:ascii="Garamond" w:hAnsi="Garamond"/>
                <w:b/>
                <w:bCs/>
              </w:rPr>
            </w:pPr>
            <w:r w:rsidRPr="0000487B">
              <w:rPr>
                <w:rFonts w:ascii="Garamond" w:hAnsi="Garamond"/>
                <w:b/>
                <w:bCs/>
              </w:rPr>
              <w:t>Mean Intensity (mm/day)</w:t>
            </w:r>
          </w:p>
        </w:tc>
        <w:tc>
          <w:tcPr>
            <w:tcW w:w="0" w:type="auto"/>
            <w:tcBorders>
              <w:top w:val="single" w:sz="4" w:space="0" w:color="auto"/>
              <w:bottom w:val="single" w:sz="4" w:space="0" w:color="auto"/>
            </w:tcBorders>
            <w:vAlign w:val="center"/>
            <w:hideMark/>
          </w:tcPr>
          <w:p w14:paraId="686B35BB" w14:textId="77777777" w:rsidR="00B4577D" w:rsidRPr="0000487B" w:rsidRDefault="00B4577D" w:rsidP="00466DBA">
            <w:pPr>
              <w:spacing w:line="360" w:lineRule="auto"/>
              <w:jc w:val="center"/>
              <w:rPr>
                <w:rFonts w:ascii="Garamond" w:hAnsi="Garamond"/>
                <w:b/>
                <w:bCs/>
              </w:rPr>
            </w:pPr>
            <w:r w:rsidRPr="0000487B">
              <w:rPr>
                <w:rFonts w:ascii="Garamond" w:hAnsi="Garamond"/>
                <w:b/>
                <w:bCs/>
              </w:rPr>
              <w:t>Mean Frequency (events/month)</w:t>
            </w:r>
          </w:p>
        </w:tc>
        <w:tc>
          <w:tcPr>
            <w:tcW w:w="0" w:type="auto"/>
            <w:tcBorders>
              <w:top w:val="single" w:sz="4" w:space="0" w:color="auto"/>
              <w:bottom w:val="single" w:sz="4" w:space="0" w:color="auto"/>
            </w:tcBorders>
            <w:vAlign w:val="center"/>
            <w:hideMark/>
          </w:tcPr>
          <w:p w14:paraId="73F9439D" w14:textId="77777777" w:rsidR="00B4577D" w:rsidRPr="0000487B" w:rsidRDefault="00B4577D" w:rsidP="00466DBA">
            <w:pPr>
              <w:spacing w:line="360" w:lineRule="auto"/>
              <w:jc w:val="center"/>
              <w:rPr>
                <w:rFonts w:ascii="Garamond" w:hAnsi="Garamond"/>
                <w:b/>
                <w:bCs/>
              </w:rPr>
            </w:pPr>
            <w:r w:rsidRPr="0000487B">
              <w:rPr>
                <w:rFonts w:ascii="Garamond" w:hAnsi="Garamond"/>
                <w:b/>
                <w:bCs/>
              </w:rPr>
              <w:t>Flood Implication</w:t>
            </w:r>
          </w:p>
        </w:tc>
      </w:tr>
      <w:tr w:rsidR="0000487B" w:rsidRPr="0000487B" w14:paraId="2C84CE8E" w14:textId="77777777" w:rsidTr="00466DBA">
        <w:trPr>
          <w:trHeight w:val="553"/>
          <w:tblCellSpacing w:w="15" w:type="dxa"/>
        </w:trPr>
        <w:tc>
          <w:tcPr>
            <w:tcW w:w="0" w:type="auto"/>
            <w:vAlign w:val="center"/>
            <w:hideMark/>
          </w:tcPr>
          <w:p w14:paraId="7141CD91" w14:textId="77777777" w:rsidR="00B4577D" w:rsidRPr="0000487B" w:rsidRDefault="00B4577D" w:rsidP="00466DBA">
            <w:pPr>
              <w:spacing w:line="360" w:lineRule="auto"/>
              <w:jc w:val="both"/>
              <w:rPr>
                <w:rFonts w:ascii="Garamond" w:hAnsi="Garamond"/>
              </w:rPr>
            </w:pPr>
            <w:r w:rsidRPr="0000487B">
              <w:rPr>
                <w:rFonts w:ascii="Garamond" w:hAnsi="Garamond"/>
              </w:rPr>
              <w:t>MAM</w:t>
            </w:r>
          </w:p>
        </w:tc>
        <w:tc>
          <w:tcPr>
            <w:tcW w:w="0" w:type="auto"/>
            <w:vAlign w:val="center"/>
            <w:hideMark/>
          </w:tcPr>
          <w:p w14:paraId="04781DA1" w14:textId="77777777" w:rsidR="00B4577D" w:rsidRPr="0000487B" w:rsidRDefault="00B4577D" w:rsidP="00466DBA">
            <w:pPr>
              <w:spacing w:line="360" w:lineRule="auto"/>
              <w:jc w:val="center"/>
              <w:rPr>
                <w:rFonts w:ascii="Garamond" w:hAnsi="Garamond"/>
              </w:rPr>
            </w:pPr>
            <w:r w:rsidRPr="0000487B">
              <w:rPr>
                <w:rFonts w:ascii="Garamond" w:hAnsi="Garamond"/>
              </w:rPr>
              <w:t>6.85</w:t>
            </w:r>
          </w:p>
        </w:tc>
        <w:tc>
          <w:tcPr>
            <w:tcW w:w="0" w:type="auto"/>
            <w:vAlign w:val="center"/>
            <w:hideMark/>
          </w:tcPr>
          <w:p w14:paraId="0F1556F9" w14:textId="77777777" w:rsidR="00B4577D" w:rsidRPr="0000487B" w:rsidRDefault="00B4577D" w:rsidP="00466DBA">
            <w:pPr>
              <w:spacing w:line="360" w:lineRule="auto"/>
              <w:jc w:val="center"/>
              <w:rPr>
                <w:rFonts w:ascii="Garamond" w:hAnsi="Garamond"/>
              </w:rPr>
            </w:pPr>
            <w:r w:rsidRPr="0000487B">
              <w:rPr>
                <w:rFonts w:ascii="Garamond" w:hAnsi="Garamond"/>
              </w:rPr>
              <w:t>15</w:t>
            </w:r>
          </w:p>
        </w:tc>
        <w:tc>
          <w:tcPr>
            <w:tcW w:w="0" w:type="auto"/>
            <w:vAlign w:val="center"/>
            <w:hideMark/>
          </w:tcPr>
          <w:p w14:paraId="40B64BC0" w14:textId="77777777" w:rsidR="00B4577D" w:rsidRPr="0000487B" w:rsidRDefault="00B4577D" w:rsidP="00466DBA">
            <w:pPr>
              <w:spacing w:line="360" w:lineRule="auto"/>
              <w:jc w:val="center"/>
              <w:rPr>
                <w:rFonts w:ascii="Garamond" w:hAnsi="Garamond"/>
              </w:rPr>
            </w:pPr>
            <w:r w:rsidRPr="0000487B">
              <w:rPr>
                <w:rFonts w:ascii="Garamond" w:hAnsi="Garamond"/>
              </w:rPr>
              <w:t>Progressive flooding</w:t>
            </w:r>
          </w:p>
        </w:tc>
      </w:tr>
      <w:tr w:rsidR="0000487B" w:rsidRPr="0000487B" w14:paraId="324166B6" w14:textId="77777777" w:rsidTr="00466DBA">
        <w:trPr>
          <w:trHeight w:val="538"/>
          <w:tblCellSpacing w:w="15" w:type="dxa"/>
        </w:trPr>
        <w:tc>
          <w:tcPr>
            <w:tcW w:w="0" w:type="auto"/>
            <w:vAlign w:val="center"/>
            <w:hideMark/>
          </w:tcPr>
          <w:p w14:paraId="7DF4F433" w14:textId="77777777" w:rsidR="00B4577D" w:rsidRPr="0000487B" w:rsidRDefault="00B4577D" w:rsidP="00466DBA">
            <w:pPr>
              <w:spacing w:line="360" w:lineRule="auto"/>
              <w:jc w:val="both"/>
              <w:rPr>
                <w:rFonts w:ascii="Garamond" w:hAnsi="Garamond"/>
              </w:rPr>
            </w:pPr>
            <w:r w:rsidRPr="0000487B">
              <w:rPr>
                <w:rFonts w:ascii="Garamond" w:hAnsi="Garamond"/>
              </w:rPr>
              <w:t>OND</w:t>
            </w:r>
          </w:p>
        </w:tc>
        <w:tc>
          <w:tcPr>
            <w:tcW w:w="0" w:type="auto"/>
            <w:vAlign w:val="center"/>
            <w:hideMark/>
          </w:tcPr>
          <w:p w14:paraId="394947D5" w14:textId="77777777" w:rsidR="00B4577D" w:rsidRPr="0000487B" w:rsidRDefault="00B4577D" w:rsidP="00466DBA">
            <w:pPr>
              <w:spacing w:line="360" w:lineRule="auto"/>
              <w:jc w:val="center"/>
              <w:rPr>
                <w:rFonts w:ascii="Garamond" w:hAnsi="Garamond"/>
              </w:rPr>
            </w:pPr>
            <w:r w:rsidRPr="0000487B">
              <w:rPr>
                <w:rFonts w:ascii="Garamond" w:hAnsi="Garamond"/>
              </w:rPr>
              <w:t>6.15</w:t>
            </w:r>
          </w:p>
        </w:tc>
        <w:tc>
          <w:tcPr>
            <w:tcW w:w="0" w:type="auto"/>
            <w:vAlign w:val="center"/>
            <w:hideMark/>
          </w:tcPr>
          <w:p w14:paraId="4B55813B" w14:textId="77777777" w:rsidR="00B4577D" w:rsidRPr="0000487B" w:rsidRDefault="00B4577D" w:rsidP="00466DBA">
            <w:pPr>
              <w:spacing w:line="360" w:lineRule="auto"/>
              <w:jc w:val="center"/>
              <w:rPr>
                <w:rFonts w:ascii="Garamond" w:hAnsi="Garamond"/>
              </w:rPr>
            </w:pPr>
            <w:r w:rsidRPr="0000487B">
              <w:rPr>
                <w:rFonts w:ascii="Garamond" w:hAnsi="Garamond"/>
              </w:rPr>
              <w:t>13–14</w:t>
            </w:r>
          </w:p>
        </w:tc>
        <w:tc>
          <w:tcPr>
            <w:tcW w:w="0" w:type="auto"/>
            <w:vAlign w:val="center"/>
            <w:hideMark/>
          </w:tcPr>
          <w:p w14:paraId="2A4B9FE2" w14:textId="77777777" w:rsidR="00B4577D" w:rsidRPr="0000487B" w:rsidRDefault="00B4577D" w:rsidP="00466DBA">
            <w:pPr>
              <w:spacing w:line="360" w:lineRule="auto"/>
              <w:jc w:val="center"/>
              <w:rPr>
                <w:rFonts w:ascii="Garamond" w:hAnsi="Garamond"/>
              </w:rPr>
            </w:pPr>
            <w:r w:rsidRPr="0000487B">
              <w:rPr>
                <w:rFonts w:ascii="Garamond" w:hAnsi="Garamond"/>
              </w:rPr>
              <w:t>Flash flooding</w:t>
            </w:r>
          </w:p>
        </w:tc>
      </w:tr>
      <w:tr w:rsidR="00B4577D" w:rsidRPr="0000487B" w14:paraId="5F373161" w14:textId="77777777" w:rsidTr="00466DBA">
        <w:trPr>
          <w:trHeight w:val="553"/>
          <w:tblCellSpacing w:w="15" w:type="dxa"/>
        </w:trPr>
        <w:tc>
          <w:tcPr>
            <w:tcW w:w="0" w:type="auto"/>
            <w:tcBorders>
              <w:bottom w:val="single" w:sz="4" w:space="0" w:color="auto"/>
            </w:tcBorders>
            <w:vAlign w:val="center"/>
            <w:hideMark/>
          </w:tcPr>
          <w:p w14:paraId="120E2425" w14:textId="77777777" w:rsidR="00B4577D" w:rsidRPr="0000487B" w:rsidRDefault="00B4577D" w:rsidP="00466DBA">
            <w:pPr>
              <w:spacing w:line="360" w:lineRule="auto"/>
              <w:jc w:val="both"/>
              <w:rPr>
                <w:rFonts w:ascii="Garamond" w:hAnsi="Garamond"/>
              </w:rPr>
            </w:pPr>
            <w:r w:rsidRPr="0000487B">
              <w:rPr>
                <w:rFonts w:ascii="Garamond" w:hAnsi="Garamond"/>
              </w:rPr>
              <w:t>JJA</w:t>
            </w:r>
          </w:p>
        </w:tc>
        <w:tc>
          <w:tcPr>
            <w:tcW w:w="0" w:type="auto"/>
            <w:tcBorders>
              <w:bottom w:val="single" w:sz="4" w:space="0" w:color="auto"/>
            </w:tcBorders>
            <w:vAlign w:val="center"/>
            <w:hideMark/>
          </w:tcPr>
          <w:p w14:paraId="438D529E" w14:textId="77777777" w:rsidR="00B4577D" w:rsidRPr="0000487B" w:rsidRDefault="00B4577D" w:rsidP="00466DBA">
            <w:pPr>
              <w:spacing w:line="360" w:lineRule="auto"/>
              <w:jc w:val="center"/>
              <w:rPr>
                <w:rFonts w:ascii="Garamond" w:hAnsi="Garamond"/>
              </w:rPr>
            </w:pPr>
            <w:r w:rsidRPr="0000487B">
              <w:rPr>
                <w:rFonts w:ascii="Garamond" w:hAnsi="Garamond"/>
              </w:rPr>
              <w:t>3–4</w:t>
            </w:r>
          </w:p>
        </w:tc>
        <w:tc>
          <w:tcPr>
            <w:tcW w:w="0" w:type="auto"/>
            <w:tcBorders>
              <w:bottom w:val="single" w:sz="4" w:space="0" w:color="auto"/>
            </w:tcBorders>
            <w:vAlign w:val="center"/>
            <w:hideMark/>
          </w:tcPr>
          <w:p w14:paraId="1FA75390" w14:textId="77777777" w:rsidR="00B4577D" w:rsidRPr="0000487B" w:rsidRDefault="00B4577D" w:rsidP="00466DBA">
            <w:pPr>
              <w:spacing w:line="360" w:lineRule="auto"/>
              <w:jc w:val="center"/>
              <w:rPr>
                <w:rFonts w:ascii="Garamond" w:hAnsi="Garamond"/>
              </w:rPr>
            </w:pPr>
            <w:r w:rsidRPr="0000487B">
              <w:rPr>
                <w:rFonts w:ascii="Garamond" w:hAnsi="Garamond"/>
              </w:rPr>
              <w:t>6–9</w:t>
            </w:r>
          </w:p>
        </w:tc>
        <w:tc>
          <w:tcPr>
            <w:tcW w:w="0" w:type="auto"/>
            <w:tcBorders>
              <w:bottom w:val="single" w:sz="4" w:space="0" w:color="auto"/>
            </w:tcBorders>
            <w:vAlign w:val="center"/>
            <w:hideMark/>
          </w:tcPr>
          <w:p w14:paraId="713D7ED2" w14:textId="77777777" w:rsidR="00B4577D" w:rsidRPr="0000487B" w:rsidRDefault="00B4577D" w:rsidP="00466DBA">
            <w:pPr>
              <w:spacing w:line="360" w:lineRule="auto"/>
              <w:jc w:val="center"/>
              <w:rPr>
                <w:rFonts w:ascii="Garamond" w:hAnsi="Garamond"/>
              </w:rPr>
            </w:pPr>
            <w:r w:rsidRPr="0000487B">
              <w:rPr>
                <w:rFonts w:ascii="Garamond" w:hAnsi="Garamond"/>
              </w:rPr>
              <w:t>Low flood risk</w:t>
            </w:r>
          </w:p>
        </w:tc>
      </w:tr>
    </w:tbl>
    <w:p w14:paraId="532EC0E7" w14:textId="77777777" w:rsidR="00CD6C00" w:rsidRPr="0000487B" w:rsidRDefault="00CD6C00" w:rsidP="00466DBA">
      <w:pPr>
        <w:spacing w:line="360" w:lineRule="auto"/>
        <w:jc w:val="both"/>
        <w:rPr>
          <w:rFonts w:ascii="Garamond" w:hAnsi="Garamond"/>
        </w:rPr>
      </w:pPr>
    </w:p>
    <w:p w14:paraId="636E3013" w14:textId="44870B40" w:rsidR="00B4577D" w:rsidRPr="0000487B" w:rsidRDefault="00B4577D" w:rsidP="00466DBA">
      <w:pPr>
        <w:spacing w:line="360" w:lineRule="auto"/>
        <w:jc w:val="both"/>
        <w:rPr>
          <w:rFonts w:ascii="Garamond" w:hAnsi="Garamond"/>
        </w:rPr>
      </w:pPr>
      <w:r w:rsidRPr="0000487B">
        <w:rPr>
          <w:rFonts w:ascii="Garamond" w:hAnsi="Garamond"/>
        </w:rPr>
        <w:t>Korogocho</w:t>
      </w:r>
      <w:r w:rsidR="00CD6C00" w:rsidRPr="0000487B">
        <w:rPr>
          <w:rFonts w:ascii="Garamond" w:hAnsi="Garamond"/>
        </w:rPr>
        <w:t xml:space="preserve"> showed higher</w:t>
      </w:r>
      <w:r w:rsidRPr="0000487B">
        <w:rPr>
          <w:rFonts w:ascii="Garamond" w:hAnsi="Garamond"/>
        </w:rPr>
        <w:t xml:space="preserve"> peaks → flash flooding dominates during MAM and OND.</w:t>
      </w:r>
    </w:p>
    <w:p w14:paraId="153740F1" w14:textId="77777777" w:rsidR="00B4577D" w:rsidRPr="0000487B" w:rsidRDefault="00B4577D" w:rsidP="00466DBA">
      <w:pPr>
        <w:spacing w:line="360" w:lineRule="auto"/>
        <w:jc w:val="both"/>
        <w:rPr>
          <w:rFonts w:ascii="Garamond" w:hAnsi="Garamond"/>
        </w:rPr>
      </w:pPr>
      <w:r w:rsidRPr="0000487B">
        <w:rPr>
          <w:rFonts w:ascii="Garamond" w:hAnsi="Garamond"/>
        </w:rPr>
        <w:t>Kahawa Soweto: persistent moderate rainfall → cumulative drainage stress.</w:t>
      </w:r>
    </w:p>
    <w:p w14:paraId="03C31095" w14:textId="77777777" w:rsidR="00B4577D" w:rsidRPr="0000487B" w:rsidRDefault="00B4577D" w:rsidP="00466DBA">
      <w:pPr>
        <w:spacing w:line="360" w:lineRule="auto"/>
        <w:jc w:val="both"/>
        <w:rPr>
          <w:rFonts w:ascii="Garamond" w:hAnsi="Garamond"/>
        </w:rPr>
      </w:pPr>
      <w:r w:rsidRPr="0000487B">
        <w:rPr>
          <w:rFonts w:ascii="Garamond" w:hAnsi="Garamond"/>
        </w:rPr>
        <w:t>Thresholds: intensity ≥ 6</w:t>
      </w:r>
      <w:r w:rsidRPr="0000487B">
        <w:rPr>
          <w:rFonts w:ascii="Times New Roman" w:hAnsi="Times New Roman" w:cs="Times New Roman"/>
        </w:rPr>
        <w:t> </w:t>
      </w:r>
      <w:r w:rsidRPr="0000487B">
        <w:rPr>
          <w:rFonts w:ascii="Garamond" w:hAnsi="Garamond"/>
        </w:rPr>
        <w:t xml:space="preserve">mm/day and frequency </w:t>
      </w:r>
      <w:r w:rsidRPr="0000487B">
        <w:rPr>
          <w:rFonts w:ascii="Garamond" w:hAnsi="Garamond" w:cs="Garamond"/>
        </w:rPr>
        <w:t>≥</w:t>
      </w:r>
      <w:r w:rsidRPr="0000487B">
        <w:rPr>
          <w:rFonts w:ascii="Garamond" w:hAnsi="Garamond"/>
        </w:rPr>
        <w:t xml:space="preserve"> 13 events/month define high flood-risk months (March–May, November).</w:t>
      </w:r>
    </w:p>
    <w:p w14:paraId="7F800A6C" w14:textId="77777777" w:rsidR="00DC7CBA" w:rsidRPr="0000487B" w:rsidRDefault="00DC7CBA" w:rsidP="00466DBA">
      <w:pPr>
        <w:spacing w:line="360" w:lineRule="auto"/>
        <w:jc w:val="both"/>
        <w:rPr>
          <w:rFonts w:ascii="Garamond" w:hAnsi="Garamond"/>
        </w:rPr>
      </w:pPr>
    </w:p>
    <w:p w14:paraId="621A2D54" w14:textId="2149D08D" w:rsidR="00DC7CBA" w:rsidRPr="0000487B" w:rsidRDefault="00DC7CBA" w:rsidP="00466DBA">
      <w:pPr>
        <w:spacing w:line="360" w:lineRule="auto"/>
        <w:jc w:val="both"/>
        <w:rPr>
          <w:rFonts w:ascii="Garamond" w:hAnsi="Garamond"/>
        </w:rPr>
      </w:pPr>
      <w:r w:rsidRPr="0000487B">
        <w:rPr>
          <w:rFonts w:ascii="Garamond" w:hAnsi="Garamond"/>
          <w:noProof/>
        </w:rPr>
        <w:drawing>
          <wp:inline distT="0" distB="0" distL="0" distR="0" wp14:anchorId="27D26D51" wp14:editId="42A2FB60">
            <wp:extent cx="6591300" cy="2971298"/>
            <wp:effectExtent l="19050" t="19050" r="19050" b="19685"/>
            <wp:docPr id="90906068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5">
                      <a:extLst>
                        <a:ext uri="{28A0092B-C50C-407E-A947-70E740481C1C}">
                          <a14:useLocalDpi xmlns:a14="http://schemas.microsoft.com/office/drawing/2010/main" val="0"/>
                        </a:ext>
                      </a:extLst>
                    </a:blip>
                    <a:srcRect t="10906"/>
                    <a:stretch>
                      <a:fillRect/>
                    </a:stretch>
                  </pic:blipFill>
                  <pic:spPr bwMode="auto">
                    <a:xfrm>
                      <a:off x="0" y="0"/>
                      <a:ext cx="6591905" cy="2971571"/>
                    </a:xfrm>
                    <a:prstGeom prst="rect">
                      <a:avLst/>
                    </a:prstGeom>
                    <a:noFill/>
                    <a:ln w="1905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6D5FCBFD" w14:textId="7CD84A3C" w:rsidR="00B4577D" w:rsidRPr="0000487B" w:rsidRDefault="00B4577D" w:rsidP="00466DBA">
      <w:pPr>
        <w:spacing w:line="360" w:lineRule="auto"/>
        <w:jc w:val="both"/>
        <w:rPr>
          <w:rFonts w:ascii="Garamond" w:hAnsi="Garamond"/>
        </w:rPr>
      </w:pPr>
      <w:r w:rsidRPr="0000487B">
        <w:rPr>
          <w:rFonts w:ascii="Garamond" w:hAnsi="Garamond"/>
        </w:rPr>
        <w:t xml:space="preserve">Figure </w:t>
      </w:r>
      <w:r w:rsidR="00C417C0">
        <w:rPr>
          <w:rFonts w:ascii="Garamond" w:hAnsi="Garamond"/>
        </w:rPr>
        <w:t>16</w:t>
      </w:r>
      <w:r w:rsidR="00C60F6E" w:rsidRPr="0000487B">
        <w:rPr>
          <w:rFonts w:ascii="Garamond" w:hAnsi="Garamond"/>
        </w:rPr>
        <w:t>(A</w:t>
      </w:r>
      <w:r w:rsidR="00F30E17" w:rsidRPr="0000487B">
        <w:rPr>
          <w:rFonts w:ascii="Garamond" w:hAnsi="Garamond"/>
        </w:rPr>
        <w:t xml:space="preserve"> &amp; B) intensity- Frequency Curves by Location </w:t>
      </w:r>
    </w:p>
    <w:p w14:paraId="0F219B07" w14:textId="77777777" w:rsidR="00B4577D" w:rsidRPr="0000487B" w:rsidRDefault="00B4577D" w:rsidP="00466DBA">
      <w:pPr>
        <w:spacing w:line="360" w:lineRule="auto"/>
        <w:jc w:val="both"/>
        <w:rPr>
          <w:rFonts w:ascii="Garamond" w:hAnsi="Garamond"/>
        </w:rPr>
      </w:pPr>
      <w:r w:rsidRPr="0000487B">
        <w:rPr>
          <w:rFonts w:ascii="Garamond" w:hAnsi="Garamond"/>
        </w:rPr>
        <w:t>Panel A: Korogocho intensity-frequency curves</w:t>
      </w:r>
    </w:p>
    <w:p w14:paraId="17452799" w14:textId="77777777" w:rsidR="00B4577D" w:rsidRPr="0000487B" w:rsidRDefault="00B4577D" w:rsidP="00466DBA">
      <w:pPr>
        <w:spacing w:line="360" w:lineRule="auto"/>
        <w:jc w:val="both"/>
        <w:rPr>
          <w:rFonts w:ascii="Garamond" w:hAnsi="Garamond"/>
        </w:rPr>
      </w:pPr>
      <w:r w:rsidRPr="0000487B">
        <w:rPr>
          <w:rFonts w:ascii="Garamond" w:hAnsi="Garamond"/>
        </w:rPr>
        <w:t>Panel B: Kahawa Soweto intensity-frequency curves</w:t>
      </w:r>
    </w:p>
    <w:p w14:paraId="2F16B4F0" w14:textId="77777777" w:rsidR="00B4577D" w:rsidRPr="0000487B" w:rsidRDefault="00B4577D" w:rsidP="00466DBA">
      <w:pPr>
        <w:spacing w:line="360" w:lineRule="auto"/>
        <w:jc w:val="both"/>
        <w:rPr>
          <w:rFonts w:ascii="Garamond" w:hAnsi="Garamond"/>
          <w:b/>
          <w:bCs/>
        </w:rPr>
      </w:pPr>
      <w:r w:rsidRPr="0000487B">
        <w:rPr>
          <w:rFonts w:ascii="Garamond" w:hAnsi="Garamond"/>
          <w:b/>
          <w:bCs/>
        </w:rPr>
        <w:t>4.5 Discussion: Implications for Urban Flooding</w:t>
      </w:r>
    </w:p>
    <w:p w14:paraId="65A8AAAB" w14:textId="05DF4EDF" w:rsidR="00F30E17" w:rsidRPr="0000487B" w:rsidRDefault="00C60F6E" w:rsidP="00466DBA">
      <w:pPr>
        <w:spacing w:line="360" w:lineRule="auto"/>
        <w:jc w:val="both"/>
        <w:rPr>
          <w:rFonts w:ascii="Garamond" w:hAnsi="Garamond"/>
        </w:rPr>
      </w:pPr>
      <w:r w:rsidRPr="0000487B">
        <w:rPr>
          <w:rFonts w:ascii="Garamond" w:hAnsi="Garamond"/>
        </w:rPr>
        <w:lastRenderedPageBreak/>
        <w:t>T</w:t>
      </w:r>
      <w:r w:rsidR="00F30E17" w:rsidRPr="0000487B">
        <w:rPr>
          <w:rFonts w:ascii="Garamond" w:hAnsi="Garamond"/>
        </w:rPr>
        <w:t>he study found a w</w:t>
      </w:r>
      <w:r w:rsidR="00B4577D" w:rsidRPr="0000487B">
        <w:rPr>
          <w:rFonts w:ascii="Garamond" w:hAnsi="Garamond"/>
        </w:rPr>
        <w:t>eak but persistent rainfall increases (~2.5–3.2</w:t>
      </w:r>
      <w:r w:rsidR="00B4577D" w:rsidRPr="0000487B">
        <w:rPr>
          <w:rFonts w:ascii="Times New Roman" w:hAnsi="Times New Roman" w:cs="Times New Roman"/>
        </w:rPr>
        <w:t> </w:t>
      </w:r>
      <w:r w:rsidR="00B4577D" w:rsidRPr="0000487B">
        <w:rPr>
          <w:rFonts w:ascii="Garamond" w:hAnsi="Garamond"/>
        </w:rPr>
        <w:t>mm/year) can exceed drainage capacities over time.</w:t>
      </w:r>
      <w:r w:rsidR="00F30E17" w:rsidRPr="0000487B">
        <w:rPr>
          <w:rFonts w:ascii="Garamond" w:hAnsi="Garamond"/>
        </w:rPr>
        <w:t xml:space="preserve">  </w:t>
      </w:r>
      <w:r w:rsidR="00B4577D" w:rsidRPr="0000487B">
        <w:rPr>
          <w:rFonts w:ascii="Garamond" w:hAnsi="Garamond"/>
        </w:rPr>
        <w:t>Flash flooding is driven by high intensity and frequency (Korogocho), while chronic drainage stress occurs under moderate persistent rainfall (Kahawa Soweto).</w:t>
      </w:r>
      <w:r w:rsidR="00F30E17" w:rsidRPr="0000487B">
        <w:rPr>
          <w:rFonts w:ascii="Garamond" w:hAnsi="Garamond"/>
        </w:rPr>
        <w:t xml:space="preserve"> </w:t>
      </w:r>
      <w:r w:rsidR="00B4577D" w:rsidRPr="0000487B">
        <w:rPr>
          <w:rFonts w:ascii="Garamond" w:hAnsi="Garamond"/>
        </w:rPr>
        <w:t>Small incremental increases reduce dry-season recovery, elevating runoff potential.</w:t>
      </w:r>
      <w:r w:rsidR="00F30E17" w:rsidRPr="0000487B">
        <w:rPr>
          <w:rFonts w:ascii="Garamond" w:hAnsi="Garamond"/>
        </w:rPr>
        <w:t xml:space="preserve"> </w:t>
      </w:r>
    </w:p>
    <w:p w14:paraId="09F4C266" w14:textId="00A21913" w:rsidR="00B4577D" w:rsidRPr="0000487B" w:rsidRDefault="00B4577D" w:rsidP="00466DBA">
      <w:pPr>
        <w:spacing w:line="360" w:lineRule="auto"/>
        <w:jc w:val="both"/>
        <w:rPr>
          <w:rFonts w:ascii="Garamond" w:hAnsi="Garamond"/>
        </w:rPr>
      </w:pPr>
      <w:r w:rsidRPr="0000487B">
        <w:rPr>
          <w:rFonts w:ascii="Garamond" w:hAnsi="Garamond"/>
          <w:b/>
          <w:bCs/>
        </w:rPr>
        <w:t>Policy relevance:</w:t>
      </w:r>
      <w:r w:rsidRPr="0000487B">
        <w:rPr>
          <w:rFonts w:ascii="Garamond" w:hAnsi="Garamond"/>
        </w:rPr>
        <w:t xml:space="preserve"> urban drainage design must integrate marginal upward trends, update design rainfall values, and adopt nature-based solutions (retention areas, infiltration systems, green infrastructure).</w:t>
      </w:r>
    </w:p>
    <w:bookmarkEnd w:id="3"/>
    <w:p w14:paraId="5FE8DC41" w14:textId="177F4A64" w:rsidR="00B4577D" w:rsidRPr="0000487B" w:rsidRDefault="00B4577D" w:rsidP="00466DBA">
      <w:pPr>
        <w:spacing w:line="360" w:lineRule="auto"/>
        <w:jc w:val="both"/>
        <w:rPr>
          <w:rFonts w:ascii="Garamond" w:hAnsi="Garamond"/>
          <w:b/>
          <w:bCs/>
        </w:rPr>
      </w:pPr>
      <w:r w:rsidRPr="0000487B">
        <w:rPr>
          <w:rFonts w:ascii="Garamond" w:hAnsi="Garamond"/>
          <w:b/>
          <w:bCs/>
        </w:rPr>
        <w:t>4.6</w:t>
      </w:r>
      <w:r w:rsidR="00F30E17" w:rsidRPr="0000487B">
        <w:rPr>
          <w:rFonts w:ascii="Garamond" w:hAnsi="Garamond"/>
          <w:b/>
          <w:bCs/>
        </w:rPr>
        <w:t>.</w:t>
      </w:r>
      <w:r w:rsidRPr="0000487B">
        <w:rPr>
          <w:rFonts w:ascii="Garamond" w:hAnsi="Garamond"/>
          <w:b/>
          <w:bCs/>
        </w:rPr>
        <w:t xml:space="preserve"> Synthesis of Key Findings</w:t>
      </w:r>
    </w:p>
    <w:p w14:paraId="16FF3E24" w14:textId="2049202E" w:rsidR="00B4577D" w:rsidRPr="0000487B" w:rsidRDefault="00B4577D" w:rsidP="00466DBA">
      <w:pPr>
        <w:spacing w:line="360" w:lineRule="auto"/>
        <w:jc w:val="both"/>
        <w:rPr>
          <w:rFonts w:ascii="Garamond" w:hAnsi="Garamond"/>
        </w:rPr>
      </w:pPr>
      <w:r w:rsidRPr="0000487B">
        <w:rPr>
          <w:rFonts w:ascii="Garamond" w:hAnsi="Garamond"/>
        </w:rPr>
        <w:t>Temperature</w:t>
      </w:r>
      <w:r w:rsidR="00F30E17" w:rsidRPr="0000487B">
        <w:rPr>
          <w:rFonts w:ascii="Garamond" w:hAnsi="Garamond"/>
        </w:rPr>
        <w:t xml:space="preserve"> had s</w:t>
      </w:r>
      <w:r w:rsidRPr="0000487B">
        <w:rPr>
          <w:rFonts w:ascii="Garamond" w:hAnsi="Garamond"/>
        </w:rPr>
        <w:t>tatistically significant warming trend (+0.023</w:t>
      </w:r>
      <w:r w:rsidRPr="0000487B">
        <w:rPr>
          <w:rFonts w:ascii="Times New Roman" w:hAnsi="Times New Roman" w:cs="Times New Roman"/>
        </w:rPr>
        <w:t> </w:t>
      </w:r>
      <w:r w:rsidRPr="0000487B">
        <w:rPr>
          <w:rFonts w:ascii="Garamond" w:hAnsi="Garamond" w:cs="Garamond"/>
        </w:rPr>
        <w:t>°</w:t>
      </w:r>
      <w:r w:rsidRPr="0000487B">
        <w:rPr>
          <w:rFonts w:ascii="Garamond" w:hAnsi="Garamond"/>
        </w:rPr>
        <w:t>C/year)</w:t>
      </w:r>
      <w:r w:rsidR="00F30E17" w:rsidRPr="0000487B">
        <w:rPr>
          <w:rFonts w:ascii="Garamond" w:hAnsi="Garamond"/>
        </w:rPr>
        <w:t xml:space="preserve">. </w:t>
      </w:r>
      <w:r w:rsidRPr="0000487B">
        <w:rPr>
          <w:rFonts w:ascii="Garamond" w:hAnsi="Garamond"/>
        </w:rPr>
        <w:t>Rainfall</w:t>
      </w:r>
      <w:r w:rsidR="00F30E17" w:rsidRPr="0000487B">
        <w:rPr>
          <w:rFonts w:ascii="Garamond" w:hAnsi="Garamond"/>
        </w:rPr>
        <w:t xml:space="preserve"> had w</w:t>
      </w:r>
      <w:r w:rsidRPr="0000487B">
        <w:rPr>
          <w:rFonts w:ascii="Garamond" w:hAnsi="Garamond"/>
        </w:rPr>
        <w:t>eak-to-moderate upward trends (~3</w:t>
      </w:r>
      <w:r w:rsidRPr="0000487B">
        <w:rPr>
          <w:rFonts w:ascii="Times New Roman" w:hAnsi="Times New Roman" w:cs="Times New Roman"/>
        </w:rPr>
        <w:t> </w:t>
      </w:r>
      <w:r w:rsidRPr="0000487B">
        <w:rPr>
          <w:rFonts w:ascii="Garamond" w:hAnsi="Garamond"/>
        </w:rPr>
        <w:t>mm/year), marginally significant at 10% level</w:t>
      </w:r>
      <w:r w:rsidR="00F30E17" w:rsidRPr="0000487B">
        <w:rPr>
          <w:rFonts w:ascii="Garamond" w:hAnsi="Garamond"/>
        </w:rPr>
        <w:t xml:space="preserve"> while s</w:t>
      </w:r>
      <w:r w:rsidRPr="0000487B">
        <w:rPr>
          <w:rFonts w:ascii="Garamond" w:hAnsi="Garamond"/>
        </w:rPr>
        <w:t>easonality</w:t>
      </w:r>
      <w:r w:rsidR="00F30E17" w:rsidRPr="0000487B">
        <w:rPr>
          <w:rFonts w:ascii="Garamond" w:hAnsi="Garamond"/>
        </w:rPr>
        <w:t xml:space="preserve"> had s</w:t>
      </w:r>
      <w:r w:rsidRPr="0000487B">
        <w:rPr>
          <w:rFonts w:ascii="Garamond" w:hAnsi="Garamond"/>
        </w:rPr>
        <w:t>table bimodal regime; small increases in MAM and OND cumulatively affect annual totals</w:t>
      </w:r>
    </w:p>
    <w:p w14:paraId="6263F465" w14:textId="3D4EEA4C" w:rsidR="00B4577D" w:rsidRPr="0000487B" w:rsidRDefault="00B4577D" w:rsidP="00466DBA">
      <w:pPr>
        <w:spacing w:line="360" w:lineRule="auto"/>
        <w:jc w:val="both"/>
        <w:rPr>
          <w:rFonts w:ascii="Garamond" w:hAnsi="Garamond"/>
        </w:rPr>
      </w:pPr>
      <w:r w:rsidRPr="0000487B">
        <w:rPr>
          <w:rFonts w:ascii="Garamond" w:hAnsi="Garamond"/>
        </w:rPr>
        <w:t xml:space="preserve">Urban </w:t>
      </w:r>
      <w:r w:rsidR="00F30E17" w:rsidRPr="0000487B">
        <w:rPr>
          <w:rFonts w:ascii="Garamond" w:hAnsi="Garamond"/>
        </w:rPr>
        <w:t>flood risk was d</w:t>
      </w:r>
      <w:r w:rsidRPr="0000487B">
        <w:rPr>
          <w:rFonts w:ascii="Garamond" w:hAnsi="Garamond"/>
        </w:rPr>
        <w:t>riven by intensity-frequency characteristics; small, persistent increases can trigger flash or cumulative flooding even if annual totals remain moderate</w:t>
      </w:r>
      <w:r w:rsidR="00F30E17" w:rsidRPr="0000487B">
        <w:rPr>
          <w:rFonts w:ascii="Garamond" w:hAnsi="Garamond"/>
        </w:rPr>
        <w:t xml:space="preserve">. </w:t>
      </w:r>
      <w:r w:rsidRPr="0000487B">
        <w:rPr>
          <w:rFonts w:ascii="Garamond" w:hAnsi="Garamond"/>
        </w:rPr>
        <w:t>Practical Implication</w:t>
      </w:r>
      <w:r w:rsidR="00F30E17" w:rsidRPr="0000487B">
        <w:rPr>
          <w:rFonts w:ascii="Garamond" w:hAnsi="Garamond"/>
        </w:rPr>
        <w:t xml:space="preserve"> was that s</w:t>
      </w:r>
      <w:r w:rsidRPr="0000487B">
        <w:rPr>
          <w:rFonts w:ascii="Garamond" w:hAnsi="Garamond"/>
        </w:rPr>
        <w:t>tatistical significance alone underestimates risk; annual aggregation and flood-relevant metrics are essential for urban water management</w:t>
      </w:r>
    </w:p>
    <w:p w14:paraId="0819AC53" w14:textId="09559D92" w:rsidR="00FB456E" w:rsidRPr="0000487B" w:rsidRDefault="00FB456E" w:rsidP="00466DBA">
      <w:pPr>
        <w:spacing w:line="360" w:lineRule="auto"/>
        <w:jc w:val="both"/>
        <w:rPr>
          <w:rFonts w:ascii="Garamond" w:hAnsi="Garamond"/>
          <w:b/>
          <w:bCs/>
        </w:rPr>
      </w:pPr>
      <w:r w:rsidRPr="0000487B">
        <w:rPr>
          <w:rFonts w:ascii="Garamond" w:hAnsi="Garamond"/>
          <w:b/>
          <w:bCs/>
        </w:rPr>
        <w:t>4.7</w:t>
      </w:r>
      <w:r w:rsidR="00F30E17" w:rsidRPr="0000487B">
        <w:rPr>
          <w:rFonts w:ascii="Garamond" w:hAnsi="Garamond"/>
          <w:b/>
          <w:bCs/>
        </w:rPr>
        <w:t>.</w:t>
      </w:r>
      <w:r w:rsidRPr="0000487B">
        <w:rPr>
          <w:rFonts w:ascii="Garamond" w:hAnsi="Garamond"/>
          <w:b/>
          <w:bCs/>
        </w:rPr>
        <w:t xml:space="preserve"> Linking Climate Indicators to Socioeconomic Impacts</w:t>
      </w:r>
    </w:p>
    <w:p w14:paraId="5BF4998F" w14:textId="77777777" w:rsidR="00FB456E" w:rsidRPr="0000487B" w:rsidRDefault="00FB456E" w:rsidP="00466DBA">
      <w:pPr>
        <w:spacing w:line="360" w:lineRule="auto"/>
        <w:jc w:val="both"/>
        <w:rPr>
          <w:rFonts w:ascii="Garamond" w:hAnsi="Garamond"/>
          <w:b/>
          <w:bCs/>
        </w:rPr>
      </w:pPr>
      <w:r w:rsidRPr="0000487B">
        <w:rPr>
          <w:rFonts w:ascii="Garamond" w:hAnsi="Garamond"/>
          <w:b/>
          <w:bCs/>
        </w:rPr>
        <w:t>4.7.1 Observed and Reported Household Impacts</w:t>
      </w:r>
    </w:p>
    <w:p w14:paraId="51B3DFA2" w14:textId="77777777" w:rsidR="00FB456E" w:rsidRPr="0000487B" w:rsidRDefault="00FB456E" w:rsidP="00466DBA">
      <w:pPr>
        <w:spacing w:line="360" w:lineRule="auto"/>
        <w:jc w:val="both"/>
        <w:rPr>
          <w:rFonts w:ascii="Garamond" w:hAnsi="Garamond"/>
        </w:rPr>
      </w:pPr>
      <w:r w:rsidRPr="0000487B">
        <w:rPr>
          <w:rFonts w:ascii="Garamond" w:hAnsi="Garamond"/>
        </w:rPr>
        <w:t>The study assessed the socioeconomic impacts of climate variability in Korogocho and Kahawa Soweto by combining household surveys, focus group discussions, and field observations:</w:t>
      </w:r>
    </w:p>
    <w:p w14:paraId="7C973E23" w14:textId="77777777" w:rsidR="00FB456E" w:rsidRPr="0000487B" w:rsidRDefault="00FB456E" w:rsidP="00466DBA">
      <w:pPr>
        <w:spacing w:line="360" w:lineRule="auto"/>
        <w:jc w:val="both"/>
        <w:rPr>
          <w:rFonts w:ascii="Garamond" w:hAnsi="Garamond"/>
        </w:rPr>
      </w:pPr>
      <w:r w:rsidRPr="0000487B">
        <w:rPr>
          <w:rFonts w:ascii="Garamond" w:hAnsi="Garamond"/>
          <w:b/>
          <w:bCs/>
        </w:rPr>
        <w:t>Household-reported experiences:</w:t>
      </w:r>
      <w:r w:rsidRPr="0000487B">
        <w:rPr>
          <w:rFonts w:ascii="Garamond" w:hAnsi="Garamond"/>
        </w:rPr>
        <w:t xml:space="preserve"> Residents provided perceptions of flooding frequency, waterlogging, property damage, and health impacts (e.g., waterborne diseases). These reports capture the lived experience of climate stress but may be influenced by recall bias or subjective interpretations of events.</w:t>
      </w:r>
    </w:p>
    <w:p w14:paraId="5137C152" w14:textId="77777777" w:rsidR="00FB456E" w:rsidRPr="0000487B" w:rsidRDefault="00FB456E" w:rsidP="00466DBA">
      <w:pPr>
        <w:spacing w:line="360" w:lineRule="auto"/>
        <w:jc w:val="both"/>
        <w:rPr>
          <w:rFonts w:ascii="Garamond" w:hAnsi="Garamond"/>
        </w:rPr>
      </w:pPr>
      <w:r w:rsidRPr="0000487B">
        <w:rPr>
          <w:rFonts w:ascii="Garamond" w:hAnsi="Garamond"/>
          <w:b/>
          <w:bCs/>
        </w:rPr>
        <w:t>Observed events:</w:t>
      </w:r>
      <w:r w:rsidRPr="0000487B">
        <w:rPr>
          <w:rFonts w:ascii="Garamond" w:hAnsi="Garamond"/>
        </w:rPr>
        <w:t xml:space="preserve"> Field observations and local records of drainage blockages, temporary waterlogging, and flood-prone areas were used to triangulate reported experiences. These provide objective evidence but are limited to the observation period.</w:t>
      </w:r>
    </w:p>
    <w:p w14:paraId="1C23AD82" w14:textId="634AF6BE" w:rsidR="00FB456E" w:rsidRPr="0000487B" w:rsidRDefault="00FB456E" w:rsidP="00466DBA">
      <w:pPr>
        <w:spacing w:line="360" w:lineRule="auto"/>
        <w:jc w:val="both"/>
        <w:rPr>
          <w:rFonts w:ascii="Garamond" w:hAnsi="Garamond"/>
        </w:rPr>
      </w:pPr>
      <w:r w:rsidRPr="0000487B">
        <w:rPr>
          <w:rFonts w:ascii="Garamond" w:hAnsi="Garamond"/>
        </w:rPr>
        <w:t>Community-level data: Local institutions, NGOs, and drainage authorities provided supplementary information on flood events, waste management challenges, and infrastructure failures.</w:t>
      </w:r>
      <w:r w:rsidR="005A1ED8" w:rsidRPr="0000487B">
        <w:rPr>
          <w:rFonts w:ascii="Garamond" w:hAnsi="Garamond"/>
        </w:rPr>
        <w:t xml:space="preserve"> </w:t>
      </w:r>
      <w:r w:rsidRPr="0000487B">
        <w:rPr>
          <w:rFonts w:ascii="Garamond" w:hAnsi="Garamond"/>
        </w:rPr>
        <w:t xml:space="preserve">By combining </w:t>
      </w:r>
      <w:r w:rsidRPr="0000487B">
        <w:rPr>
          <w:rFonts w:ascii="Garamond" w:hAnsi="Garamond"/>
        </w:rPr>
        <w:lastRenderedPageBreak/>
        <w:t>these sources, the study achieves a triangulated assessment linking climate variability to socioeconomic vulnerability.</w:t>
      </w:r>
    </w:p>
    <w:p w14:paraId="3F1A8E0B" w14:textId="77777777" w:rsidR="00FB456E" w:rsidRPr="0000487B" w:rsidRDefault="00FB456E" w:rsidP="00466DBA">
      <w:pPr>
        <w:spacing w:line="360" w:lineRule="auto"/>
        <w:jc w:val="both"/>
        <w:rPr>
          <w:rFonts w:ascii="Garamond" w:hAnsi="Garamond"/>
          <w:b/>
          <w:bCs/>
        </w:rPr>
      </w:pPr>
      <w:r w:rsidRPr="0000487B">
        <w:rPr>
          <w:rFonts w:ascii="Garamond" w:hAnsi="Garamond"/>
          <w:b/>
          <w:bCs/>
        </w:rPr>
        <w:t>4.7.2 Analytical Linkage</w:t>
      </w:r>
    </w:p>
    <w:p w14:paraId="78C8226C" w14:textId="77777777" w:rsidR="00FB456E" w:rsidRPr="0000487B" w:rsidRDefault="00FB456E" w:rsidP="00466DBA">
      <w:pPr>
        <w:spacing w:line="360" w:lineRule="auto"/>
        <w:jc w:val="both"/>
        <w:rPr>
          <w:rFonts w:ascii="Garamond" w:hAnsi="Garamond"/>
        </w:rPr>
      </w:pPr>
      <w:r w:rsidRPr="0000487B">
        <w:rPr>
          <w:rFonts w:ascii="Garamond" w:hAnsi="Garamond"/>
        </w:rPr>
        <w:t>Climate indicators (rainfall totals, intensity-frequency patterns, and temperature trends) were linked to household and community impacts as follows:</w:t>
      </w:r>
    </w:p>
    <w:p w14:paraId="34A13A96" w14:textId="2BE750DA" w:rsidR="00FB456E" w:rsidRPr="0000487B" w:rsidRDefault="00FB456E" w:rsidP="00466DBA">
      <w:pPr>
        <w:spacing w:line="360" w:lineRule="auto"/>
        <w:jc w:val="both"/>
        <w:rPr>
          <w:rFonts w:ascii="Garamond" w:hAnsi="Garamond"/>
        </w:rPr>
      </w:pPr>
      <w:r w:rsidRPr="0000487B">
        <w:rPr>
          <w:rFonts w:ascii="Garamond" w:hAnsi="Garamond"/>
          <w:b/>
          <w:bCs/>
        </w:rPr>
        <w:t>Rainfall Intensity-Frequency → Flood Damage</w:t>
      </w:r>
      <w:r w:rsidR="005A1ED8" w:rsidRPr="0000487B">
        <w:rPr>
          <w:rFonts w:ascii="Garamond" w:hAnsi="Garamond"/>
          <w:b/>
          <w:bCs/>
        </w:rPr>
        <w:t xml:space="preserve">: </w:t>
      </w:r>
      <w:r w:rsidRPr="0000487B">
        <w:rPr>
          <w:rFonts w:ascii="Garamond" w:hAnsi="Garamond"/>
        </w:rPr>
        <w:t>Korogocho experiences higher-intensity rainfall events during MAM and OND, leading to flash floods. These floods were reported to damage homes, block access roads, and disrupt small-scale businesses.</w:t>
      </w:r>
      <w:r w:rsidR="005A1ED8" w:rsidRPr="0000487B">
        <w:rPr>
          <w:rFonts w:ascii="Garamond" w:hAnsi="Garamond"/>
        </w:rPr>
        <w:t xml:space="preserve"> </w:t>
      </w:r>
      <w:r w:rsidRPr="0000487B">
        <w:rPr>
          <w:rFonts w:ascii="Garamond" w:hAnsi="Garamond"/>
        </w:rPr>
        <w:t>Kahawa Soweto shows more persistent moderate rainfall, causing cumulative waterlogging that affects drainage, sanitation, and property over time.</w:t>
      </w:r>
    </w:p>
    <w:p w14:paraId="3C28D2D5" w14:textId="14C4B361" w:rsidR="00FB456E" w:rsidRPr="0000487B" w:rsidRDefault="00FB456E" w:rsidP="00466DBA">
      <w:pPr>
        <w:spacing w:line="360" w:lineRule="auto"/>
        <w:jc w:val="both"/>
        <w:rPr>
          <w:rFonts w:ascii="Garamond" w:hAnsi="Garamond"/>
        </w:rPr>
      </w:pPr>
      <w:r w:rsidRPr="0000487B">
        <w:rPr>
          <w:rFonts w:ascii="Garamond" w:hAnsi="Garamond"/>
          <w:b/>
          <w:bCs/>
        </w:rPr>
        <w:t>Interannual Variability and Persistence → Chronic Vulnerability</w:t>
      </w:r>
      <w:r w:rsidR="005A1ED8" w:rsidRPr="0000487B">
        <w:rPr>
          <w:rFonts w:ascii="Garamond" w:hAnsi="Garamond"/>
          <w:b/>
          <w:bCs/>
        </w:rPr>
        <w:t xml:space="preserve">: </w:t>
      </w:r>
      <w:r w:rsidRPr="0000487B">
        <w:rPr>
          <w:rFonts w:ascii="Garamond" w:hAnsi="Garamond"/>
        </w:rPr>
        <w:t>Positive autocorrelation in rainfall (ACF: Korogocho 0.41, Kahawa Soweto 0.67) indicates wet years are likely followed by wet years, reducing recovery time between events.</w:t>
      </w:r>
      <w:r w:rsidR="005A1ED8" w:rsidRPr="0000487B">
        <w:rPr>
          <w:rFonts w:ascii="Garamond" w:hAnsi="Garamond"/>
        </w:rPr>
        <w:t xml:space="preserve">  </w:t>
      </w:r>
      <w:r w:rsidRPr="0000487B">
        <w:rPr>
          <w:rFonts w:ascii="Garamond" w:hAnsi="Garamond"/>
        </w:rPr>
        <w:t>Households report recurring exposure to waterborne diseases and infrastructure failures, highlighting cumulative socioeconomic stress.</w:t>
      </w:r>
    </w:p>
    <w:p w14:paraId="2AD35E5B" w14:textId="41AC2AF1" w:rsidR="00FB456E" w:rsidRPr="0000487B" w:rsidRDefault="00FB456E" w:rsidP="00466DBA">
      <w:pPr>
        <w:spacing w:line="360" w:lineRule="auto"/>
        <w:jc w:val="both"/>
        <w:rPr>
          <w:rFonts w:ascii="Garamond" w:hAnsi="Garamond"/>
        </w:rPr>
      </w:pPr>
      <w:r w:rsidRPr="0000487B">
        <w:rPr>
          <w:rFonts w:ascii="Garamond" w:hAnsi="Garamond"/>
          <w:b/>
          <w:bCs/>
        </w:rPr>
        <w:t>Temperature Increase → Health and Livelihood Stress</w:t>
      </w:r>
      <w:r w:rsidR="005A1ED8" w:rsidRPr="0000487B">
        <w:rPr>
          <w:rFonts w:ascii="Garamond" w:hAnsi="Garamond"/>
          <w:b/>
          <w:bCs/>
        </w:rPr>
        <w:t xml:space="preserve">: </w:t>
      </w:r>
      <w:r w:rsidRPr="0000487B">
        <w:rPr>
          <w:rFonts w:ascii="Garamond" w:hAnsi="Garamond"/>
        </w:rPr>
        <w:t>Warming trends (~0.023</w:t>
      </w:r>
      <w:r w:rsidRPr="0000487B">
        <w:rPr>
          <w:rFonts w:ascii="Times New Roman" w:hAnsi="Times New Roman" w:cs="Times New Roman"/>
        </w:rPr>
        <w:t> </w:t>
      </w:r>
      <w:r w:rsidRPr="0000487B">
        <w:rPr>
          <w:rFonts w:ascii="Garamond" w:hAnsi="Garamond" w:cs="Garamond"/>
        </w:rPr>
        <w:t>°</w:t>
      </w:r>
      <w:r w:rsidRPr="0000487B">
        <w:rPr>
          <w:rFonts w:ascii="Garamond" w:hAnsi="Garamond"/>
        </w:rPr>
        <w:t>C/year) exacerbate heat stress, increase water demand, and may indirectly affect income-generating activities such as informal trade or urban agriculture.</w:t>
      </w:r>
    </w:p>
    <w:p w14:paraId="78927387" w14:textId="3C5F1BCF" w:rsidR="00FB456E" w:rsidRPr="0000487B" w:rsidRDefault="00FB456E" w:rsidP="00466DBA">
      <w:pPr>
        <w:spacing w:line="360" w:lineRule="auto"/>
        <w:jc w:val="both"/>
        <w:rPr>
          <w:rFonts w:ascii="Garamond" w:hAnsi="Garamond"/>
        </w:rPr>
      </w:pPr>
      <w:r w:rsidRPr="0000487B">
        <w:rPr>
          <w:rFonts w:ascii="Garamond" w:hAnsi="Garamond"/>
          <w:b/>
          <w:bCs/>
        </w:rPr>
        <w:t>Seasonal Shifts → Differential Impact by Settlement</w:t>
      </w:r>
      <w:r w:rsidR="005A1ED8" w:rsidRPr="0000487B">
        <w:rPr>
          <w:rFonts w:ascii="Garamond" w:hAnsi="Garamond"/>
          <w:b/>
          <w:bCs/>
        </w:rPr>
        <w:t xml:space="preserve">: </w:t>
      </w:r>
      <w:r w:rsidRPr="0000487B">
        <w:rPr>
          <w:rFonts w:ascii="Garamond" w:hAnsi="Garamond"/>
        </w:rPr>
        <w:t>Long rains (MAM) dominate progressive flooding events affecting Korogocho due to higher intensity and variability.</w:t>
      </w:r>
      <w:r w:rsidR="005A1ED8" w:rsidRPr="0000487B">
        <w:rPr>
          <w:rFonts w:ascii="Garamond" w:hAnsi="Garamond"/>
        </w:rPr>
        <w:t xml:space="preserve"> </w:t>
      </w:r>
      <w:r w:rsidRPr="0000487B">
        <w:rPr>
          <w:rFonts w:ascii="Garamond" w:hAnsi="Garamond"/>
        </w:rPr>
        <w:t>Short rains (OND) produce flash floods, disproportionately impacting Kahawa Soweto where drainage systems are less resilient.</w:t>
      </w:r>
    </w:p>
    <w:p w14:paraId="7D4F2B4D" w14:textId="77777777" w:rsidR="00FB456E" w:rsidRPr="0000487B" w:rsidRDefault="00FB456E" w:rsidP="00466DBA">
      <w:pPr>
        <w:spacing w:line="360" w:lineRule="auto"/>
        <w:jc w:val="both"/>
        <w:rPr>
          <w:rFonts w:ascii="Garamond" w:hAnsi="Garamond"/>
          <w:b/>
          <w:bCs/>
        </w:rPr>
      </w:pPr>
      <w:r w:rsidRPr="0000487B">
        <w:rPr>
          <w:rFonts w:ascii="Garamond" w:hAnsi="Garamond"/>
          <w:b/>
          <w:bCs/>
        </w:rPr>
        <w:t>4.7.3 Potential Biases and Limitations</w:t>
      </w:r>
    </w:p>
    <w:p w14:paraId="663188C7" w14:textId="3E9F93B8" w:rsidR="00FB456E" w:rsidRPr="0000487B" w:rsidRDefault="00FB456E" w:rsidP="00466DBA">
      <w:pPr>
        <w:spacing w:line="360" w:lineRule="auto"/>
        <w:jc w:val="both"/>
        <w:rPr>
          <w:rFonts w:ascii="Garamond" w:hAnsi="Garamond"/>
        </w:rPr>
      </w:pPr>
      <w:r w:rsidRPr="0000487B">
        <w:rPr>
          <w:rFonts w:ascii="Garamond" w:hAnsi="Garamond"/>
          <w:b/>
          <w:bCs/>
        </w:rPr>
        <w:t>Perception vs Observed Events:</w:t>
      </w:r>
      <w:r w:rsidR="005A1ED8" w:rsidRPr="0000487B">
        <w:rPr>
          <w:rFonts w:ascii="Garamond" w:hAnsi="Garamond"/>
          <w:b/>
          <w:bCs/>
        </w:rPr>
        <w:t xml:space="preserve"> </w:t>
      </w:r>
      <w:r w:rsidRPr="0000487B">
        <w:rPr>
          <w:rFonts w:ascii="Garamond" w:hAnsi="Garamond"/>
        </w:rPr>
        <w:t>Household surveys rel</w:t>
      </w:r>
      <w:r w:rsidR="005A1ED8" w:rsidRPr="0000487B">
        <w:rPr>
          <w:rFonts w:ascii="Garamond" w:hAnsi="Garamond"/>
        </w:rPr>
        <w:t>ied</w:t>
      </w:r>
      <w:r w:rsidRPr="0000487B">
        <w:rPr>
          <w:rFonts w:ascii="Garamond" w:hAnsi="Garamond"/>
        </w:rPr>
        <w:t xml:space="preserve"> on memory and subjective experience; residents may over- or under-report events depending on personal exposure.</w:t>
      </w:r>
      <w:r w:rsidR="005A1ED8" w:rsidRPr="0000487B">
        <w:rPr>
          <w:rFonts w:ascii="Garamond" w:hAnsi="Garamond"/>
        </w:rPr>
        <w:t xml:space="preserve"> </w:t>
      </w:r>
      <w:r w:rsidRPr="0000487B">
        <w:rPr>
          <w:rFonts w:ascii="Garamond" w:hAnsi="Garamond"/>
        </w:rPr>
        <w:t>Recall bias is likely for past events beyond 5–10 years, especially for small-scale or non-catastrophic floods.</w:t>
      </w:r>
    </w:p>
    <w:p w14:paraId="3295DDA3" w14:textId="01F15C12" w:rsidR="00FB456E" w:rsidRPr="0000487B" w:rsidRDefault="00FB456E" w:rsidP="00466DBA">
      <w:pPr>
        <w:spacing w:line="360" w:lineRule="auto"/>
        <w:jc w:val="both"/>
        <w:rPr>
          <w:rFonts w:ascii="Garamond" w:hAnsi="Garamond"/>
        </w:rPr>
      </w:pPr>
      <w:r w:rsidRPr="0000487B">
        <w:rPr>
          <w:rFonts w:ascii="Garamond" w:hAnsi="Garamond"/>
          <w:b/>
          <w:bCs/>
        </w:rPr>
        <w:t>Spatial and Temporal Coverage</w:t>
      </w:r>
      <w:r w:rsidR="005A1ED8" w:rsidRPr="0000487B">
        <w:rPr>
          <w:rFonts w:ascii="Garamond" w:hAnsi="Garamond"/>
          <w:b/>
          <w:bCs/>
        </w:rPr>
        <w:t xml:space="preserve">: </w:t>
      </w:r>
      <w:r w:rsidRPr="0000487B">
        <w:rPr>
          <w:rFonts w:ascii="Garamond" w:hAnsi="Garamond"/>
        </w:rPr>
        <w:t>Observational data may not capture micro-spatial variability within settlements; some localized flood-prone pockets may remain undocumented.</w:t>
      </w:r>
      <w:r w:rsidR="005A1ED8" w:rsidRPr="0000487B">
        <w:rPr>
          <w:rFonts w:ascii="Garamond" w:hAnsi="Garamond"/>
        </w:rPr>
        <w:t xml:space="preserve"> </w:t>
      </w:r>
      <w:r w:rsidRPr="0000487B">
        <w:rPr>
          <w:rFonts w:ascii="Garamond" w:hAnsi="Garamond"/>
        </w:rPr>
        <w:t>Short observation windows for field verification can miss rare extreme events.</w:t>
      </w:r>
    </w:p>
    <w:p w14:paraId="3FBAB1F7" w14:textId="234AD8EA" w:rsidR="00FB456E" w:rsidRPr="0000487B" w:rsidRDefault="00FB456E" w:rsidP="00466DBA">
      <w:pPr>
        <w:spacing w:line="360" w:lineRule="auto"/>
        <w:jc w:val="both"/>
        <w:rPr>
          <w:rFonts w:ascii="Garamond" w:hAnsi="Garamond"/>
        </w:rPr>
      </w:pPr>
      <w:r w:rsidRPr="0000487B">
        <w:rPr>
          <w:rFonts w:ascii="Garamond" w:hAnsi="Garamond"/>
          <w:b/>
          <w:bCs/>
        </w:rPr>
        <w:lastRenderedPageBreak/>
        <w:t>Socioeconomic Heterogeneity</w:t>
      </w:r>
      <w:r w:rsidR="005A1ED8" w:rsidRPr="0000487B">
        <w:rPr>
          <w:rFonts w:ascii="Garamond" w:hAnsi="Garamond"/>
          <w:b/>
          <w:bCs/>
        </w:rPr>
        <w:t xml:space="preserve">: </w:t>
      </w:r>
      <w:r w:rsidRPr="0000487B">
        <w:rPr>
          <w:rFonts w:ascii="Garamond" w:hAnsi="Garamond"/>
        </w:rPr>
        <w:t>Impacts vary across households depending on income, housing type, and social networks. Aggregated analysis may mask vulnerability differences.</w:t>
      </w:r>
    </w:p>
    <w:p w14:paraId="4E7E49A9" w14:textId="35F1E300" w:rsidR="00FB456E" w:rsidRPr="0000487B" w:rsidRDefault="00FB456E" w:rsidP="00466DBA">
      <w:pPr>
        <w:spacing w:line="360" w:lineRule="auto"/>
        <w:jc w:val="both"/>
        <w:rPr>
          <w:rFonts w:ascii="Garamond" w:hAnsi="Garamond"/>
        </w:rPr>
      </w:pPr>
      <w:r w:rsidRPr="0000487B">
        <w:rPr>
          <w:rFonts w:ascii="Garamond" w:hAnsi="Garamond"/>
          <w:b/>
          <w:bCs/>
        </w:rPr>
        <w:t>Reporting Bias:</w:t>
      </w:r>
      <w:r w:rsidR="005A1ED8" w:rsidRPr="0000487B">
        <w:rPr>
          <w:rFonts w:ascii="Garamond" w:hAnsi="Garamond"/>
          <w:b/>
          <w:bCs/>
        </w:rPr>
        <w:t xml:space="preserve"> </w:t>
      </w:r>
      <w:r w:rsidRPr="0000487B">
        <w:rPr>
          <w:rFonts w:ascii="Garamond" w:hAnsi="Garamond"/>
        </w:rPr>
        <w:t>Households affected more severely may be more likely to respond to surveys, inflating perceived severity.</w:t>
      </w:r>
    </w:p>
    <w:p w14:paraId="78ED5F9A" w14:textId="77777777" w:rsidR="00FB456E" w:rsidRPr="0000487B" w:rsidRDefault="00FB456E" w:rsidP="00466DBA">
      <w:pPr>
        <w:spacing w:line="360" w:lineRule="auto"/>
        <w:jc w:val="both"/>
        <w:rPr>
          <w:rFonts w:ascii="Garamond" w:hAnsi="Garamond"/>
          <w:b/>
          <w:bCs/>
        </w:rPr>
      </w:pPr>
      <w:r w:rsidRPr="0000487B">
        <w:rPr>
          <w:rFonts w:ascii="Garamond" w:hAnsi="Garamond"/>
          <w:b/>
          <w:bCs/>
        </w:rPr>
        <w:t>4.7.4 Synthesis: Climate–Socioeconomic Vulnerability Link</w:t>
      </w:r>
    </w:p>
    <w:p w14:paraId="7A21B0C1" w14:textId="77777777" w:rsidR="005A1ED8" w:rsidRPr="0000487B" w:rsidRDefault="00FB456E" w:rsidP="00466DBA">
      <w:pPr>
        <w:spacing w:line="360" w:lineRule="auto"/>
        <w:jc w:val="both"/>
        <w:rPr>
          <w:rFonts w:ascii="Garamond" w:hAnsi="Garamond"/>
        </w:rPr>
      </w:pPr>
      <w:r w:rsidRPr="0000487B">
        <w:rPr>
          <w:rFonts w:ascii="Garamond" w:hAnsi="Garamond"/>
        </w:rPr>
        <w:t>Weak but persistent increases in rainfall (~2.5–3.2</w:t>
      </w:r>
      <w:r w:rsidRPr="0000487B">
        <w:rPr>
          <w:rFonts w:ascii="Times New Roman" w:hAnsi="Times New Roman" w:cs="Times New Roman"/>
        </w:rPr>
        <w:t> </w:t>
      </w:r>
      <w:r w:rsidRPr="0000487B">
        <w:rPr>
          <w:rFonts w:ascii="Garamond" w:hAnsi="Garamond"/>
        </w:rPr>
        <w:t>mm/year) and intensity-frequency peaks exacerbate urban flooding, property damage, and sanitation challenges.</w:t>
      </w:r>
      <w:r w:rsidR="005A1ED8" w:rsidRPr="0000487B">
        <w:rPr>
          <w:rFonts w:ascii="Garamond" w:hAnsi="Garamond"/>
        </w:rPr>
        <w:t xml:space="preserve"> </w:t>
      </w:r>
      <w:r w:rsidRPr="0000487B">
        <w:rPr>
          <w:rFonts w:ascii="Garamond" w:hAnsi="Garamond"/>
        </w:rPr>
        <w:t>Temperature rises contribute to heat stress, water demand, and livelihood disruptions.</w:t>
      </w:r>
      <w:r w:rsidR="005A1ED8" w:rsidRPr="0000487B">
        <w:rPr>
          <w:rFonts w:ascii="Garamond" w:hAnsi="Garamond"/>
        </w:rPr>
        <w:t xml:space="preserve">  </w:t>
      </w:r>
      <w:r w:rsidRPr="0000487B">
        <w:rPr>
          <w:rFonts w:ascii="Garamond" w:hAnsi="Garamond"/>
        </w:rPr>
        <w:t>Korogocho residents experience more acute flash flooding impacts due to high-intensity events, while Kahawa Soweto households face chronic drainage stress.</w:t>
      </w:r>
      <w:r w:rsidR="005A1ED8" w:rsidRPr="0000487B">
        <w:rPr>
          <w:rFonts w:ascii="Garamond" w:hAnsi="Garamond"/>
        </w:rPr>
        <w:t xml:space="preserve"> </w:t>
      </w:r>
      <w:r w:rsidRPr="0000487B">
        <w:rPr>
          <w:rFonts w:ascii="Garamond" w:hAnsi="Garamond"/>
        </w:rPr>
        <w:t>Despite statistical marginality in rainfall trends, the cumulative practical impact on socioeconomic conditions is significant, especially in informal settlements with limited infrastructure resilience.</w:t>
      </w:r>
      <w:r w:rsidR="005A1ED8" w:rsidRPr="0000487B">
        <w:rPr>
          <w:rFonts w:ascii="Garamond" w:hAnsi="Garamond"/>
        </w:rPr>
        <w:t xml:space="preserve">  </w:t>
      </w:r>
    </w:p>
    <w:p w14:paraId="3BDF9F33" w14:textId="74479B67" w:rsidR="00FB456E" w:rsidRPr="0000487B" w:rsidRDefault="00FB456E" w:rsidP="00466DBA">
      <w:pPr>
        <w:spacing w:line="360" w:lineRule="auto"/>
        <w:jc w:val="both"/>
        <w:rPr>
          <w:rFonts w:ascii="Garamond" w:hAnsi="Garamond"/>
        </w:rPr>
      </w:pPr>
      <w:r w:rsidRPr="0000487B">
        <w:rPr>
          <w:rFonts w:ascii="Garamond" w:hAnsi="Garamond"/>
          <w:b/>
          <w:bCs/>
        </w:rPr>
        <w:t>Implication:</w:t>
      </w:r>
      <w:r w:rsidRPr="0000487B">
        <w:rPr>
          <w:rFonts w:ascii="Garamond" w:hAnsi="Garamond"/>
        </w:rPr>
        <w:t xml:space="preserve"> Integrating observed and reported impacts with climate indicators allows urban planners and policymakers to prioritize interventions (drainage upgrades, early warning systems, and nature-based solutions) based on both hazard exposure and vulnerability profiles, while acknowledging potential biases in self-reported data.</w:t>
      </w:r>
    </w:p>
    <w:p w14:paraId="156F9ADE" w14:textId="4F4C8359" w:rsidR="00FB456E" w:rsidRPr="0000487B" w:rsidRDefault="00FB456E" w:rsidP="00466DBA">
      <w:pPr>
        <w:spacing w:line="360" w:lineRule="auto"/>
        <w:jc w:val="both"/>
        <w:rPr>
          <w:rFonts w:ascii="Garamond" w:hAnsi="Garamond"/>
        </w:rPr>
      </w:pPr>
      <w:r w:rsidRPr="0000487B">
        <w:rPr>
          <w:rFonts w:ascii="Garamond" w:hAnsi="Garamond"/>
        </w:rPr>
        <w:t>Policy relevance and practical implications</w:t>
      </w:r>
    </w:p>
    <w:p w14:paraId="6B3CEBC7" w14:textId="77777777" w:rsidR="00335E3E" w:rsidRPr="0000487B" w:rsidRDefault="00335E3E" w:rsidP="00466DBA">
      <w:pPr>
        <w:spacing w:line="360" w:lineRule="auto"/>
        <w:jc w:val="both"/>
        <w:rPr>
          <w:rFonts w:ascii="Garamond" w:hAnsi="Garamond"/>
        </w:rPr>
      </w:pPr>
    </w:p>
    <w:p w14:paraId="559DED59" w14:textId="77777777" w:rsidR="00335E3E" w:rsidRPr="0000487B" w:rsidRDefault="00335E3E" w:rsidP="00466DBA">
      <w:pPr>
        <w:spacing w:line="360" w:lineRule="auto"/>
        <w:jc w:val="both"/>
        <w:rPr>
          <w:rFonts w:ascii="Garamond" w:hAnsi="Garamond"/>
        </w:rPr>
      </w:pPr>
    </w:p>
    <w:p w14:paraId="7DCB2AD4" w14:textId="77777777" w:rsidR="00335E3E" w:rsidRPr="0000487B" w:rsidRDefault="00335E3E" w:rsidP="00466DBA">
      <w:pPr>
        <w:spacing w:line="360" w:lineRule="auto"/>
        <w:jc w:val="both"/>
        <w:rPr>
          <w:rFonts w:ascii="Garamond" w:hAnsi="Garamond"/>
        </w:rPr>
      </w:pPr>
    </w:p>
    <w:p w14:paraId="3972D1C7" w14:textId="77777777" w:rsidR="00335E3E" w:rsidRPr="0000487B" w:rsidRDefault="00335E3E" w:rsidP="00466DBA">
      <w:pPr>
        <w:spacing w:line="360" w:lineRule="auto"/>
        <w:jc w:val="both"/>
        <w:rPr>
          <w:rFonts w:ascii="Garamond" w:hAnsi="Garamond"/>
        </w:rPr>
      </w:pPr>
    </w:p>
    <w:p w14:paraId="1B151B7A" w14:textId="77777777" w:rsidR="00335E3E" w:rsidRPr="0000487B" w:rsidRDefault="00335E3E" w:rsidP="00466DBA">
      <w:pPr>
        <w:spacing w:line="360" w:lineRule="auto"/>
        <w:jc w:val="both"/>
        <w:rPr>
          <w:rFonts w:ascii="Garamond" w:hAnsi="Garamond"/>
        </w:rPr>
      </w:pPr>
    </w:p>
    <w:p w14:paraId="0FC1DCA9" w14:textId="77777777" w:rsidR="00335E3E" w:rsidRPr="0000487B" w:rsidRDefault="00335E3E" w:rsidP="00466DBA">
      <w:pPr>
        <w:spacing w:line="360" w:lineRule="auto"/>
        <w:jc w:val="both"/>
        <w:rPr>
          <w:rFonts w:ascii="Garamond" w:hAnsi="Garamond"/>
        </w:rPr>
      </w:pPr>
    </w:p>
    <w:p w14:paraId="4843236E" w14:textId="494015B6" w:rsidR="005F3F2F" w:rsidRPr="0000487B" w:rsidRDefault="005F3F2F" w:rsidP="00AA5229">
      <w:pPr>
        <w:rPr>
          <w:rFonts w:ascii="Garamond" w:hAnsi="Garamond"/>
          <w:b/>
          <w:bCs/>
        </w:rPr>
      </w:pPr>
      <w:r w:rsidRPr="0000487B">
        <w:rPr>
          <w:rFonts w:ascii="Garamond" w:hAnsi="Garamond"/>
          <w:b/>
          <w:bCs/>
        </w:rPr>
        <w:t>Table</w:t>
      </w:r>
      <w:r w:rsidR="00335E3E" w:rsidRPr="0000487B">
        <w:rPr>
          <w:rFonts w:ascii="Garamond" w:hAnsi="Garamond"/>
          <w:b/>
          <w:bCs/>
        </w:rPr>
        <w:t xml:space="preserve"> </w:t>
      </w:r>
      <w:r w:rsidR="00C92C37">
        <w:rPr>
          <w:rFonts w:ascii="Garamond" w:hAnsi="Garamond"/>
          <w:b/>
          <w:bCs/>
        </w:rPr>
        <w:t>6</w:t>
      </w:r>
      <w:r w:rsidRPr="0000487B">
        <w:rPr>
          <w:rFonts w:ascii="Garamond" w:hAnsi="Garamond"/>
          <w:b/>
          <w:bCs/>
        </w:rPr>
        <w:t xml:space="preserve"> Policy Recommendations and Climate Adaptation Pathways for Korogocho and Kahawa Soweto</w:t>
      </w:r>
      <w:r w:rsidR="00335E3E" w:rsidRPr="0000487B">
        <w:rPr>
          <w:rFonts w:ascii="Garamond" w:hAnsi="Garamond"/>
          <w:b/>
          <w:bCs/>
        </w:rPr>
        <w:t xml:space="preserve"> Informal settlements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60"/>
        <w:gridCol w:w="1185"/>
        <w:gridCol w:w="2158"/>
        <w:gridCol w:w="2445"/>
        <w:gridCol w:w="1566"/>
        <w:gridCol w:w="1846"/>
      </w:tblGrid>
      <w:tr w:rsidR="0000487B" w:rsidRPr="0000487B" w14:paraId="2E35B4D7" w14:textId="77777777" w:rsidTr="00AA5229">
        <w:trPr>
          <w:tblHeader/>
          <w:tblCellSpacing w:w="15" w:type="dxa"/>
        </w:trPr>
        <w:tc>
          <w:tcPr>
            <w:tcW w:w="0" w:type="auto"/>
            <w:tcBorders>
              <w:top w:val="single" w:sz="4" w:space="0" w:color="auto"/>
              <w:bottom w:val="single" w:sz="4" w:space="0" w:color="auto"/>
            </w:tcBorders>
            <w:vAlign w:val="center"/>
            <w:hideMark/>
          </w:tcPr>
          <w:p w14:paraId="52B31AA9" w14:textId="0E24A600" w:rsidR="005F3F2F" w:rsidRPr="0000487B" w:rsidRDefault="005F3F2F" w:rsidP="005F3F2F">
            <w:pPr>
              <w:rPr>
                <w:rFonts w:ascii="Garamond" w:hAnsi="Garamond"/>
                <w:b/>
                <w:bCs/>
                <w:sz w:val="18"/>
                <w:szCs w:val="18"/>
              </w:rPr>
            </w:pPr>
          </w:p>
        </w:tc>
        <w:tc>
          <w:tcPr>
            <w:tcW w:w="0" w:type="auto"/>
            <w:tcBorders>
              <w:top w:val="single" w:sz="4" w:space="0" w:color="auto"/>
              <w:bottom w:val="single" w:sz="4" w:space="0" w:color="auto"/>
            </w:tcBorders>
            <w:vAlign w:val="center"/>
            <w:hideMark/>
          </w:tcPr>
          <w:p w14:paraId="3C12AE38" w14:textId="3F969025" w:rsidR="005F3F2F" w:rsidRPr="0000487B" w:rsidRDefault="005F3F2F" w:rsidP="005F3F2F">
            <w:pPr>
              <w:rPr>
                <w:rFonts w:ascii="Garamond" w:hAnsi="Garamond"/>
                <w:b/>
                <w:bCs/>
                <w:sz w:val="18"/>
                <w:szCs w:val="18"/>
              </w:rPr>
            </w:pPr>
            <w:r w:rsidRPr="0000487B">
              <w:rPr>
                <w:rFonts w:ascii="Garamond" w:hAnsi="Garamond"/>
                <w:b/>
                <w:bCs/>
                <w:sz w:val="18"/>
                <w:szCs w:val="18"/>
              </w:rPr>
              <w:t>Policy</w:t>
            </w:r>
            <w:r w:rsidR="00AA5229" w:rsidRPr="0000487B">
              <w:rPr>
                <w:rFonts w:ascii="Garamond" w:hAnsi="Garamond"/>
                <w:b/>
                <w:bCs/>
                <w:sz w:val="18"/>
                <w:szCs w:val="18"/>
              </w:rPr>
              <w:t xml:space="preserve"> </w:t>
            </w:r>
            <w:r w:rsidRPr="0000487B">
              <w:rPr>
                <w:rFonts w:ascii="Garamond" w:hAnsi="Garamond"/>
                <w:b/>
                <w:bCs/>
                <w:sz w:val="18"/>
                <w:szCs w:val="18"/>
              </w:rPr>
              <w:t>Adaptation Area</w:t>
            </w:r>
          </w:p>
        </w:tc>
        <w:tc>
          <w:tcPr>
            <w:tcW w:w="0" w:type="auto"/>
            <w:tcBorders>
              <w:top w:val="single" w:sz="4" w:space="0" w:color="auto"/>
              <w:bottom w:val="single" w:sz="4" w:space="0" w:color="auto"/>
            </w:tcBorders>
            <w:vAlign w:val="center"/>
            <w:hideMark/>
          </w:tcPr>
          <w:p w14:paraId="33B2789B" w14:textId="77777777" w:rsidR="005F3F2F" w:rsidRPr="0000487B" w:rsidRDefault="005F3F2F" w:rsidP="00AA5229">
            <w:pPr>
              <w:jc w:val="center"/>
              <w:rPr>
                <w:rFonts w:ascii="Garamond" w:hAnsi="Garamond"/>
                <w:b/>
                <w:bCs/>
                <w:sz w:val="18"/>
                <w:szCs w:val="18"/>
              </w:rPr>
            </w:pPr>
            <w:r w:rsidRPr="0000487B">
              <w:rPr>
                <w:rFonts w:ascii="Garamond" w:hAnsi="Garamond"/>
                <w:b/>
                <w:bCs/>
                <w:sz w:val="18"/>
                <w:szCs w:val="18"/>
              </w:rPr>
              <w:t>Findings Linkage</w:t>
            </w:r>
          </w:p>
        </w:tc>
        <w:tc>
          <w:tcPr>
            <w:tcW w:w="0" w:type="auto"/>
            <w:tcBorders>
              <w:top w:val="single" w:sz="4" w:space="0" w:color="auto"/>
              <w:bottom w:val="single" w:sz="4" w:space="0" w:color="auto"/>
            </w:tcBorders>
            <w:vAlign w:val="center"/>
            <w:hideMark/>
          </w:tcPr>
          <w:p w14:paraId="60C9991D" w14:textId="77777777" w:rsidR="005F3F2F" w:rsidRPr="0000487B" w:rsidRDefault="005F3F2F" w:rsidP="00AA5229">
            <w:pPr>
              <w:jc w:val="center"/>
              <w:rPr>
                <w:rFonts w:ascii="Garamond" w:hAnsi="Garamond"/>
                <w:b/>
                <w:bCs/>
                <w:sz w:val="18"/>
                <w:szCs w:val="18"/>
              </w:rPr>
            </w:pPr>
            <w:r w:rsidRPr="0000487B">
              <w:rPr>
                <w:rFonts w:ascii="Garamond" w:hAnsi="Garamond"/>
                <w:b/>
                <w:bCs/>
                <w:sz w:val="18"/>
                <w:szCs w:val="18"/>
              </w:rPr>
              <w:t>Recommendations</w:t>
            </w:r>
          </w:p>
        </w:tc>
        <w:tc>
          <w:tcPr>
            <w:tcW w:w="0" w:type="auto"/>
            <w:tcBorders>
              <w:top w:val="single" w:sz="4" w:space="0" w:color="auto"/>
              <w:bottom w:val="single" w:sz="4" w:space="0" w:color="auto"/>
            </w:tcBorders>
            <w:vAlign w:val="center"/>
            <w:hideMark/>
          </w:tcPr>
          <w:p w14:paraId="3103E054" w14:textId="77777777" w:rsidR="005F3F2F" w:rsidRPr="0000487B" w:rsidRDefault="005F3F2F" w:rsidP="00AA5229">
            <w:pPr>
              <w:jc w:val="center"/>
              <w:rPr>
                <w:rFonts w:ascii="Garamond" w:hAnsi="Garamond"/>
                <w:b/>
                <w:bCs/>
                <w:sz w:val="18"/>
                <w:szCs w:val="18"/>
              </w:rPr>
            </w:pPr>
            <w:r w:rsidRPr="0000487B">
              <w:rPr>
                <w:rFonts w:ascii="Garamond" w:hAnsi="Garamond"/>
                <w:b/>
                <w:bCs/>
                <w:sz w:val="18"/>
                <w:szCs w:val="18"/>
              </w:rPr>
              <w:t>Responsible Authorities</w:t>
            </w:r>
          </w:p>
        </w:tc>
        <w:tc>
          <w:tcPr>
            <w:tcW w:w="0" w:type="auto"/>
            <w:tcBorders>
              <w:top w:val="single" w:sz="4" w:space="0" w:color="auto"/>
              <w:bottom w:val="single" w:sz="4" w:space="0" w:color="auto"/>
            </w:tcBorders>
            <w:vAlign w:val="center"/>
            <w:hideMark/>
          </w:tcPr>
          <w:p w14:paraId="7CC1B47A" w14:textId="77777777" w:rsidR="005F3F2F" w:rsidRPr="0000487B" w:rsidRDefault="005F3F2F" w:rsidP="00AA5229">
            <w:pPr>
              <w:jc w:val="center"/>
              <w:rPr>
                <w:rFonts w:ascii="Garamond" w:hAnsi="Garamond"/>
                <w:b/>
                <w:bCs/>
                <w:sz w:val="18"/>
                <w:szCs w:val="18"/>
              </w:rPr>
            </w:pPr>
            <w:r w:rsidRPr="0000487B">
              <w:rPr>
                <w:rFonts w:ascii="Garamond" w:hAnsi="Garamond"/>
                <w:b/>
                <w:bCs/>
                <w:sz w:val="18"/>
                <w:szCs w:val="18"/>
              </w:rPr>
              <w:t>Implementation Notes</w:t>
            </w:r>
          </w:p>
        </w:tc>
      </w:tr>
      <w:tr w:rsidR="0000487B" w:rsidRPr="0000487B" w14:paraId="6F8A292B" w14:textId="77777777" w:rsidTr="005F3F2F">
        <w:trPr>
          <w:tblCellSpacing w:w="15" w:type="dxa"/>
        </w:trPr>
        <w:tc>
          <w:tcPr>
            <w:tcW w:w="0" w:type="auto"/>
            <w:vAlign w:val="center"/>
            <w:hideMark/>
          </w:tcPr>
          <w:p w14:paraId="5D677425" w14:textId="77777777" w:rsidR="005F3F2F" w:rsidRPr="0000487B" w:rsidRDefault="005F3F2F" w:rsidP="005F3F2F">
            <w:pPr>
              <w:rPr>
                <w:rFonts w:ascii="Garamond" w:hAnsi="Garamond"/>
                <w:sz w:val="18"/>
                <w:szCs w:val="18"/>
              </w:rPr>
            </w:pPr>
            <w:r w:rsidRPr="0000487B">
              <w:rPr>
                <w:rFonts w:ascii="Garamond" w:hAnsi="Garamond"/>
                <w:sz w:val="18"/>
                <w:szCs w:val="18"/>
              </w:rPr>
              <w:t>1</w:t>
            </w:r>
          </w:p>
        </w:tc>
        <w:tc>
          <w:tcPr>
            <w:tcW w:w="0" w:type="auto"/>
            <w:vAlign w:val="center"/>
            <w:hideMark/>
          </w:tcPr>
          <w:p w14:paraId="64DF99B0" w14:textId="77777777" w:rsidR="005F3F2F" w:rsidRPr="0000487B" w:rsidRDefault="005F3F2F" w:rsidP="005F3F2F">
            <w:pPr>
              <w:rPr>
                <w:rFonts w:ascii="Garamond" w:hAnsi="Garamond"/>
                <w:sz w:val="18"/>
                <w:szCs w:val="18"/>
              </w:rPr>
            </w:pPr>
            <w:r w:rsidRPr="0000487B">
              <w:rPr>
                <w:rFonts w:ascii="Garamond" w:hAnsi="Garamond"/>
                <w:sz w:val="18"/>
                <w:szCs w:val="18"/>
              </w:rPr>
              <w:t>Urban Drainage &amp; Flood Management</w:t>
            </w:r>
          </w:p>
        </w:tc>
        <w:tc>
          <w:tcPr>
            <w:tcW w:w="0" w:type="auto"/>
            <w:vAlign w:val="center"/>
            <w:hideMark/>
          </w:tcPr>
          <w:p w14:paraId="7117E481" w14:textId="77777777" w:rsidR="005F3F2F" w:rsidRPr="0000487B" w:rsidRDefault="005F3F2F" w:rsidP="00AA5229">
            <w:pPr>
              <w:jc w:val="center"/>
              <w:rPr>
                <w:rFonts w:ascii="Garamond" w:hAnsi="Garamond"/>
                <w:sz w:val="18"/>
                <w:szCs w:val="18"/>
              </w:rPr>
            </w:pPr>
            <w:r w:rsidRPr="0000487B">
              <w:rPr>
                <w:rFonts w:ascii="Garamond" w:hAnsi="Garamond"/>
                <w:sz w:val="18"/>
                <w:szCs w:val="18"/>
              </w:rPr>
              <w:t>Korogocho: high-intensity, frequent rainfall → flash flooding. Kahawa Soweto: moderate rainfall → chronic drainage stress. Incremental annual increases (~2.5–3.2</w:t>
            </w:r>
            <w:r w:rsidRPr="0000487B">
              <w:rPr>
                <w:rFonts w:ascii="Times New Roman" w:hAnsi="Times New Roman" w:cs="Times New Roman"/>
                <w:sz w:val="18"/>
                <w:szCs w:val="18"/>
              </w:rPr>
              <w:t> </w:t>
            </w:r>
            <w:r w:rsidRPr="0000487B">
              <w:rPr>
                <w:rFonts w:ascii="Garamond" w:hAnsi="Garamond"/>
                <w:sz w:val="18"/>
                <w:szCs w:val="18"/>
              </w:rPr>
              <w:t>mm/year) and reduced dry-season recovery amplify flood hazards.</w:t>
            </w:r>
          </w:p>
        </w:tc>
        <w:tc>
          <w:tcPr>
            <w:tcW w:w="0" w:type="auto"/>
            <w:vAlign w:val="center"/>
            <w:hideMark/>
          </w:tcPr>
          <w:p w14:paraId="3CA61476" w14:textId="77777777" w:rsidR="005F3F2F" w:rsidRPr="0000487B" w:rsidRDefault="005F3F2F" w:rsidP="00AA5229">
            <w:pPr>
              <w:jc w:val="center"/>
              <w:rPr>
                <w:rFonts w:ascii="Garamond" w:hAnsi="Garamond"/>
                <w:sz w:val="18"/>
                <w:szCs w:val="18"/>
              </w:rPr>
            </w:pPr>
            <w:r w:rsidRPr="0000487B">
              <w:rPr>
                <w:rFonts w:ascii="Garamond" w:hAnsi="Garamond"/>
                <w:sz w:val="18"/>
                <w:szCs w:val="18"/>
              </w:rPr>
              <w:t>1. Upgrade drainage infrastructure (≥6</w:t>
            </w:r>
            <w:r w:rsidRPr="0000487B">
              <w:rPr>
                <w:rFonts w:ascii="Times New Roman" w:hAnsi="Times New Roman" w:cs="Times New Roman"/>
                <w:sz w:val="18"/>
                <w:szCs w:val="18"/>
              </w:rPr>
              <w:t> </w:t>
            </w:r>
            <w:r w:rsidRPr="0000487B">
              <w:rPr>
                <w:rFonts w:ascii="Garamond" w:hAnsi="Garamond"/>
                <w:sz w:val="18"/>
                <w:szCs w:val="18"/>
              </w:rPr>
              <w:t xml:space="preserve">mm/day; </w:t>
            </w:r>
            <w:r w:rsidRPr="0000487B">
              <w:rPr>
                <w:rFonts w:ascii="Garamond" w:hAnsi="Garamond" w:cs="Garamond"/>
                <w:sz w:val="18"/>
                <w:szCs w:val="18"/>
              </w:rPr>
              <w:t>≥</w:t>
            </w:r>
            <w:r w:rsidRPr="0000487B">
              <w:rPr>
                <w:rFonts w:ascii="Garamond" w:hAnsi="Garamond"/>
                <w:sz w:val="18"/>
                <w:szCs w:val="18"/>
              </w:rPr>
              <w:t>13 events/month).2. Adopt decentralized stormwater management (retention ponds, infiltration trenches, rain gardens).3. Integrate flood early-warning systems (real-time monitoring, SMS alerts).</w:t>
            </w:r>
          </w:p>
        </w:tc>
        <w:tc>
          <w:tcPr>
            <w:tcW w:w="0" w:type="auto"/>
            <w:vAlign w:val="center"/>
            <w:hideMark/>
          </w:tcPr>
          <w:p w14:paraId="4A6BC669" w14:textId="77777777" w:rsidR="005F3F2F" w:rsidRPr="0000487B" w:rsidRDefault="005F3F2F" w:rsidP="00AA5229">
            <w:pPr>
              <w:jc w:val="center"/>
              <w:rPr>
                <w:rFonts w:ascii="Garamond" w:hAnsi="Garamond"/>
                <w:sz w:val="18"/>
                <w:szCs w:val="18"/>
              </w:rPr>
            </w:pPr>
            <w:r w:rsidRPr="0000487B">
              <w:rPr>
                <w:rFonts w:ascii="Garamond" w:hAnsi="Garamond"/>
                <w:sz w:val="18"/>
                <w:szCs w:val="18"/>
              </w:rPr>
              <w:t>Nairobi City County Government (Urban Planning &amp; Public Works), KMD, County Disaster Units, NGOs/CBOs</w:t>
            </w:r>
          </w:p>
        </w:tc>
        <w:tc>
          <w:tcPr>
            <w:tcW w:w="0" w:type="auto"/>
            <w:vAlign w:val="center"/>
            <w:hideMark/>
          </w:tcPr>
          <w:p w14:paraId="23A7984B" w14:textId="77777777" w:rsidR="005F3F2F" w:rsidRPr="0000487B" w:rsidRDefault="005F3F2F" w:rsidP="00AA5229">
            <w:pPr>
              <w:jc w:val="center"/>
              <w:rPr>
                <w:rFonts w:ascii="Garamond" w:hAnsi="Garamond"/>
                <w:sz w:val="18"/>
                <w:szCs w:val="18"/>
              </w:rPr>
            </w:pPr>
            <w:r w:rsidRPr="0000487B">
              <w:rPr>
                <w:rFonts w:ascii="Garamond" w:hAnsi="Garamond"/>
                <w:sz w:val="18"/>
                <w:szCs w:val="18"/>
              </w:rPr>
              <w:t>Conduct hydraulic modeling; prioritize hotspots; pilot retention systems; deploy low-cost rain gauges; establish community flood risk committees.</w:t>
            </w:r>
          </w:p>
        </w:tc>
      </w:tr>
      <w:tr w:rsidR="0000487B" w:rsidRPr="0000487B" w14:paraId="694D4999" w14:textId="77777777" w:rsidTr="005F3F2F">
        <w:trPr>
          <w:tblCellSpacing w:w="15" w:type="dxa"/>
        </w:trPr>
        <w:tc>
          <w:tcPr>
            <w:tcW w:w="0" w:type="auto"/>
            <w:vAlign w:val="center"/>
            <w:hideMark/>
          </w:tcPr>
          <w:p w14:paraId="225A521B" w14:textId="77777777" w:rsidR="005F3F2F" w:rsidRPr="0000487B" w:rsidRDefault="005F3F2F" w:rsidP="005F3F2F">
            <w:pPr>
              <w:rPr>
                <w:rFonts w:ascii="Garamond" w:hAnsi="Garamond"/>
                <w:sz w:val="18"/>
                <w:szCs w:val="18"/>
              </w:rPr>
            </w:pPr>
            <w:r w:rsidRPr="0000487B">
              <w:rPr>
                <w:rFonts w:ascii="Garamond" w:hAnsi="Garamond"/>
                <w:sz w:val="18"/>
                <w:szCs w:val="18"/>
              </w:rPr>
              <w:t>2</w:t>
            </w:r>
          </w:p>
        </w:tc>
        <w:tc>
          <w:tcPr>
            <w:tcW w:w="0" w:type="auto"/>
            <w:vAlign w:val="center"/>
            <w:hideMark/>
          </w:tcPr>
          <w:p w14:paraId="7E0C9678" w14:textId="77777777" w:rsidR="005F3F2F" w:rsidRPr="0000487B" w:rsidRDefault="005F3F2F" w:rsidP="005F3F2F">
            <w:pPr>
              <w:rPr>
                <w:rFonts w:ascii="Garamond" w:hAnsi="Garamond"/>
                <w:sz w:val="18"/>
                <w:szCs w:val="18"/>
              </w:rPr>
            </w:pPr>
            <w:r w:rsidRPr="0000487B">
              <w:rPr>
                <w:rFonts w:ascii="Garamond" w:hAnsi="Garamond"/>
                <w:sz w:val="18"/>
                <w:szCs w:val="18"/>
              </w:rPr>
              <w:t>Heat Mitigation &amp; Temperature Adaptation</w:t>
            </w:r>
          </w:p>
        </w:tc>
        <w:tc>
          <w:tcPr>
            <w:tcW w:w="0" w:type="auto"/>
            <w:vAlign w:val="center"/>
            <w:hideMark/>
          </w:tcPr>
          <w:p w14:paraId="43F5706E" w14:textId="77777777" w:rsidR="005F3F2F" w:rsidRPr="0000487B" w:rsidRDefault="005F3F2F" w:rsidP="00AA5229">
            <w:pPr>
              <w:jc w:val="center"/>
              <w:rPr>
                <w:rFonts w:ascii="Garamond" w:hAnsi="Garamond"/>
                <w:sz w:val="18"/>
                <w:szCs w:val="18"/>
              </w:rPr>
            </w:pPr>
            <w:r w:rsidRPr="0000487B">
              <w:rPr>
                <w:rFonts w:ascii="Garamond" w:hAnsi="Garamond"/>
                <w:sz w:val="18"/>
                <w:szCs w:val="18"/>
              </w:rPr>
              <w:t>Statistically significant warming (+0.023</w:t>
            </w:r>
            <w:r w:rsidRPr="0000487B">
              <w:rPr>
                <w:rFonts w:ascii="Times New Roman" w:hAnsi="Times New Roman" w:cs="Times New Roman"/>
                <w:sz w:val="18"/>
                <w:szCs w:val="18"/>
              </w:rPr>
              <w:t> </w:t>
            </w:r>
            <w:r w:rsidRPr="0000487B">
              <w:rPr>
                <w:rFonts w:ascii="Garamond" w:hAnsi="Garamond" w:cs="Garamond"/>
                <w:sz w:val="18"/>
                <w:szCs w:val="18"/>
              </w:rPr>
              <w:t>°</w:t>
            </w:r>
            <w:r w:rsidRPr="0000487B">
              <w:rPr>
                <w:rFonts w:ascii="Garamond" w:hAnsi="Garamond"/>
                <w:sz w:val="18"/>
                <w:szCs w:val="18"/>
              </w:rPr>
              <w:t xml:space="preserve">C/year) </w:t>
            </w:r>
            <w:r w:rsidRPr="0000487B">
              <w:rPr>
                <w:rFonts w:ascii="Garamond" w:hAnsi="Garamond" w:cs="Garamond"/>
                <w:sz w:val="18"/>
                <w:szCs w:val="18"/>
              </w:rPr>
              <w:t>→</w:t>
            </w:r>
            <w:r w:rsidRPr="0000487B">
              <w:rPr>
                <w:rFonts w:ascii="Garamond" w:hAnsi="Garamond"/>
                <w:sz w:val="18"/>
                <w:szCs w:val="18"/>
              </w:rPr>
              <w:t xml:space="preserve"> increased heat stress, water demand, urban livability challenges.</w:t>
            </w:r>
          </w:p>
        </w:tc>
        <w:tc>
          <w:tcPr>
            <w:tcW w:w="0" w:type="auto"/>
            <w:vAlign w:val="center"/>
            <w:hideMark/>
          </w:tcPr>
          <w:p w14:paraId="39E70919" w14:textId="77777777" w:rsidR="005F3F2F" w:rsidRPr="0000487B" w:rsidRDefault="005F3F2F" w:rsidP="00AA5229">
            <w:pPr>
              <w:jc w:val="center"/>
              <w:rPr>
                <w:rFonts w:ascii="Garamond" w:hAnsi="Garamond"/>
                <w:sz w:val="18"/>
                <w:szCs w:val="18"/>
              </w:rPr>
            </w:pPr>
            <w:r w:rsidRPr="0000487B">
              <w:rPr>
                <w:rFonts w:ascii="Garamond" w:hAnsi="Garamond"/>
                <w:sz w:val="18"/>
                <w:szCs w:val="18"/>
              </w:rPr>
              <w:t>1. Plant shade trees along streets and open spaces.2. Introduce reflective or green roofs in high-density settlements.</w:t>
            </w:r>
          </w:p>
        </w:tc>
        <w:tc>
          <w:tcPr>
            <w:tcW w:w="0" w:type="auto"/>
            <w:vAlign w:val="center"/>
            <w:hideMark/>
          </w:tcPr>
          <w:p w14:paraId="6F54D574" w14:textId="77777777" w:rsidR="005F3F2F" w:rsidRPr="0000487B" w:rsidRDefault="005F3F2F" w:rsidP="00AA5229">
            <w:pPr>
              <w:jc w:val="center"/>
              <w:rPr>
                <w:rFonts w:ascii="Garamond" w:hAnsi="Garamond"/>
                <w:sz w:val="18"/>
                <w:szCs w:val="18"/>
              </w:rPr>
            </w:pPr>
            <w:r w:rsidRPr="0000487B">
              <w:rPr>
                <w:rFonts w:ascii="Garamond" w:hAnsi="Garamond"/>
                <w:sz w:val="18"/>
                <w:szCs w:val="18"/>
              </w:rPr>
              <w:t>County Environment &amp; Public Health Departments</w:t>
            </w:r>
          </w:p>
        </w:tc>
        <w:tc>
          <w:tcPr>
            <w:tcW w:w="0" w:type="auto"/>
            <w:vAlign w:val="center"/>
            <w:hideMark/>
          </w:tcPr>
          <w:p w14:paraId="248DA706" w14:textId="77777777" w:rsidR="005F3F2F" w:rsidRPr="0000487B" w:rsidRDefault="005F3F2F" w:rsidP="00AA5229">
            <w:pPr>
              <w:jc w:val="center"/>
              <w:rPr>
                <w:rFonts w:ascii="Garamond" w:hAnsi="Garamond"/>
                <w:sz w:val="18"/>
                <w:szCs w:val="18"/>
              </w:rPr>
            </w:pPr>
            <w:r w:rsidRPr="0000487B">
              <w:rPr>
                <w:rFonts w:ascii="Garamond" w:hAnsi="Garamond"/>
                <w:sz w:val="18"/>
                <w:szCs w:val="18"/>
              </w:rPr>
              <w:t>Integrate into ongoing settlement upgrading programs; incentivize rooftop greening via micro-grants.</w:t>
            </w:r>
          </w:p>
        </w:tc>
      </w:tr>
      <w:tr w:rsidR="0000487B" w:rsidRPr="0000487B" w14:paraId="7219DC84" w14:textId="77777777" w:rsidTr="005F3F2F">
        <w:trPr>
          <w:tblCellSpacing w:w="15" w:type="dxa"/>
        </w:trPr>
        <w:tc>
          <w:tcPr>
            <w:tcW w:w="0" w:type="auto"/>
            <w:vAlign w:val="center"/>
            <w:hideMark/>
          </w:tcPr>
          <w:p w14:paraId="550D6A2B" w14:textId="77777777" w:rsidR="005F3F2F" w:rsidRPr="0000487B" w:rsidRDefault="005F3F2F" w:rsidP="005F3F2F">
            <w:pPr>
              <w:rPr>
                <w:rFonts w:ascii="Garamond" w:hAnsi="Garamond"/>
                <w:sz w:val="18"/>
                <w:szCs w:val="18"/>
              </w:rPr>
            </w:pPr>
            <w:r w:rsidRPr="0000487B">
              <w:rPr>
                <w:rFonts w:ascii="Garamond" w:hAnsi="Garamond"/>
                <w:sz w:val="18"/>
                <w:szCs w:val="18"/>
              </w:rPr>
              <w:t>3</w:t>
            </w:r>
          </w:p>
        </w:tc>
        <w:tc>
          <w:tcPr>
            <w:tcW w:w="0" w:type="auto"/>
            <w:vAlign w:val="center"/>
            <w:hideMark/>
          </w:tcPr>
          <w:p w14:paraId="7EAEC98F" w14:textId="77777777" w:rsidR="005F3F2F" w:rsidRPr="0000487B" w:rsidRDefault="005F3F2F" w:rsidP="005F3F2F">
            <w:pPr>
              <w:rPr>
                <w:rFonts w:ascii="Garamond" w:hAnsi="Garamond"/>
                <w:sz w:val="18"/>
                <w:szCs w:val="18"/>
              </w:rPr>
            </w:pPr>
            <w:r w:rsidRPr="0000487B">
              <w:rPr>
                <w:rFonts w:ascii="Garamond" w:hAnsi="Garamond"/>
                <w:sz w:val="18"/>
                <w:szCs w:val="18"/>
              </w:rPr>
              <w:t>Community Heat Awareness Campaigns</w:t>
            </w:r>
          </w:p>
        </w:tc>
        <w:tc>
          <w:tcPr>
            <w:tcW w:w="0" w:type="auto"/>
            <w:vAlign w:val="center"/>
            <w:hideMark/>
          </w:tcPr>
          <w:p w14:paraId="12778044" w14:textId="77777777" w:rsidR="005F3F2F" w:rsidRPr="0000487B" w:rsidRDefault="005F3F2F" w:rsidP="00AA5229">
            <w:pPr>
              <w:jc w:val="center"/>
              <w:rPr>
                <w:rFonts w:ascii="Garamond" w:hAnsi="Garamond"/>
                <w:sz w:val="18"/>
                <w:szCs w:val="18"/>
              </w:rPr>
            </w:pPr>
            <w:r w:rsidRPr="0000487B">
              <w:rPr>
                <w:rFonts w:ascii="Garamond" w:hAnsi="Garamond"/>
                <w:sz w:val="18"/>
                <w:szCs w:val="18"/>
              </w:rPr>
              <w:t>Increased temperature stress and behavioral risks for residents.</w:t>
            </w:r>
          </w:p>
        </w:tc>
        <w:tc>
          <w:tcPr>
            <w:tcW w:w="0" w:type="auto"/>
            <w:vAlign w:val="center"/>
            <w:hideMark/>
          </w:tcPr>
          <w:p w14:paraId="0D807A5C" w14:textId="77777777" w:rsidR="005F3F2F" w:rsidRPr="0000487B" w:rsidRDefault="005F3F2F" w:rsidP="00AA5229">
            <w:pPr>
              <w:jc w:val="center"/>
              <w:rPr>
                <w:rFonts w:ascii="Garamond" w:hAnsi="Garamond"/>
                <w:sz w:val="18"/>
                <w:szCs w:val="18"/>
              </w:rPr>
            </w:pPr>
            <w:r w:rsidRPr="0000487B">
              <w:rPr>
                <w:rFonts w:ascii="Garamond" w:hAnsi="Garamond"/>
                <w:sz w:val="18"/>
                <w:szCs w:val="18"/>
              </w:rPr>
              <w:t>Promote hydration, reduced exposure, and night-time activities.</w:t>
            </w:r>
          </w:p>
        </w:tc>
        <w:tc>
          <w:tcPr>
            <w:tcW w:w="0" w:type="auto"/>
            <w:vAlign w:val="center"/>
            <w:hideMark/>
          </w:tcPr>
          <w:p w14:paraId="14E2E41B" w14:textId="77777777" w:rsidR="005F3F2F" w:rsidRPr="0000487B" w:rsidRDefault="005F3F2F" w:rsidP="00AA5229">
            <w:pPr>
              <w:jc w:val="center"/>
              <w:rPr>
                <w:rFonts w:ascii="Garamond" w:hAnsi="Garamond"/>
                <w:sz w:val="18"/>
                <w:szCs w:val="18"/>
              </w:rPr>
            </w:pPr>
            <w:r w:rsidRPr="0000487B">
              <w:rPr>
                <w:rFonts w:ascii="Garamond" w:hAnsi="Garamond"/>
                <w:sz w:val="18"/>
                <w:szCs w:val="18"/>
              </w:rPr>
              <w:t>County Health Offices, Local NGOs</w:t>
            </w:r>
          </w:p>
        </w:tc>
        <w:tc>
          <w:tcPr>
            <w:tcW w:w="0" w:type="auto"/>
            <w:vAlign w:val="center"/>
            <w:hideMark/>
          </w:tcPr>
          <w:p w14:paraId="5F559AA0" w14:textId="77777777" w:rsidR="005F3F2F" w:rsidRPr="0000487B" w:rsidRDefault="005F3F2F" w:rsidP="00AA5229">
            <w:pPr>
              <w:jc w:val="center"/>
              <w:rPr>
                <w:rFonts w:ascii="Garamond" w:hAnsi="Garamond"/>
                <w:sz w:val="18"/>
                <w:szCs w:val="18"/>
              </w:rPr>
            </w:pPr>
            <w:r w:rsidRPr="0000487B">
              <w:rPr>
                <w:rFonts w:ascii="Garamond" w:hAnsi="Garamond"/>
                <w:sz w:val="18"/>
                <w:szCs w:val="18"/>
              </w:rPr>
              <w:t>Link campaigns to schools, health clinics, and local CBOs.</w:t>
            </w:r>
          </w:p>
        </w:tc>
      </w:tr>
      <w:tr w:rsidR="0000487B" w:rsidRPr="0000487B" w14:paraId="3E79386E" w14:textId="77777777" w:rsidTr="005F3F2F">
        <w:trPr>
          <w:tblCellSpacing w:w="15" w:type="dxa"/>
        </w:trPr>
        <w:tc>
          <w:tcPr>
            <w:tcW w:w="0" w:type="auto"/>
            <w:vAlign w:val="center"/>
            <w:hideMark/>
          </w:tcPr>
          <w:p w14:paraId="652D9F79" w14:textId="77777777" w:rsidR="005F3F2F" w:rsidRPr="0000487B" w:rsidRDefault="005F3F2F" w:rsidP="005F3F2F">
            <w:pPr>
              <w:rPr>
                <w:rFonts w:ascii="Garamond" w:hAnsi="Garamond"/>
                <w:sz w:val="18"/>
                <w:szCs w:val="18"/>
              </w:rPr>
            </w:pPr>
            <w:r w:rsidRPr="0000487B">
              <w:rPr>
                <w:rFonts w:ascii="Garamond" w:hAnsi="Garamond"/>
                <w:sz w:val="18"/>
                <w:szCs w:val="18"/>
              </w:rPr>
              <w:t>4</w:t>
            </w:r>
          </w:p>
        </w:tc>
        <w:tc>
          <w:tcPr>
            <w:tcW w:w="0" w:type="auto"/>
            <w:vAlign w:val="center"/>
            <w:hideMark/>
          </w:tcPr>
          <w:p w14:paraId="224BD7F9" w14:textId="77777777" w:rsidR="005F3F2F" w:rsidRPr="0000487B" w:rsidRDefault="005F3F2F" w:rsidP="005F3F2F">
            <w:pPr>
              <w:rPr>
                <w:rFonts w:ascii="Garamond" w:hAnsi="Garamond"/>
                <w:sz w:val="18"/>
                <w:szCs w:val="18"/>
              </w:rPr>
            </w:pPr>
            <w:r w:rsidRPr="0000487B">
              <w:rPr>
                <w:rFonts w:ascii="Garamond" w:hAnsi="Garamond"/>
                <w:sz w:val="18"/>
                <w:szCs w:val="18"/>
              </w:rPr>
              <w:t>Settlement Upgrading &amp; Climate-Resilient Planning</w:t>
            </w:r>
          </w:p>
        </w:tc>
        <w:tc>
          <w:tcPr>
            <w:tcW w:w="0" w:type="auto"/>
            <w:vAlign w:val="center"/>
            <w:hideMark/>
          </w:tcPr>
          <w:p w14:paraId="52A93E54" w14:textId="77777777" w:rsidR="005F3F2F" w:rsidRPr="0000487B" w:rsidRDefault="005F3F2F" w:rsidP="00AA5229">
            <w:pPr>
              <w:jc w:val="center"/>
              <w:rPr>
                <w:rFonts w:ascii="Garamond" w:hAnsi="Garamond"/>
                <w:sz w:val="18"/>
                <w:szCs w:val="18"/>
              </w:rPr>
            </w:pPr>
            <w:r w:rsidRPr="0000487B">
              <w:rPr>
                <w:rFonts w:ascii="Garamond" w:hAnsi="Garamond"/>
                <w:sz w:val="18"/>
                <w:szCs w:val="18"/>
              </w:rPr>
              <w:t>Accumulated rainfall and persistent flooding affect household infrastructure, sanitation, livelihoods; site-specific interventions required.</w:t>
            </w:r>
          </w:p>
        </w:tc>
        <w:tc>
          <w:tcPr>
            <w:tcW w:w="0" w:type="auto"/>
            <w:vAlign w:val="center"/>
            <w:hideMark/>
          </w:tcPr>
          <w:p w14:paraId="41C8F24F" w14:textId="77777777" w:rsidR="005F3F2F" w:rsidRPr="0000487B" w:rsidRDefault="005F3F2F" w:rsidP="00AA5229">
            <w:pPr>
              <w:jc w:val="center"/>
              <w:rPr>
                <w:rFonts w:ascii="Garamond" w:hAnsi="Garamond"/>
                <w:sz w:val="18"/>
                <w:szCs w:val="18"/>
              </w:rPr>
            </w:pPr>
            <w:r w:rsidRPr="0000487B">
              <w:rPr>
                <w:rFonts w:ascii="Garamond" w:hAnsi="Garamond"/>
                <w:sz w:val="18"/>
                <w:szCs w:val="18"/>
              </w:rPr>
              <w:t>1. Integrate climate data into upgrading plans.2. Prioritize relocation or flood-proofing of vulnerable units.3. Adopt raised platforms or flood-resistant housing materials.</w:t>
            </w:r>
          </w:p>
        </w:tc>
        <w:tc>
          <w:tcPr>
            <w:tcW w:w="0" w:type="auto"/>
            <w:vAlign w:val="center"/>
            <w:hideMark/>
          </w:tcPr>
          <w:p w14:paraId="550499B7" w14:textId="77777777" w:rsidR="005F3F2F" w:rsidRPr="0000487B" w:rsidRDefault="005F3F2F" w:rsidP="00AA5229">
            <w:pPr>
              <w:jc w:val="center"/>
              <w:rPr>
                <w:rFonts w:ascii="Garamond" w:hAnsi="Garamond"/>
                <w:sz w:val="18"/>
                <w:szCs w:val="18"/>
              </w:rPr>
            </w:pPr>
            <w:r w:rsidRPr="0000487B">
              <w:rPr>
                <w:rFonts w:ascii="Garamond" w:hAnsi="Garamond"/>
                <w:sz w:val="18"/>
                <w:szCs w:val="18"/>
              </w:rPr>
              <w:t>Nairobi City County Planning Department, Ministry of Lands, Housing &amp; Urban Development</w:t>
            </w:r>
          </w:p>
        </w:tc>
        <w:tc>
          <w:tcPr>
            <w:tcW w:w="0" w:type="auto"/>
            <w:vAlign w:val="center"/>
            <w:hideMark/>
          </w:tcPr>
          <w:p w14:paraId="2C89D33B" w14:textId="77777777" w:rsidR="005F3F2F" w:rsidRPr="0000487B" w:rsidRDefault="005F3F2F" w:rsidP="00AA5229">
            <w:pPr>
              <w:jc w:val="center"/>
              <w:rPr>
                <w:rFonts w:ascii="Garamond" w:hAnsi="Garamond"/>
                <w:sz w:val="18"/>
                <w:szCs w:val="18"/>
              </w:rPr>
            </w:pPr>
            <w:r w:rsidRPr="0000487B">
              <w:rPr>
                <w:rFonts w:ascii="Garamond" w:hAnsi="Garamond"/>
                <w:sz w:val="18"/>
                <w:szCs w:val="18"/>
              </w:rPr>
              <w:t>Map vulnerability zones using rainfall intensity-frequency analysis; incorporate into urban development plans.</w:t>
            </w:r>
          </w:p>
        </w:tc>
      </w:tr>
      <w:tr w:rsidR="0000487B" w:rsidRPr="0000487B" w14:paraId="04A8C49D" w14:textId="77777777" w:rsidTr="005F3F2F">
        <w:trPr>
          <w:tblCellSpacing w:w="15" w:type="dxa"/>
        </w:trPr>
        <w:tc>
          <w:tcPr>
            <w:tcW w:w="0" w:type="auto"/>
            <w:vAlign w:val="center"/>
            <w:hideMark/>
          </w:tcPr>
          <w:p w14:paraId="4B769E11" w14:textId="77777777" w:rsidR="005F3F2F" w:rsidRPr="0000487B" w:rsidRDefault="005F3F2F" w:rsidP="005F3F2F">
            <w:pPr>
              <w:rPr>
                <w:rFonts w:ascii="Garamond" w:hAnsi="Garamond"/>
                <w:sz w:val="18"/>
                <w:szCs w:val="18"/>
              </w:rPr>
            </w:pPr>
            <w:r w:rsidRPr="0000487B">
              <w:rPr>
                <w:rFonts w:ascii="Garamond" w:hAnsi="Garamond"/>
                <w:sz w:val="18"/>
                <w:szCs w:val="18"/>
              </w:rPr>
              <w:t>5</w:t>
            </w:r>
          </w:p>
        </w:tc>
        <w:tc>
          <w:tcPr>
            <w:tcW w:w="0" w:type="auto"/>
            <w:vAlign w:val="center"/>
            <w:hideMark/>
          </w:tcPr>
          <w:p w14:paraId="209ABE4E" w14:textId="77777777" w:rsidR="005F3F2F" w:rsidRPr="0000487B" w:rsidRDefault="005F3F2F" w:rsidP="005F3F2F">
            <w:pPr>
              <w:rPr>
                <w:rFonts w:ascii="Garamond" w:hAnsi="Garamond"/>
                <w:sz w:val="18"/>
                <w:szCs w:val="18"/>
              </w:rPr>
            </w:pPr>
            <w:r w:rsidRPr="0000487B">
              <w:rPr>
                <w:rFonts w:ascii="Garamond" w:hAnsi="Garamond"/>
                <w:sz w:val="18"/>
                <w:szCs w:val="18"/>
              </w:rPr>
              <w:t>Community-Level Drainage Governance</w:t>
            </w:r>
          </w:p>
        </w:tc>
        <w:tc>
          <w:tcPr>
            <w:tcW w:w="0" w:type="auto"/>
            <w:vAlign w:val="center"/>
            <w:hideMark/>
          </w:tcPr>
          <w:p w14:paraId="6B837ECA" w14:textId="77777777" w:rsidR="005F3F2F" w:rsidRPr="0000487B" w:rsidRDefault="005F3F2F" w:rsidP="00AA5229">
            <w:pPr>
              <w:jc w:val="center"/>
              <w:rPr>
                <w:rFonts w:ascii="Garamond" w:hAnsi="Garamond"/>
                <w:sz w:val="18"/>
                <w:szCs w:val="18"/>
              </w:rPr>
            </w:pPr>
            <w:r w:rsidRPr="0000487B">
              <w:rPr>
                <w:rFonts w:ascii="Garamond" w:hAnsi="Garamond"/>
                <w:sz w:val="18"/>
                <w:szCs w:val="18"/>
              </w:rPr>
              <w:t>Local drainage maintenance and flood response capacity is limited.</w:t>
            </w:r>
          </w:p>
        </w:tc>
        <w:tc>
          <w:tcPr>
            <w:tcW w:w="0" w:type="auto"/>
            <w:vAlign w:val="center"/>
            <w:hideMark/>
          </w:tcPr>
          <w:p w14:paraId="2EA3FE06" w14:textId="77777777" w:rsidR="005F3F2F" w:rsidRPr="0000487B" w:rsidRDefault="005F3F2F" w:rsidP="00AA5229">
            <w:pPr>
              <w:jc w:val="center"/>
              <w:rPr>
                <w:rFonts w:ascii="Garamond" w:hAnsi="Garamond"/>
                <w:sz w:val="18"/>
                <w:szCs w:val="18"/>
              </w:rPr>
            </w:pPr>
            <w:r w:rsidRPr="0000487B">
              <w:rPr>
                <w:rFonts w:ascii="Garamond" w:hAnsi="Garamond"/>
                <w:sz w:val="18"/>
                <w:szCs w:val="18"/>
              </w:rPr>
              <w:t>1. Establish local committees for drainage maintenance and flood response.2. Train residents in waste management to reduce blocked drains.</w:t>
            </w:r>
          </w:p>
        </w:tc>
        <w:tc>
          <w:tcPr>
            <w:tcW w:w="0" w:type="auto"/>
            <w:vAlign w:val="center"/>
            <w:hideMark/>
          </w:tcPr>
          <w:p w14:paraId="645502B8" w14:textId="77777777" w:rsidR="005F3F2F" w:rsidRPr="0000487B" w:rsidRDefault="005F3F2F" w:rsidP="00AA5229">
            <w:pPr>
              <w:jc w:val="center"/>
              <w:rPr>
                <w:rFonts w:ascii="Garamond" w:hAnsi="Garamond"/>
                <w:sz w:val="18"/>
                <w:szCs w:val="18"/>
              </w:rPr>
            </w:pPr>
            <w:r w:rsidRPr="0000487B">
              <w:rPr>
                <w:rFonts w:ascii="Garamond" w:hAnsi="Garamond"/>
                <w:sz w:val="18"/>
                <w:szCs w:val="18"/>
              </w:rPr>
              <w:t>Local Ward Administrators, NGOs/CBOs</w:t>
            </w:r>
          </w:p>
        </w:tc>
        <w:tc>
          <w:tcPr>
            <w:tcW w:w="0" w:type="auto"/>
            <w:vAlign w:val="center"/>
            <w:hideMark/>
          </w:tcPr>
          <w:p w14:paraId="2C56452E" w14:textId="77777777" w:rsidR="005F3F2F" w:rsidRPr="0000487B" w:rsidRDefault="005F3F2F" w:rsidP="00AA5229">
            <w:pPr>
              <w:jc w:val="center"/>
              <w:rPr>
                <w:rFonts w:ascii="Garamond" w:hAnsi="Garamond"/>
                <w:sz w:val="18"/>
                <w:szCs w:val="18"/>
              </w:rPr>
            </w:pPr>
            <w:r w:rsidRPr="0000487B">
              <w:rPr>
                <w:rFonts w:ascii="Garamond" w:hAnsi="Garamond"/>
                <w:sz w:val="18"/>
                <w:szCs w:val="18"/>
              </w:rPr>
              <w:t>Embed in participatory planning frameworks; provide tools and stipends for maintenance teams.</w:t>
            </w:r>
          </w:p>
        </w:tc>
      </w:tr>
      <w:tr w:rsidR="0000487B" w:rsidRPr="0000487B" w14:paraId="60652F33" w14:textId="77777777" w:rsidTr="005F3F2F">
        <w:trPr>
          <w:tblCellSpacing w:w="15" w:type="dxa"/>
        </w:trPr>
        <w:tc>
          <w:tcPr>
            <w:tcW w:w="0" w:type="auto"/>
            <w:vAlign w:val="center"/>
            <w:hideMark/>
          </w:tcPr>
          <w:p w14:paraId="598B78C6" w14:textId="77777777" w:rsidR="005F3F2F" w:rsidRPr="0000487B" w:rsidRDefault="005F3F2F" w:rsidP="005F3F2F">
            <w:pPr>
              <w:rPr>
                <w:rFonts w:ascii="Garamond" w:hAnsi="Garamond"/>
                <w:sz w:val="18"/>
                <w:szCs w:val="18"/>
              </w:rPr>
            </w:pPr>
            <w:r w:rsidRPr="0000487B">
              <w:rPr>
                <w:rFonts w:ascii="Garamond" w:hAnsi="Garamond"/>
                <w:sz w:val="18"/>
                <w:szCs w:val="18"/>
              </w:rPr>
              <w:t>6</w:t>
            </w:r>
          </w:p>
        </w:tc>
        <w:tc>
          <w:tcPr>
            <w:tcW w:w="0" w:type="auto"/>
            <w:vAlign w:val="center"/>
            <w:hideMark/>
          </w:tcPr>
          <w:p w14:paraId="56A5378B" w14:textId="77777777" w:rsidR="005F3F2F" w:rsidRPr="0000487B" w:rsidRDefault="005F3F2F" w:rsidP="005F3F2F">
            <w:pPr>
              <w:rPr>
                <w:rFonts w:ascii="Garamond" w:hAnsi="Garamond"/>
                <w:sz w:val="18"/>
                <w:szCs w:val="18"/>
              </w:rPr>
            </w:pPr>
            <w:r w:rsidRPr="0000487B">
              <w:rPr>
                <w:rFonts w:ascii="Garamond" w:hAnsi="Garamond"/>
                <w:sz w:val="18"/>
                <w:szCs w:val="18"/>
              </w:rPr>
              <w:t>Climate Information Services</w:t>
            </w:r>
          </w:p>
        </w:tc>
        <w:tc>
          <w:tcPr>
            <w:tcW w:w="0" w:type="auto"/>
            <w:vAlign w:val="center"/>
            <w:hideMark/>
          </w:tcPr>
          <w:p w14:paraId="1B50B3C1" w14:textId="77777777" w:rsidR="005F3F2F" w:rsidRPr="0000487B" w:rsidRDefault="005F3F2F" w:rsidP="00AA5229">
            <w:pPr>
              <w:jc w:val="center"/>
              <w:rPr>
                <w:rFonts w:ascii="Garamond" w:hAnsi="Garamond"/>
                <w:sz w:val="18"/>
                <w:szCs w:val="18"/>
              </w:rPr>
            </w:pPr>
            <w:r w:rsidRPr="0000487B">
              <w:rPr>
                <w:rFonts w:ascii="Garamond" w:hAnsi="Garamond"/>
                <w:sz w:val="18"/>
                <w:szCs w:val="18"/>
              </w:rPr>
              <w:t>Incremental rainfall and temperature changes have cumulative practical impacts on livelihoods and urban infrastructure.</w:t>
            </w:r>
          </w:p>
        </w:tc>
        <w:tc>
          <w:tcPr>
            <w:tcW w:w="0" w:type="auto"/>
            <w:vAlign w:val="center"/>
            <w:hideMark/>
          </w:tcPr>
          <w:p w14:paraId="020CA7F1" w14:textId="77777777" w:rsidR="005F3F2F" w:rsidRPr="0000487B" w:rsidRDefault="005F3F2F" w:rsidP="00AA5229">
            <w:pPr>
              <w:jc w:val="center"/>
              <w:rPr>
                <w:rFonts w:ascii="Garamond" w:hAnsi="Garamond"/>
                <w:sz w:val="18"/>
                <w:szCs w:val="18"/>
              </w:rPr>
            </w:pPr>
            <w:r w:rsidRPr="0000487B">
              <w:rPr>
                <w:rFonts w:ascii="Garamond" w:hAnsi="Garamond"/>
                <w:sz w:val="18"/>
                <w:szCs w:val="18"/>
              </w:rPr>
              <w:t>1. Enhance access to localized climate projections.2. Disaggregate data to neighborhood level (Korogocho, Kahawa Soweto).</w:t>
            </w:r>
          </w:p>
        </w:tc>
        <w:tc>
          <w:tcPr>
            <w:tcW w:w="0" w:type="auto"/>
            <w:vAlign w:val="center"/>
            <w:hideMark/>
          </w:tcPr>
          <w:p w14:paraId="3A937E33" w14:textId="77777777" w:rsidR="005F3F2F" w:rsidRPr="0000487B" w:rsidRDefault="005F3F2F" w:rsidP="00AA5229">
            <w:pPr>
              <w:jc w:val="center"/>
              <w:rPr>
                <w:rFonts w:ascii="Garamond" w:hAnsi="Garamond"/>
                <w:sz w:val="18"/>
                <w:szCs w:val="18"/>
              </w:rPr>
            </w:pPr>
            <w:r w:rsidRPr="0000487B">
              <w:rPr>
                <w:rFonts w:ascii="Garamond" w:hAnsi="Garamond"/>
                <w:sz w:val="18"/>
                <w:szCs w:val="18"/>
              </w:rPr>
              <w:t>Kenya Meteorological Department, Academic Partners</w:t>
            </w:r>
          </w:p>
        </w:tc>
        <w:tc>
          <w:tcPr>
            <w:tcW w:w="0" w:type="auto"/>
            <w:vAlign w:val="center"/>
            <w:hideMark/>
          </w:tcPr>
          <w:p w14:paraId="475D4677" w14:textId="77777777" w:rsidR="005F3F2F" w:rsidRPr="0000487B" w:rsidRDefault="005F3F2F" w:rsidP="00AA5229">
            <w:pPr>
              <w:jc w:val="center"/>
              <w:rPr>
                <w:rFonts w:ascii="Garamond" w:hAnsi="Garamond"/>
                <w:sz w:val="18"/>
                <w:szCs w:val="18"/>
              </w:rPr>
            </w:pPr>
            <w:r w:rsidRPr="0000487B">
              <w:rPr>
                <w:rFonts w:ascii="Garamond" w:hAnsi="Garamond"/>
                <w:sz w:val="18"/>
                <w:szCs w:val="18"/>
              </w:rPr>
              <w:t>Provide open-access digital dashboards for county planners and community leaders.</w:t>
            </w:r>
          </w:p>
        </w:tc>
      </w:tr>
      <w:tr w:rsidR="0000487B" w:rsidRPr="0000487B" w14:paraId="5C9E35AD" w14:textId="77777777" w:rsidTr="005F3F2F">
        <w:trPr>
          <w:tblCellSpacing w:w="15" w:type="dxa"/>
        </w:trPr>
        <w:tc>
          <w:tcPr>
            <w:tcW w:w="0" w:type="auto"/>
            <w:vAlign w:val="center"/>
            <w:hideMark/>
          </w:tcPr>
          <w:p w14:paraId="24D0ADEB" w14:textId="77777777" w:rsidR="005F3F2F" w:rsidRPr="0000487B" w:rsidRDefault="005F3F2F" w:rsidP="005F3F2F">
            <w:pPr>
              <w:rPr>
                <w:rFonts w:ascii="Garamond" w:hAnsi="Garamond"/>
                <w:sz w:val="18"/>
                <w:szCs w:val="18"/>
              </w:rPr>
            </w:pPr>
            <w:r w:rsidRPr="0000487B">
              <w:rPr>
                <w:rFonts w:ascii="Garamond" w:hAnsi="Garamond"/>
                <w:sz w:val="18"/>
                <w:szCs w:val="18"/>
              </w:rPr>
              <w:t>7</w:t>
            </w:r>
          </w:p>
        </w:tc>
        <w:tc>
          <w:tcPr>
            <w:tcW w:w="0" w:type="auto"/>
            <w:vAlign w:val="center"/>
            <w:hideMark/>
          </w:tcPr>
          <w:p w14:paraId="74ACC38B" w14:textId="77777777" w:rsidR="005F3F2F" w:rsidRPr="0000487B" w:rsidRDefault="005F3F2F" w:rsidP="005F3F2F">
            <w:pPr>
              <w:rPr>
                <w:rFonts w:ascii="Garamond" w:hAnsi="Garamond"/>
                <w:sz w:val="18"/>
                <w:szCs w:val="18"/>
              </w:rPr>
            </w:pPr>
            <w:r w:rsidRPr="0000487B">
              <w:rPr>
                <w:rFonts w:ascii="Garamond" w:hAnsi="Garamond"/>
                <w:sz w:val="18"/>
                <w:szCs w:val="18"/>
              </w:rPr>
              <w:t>Linking Climate Projections to Municipal Planning</w:t>
            </w:r>
          </w:p>
        </w:tc>
        <w:tc>
          <w:tcPr>
            <w:tcW w:w="0" w:type="auto"/>
            <w:vAlign w:val="center"/>
            <w:hideMark/>
          </w:tcPr>
          <w:p w14:paraId="22D6AE06" w14:textId="77777777" w:rsidR="005F3F2F" w:rsidRPr="0000487B" w:rsidRDefault="005F3F2F" w:rsidP="00AA5229">
            <w:pPr>
              <w:jc w:val="center"/>
              <w:rPr>
                <w:rFonts w:ascii="Garamond" w:hAnsi="Garamond"/>
                <w:sz w:val="18"/>
                <w:szCs w:val="18"/>
              </w:rPr>
            </w:pPr>
            <w:r w:rsidRPr="0000487B">
              <w:rPr>
                <w:rFonts w:ascii="Garamond" w:hAnsi="Garamond"/>
                <w:sz w:val="18"/>
                <w:szCs w:val="18"/>
              </w:rPr>
              <w:t>Weak statistical trends but cumulative effects necessitate integration into planning.</w:t>
            </w:r>
          </w:p>
        </w:tc>
        <w:tc>
          <w:tcPr>
            <w:tcW w:w="0" w:type="auto"/>
            <w:vAlign w:val="center"/>
            <w:hideMark/>
          </w:tcPr>
          <w:p w14:paraId="20DEDFD8" w14:textId="77777777" w:rsidR="005F3F2F" w:rsidRPr="0000487B" w:rsidRDefault="005F3F2F" w:rsidP="00AA5229">
            <w:pPr>
              <w:jc w:val="center"/>
              <w:rPr>
                <w:rFonts w:ascii="Garamond" w:hAnsi="Garamond"/>
                <w:sz w:val="18"/>
                <w:szCs w:val="18"/>
              </w:rPr>
            </w:pPr>
            <w:r w:rsidRPr="0000487B">
              <w:rPr>
                <w:rFonts w:ascii="Garamond" w:hAnsi="Garamond"/>
                <w:sz w:val="18"/>
                <w:szCs w:val="18"/>
              </w:rPr>
              <w:t>Update building codes, drainage design manuals, and flood risk maps using recent IDF curves.</w:t>
            </w:r>
          </w:p>
        </w:tc>
        <w:tc>
          <w:tcPr>
            <w:tcW w:w="0" w:type="auto"/>
            <w:vAlign w:val="center"/>
            <w:hideMark/>
          </w:tcPr>
          <w:p w14:paraId="213E15C5" w14:textId="77777777" w:rsidR="005F3F2F" w:rsidRPr="0000487B" w:rsidRDefault="005F3F2F" w:rsidP="00AA5229">
            <w:pPr>
              <w:jc w:val="center"/>
              <w:rPr>
                <w:rFonts w:ascii="Garamond" w:hAnsi="Garamond"/>
                <w:sz w:val="18"/>
                <w:szCs w:val="18"/>
              </w:rPr>
            </w:pPr>
            <w:r w:rsidRPr="0000487B">
              <w:rPr>
                <w:rFonts w:ascii="Garamond" w:hAnsi="Garamond"/>
                <w:sz w:val="18"/>
                <w:szCs w:val="18"/>
              </w:rPr>
              <w:t>Nairobi City County Urban Planning &amp; Public Works, KMD</w:t>
            </w:r>
          </w:p>
        </w:tc>
        <w:tc>
          <w:tcPr>
            <w:tcW w:w="0" w:type="auto"/>
            <w:vAlign w:val="center"/>
            <w:hideMark/>
          </w:tcPr>
          <w:p w14:paraId="65D5F829" w14:textId="77777777" w:rsidR="005F3F2F" w:rsidRPr="0000487B" w:rsidRDefault="005F3F2F" w:rsidP="00AA5229">
            <w:pPr>
              <w:jc w:val="center"/>
              <w:rPr>
                <w:rFonts w:ascii="Garamond" w:hAnsi="Garamond"/>
                <w:sz w:val="18"/>
                <w:szCs w:val="18"/>
              </w:rPr>
            </w:pPr>
            <w:r w:rsidRPr="0000487B">
              <w:rPr>
                <w:rFonts w:ascii="Garamond" w:hAnsi="Garamond"/>
                <w:sz w:val="18"/>
                <w:szCs w:val="18"/>
              </w:rPr>
              <w:t>Revise every 5 years; integrate into climate-resilient urban planning policies.</w:t>
            </w:r>
          </w:p>
        </w:tc>
      </w:tr>
      <w:tr w:rsidR="0000487B" w:rsidRPr="0000487B" w14:paraId="4E360812" w14:textId="77777777" w:rsidTr="005F3F2F">
        <w:trPr>
          <w:tblCellSpacing w:w="15" w:type="dxa"/>
        </w:trPr>
        <w:tc>
          <w:tcPr>
            <w:tcW w:w="0" w:type="auto"/>
            <w:vAlign w:val="center"/>
            <w:hideMark/>
          </w:tcPr>
          <w:p w14:paraId="3C7E268F" w14:textId="77777777" w:rsidR="005F3F2F" w:rsidRPr="0000487B" w:rsidRDefault="005F3F2F" w:rsidP="005F3F2F">
            <w:pPr>
              <w:rPr>
                <w:rFonts w:ascii="Garamond" w:hAnsi="Garamond"/>
                <w:sz w:val="18"/>
                <w:szCs w:val="18"/>
              </w:rPr>
            </w:pPr>
            <w:r w:rsidRPr="0000487B">
              <w:rPr>
                <w:rFonts w:ascii="Garamond" w:hAnsi="Garamond"/>
                <w:sz w:val="18"/>
                <w:szCs w:val="18"/>
              </w:rPr>
              <w:t>8</w:t>
            </w:r>
          </w:p>
        </w:tc>
        <w:tc>
          <w:tcPr>
            <w:tcW w:w="0" w:type="auto"/>
            <w:vAlign w:val="center"/>
            <w:hideMark/>
          </w:tcPr>
          <w:p w14:paraId="4E9A0754" w14:textId="77777777" w:rsidR="005F3F2F" w:rsidRPr="0000487B" w:rsidRDefault="005F3F2F" w:rsidP="005F3F2F">
            <w:pPr>
              <w:rPr>
                <w:rFonts w:ascii="Garamond" w:hAnsi="Garamond"/>
                <w:sz w:val="18"/>
                <w:szCs w:val="18"/>
              </w:rPr>
            </w:pPr>
            <w:r w:rsidRPr="0000487B">
              <w:rPr>
                <w:rFonts w:ascii="Garamond" w:hAnsi="Garamond"/>
                <w:sz w:val="18"/>
                <w:szCs w:val="18"/>
              </w:rPr>
              <w:t>Flood Early Warning Integration</w:t>
            </w:r>
          </w:p>
        </w:tc>
        <w:tc>
          <w:tcPr>
            <w:tcW w:w="0" w:type="auto"/>
            <w:vAlign w:val="center"/>
            <w:hideMark/>
          </w:tcPr>
          <w:p w14:paraId="0617F105" w14:textId="77777777" w:rsidR="005F3F2F" w:rsidRPr="0000487B" w:rsidRDefault="005F3F2F" w:rsidP="00AA5229">
            <w:pPr>
              <w:jc w:val="center"/>
              <w:rPr>
                <w:rFonts w:ascii="Garamond" w:hAnsi="Garamond"/>
                <w:sz w:val="18"/>
                <w:szCs w:val="18"/>
              </w:rPr>
            </w:pPr>
            <w:r w:rsidRPr="0000487B">
              <w:rPr>
                <w:rFonts w:ascii="Garamond" w:hAnsi="Garamond"/>
                <w:sz w:val="18"/>
                <w:szCs w:val="18"/>
              </w:rPr>
              <w:t>Flash floods in Korogocho and cumulative drainage stress in Kahawa Soweto require real-time response.</w:t>
            </w:r>
          </w:p>
        </w:tc>
        <w:tc>
          <w:tcPr>
            <w:tcW w:w="0" w:type="auto"/>
            <w:vAlign w:val="center"/>
            <w:hideMark/>
          </w:tcPr>
          <w:p w14:paraId="5F85F593" w14:textId="77777777" w:rsidR="005F3F2F" w:rsidRPr="0000487B" w:rsidRDefault="005F3F2F" w:rsidP="00AA5229">
            <w:pPr>
              <w:jc w:val="center"/>
              <w:rPr>
                <w:rFonts w:ascii="Garamond" w:hAnsi="Garamond"/>
                <w:sz w:val="18"/>
                <w:szCs w:val="18"/>
              </w:rPr>
            </w:pPr>
            <w:r w:rsidRPr="0000487B">
              <w:rPr>
                <w:rFonts w:ascii="Garamond" w:hAnsi="Garamond"/>
                <w:sz w:val="18"/>
                <w:szCs w:val="18"/>
              </w:rPr>
              <w:t>Deploy real-time rainfall monitoring systems and SMS alerts for residents.</w:t>
            </w:r>
          </w:p>
        </w:tc>
        <w:tc>
          <w:tcPr>
            <w:tcW w:w="0" w:type="auto"/>
            <w:vAlign w:val="center"/>
            <w:hideMark/>
          </w:tcPr>
          <w:p w14:paraId="312B016A" w14:textId="77777777" w:rsidR="005F3F2F" w:rsidRPr="0000487B" w:rsidRDefault="005F3F2F" w:rsidP="00AA5229">
            <w:pPr>
              <w:jc w:val="center"/>
              <w:rPr>
                <w:rFonts w:ascii="Garamond" w:hAnsi="Garamond"/>
                <w:sz w:val="18"/>
                <w:szCs w:val="18"/>
              </w:rPr>
            </w:pPr>
            <w:r w:rsidRPr="0000487B">
              <w:rPr>
                <w:rFonts w:ascii="Garamond" w:hAnsi="Garamond"/>
                <w:sz w:val="18"/>
                <w:szCs w:val="18"/>
              </w:rPr>
              <w:t>KMD (data), County Disaster Management Units</w:t>
            </w:r>
          </w:p>
        </w:tc>
        <w:tc>
          <w:tcPr>
            <w:tcW w:w="0" w:type="auto"/>
            <w:vAlign w:val="center"/>
            <w:hideMark/>
          </w:tcPr>
          <w:p w14:paraId="59E20065" w14:textId="77777777" w:rsidR="005F3F2F" w:rsidRPr="0000487B" w:rsidRDefault="005F3F2F" w:rsidP="00AA5229">
            <w:pPr>
              <w:jc w:val="center"/>
              <w:rPr>
                <w:rFonts w:ascii="Garamond" w:hAnsi="Garamond"/>
                <w:sz w:val="18"/>
                <w:szCs w:val="18"/>
              </w:rPr>
            </w:pPr>
            <w:r w:rsidRPr="0000487B">
              <w:rPr>
                <w:rFonts w:ascii="Garamond" w:hAnsi="Garamond"/>
                <w:sz w:val="18"/>
                <w:szCs w:val="18"/>
              </w:rPr>
              <w:t>Establish low-cost rain gauges; set up community-based flood risk committees.</w:t>
            </w:r>
          </w:p>
        </w:tc>
      </w:tr>
      <w:tr w:rsidR="00AA5229" w:rsidRPr="0000487B" w14:paraId="3FF0F100" w14:textId="77777777" w:rsidTr="00AA5229">
        <w:trPr>
          <w:tblCellSpacing w:w="15" w:type="dxa"/>
        </w:trPr>
        <w:tc>
          <w:tcPr>
            <w:tcW w:w="0" w:type="auto"/>
            <w:tcBorders>
              <w:bottom w:val="single" w:sz="4" w:space="0" w:color="auto"/>
            </w:tcBorders>
            <w:vAlign w:val="center"/>
            <w:hideMark/>
          </w:tcPr>
          <w:p w14:paraId="09E06B2A" w14:textId="77777777" w:rsidR="005F3F2F" w:rsidRPr="0000487B" w:rsidRDefault="005F3F2F" w:rsidP="005F3F2F">
            <w:pPr>
              <w:rPr>
                <w:rFonts w:ascii="Garamond" w:hAnsi="Garamond"/>
                <w:sz w:val="18"/>
                <w:szCs w:val="18"/>
              </w:rPr>
            </w:pPr>
            <w:r w:rsidRPr="0000487B">
              <w:rPr>
                <w:rFonts w:ascii="Garamond" w:hAnsi="Garamond"/>
                <w:sz w:val="18"/>
                <w:szCs w:val="18"/>
              </w:rPr>
              <w:lastRenderedPageBreak/>
              <w:t>9</w:t>
            </w:r>
          </w:p>
        </w:tc>
        <w:tc>
          <w:tcPr>
            <w:tcW w:w="0" w:type="auto"/>
            <w:tcBorders>
              <w:bottom w:val="single" w:sz="4" w:space="0" w:color="auto"/>
            </w:tcBorders>
            <w:vAlign w:val="center"/>
            <w:hideMark/>
          </w:tcPr>
          <w:p w14:paraId="017BEED2" w14:textId="77777777" w:rsidR="005F3F2F" w:rsidRPr="0000487B" w:rsidRDefault="005F3F2F" w:rsidP="005F3F2F">
            <w:pPr>
              <w:rPr>
                <w:rFonts w:ascii="Garamond" w:hAnsi="Garamond"/>
                <w:sz w:val="18"/>
                <w:szCs w:val="18"/>
              </w:rPr>
            </w:pPr>
            <w:r w:rsidRPr="0000487B">
              <w:rPr>
                <w:rFonts w:ascii="Garamond" w:hAnsi="Garamond"/>
                <w:sz w:val="18"/>
                <w:szCs w:val="18"/>
              </w:rPr>
              <w:t>Decentralized Stormwater Management</w:t>
            </w:r>
          </w:p>
        </w:tc>
        <w:tc>
          <w:tcPr>
            <w:tcW w:w="0" w:type="auto"/>
            <w:tcBorders>
              <w:bottom w:val="single" w:sz="4" w:space="0" w:color="auto"/>
            </w:tcBorders>
            <w:vAlign w:val="center"/>
            <w:hideMark/>
          </w:tcPr>
          <w:p w14:paraId="0A85A97C" w14:textId="77777777" w:rsidR="005F3F2F" w:rsidRPr="0000487B" w:rsidRDefault="005F3F2F" w:rsidP="00AA5229">
            <w:pPr>
              <w:jc w:val="center"/>
              <w:rPr>
                <w:rFonts w:ascii="Garamond" w:hAnsi="Garamond"/>
                <w:sz w:val="18"/>
                <w:szCs w:val="18"/>
              </w:rPr>
            </w:pPr>
            <w:r w:rsidRPr="0000487B">
              <w:rPr>
                <w:rFonts w:ascii="Garamond" w:hAnsi="Garamond"/>
                <w:sz w:val="18"/>
                <w:szCs w:val="18"/>
              </w:rPr>
              <w:t>Community-level water retention and infiltration needed to reduce flood risk.</w:t>
            </w:r>
          </w:p>
        </w:tc>
        <w:tc>
          <w:tcPr>
            <w:tcW w:w="0" w:type="auto"/>
            <w:tcBorders>
              <w:bottom w:val="single" w:sz="4" w:space="0" w:color="auto"/>
            </w:tcBorders>
            <w:vAlign w:val="center"/>
            <w:hideMark/>
          </w:tcPr>
          <w:p w14:paraId="44C3C08E" w14:textId="77777777" w:rsidR="005F3F2F" w:rsidRPr="0000487B" w:rsidRDefault="005F3F2F" w:rsidP="00AA5229">
            <w:pPr>
              <w:jc w:val="center"/>
              <w:rPr>
                <w:rFonts w:ascii="Garamond" w:hAnsi="Garamond"/>
                <w:sz w:val="18"/>
                <w:szCs w:val="18"/>
              </w:rPr>
            </w:pPr>
            <w:r w:rsidRPr="0000487B">
              <w:rPr>
                <w:rFonts w:ascii="Garamond" w:hAnsi="Garamond"/>
                <w:sz w:val="18"/>
                <w:szCs w:val="18"/>
              </w:rPr>
              <w:t>Implement retention ponds, infiltration trenches, rain gardens in vulnerable neighborhoods.</w:t>
            </w:r>
          </w:p>
        </w:tc>
        <w:tc>
          <w:tcPr>
            <w:tcW w:w="0" w:type="auto"/>
            <w:tcBorders>
              <w:bottom w:val="single" w:sz="4" w:space="0" w:color="auto"/>
            </w:tcBorders>
            <w:vAlign w:val="center"/>
            <w:hideMark/>
          </w:tcPr>
          <w:p w14:paraId="24BEEA02" w14:textId="77777777" w:rsidR="005F3F2F" w:rsidRPr="0000487B" w:rsidRDefault="005F3F2F" w:rsidP="00AA5229">
            <w:pPr>
              <w:jc w:val="center"/>
              <w:rPr>
                <w:rFonts w:ascii="Garamond" w:hAnsi="Garamond"/>
                <w:sz w:val="18"/>
                <w:szCs w:val="18"/>
              </w:rPr>
            </w:pPr>
            <w:r w:rsidRPr="0000487B">
              <w:rPr>
                <w:rFonts w:ascii="Garamond" w:hAnsi="Garamond"/>
                <w:sz w:val="18"/>
                <w:szCs w:val="18"/>
              </w:rPr>
              <w:t>County Government with NGO/CBO partnerships</w:t>
            </w:r>
          </w:p>
        </w:tc>
        <w:tc>
          <w:tcPr>
            <w:tcW w:w="0" w:type="auto"/>
            <w:tcBorders>
              <w:bottom w:val="single" w:sz="4" w:space="0" w:color="auto"/>
            </w:tcBorders>
            <w:vAlign w:val="center"/>
            <w:hideMark/>
          </w:tcPr>
          <w:p w14:paraId="4B24056D" w14:textId="77777777" w:rsidR="005F3F2F" w:rsidRPr="0000487B" w:rsidRDefault="005F3F2F" w:rsidP="00AA5229">
            <w:pPr>
              <w:jc w:val="center"/>
              <w:rPr>
                <w:rFonts w:ascii="Garamond" w:hAnsi="Garamond"/>
                <w:sz w:val="18"/>
                <w:szCs w:val="18"/>
              </w:rPr>
            </w:pPr>
            <w:r w:rsidRPr="0000487B">
              <w:rPr>
                <w:rFonts w:ascii="Garamond" w:hAnsi="Garamond"/>
                <w:sz w:val="18"/>
                <w:szCs w:val="18"/>
              </w:rPr>
              <w:t>Pilot in targeted neighborhoods; monitor flood frequency reduction and community engagement.</w:t>
            </w:r>
          </w:p>
        </w:tc>
      </w:tr>
    </w:tbl>
    <w:p w14:paraId="195A7501" w14:textId="2F00F736" w:rsidR="005F3F2F" w:rsidRPr="0000487B" w:rsidRDefault="005F3F2F" w:rsidP="005F3F2F">
      <w:pPr>
        <w:spacing w:line="360" w:lineRule="auto"/>
        <w:jc w:val="both"/>
        <w:rPr>
          <w:rFonts w:ascii="Garamond" w:hAnsi="Garamond"/>
          <w:b/>
          <w:bCs/>
        </w:rPr>
      </w:pPr>
    </w:p>
    <w:p w14:paraId="6C57EA87" w14:textId="77777777" w:rsidR="009B3D3B" w:rsidRPr="0000487B" w:rsidRDefault="009B3D3B" w:rsidP="00466DBA">
      <w:pPr>
        <w:spacing w:line="360" w:lineRule="auto"/>
        <w:jc w:val="both"/>
        <w:rPr>
          <w:rFonts w:ascii="Garamond" w:hAnsi="Garamond"/>
        </w:rPr>
      </w:pPr>
      <w:r w:rsidRPr="0000487B">
        <w:rPr>
          <w:rFonts w:ascii="Garamond" w:hAnsi="Garamond"/>
        </w:rPr>
        <w:t>Link to Study Findings:</w:t>
      </w:r>
    </w:p>
    <w:p w14:paraId="71D64119" w14:textId="6B69E13F" w:rsidR="009B3D3B" w:rsidRPr="0000487B" w:rsidRDefault="009B3D3B" w:rsidP="00466DBA">
      <w:pPr>
        <w:spacing w:line="360" w:lineRule="auto"/>
        <w:jc w:val="both"/>
        <w:rPr>
          <w:rFonts w:ascii="Garamond" w:hAnsi="Garamond"/>
        </w:rPr>
      </w:pPr>
      <w:r w:rsidRPr="0000487B">
        <w:rPr>
          <w:rFonts w:ascii="Garamond" w:hAnsi="Garamond"/>
        </w:rPr>
        <w:t>These measures directly address observed and reported household impacts (flooding, property damage, drainage blockages, heat stress) and account for weak but persistent climate trends identified in Korogocho and Kahawa Soweto.</w:t>
      </w:r>
      <w:r w:rsidR="001D4239" w:rsidRPr="0000487B">
        <w:rPr>
          <w:rFonts w:ascii="Garamond" w:hAnsi="Garamond"/>
        </w:rPr>
        <w:t xml:space="preserve">  </w:t>
      </w:r>
      <w:r w:rsidRPr="0000487B">
        <w:rPr>
          <w:rFonts w:ascii="Garamond" w:hAnsi="Garamond"/>
        </w:rPr>
        <w:t>They provide feasible pathways to integrate climate adaptation into informal settlement upgrading, infrastructure planning, and urban water management, ensuring resilience against cumulative and extreme events.</w:t>
      </w:r>
    </w:p>
    <w:p w14:paraId="12FB1FA4" w14:textId="20FB7147" w:rsidR="00A266A3" w:rsidRPr="0000487B" w:rsidRDefault="00A266A3" w:rsidP="00466DBA">
      <w:pPr>
        <w:spacing w:line="360" w:lineRule="auto"/>
        <w:jc w:val="both"/>
        <w:rPr>
          <w:rFonts w:ascii="Garamond" w:hAnsi="Garamond"/>
        </w:rPr>
      </w:pPr>
      <w:r w:rsidRPr="0000487B">
        <w:rPr>
          <w:rFonts w:ascii="Garamond" w:hAnsi="Garamond"/>
          <w:noProof/>
        </w:rPr>
        <w:drawing>
          <wp:inline distT="0" distB="0" distL="0" distR="0" wp14:anchorId="69356BC2" wp14:editId="3D665798">
            <wp:extent cx="6076950" cy="2922905"/>
            <wp:effectExtent l="19050" t="19050" r="19050" b="10795"/>
            <wp:docPr id="11273084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308468" name=""/>
                    <pic:cNvPicPr/>
                  </pic:nvPicPr>
                  <pic:blipFill>
                    <a:blip r:embed="rId26"/>
                    <a:stretch>
                      <a:fillRect/>
                    </a:stretch>
                  </pic:blipFill>
                  <pic:spPr>
                    <a:xfrm>
                      <a:off x="0" y="0"/>
                      <a:ext cx="6076950" cy="2922905"/>
                    </a:xfrm>
                    <a:prstGeom prst="rect">
                      <a:avLst/>
                    </a:prstGeom>
                    <a:ln w="19050">
                      <a:solidFill>
                        <a:schemeClr val="tx1"/>
                      </a:solidFill>
                    </a:ln>
                  </pic:spPr>
                </pic:pic>
              </a:graphicData>
            </a:graphic>
          </wp:inline>
        </w:drawing>
      </w:r>
    </w:p>
    <w:p w14:paraId="38C2C362" w14:textId="5A1683CB" w:rsidR="00A266A3" w:rsidRPr="0000487B" w:rsidRDefault="00A266A3" w:rsidP="00466DBA">
      <w:pPr>
        <w:spacing w:line="360" w:lineRule="auto"/>
        <w:jc w:val="both"/>
        <w:rPr>
          <w:rFonts w:ascii="Garamond" w:hAnsi="Garamond"/>
        </w:rPr>
      </w:pPr>
      <w:r w:rsidRPr="0000487B">
        <w:rPr>
          <w:rFonts w:ascii="Garamond" w:hAnsi="Garamond"/>
        </w:rPr>
        <w:t xml:space="preserve">Figure </w:t>
      </w:r>
      <w:proofErr w:type="gramStart"/>
      <w:r w:rsidR="00C417C0">
        <w:rPr>
          <w:rFonts w:ascii="Garamond" w:hAnsi="Garamond"/>
        </w:rPr>
        <w:t xml:space="preserve">17 </w:t>
      </w:r>
      <w:r w:rsidRPr="0000487B">
        <w:rPr>
          <w:rFonts w:ascii="Garamond" w:hAnsi="Garamond"/>
        </w:rPr>
        <w:t xml:space="preserve"> conceptual</w:t>
      </w:r>
      <w:proofErr w:type="gramEnd"/>
      <w:r w:rsidRPr="0000487B">
        <w:rPr>
          <w:rFonts w:ascii="Garamond" w:hAnsi="Garamond"/>
        </w:rPr>
        <w:t xml:space="preserve"> framework of settlement-level Climate Impacts </w:t>
      </w:r>
      <w:r w:rsidR="00042A29" w:rsidRPr="0000487B">
        <w:rPr>
          <w:rFonts w:ascii="Garamond" w:hAnsi="Garamond"/>
        </w:rPr>
        <w:t xml:space="preserve">and policy </w:t>
      </w:r>
      <w:r w:rsidR="00335E3E" w:rsidRPr="0000487B">
        <w:rPr>
          <w:rFonts w:ascii="Garamond" w:hAnsi="Garamond"/>
        </w:rPr>
        <w:t>interventions in</w:t>
      </w:r>
      <w:r w:rsidRPr="0000487B">
        <w:rPr>
          <w:rFonts w:ascii="Garamond" w:hAnsi="Garamond"/>
        </w:rPr>
        <w:t xml:space="preserve"> Korogocho &amp; </w:t>
      </w:r>
      <w:r w:rsidR="001E54A5" w:rsidRPr="0000487B">
        <w:rPr>
          <w:rFonts w:ascii="Garamond" w:hAnsi="Garamond"/>
        </w:rPr>
        <w:t>Kahawa Soweto</w:t>
      </w:r>
      <w:r w:rsidRPr="0000487B">
        <w:rPr>
          <w:rFonts w:ascii="Garamond" w:hAnsi="Garamond"/>
        </w:rPr>
        <w:t>. Source: (field research, 2025).</w:t>
      </w:r>
    </w:p>
    <w:p w14:paraId="66DD3ABC" w14:textId="77777777" w:rsidR="00F55CE0" w:rsidRPr="0000487B" w:rsidRDefault="00F55CE0" w:rsidP="00466DBA">
      <w:pPr>
        <w:jc w:val="both"/>
        <w:rPr>
          <w:rFonts w:ascii="Garamond" w:hAnsi="Garamond"/>
          <w:b/>
          <w:bCs/>
        </w:rPr>
      </w:pPr>
    </w:p>
    <w:p w14:paraId="4E7B47C2" w14:textId="548E0185" w:rsidR="007B3B4A" w:rsidRPr="0000487B" w:rsidRDefault="007B3B4A" w:rsidP="00466DBA">
      <w:pPr>
        <w:jc w:val="both"/>
        <w:rPr>
          <w:rFonts w:ascii="Garamond" w:hAnsi="Garamond"/>
          <w:b/>
          <w:bCs/>
        </w:rPr>
      </w:pPr>
      <w:r w:rsidRPr="0000487B">
        <w:rPr>
          <w:rFonts w:ascii="Garamond" w:hAnsi="Garamond"/>
          <w:b/>
          <w:bCs/>
        </w:rPr>
        <w:t xml:space="preserve">References </w:t>
      </w:r>
    </w:p>
    <w:p w14:paraId="4EAE32DB" w14:textId="77777777" w:rsidR="004D0C31" w:rsidRPr="0000487B" w:rsidRDefault="004D0C31" w:rsidP="00A90152">
      <w:pPr>
        <w:ind w:left="720" w:hanging="720"/>
        <w:jc w:val="both"/>
        <w:rPr>
          <w:rFonts w:ascii="Garamond" w:hAnsi="Garamond"/>
        </w:rPr>
      </w:pPr>
      <w:r w:rsidRPr="0000487B">
        <w:rPr>
          <w:rFonts w:ascii="Garamond" w:hAnsi="Garamond"/>
        </w:rPr>
        <w:lastRenderedPageBreak/>
        <w:t xml:space="preserve">Adger, W. N. (2006). Vulnerability. Global Environmental Change, 16(3), 268–281. </w:t>
      </w:r>
      <w:hyperlink r:id="rId27" w:tgtFrame="_new" w:history="1">
        <w:r w:rsidRPr="0000487B">
          <w:rPr>
            <w:rStyle w:val="Hyperlink"/>
            <w:rFonts w:ascii="Garamond" w:hAnsi="Garamond"/>
            <w:color w:val="auto"/>
          </w:rPr>
          <w:t>https://doi.org/10.1016/j.gloenvcha.2006.02.006</w:t>
        </w:r>
      </w:hyperlink>
    </w:p>
    <w:p w14:paraId="6A7CB55D" w14:textId="77777777" w:rsidR="007B3B4A" w:rsidRPr="0000487B" w:rsidRDefault="007B3B4A" w:rsidP="00A90152">
      <w:pPr>
        <w:spacing w:line="360" w:lineRule="auto"/>
        <w:ind w:hanging="720"/>
        <w:jc w:val="both"/>
        <w:rPr>
          <w:rFonts w:ascii="Garamond" w:hAnsi="Garamond"/>
        </w:rPr>
      </w:pPr>
      <w:r w:rsidRPr="0000487B">
        <w:rPr>
          <w:rFonts w:ascii="Garamond" w:hAnsi="Garamond"/>
        </w:rPr>
        <w:t xml:space="preserve">Anyamba, A., Chretien, J. P., Small, J., Tucker, C. J., Formenty, P. B., Richardson, J. H., &amp; Linthicum, K. J. (2014). Climate variability and outbreaks of Rift Valley fever in East Africa. </w:t>
      </w:r>
      <w:r w:rsidRPr="0000487B">
        <w:rPr>
          <w:rFonts w:ascii="Garamond" w:hAnsi="Garamond"/>
          <w:i/>
          <w:iCs/>
        </w:rPr>
        <w:t>PLoS Neglected Tropical Diseases, 8</w:t>
      </w:r>
      <w:r w:rsidRPr="0000487B">
        <w:rPr>
          <w:rFonts w:ascii="Garamond" w:hAnsi="Garamond"/>
        </w:rPr>
        <w:t xml:space="preserve">(4), e2845. </w:t>
      </w:r>
      <w:hyperlink r:id="rId28" w:history="1">
        <w:r w:rsidRPr="0000487B">
          <w:rPr>
            <w:rStyle w:val="Hyperlink"/>
            <w:rFonts w:ascii="Garamond" w:hAnsi="Garamond"/>
            <w:color w:val="auto"/>
          </w:rPr>
          <w:t>https://doi.org/10.1371/journal.pntd.0002845</w:t>
        </w:r>
      </w:hyperlink>
    </w:p>
    <w:p w14:paraId="1F440D03" w14:textId="77777777" w:rsidR="004D0C31" w:rsidRPr="0000487B" w:rsidRDefault="004D0C31" w:rsidP="00A90152">
      <w:pPr>
        <w:ind w:left="720" w:hanging="720"/>
        <w:jc w:val="both"/>
        <w:rPr>
          <w:rFonts w:ascii="Garamond" w:hAnsi="Garamond"/>
        </w:rPr>
      </w:pPr>
      <w:r w:rsidRPr="0000487B">
        <w:rPr>
          <w:rFonts w:ascii="Garamond" w:hAnsi="Garamond"/>
        </w:rPr>
        <w:t xml:space="preserve">Cutter, S. L., Barnes, L., Berry, M., Burton, C., Evans, E., Tate, E., &amp; Webb, J. (2008). A place-based model for understanding community resilience to natural disasters. Global Environmental Change, 18(4), 598–606. </w:t>
      </w:r>
      <w:hyperlink r:id="rId29" w:tgtFrame="_new" w:history="1">
        <w:r w:rsidRPr="0000487B">
          <w:rPr>
            <w:rStyle w:val="Hyperlink"/>
            <w:rFonts w:ascii="Garamond" w:hAnsi="Garamond"/>
            <w:color w:val="auto"/>
          </w:rPr>
          <w:t>https://doi.org/10.1016/j.gloenvcha.2008.07.013</w:t>
        </w:r>
      </w:hyperlink>
    </w:p>
    <w:p w14:paraId="4D46B376" w14:textId="77777777" w:rsidR="007B3B4A" w:rsidRPr="0000487B" w:rsidRDefault="007B3B4A" w:rsidP="00A90152">
      <w:pPr>
        <w:spacing w:line="360" w:lineRule="auto"/>
        <w:ind w:hanging="720"/>
        <w:jc w:val="both"/>
        <w:rPr>
          <w:rFonts w:ascii="Garamond" w:hAnsi="Garamond"/>
        </w:rPr>
      </w:pPr>
      <w:r w:rsidRPr="0000487B">
        <w:rPr>
          <w:rFonts w:ascii="Garamond" w:hAnsi="Garamond"/>
        </w:rPr>
        <w:t xml:space="preserve">Douglas, I., Alam, K., Maghenda, M., McDonnell, Y., McLean, L., &amp; Campbell, J. (2008). Unjust waters: Climate change, flooding and the urban poor in Africa. </w:t>
      </w:r>
      <w:r w:rsidRPr="0000487B">
        <w:rPr>
          <w:rFonts w:ascii="Garamond" w:hAnsi="Garamond"/>
          <w:i/>
          <w:iCs/>
        </w:rPr>
        <w:t>Environment and Urbanization, 20</w:t>
      </w:r>
      <w:r w:rsidRPr="0000487B">
        <w:rPr>
          <w:rFonts w:ascii="Garamond" w:hAnsi="Garamond"/>
        </w:rPr>
        <w:t xml:space="preserve">(1), 187–205. </w:t>
      </w:r>
      <w:hyperlink r:id="rId30" w:history="1">
        <w:r w:rsidRPr="0000487B">
          <w:rPr>
            <w:rStyle w:val="Hyperlink"/>
            <w:rFonts w:ascii="Garamond" w:hAnsi="Garamond"/>
            <w:color w:val="auto"/>
          </w:rPr>
          <w:t>https://doi.org/10.1177/0956247808089156</w:t>
        </w:r>
      </w:hyperlink>
    </w:p>
    <w:p w14:paraId="18C45AAC" w14:textId="77777777" w:rsidR="004D0C31" w:rsidRPr="0000487B" w:rsidRDefault="004D0C31" w:rsidP="00A90152">
      <w:pPr>
        <w:ind w:left="720" w:hanging="720"/>
        <w:jc w:val="both"/>
        <w:rPr>
          <w:rFonts w:ascii="Garamond" w:hAnsi="Garamond"/>
        </w:rPr>
      </w:pPr>
      <w:r w:rsidRPr="0000487B">
        <w:rPr>
          <w:rFonts w:ascii="Garamond" w:hAnsi="Garamond"/>
        </w:rPr>
        <w:t xml:space="preserve">Folke, C. (2006). Resilience: The emergence of a perspective for social–ecological systems analyses. Global Environmental Change, 16(3), 253–267. </w:t>
      </w:r>
      <w:hyperlink r:id="rId31" w:tgtFrame="_new" w:history="1">
        <w:r w:rsidRPr="0000487B">
          <w:rPr>
            <w:rStyle w:val="Hyperlink"/>
            <w:rFonts w:ascii="Garamond" w:hAnsi="Garamond"/>
            <w:color w:val="auto"/>
          </w:rPr>
          <w:t>https://doi.org/10.1016/j.gloenvcha.2006.04.002</w:t>
        </w:r>
      </w:hyperlink>
    </w:p>
    <w:p w14:paraId="542489B9" w14:textId="77777777" w:rsidR="004D0C31" w:rsidRPr="0000487B" w:rsidRDefault="004D0C31" w:rsidP="00A90152">
      <w:pPr>
        <w:spacing w:line="360" w:lineRule="auto"/>
        <w:ind w:hanging="720"/>
        <w:jc w:val="both"/>
        <w:rPr>
          <w:rFonts w:ascii="Garamond" w:hAnsi="Garamond"/>
        </w:rPr>
      </w:pPr>
    </w:p>
    <w:p w14:paraId="2C5F8751" w14:textId="77777777" w:rsidR="007B3B4A" w:rsidRPr="0000487B" w:rsidRDefault="007B3B4A" w:rsidP="00A90152">
      <w:pPr>
        <w:spacing w:line="360" w:lineRule="auto"/>
        <w:ind w:hanging="720"/>
        <w:jc w:val="both"/>
        <w:rPr>
          <w:rFonts w:ascii="Garamond" w:hAnsi="Garamond"/>
        </w:rPr>
      </w:pPr>
      <w:r w:rsidRPr="0000487B">
        <w:rPr>
          <w:rFonts w:ascii="Garamond" w:hAnsi="Garamond"/>
        </w:rPr>
        <w:t xml:space="preserve">IPCC. (2022). </w:t>
      </w:r>
      <w:r w:rsidRPr="0000487B">
        <w:rPr>
          <w:rFonts w:ascii="Garamond" w:hAnsi="Garamond"/>
          <w:i/>
          <w:iCs/>
        </w:rPr>
        <w:t>Climate change 2022: Impacts, adaptation and vulnerability</w:t>
      </w:r>
      <w:r w:rsidRPr="0000487B">
        <w:rPr>
          <w:rFonts w:ascii="Garamond" w:hAnsi="Garamond"/>
        </w:rPr>
        <w:t xml:space="preserve">. Cambridge University Press. </w:t>
      </w:r>
      <w:hyperlink r:id="rId32" w:history="1">
        <w:r w:rsidRPr="0000487B">
          <w:rPr>
            <w:rStyle w:val="Hyperlink"/>
            <w:rFonts w:ascii="Garamond" w:hAnsi="Garamond"/>
            <w:color w:val="auto"/>
          </w:rPr>
          <w:t>https://doi.org/10.1017/9781009325844</w:t>
        </w:r>
      </w:hyperlink>
    </w:p>
    <w:p w14:paraId="67D6F2E8" w14:textId="77777777" w:rsidR="007B3B4A" w:rsidRPr="0000487B" w:rsidRDefault="007B3B4A" w:rsidP="00A90152">
      <w:pPr>
        <w:spacing w:line="360" w:lineRule="auto"/>
        <w:ind w:hanging="720"/>
        <w:jc w:val="both"/>
        <w:rPr>
          <w:rFonts w:ascii="Garamond" w:hAnsi="Garamond"/>
        </w:rPr>
      </w:pPr>
      <w:r w:rsidRPr="0000487B">
        <w:rPr>
          <w:rFonts w:ascii="Garamond" w:hAnsi="Garamond"/>
        </w:rPr>
        <w:t xml:space="preserve">Kendall, M. G. (1975). </w:t>
      </w:r>
      <w:r w:rsidRPr="0000487B">
        <w:rPr>
          <w:rFonts w:ascii="Garamond" w:hAnsi="Garamond"/>
          <w:i/>
          <w:iCs/>
        </w:rPr>
        <w:t>Rank correlation methods</w:t>
      </w:r>
      <w:r w:rsidRPr="0000487B">
        <w:rPr>
          <w:rFonts w:ascii="Garamond" w:hAnsi="Garamond"/>
        </w:rPr>
        <w:t xml:space="preserve"> (4th ed.). Charles Griffin.</w:t>
      </w:r>
    </w:p>
    <w:p w14:paraId="3C31AF3C" w14:textId="77777777" w:rsidR="007B3B4A" w:rsidRPr="0000487B" w:rsidRDefault="007B3B4A" w:rsidP="00A90152">
      <w:pPr>
        <w:spacing w:line="360" w:lineRule="auto"/>
        <w:ind w:hanging="720"/>
        <w:jc w:val="both"/>
        <w:rPr>
          <w:rFonts w:ascii="Garamond" w:hAnsi="Garamond"/>
        </w:rPr>
      </w:pPr>
      <w:r w:rsidRPr="0000487B">
        <w:rPr>
          <w:rFonts w:ascii="Garamond" w:hAnsi="Garamond"/>
        </w:rPr>
        <w:t xml:space="preserve">Kizza, M., Muhereza, F., &amp; Tumusiime, D. (2016). Rainfall variability and urban flood risk in East Africa. </w:t>
      </w:r>
      <w:r w:rsidRPr="0000487B">
        <w:rPr>
          <w:rFonts w:ascii="Garamond" w:hAnsi="Garamond"/>
          <w:i/>
          <w:iCs/>
        </w:rPr>
        <w:t>Natural Hazards, 82</w:t>
      </w:r>
      <w:r w:rsidRPr="0000487B">
        <w:rPr>
          <w:rFonts w:ascii="Garamond" w:hAnsi="Garamond"/>
        </w:rPr>
        <w:t xml:space="preserve">(2), 933–949. </w:t>
      </w:r>
      <w:hyperlink r:id="rId33" w:history="1">
        <w:r w:rsidRPr="0000487B">
          <w:rPr>
            <w:rStyle w:val="Hyperlink"/>
            <w:rFonts w:ascii="Garamond" w:hAnsi="Garamond"/>
            <w:color w:val="auto"/>
          </w:rPr>
          <w:t>https://doi.org/10.1007/s11069-016-2415-4</w:t>
        </w:r>
      </w:hyperlink>
    </w:p>
    <w:p w14:paraId="591C5B6D" w14:textId="77777777" w:rsidR="007B3B4A" w:rsidRPr="0000487B" w:rsidRDefault="007B3B4A" w:rsidP="00A90152">
      <w:pPr>
        <w:spacing w:line="360" w:lineRule="auto"/>
        <w:ind w:hanging="720"/>
        <w:jc w:val="both"/>
        <w:rPr>
          <w:rFonts w:ascii="Garamond" w:hAnsi="Garamond"/>
        </w:rPr>
      </w:pPr>
      <w:r w:rsidRPr="0000487B">
        <w:rPr>
          <w:rFonts w:ascii="Garamond" w:hAnsi="Garamond"/>
        </w:rPr>
        <w:t xml:space="preserve">Mann, H. B. (1945). Nonparametric tests against trend. </w:t>
      </w:r>
      <w:proofErr w:type="spellStart"/>
      <w:r w:rsidRPr="0000487B">
        <w:rPr>
          <w:rFonts w:ascii="Garamond" w:hAnsi="Garamond"/>
          <w:i/>
          <w:iCs/>
        </w:rPr>
        <w:t>Econometrica</w:t>
      </w:r>
      <w:proofErr w:type="spellEnd"/>
      <w:r w:rsidRPr="0000487B">
        <w:rPr>
          <w:rFonts w:ascii="Garamond" w:hAnsi="Garamond"/>
          <w:i/>
          <w:iCs/>
        </w:rPr>
        <w:t>, 13</w:t>
      </w:r>
      <w:r w:rsidRPr="0000487B">
        <w:rPr>
          <w:rFonts w:ascii="Garamond" w:hAnsi="Garamond"/>
        </w:rPr>
        <w:t xml:space="preserve">(3), 245–259. </w:t>
      </w:r>
      <w:hyperlink r:id="rId34" w:history="1">
        <w:r w:rsidRPr="0000487B">
          <w:rPr>
            <w:rStyle w:val="Hyperlink"/>
            <w:rFonts w:ascii="Garamond" w:hAnsi="Garamond"/>
            <w:color w:val="auto"/>
          </w:rPr>
          <w:t>https://doi.org/10.2307/1907187</w:t>
        </w:r>
      </w:hyperlink>
    </w:p>
    <w:p w14:paraId="2FEC3B24" w14:textId="77777777" w:rsidR="007B3B4A" w:rsidRPr="0000487B" w:rsidRDefault="007B3B4A" w:rsidP="00A90152">
      <w:pPr>
        <w:spacing w:line="360" w:lineRule="auto"/>
        <w:ind w:hanging="720"/>
        <w:jc w:val="both"/>
        <w:rPr>
          <w:rFonts w:ascii="Garamond" w:hAnsi="Garamond"/>
        </w:rPr>
      </w:pPr>
      <w:r w:rsidRPr="0000487B">
        <w:rPr>
          <w:rFonts w:ascii="Garamond" w:hAnsi="Garamond"/>
        </w:rPr>
        <w:t xml:space="preserve">Mati, B. M., </w:t>
      </w:r>
      <w:proofErr w:type="spellStart"/>
      <w:r w:rsidRPr="0000487B">
        <w:rPr>
          <w:rFonts w:ascii="Garamond" w:hAnsi="Garamond"/>
        </w:rPr>
        <w:t>Majule</w:t>
      </w:r>
      <w:proofErr w:type="spellEnd"/>
      <w:r w:rsidRPr="0000487B">
        <w:rPr>
          <w:rFonts w:ascii="Garamond" w:hAnsi="Garamond"/>
        </w:rPr>
        <w:t xml:space="preserve">, A. E., &amp; </w:t>
      </w:r>
      <w:proofErr w:type="spellStart"/>
      <w:r w:rsidRPr="0000487B">
        <w:rPr>
          <w:rFonts w:ascii="Garamond" w:hAnsi="Garamond"/>
        </w:rPr>
        <w:t>Mbonile</w:t>
      </w:r>
      <w:proofErr w:type="spellEnd"/>
      <w:r w:rsidRPr="0000487B">
        <w:rPr>
          <w:rFonts w:ascii="Garamond" w:hAnsi="Garamond"/>
        </w:rPr>
        <w:t xml:space="preserve">, M. J. (2016). Climate variability and urban heat risks in East Africa. </w:t>
      </w:r>
      <w:r w:rsidRPr="0000487B">
        <w:rPr>
          <w:rFonts w:ascii="Garamond" w:hAnsi="Garamond"/>
          <w:i/>
          <w:iCs/>
        </w:rPr>
        <w:t>Climate and Development, 8</w:t>
      </w:r>
      <w:r w:rsidRPr="0000487B">
        <w:rPr>
          <w:rFonts w:ascii="Garamond" w:hAnsi="Garamond"/>
        </w:rPr>
        <w:t xml:space="preserve">(4), 355–366. </w:t>
      </w:r>
      <w:hyperlink r:id="rId35" w:history="1">
        <w:r w:rsidRPr="0000487B">
          <w:rPr>
            <w:rStyle w:val="Hyperlink"/>
            <w:rFonts w:ascii="Garamond" w:hAnsi="Garamond"/>
            <w:color w:val="auto"/>
          </w:rPr>
          <w:t>https://doi.org/10.1080/17565529.2015.1010249</w:t>
        </w:r>
      </w:hyperlink>
    </w:p>
    <w:p w14:paraId="14A5A60D" w14:textId="77777777" w:rsidR="007B3B4A" w:rsidRPr="0000487B" w:rsidRDefault="007B3B4A" w:rsidP="00A90152">
      <w:pPr>
        <w:spacing w:line="360" w:lineRule="auto"/>
        <w:ind w:hanging="720"/>
        <w:jc w:val="both"/>
        <w:rPr>
          <w:rFonts w:ascii="Garamond" w:hAnsi="Garamond"/>
        </w:rPr>
      </w:pPr>
      <w:r w:rsidRPr="0000487B">
        <w:rPr>
          <w:rFonts w:ascii="Garamond" w:hAnsi="Garamond"/>
        </w:rPr>
        <w:t xml:space="preserve">Moser, C. (2010). </w:t>
      </w:r>
      <w:r w:rsidRPr="0000487B">
        <w:rPr>
          <w:rFonts w:ascii="Garamond" w:hAnsi="Garamond"/>
          <w:i/>
          <w:iCs/>
        </w:rPr>
        <w:t>Urban social policy and poverty reduction in developing countries</w:t>
      </w:r>
      <w:r w:rsidRPr="0000487B">
        <w:rPr>
          <w:rFonts w:ascii="Garamond" w:hAnsi="Garamond"/>
        </w:rPr>
        <w:t>. Routledge.</w:t>
      </w:r>
    </w:p>
    <w:p w14:paraId="31E00FA0" w14:textId="77777777" w:rsidR="007B3B4A" w:rsidRPr="0000487B" w:rsidRDefault="007B3B4A" w:rsidP="00A90152">
      <w:pPr>
        <w:spacing w:line="360" w:lineRule="auto"/>
        <w:ind w:hanging="720"/>
        <w:jc w:val="both"/>
        <w:rPr>
          <w:rFonts w:ascii="Garamond" w:hAnsi="Garamond"/>
        </w:rPr>
      </w:pPr>
      <w:r w:rsidRPr="0000487B">
        <w:rPr>
          <w:rFonts w:ascii="Garamond" w:hAnsi="Garamond"/>
        </w:rPr>
        <w:t xml:space="preserve">Neumayer, E., &amp; Plümper, T. (2007). The gendered nature of natural disasters: The impact of catastrophic events on the gender gap in life expectancy, 1981–2002. </w:t>
      </w:r>
      <w:r w:rsidRPr="0000487B">
        <w:rPr>
          <w:rFonts w:ascii="Garamond" w:hAnsi="Garamond"/>
          <w:i/>
          <w:iCs/>
        </w:rPr>
        <w:t>Annals of the Association of American Geographers, 97</w:t>
      </w:r>
      <w:r w:rsidRPr="0000487B">
        <w:rPr>
          <w:rFonts w:ascii="Garamond" w:hAnsi="Garamond"/>
        </w:rPr>
        <w:t xml:space="preserve">(3), 551–566. </w:t>
      </w:r>
      <w:hyperlink r:id="rId36" w:history="1">
        <w:r w:rsidRPr="0000487B">
          <w:rPr>
            <w:rStyle w:val="Hyperlink"/>
            <w:rFonts w:ascii="Garamond" w:hAnsi="Garamond"/>
            <w:color w:val="auto"/>
          </w:rPr>
          <w:t>https://doi.org/10.1111/j.1467-8306.2007.00563.x</w:t>
        </w:r>
      </w:hyperlink>
    </w:p>
    <w:p w14:paraId="7BC42ADD" w14:textId="77777777" w:rsidR="007B3B4A" w:rsidRPr="0000487B" w:rsidRDefault="007B3B4A" w:rsidP="00A90152">
      <w:pPr>
        <w:spacing w:line="360" w:lineRule="auto"/>
        <w:ind w:hanging="720"/>
        <w:jc w:val="both"/>
        <w:rPr>
          <w:rFonts w:ascii="Garamond" w:hAnsi="Garamond"/>
        </w:rPr>
      </w:pPr>
      <w:r w:rsidRPr="0000487B">
        <w:rPr>
          <w:rFonts w:ascii="Garamond" w:hAnsi="Garamond"/>
          <w:lang w:val="fi-FI"/>
        </w:rPr>
        <w:lastRenderedPageBreak/>
        <w:t xml:space="preserve">Ngugi, R. K., Otieno, F., &amp; Kinyua, A. (2020). </w:t>
      </w:r>
      <w:r w:rsidRPr="0000487B">
        <w:rPr>
          <w:rFonts w:ascii="Garamond" w:hAnsi="Garamond"/>
        </w:rPr>
        <w:t xml:space="preserve">Urban heat islands and vulnerability in Nairobi informal settlements. </w:t>
      </w:r>
      <w:r w:rsidRPr="0000487B">
        <w:rPr>
          <w:rFonts w:ascii="Garamond" w:hAnsi="Garamond"/>
          <w:i/>
          <w:iCs/>
        </w:rPr>
        <w:t>Urban Climate, 31</w:t>
      </w:r>
      <w:r w:rsidRPr="0000487B">
        <w:rPr>
          <w:rFonts w:ascii="Garamond" w:hAnsi="Garamond"/>
        </w:rPr>
        <w:t xml:space="preserve">, 100566. </w:t>
      </w:r>
      <w:hyperlink r:id="rId37" w:history="1">
        <w:r w:rsidRPr="0000487B">
          <w:rPr>
            <w:rStyle w:val="Hyperlink"/>
            <w:rFonts w:ascii="Garamond" w:hAnsi="Garamond"/>
            <w:color w:val="auto"/>
          </w:rPr>
          <w:t>https://doi.org/10.1016/j.uclim.2019.100566</w:t>
        </w:r>
      </w:hyperlink>
    </w:p>
    <w:p w14:paraId="2FAD53E7" w14:textId="77777777" w:rsidR="007B3B4A" w:rsidRPr="0000487B" w:rsidRDefault="007B3B4A" w:rsidP="00A90152">
      <w:pPr>
        <w:spacing w:line="360" w:lineRule="auto"/>
        <w:ind w:hanging="720"/>
        <w:jc w:val="both"/>
        <w:rPr>
          <w:rFonts w:ascii="Garamond" w:hAnsi="Garamond"/>
        </w:rPr>
      </w:pPr>
      <w:r w:rsidRPr="0000487B">
        <w:rPr>
          <w:rFonts w:ascii="Garamond" w:hAnsi="Garamond"/>
        </w:rPr>
        <w:t xml:space="preserve">Ochieng, D. O., Were, E., &amp; Ouma, G. (2021). Microclimatic effects and adaptation strategies in Nairobi’s informal settlements. </w:t>
      </w:r>
      <w:r w:rsidRPr="0000487B">
        <w:rPr>
          <w:rFonts w:ascii="Garamond" w:hAnsi="Garamond"/>
          <w:i/>
          <w:iCs/>
        </w:rPr>
        <w:t>Environmental Research Letters, 16</w:t>
      </w:r>
      <w:r w:rsidRPr="0000487B">
        <w:rPr>
          <w:rFonts w:ascii="Garamond" w:hAnsi="Garamond"/>
        </w:rPr>
        <w:t xml:space="preserve">(4), 045001. </w:t>
      </w:r>
      <w:hyperlink r:id="rId38" w:history="1">
        <w:r w:rsidRPr="0000487B">
          <w:rPr>
            <w:rStyle w:val="Hyperlink"/>
            <w:rFonts w:ascii="Garamond" w:hAnsi="Garamond"/>
            <w:color w:val="auto"/>
          </w:rPr>
          <w:t>https://doi.org/10.1088/1748-9326/abfddf</w:t>
        </w:r>
      </w:hyperlink>
    </w:p>
    <w:p w14:paraId="277882E3" w14:textId="77777777" w:rsidR="007B3B4A" w:rsidRPr="0000487B" w:rsidRDefault="007B3B4A" w:rsidP="00A90152">
      <w:pPr>
        <w:spacing w:line="360" w:lineRule="auto"/>
        <w:ind w:hanging="720"/>
        <w:jc w:val="both"/>
        <w:rPr>
          <w:rFonts w:ascii="Garamond" w:hAnsi="Garamond"/>
        </w:rPr>
      </w:pPr>
      <w:r w:rsidRPr="0000487B">
        <w:rPr>
          <w:rFonts w:ascii="Garamond" w:hAnsi="Garamond"/>
        </w:rPr>
        <w:t xml:space="preserve">Omedo, P. O. (2010). </w:t>
      </w:r>
      <w:r w:rsidRPr="0000487B">
        <w:rPr>
          <w:rFonts w:ascii="Garamond" w:hAnsi="Garamond"/>
          <w:i/>
          <w:iCs/>
        </w:rPr>
        <w:t>Livelihoods, vulnerability and resilience in informal settlements: The case of Korogocho, Nairobi</w:t>
      </w:r>
      <w:r w:rsidRPr="0000487B">
        <w:rPr>
          <w:rFonts w:ascii="Garamond" w:hAnsi="Garamond"/>
        </w:rPr>
        <w:t>. University of Nairobi.</w:t>
      </w:r>
    </w:p>
    <w:p w14:paraId="5541FA42" w14:textId="77777777" w:rsidR="007B3B4A" w:rsidRPr="0000487B" w:rsidRDefault="007B3B4A" w:rsidP="00A90152">
      <w:pPr>
        <w:spacing w:line="360" w:lineRule="auto"/>
        <w:ind w:hanging="720"/>
        <w:jc w:val="both"/>
        <w:rPr>
          <w:rFonts w:ascii="Garamond" w:hAnsi="Garamond"/>
        </w:rPr>
      </w:pPr>
      <w:r w:rsidRPr="0000487B">
        <w:rPr>
          <w:rFonts w:ascii="Garamond" w:hAnsi="Garamond"/>
        </w:rPr>
        <w:t xml:space="preserve">Ong, C., Paterson, R., &amp; Wanjiru, R. (2018). Public health impacts of urban heat waves in East African informal settlements. </w:t>
      </w:r>
      <w:r w:rsidRPr="0000487B">
        <w:rPr>
          <w:rFonts w:ascii="Garamond" w:hAnsi="Garamond"/>
          <w:i/>
          <w:iCs/>
        </w:rPr>
        <w:t>International Journal of Environmental Research and Public Health, 15</w:t>
      </w:r>
      <w:r w:rsidRPr="0000487B">
        <w:rPr>
          <w:rFonts w:ascii="Garamond" w:hAnsi="Garamond"/>
        </w:rPr>
        <w:t xml:space="preserve">(6), 1202. </w:t>
      </w:r>
      <w:hyperlink r:id="rId39" w:history="1">
        <w:r w:rsidRPr="0000487B">
          <w:rPr>
            <w:rStyle w:val="Hyperlink"/>
            <w:rFonts w:ascii="Garamond" w:hAnsi="Garamond"/>
            <w:color w:val="auto"/>
          </w:rPr>
          <w:t>https://doi.org/10.3390/ijerph15061202</w:t>
        </w:r>
      </w:hyperlink>
    </w:p>
    <w:p w14:paraId="4B17BA7D" w14:textId="77777777" w:rsidR="004D0C31" w:rsidRPr="0000487B" w:rsidRDefault="004D0C31" w:rsidP="00A90152">
      <w:pPr>
        <w:ind w:left="720" w:hanging="720"/>
        <w:jc w:val="both"/>
        <w:rPr>
          <w:rFonts w:ascii="Garamond" w:hAnsi="Garamond"/>
        </w:rPr>
      </w:pPr>
      <w:r w:rsidRPr="0000487B">
        <w:rPr>
          <w:rFonts w:ascii="Garamond" w:hAnsi="Garamond"/>
        </w:rPr>
        <w:t xml:space="preserve">Ostrom, E. (2009). A general framework for analyzing sustainability of social–ecological systems. Science, 325(5939), 419–422. </w:t>
      </w:r>
      <w:hyperlink r:id="rId40" w:tgtFrame="_new" w:history="1">
        <w:r w:rsidRPr="0000487B">
          <w:rPr>
            <w:rStyle w:val="Hyperlink"/>
            <w:rFonts w:ascii="Garamond" w:hAnsi="Garamond"/>
            <w:color w:val="auto"/>
          </w:rPr>
          <w:t>https://doi.org/10.1126/science.1172133</w:t>
        </w:r>
      </w:hyperlink>
    </w:p>
    <w:p w14:paraId="685A17BD" w14:textId="77777777" w:rsidR="004D0C31" w:rsidRPr="0000487B" w:rsidRDefault="004D0C31" w:rsidP="00A90152">
      <w:pPr>
        <w:ind w:left="720" w:hanging="720"/>
        <w:jc w:val="both"/>
        <w:rPr>
          <w:rFonts w:ascii="Garamond" w:hAnsi="Garamond"/>
        </w:rPr>
      </w:pPr>
    </w:p>
    <w:p w14:paraId="5F2A8DDE" w14:textId="77777777" w:rsidR="007B3B4A" w:rsidRPr="0000487B" w:rsidRDefault="007B3B4A" w:rsidP="00A90152">
      <w:pPr>
        <w:spacing w:line="360" w:lineRule="auto"/>
        <w:ind w:hanging="720"/>
        <w:jc w:val="both"/>
        <w:rPr>
          <w:rFonts w:ascii="Garamond" w:hAnsi="Garamond"/>
        </w:rPr>
      </w:pPr>
      <w:r w:rsidRPr="0000487B">
        <w:rPr>
          <w:rFonts w:ascii="Garamond" w:hAnsi="Garamond"/>
        </w:rPr>
        <w:t xml:space="preserve">Owuor, S., Wanyonyi, C., &amp; Kibet, K. (2020). Flood risk analysis in Nairobi informal settlements under climate variability. </w:t>
      </w:r>
      <w:r w:rsidRPr="0000487B">
        <w:rPr>
          <w:rFonts w:ascii="Garamond" w:hAnsi="Garamond"/>
          <w:i/>
          <w:iCs/>
        </w:rPr>
        <w:t>Environmental Monitoring and Assessment, 192</w:t>
      </w:r>
      <w:r w:rsidRPr="0000487B">
        <w:rPr>
          <w:rFonts w:ascii="Garamond" w:hAnsi="Garamond"/>
        </w:rPr>
        <w:t xml:space="preserve">(2), 118. </w:t>
      </w:r>
      <w:hyperlink r:id="rId41" w:history="1">
        <w:r w:rsidRPr="0000487B">
          <w:rPr>
            <w:rStyle w:val="Hyperlink"/>
            <w:rFonts w:ascii="Garamond" w:hAnsi="Garamond"/>
            <w:color w:val="auto"/>
          </w:rPr>
          <w:t>https://doi.org/10.1007/s10661-020-8070-2</w:t>
        </w:r>
      </w:hyperlink>
    </w:p>
    <w:p w14:paraId="7E9159F5" w14:textId="77777777" w:rsidR="007B3B4A" w:rsidRPr="0000487B" w:rsidRDefault="007B3B4A" w:rsidP="00A90152">
      <w:pPr>
        <w:spacing w:line="360" w:lineRule="auto"/>
        <w:ind w:hanging="720"/>
        <w:jc w:val="both"/>
        <w:rPr>
          <w:rFonts w:ascii="Garamond" w:hAnsi="Garamond"/>
        </w:rPr>
      </w:pPr>
      <w:r w:rsidRPr="0000487B">
        <w:rPr>
          <w:rFonts w:ascii="Garamond" w:hAnsi="Garamond"/>
        </w:rPr>
        <w:t xml:space="preserve">Sen, P. K. (1968). Estimates of the regression coefficient based on Kendall’s tau. </w:t>
      </w:r>
      <w:r w:rsidRPr="0000487B">
        <w:rPr>
          <w:rFonts w:ascii="Garamond" w:hAnsi="Garamond"/>
          <w:i/>
          <w:iCs/>
        </w:rPr>
        <w:t>Journal of the American Statistical Association, 63</w:t>
      </w:r>
      <w:r w:rsidRPr="0000487B">
        <w:rPr>
          <w:rFonts w:ascii="Garamond" w:hAnsi="Garamond"/>
        </w:rPr>
        <w:t xml:space="preserve">(324), 1379–1389. </w:t>
      </w:r>
      <w:hyperlink r:id="rId42" w:history="1">
        <w:r w:rsidRPr="0000487B">
          <w:rPr>
            <w:rStyle w:val="Hyperlink"/>
            <w:rFonts w:ascii="Garamond" w:hAnsi="Garamond"/>
            <w:color w:val="auto"/>
          </w:rPr>
          <w:t>https://doi.org/10.1080/01621459.1968.10480934</w:t>
        </w:r>
      </w:hyperlink>
    </w:p>
    <w:p w14:paraId="293503D1" w14:textId="77777777" w:rsidR="007B3B4A" w:rsidRPr="0000487B" w:rsidRDefault="007B3B4A" w:rsidP="00A90152">
      <w:pPr>
        <w:spacing w:line="360" w:lineRule="auto"/>
        <w:ind w:hanging="720"/>
        <w:jc w:val="both"/>
        <w:rPr>
          <w:rFonts w:ascii="Garamond" w:hAnsi="Garamond"/>
        </w:rPr>
      </w:pPr>
      <w:r w:rsidRPr="0000487B">
        <w:rPr>
          <w:rFonts w:ascii="Garamond" w:hAnsi="Garamond"/>
        </w:rPr>
        <w:t xml:space="preserve">Simiyu, S., &amp; Mberu, B. (2024). Climate variability, water insecurity, and health risks in Nairobi’s informal settlements. </w:t>
      </w:r>
      <w:r w:rsidRPr="0000487B">
        <w:rPr>
          <w:rFonts w:ascii="Garamond" w:hAnsi="Garamond"/>
          <w:i/>
          <w:iCs/>
        </w:rPr>
        <w:t>Environment and Urbanization, 36</w:t>
      </w:r>
      <w:r w:rsidRPr="0000487B">
        <w:rPr>
          <w:rFonts w:ascii="Garamond" w:hAnsi="Garamond"/>
        </w:rPr>
        <w:t>(1), 145–162.</w:t>
      </w:r>
    </w:p>
    <w:p w14:paraId="71E02D7C" w14:textId="77777777" w:rsidR="007B3B4A" w:rsidRPr="0000487B" w:rsidRDefault="007B3B4A" w:rsidP="00A90152">
      <w:pPr>
        <w:spacing w:line="360" w:lineRule="auto"/>
        <w:ind w:hanging="720"/>
        <w:jc w:val="both"/>
        <w:rPr>
          <w:rFonts w:ascii="Garamond" w:hAnsi="Garamond"/>
        </w:rPr>
      </w:pPr>
      <w:r w:rsidRPr="0000487B">
        <w:rPr>
          <w:rFonts w:ascii="Garamond" w:hAnsi="Garamond"/>
        </w:rPr>
        <w:t xml:space="preserve">UNEP. (2021). </w:t>
      </w:r>
      <w:r w:rsidRPr="0000487B">
        <w:rPr>
          <w:rFonts w:ascii="Garamond" w:hAnsi="Garamond"/>
          <w:i/>
          <w:iCs/>
        </w:rPr>
        <w:t>Responding to climate change in African cities</w:t>
      </w:r>
      <w:r w:rsidRPr="0000487B">
        <w:rPr>
          <w:rFonts w:ascii="Garamond" w:hAnsi="Garamond"/>
        </w:rPr>
        <w:t>. United Nations Environment Programme.</w:t>
      </w:r>
    </w:p>
    <w:p w14:paraId="403DCF9B" w14:textId="77777777" w:rsidR="007B3B4A" w:rsidRPr="0000487B" w:rsidRDefault="007B3B4A" w:rsidP="00A90152">
      <w:pPr>
        <w:spacing w:line="360" w:lineRule="auto"/>
        <w:ind w:hanging="720"/>
        <w:jc w:val="both"/>
        <w:rPr>
          <w:rFonts w:ascii="Garamond" w:hAnsi="Garamond"/>
        </w:rPr>
      </w:pPr>
      <w:r w:rsidRPr="0000487B">
        <w:rPr>
          <w:rFonts w:ascii="Garamond" w:hAnsi="Garamond"/>
        </w:rPr>
        <w:t xml:space="preserve">UN-Habitat. (2020). </w:t>
      </w:r>
      <w:r w:rsidRPr="0000487B">
        <w:rPr>
          <w:rFonts w:ascii="Garamond" w:hAnsi="Garamond"/>
          <w:i/>
          <w:iCs/>
        </w:rPr>
        <w:t>World cities report 2020: The value of sustainable urbanization</w:t>
      </w:r>
      <w:r w:rsidRPr="0000487B">
        <w:rPr>
          <w:rFonts w:ascii="Garamond" w:hAnsi="Garamond"/>
        </w:rPr>
        <w:t xml:space="preserve">. United Nations Human Settlements Programme. </w:t>
      </w:r>
      <w:hyperlink r:id="rId43" w:history="1">
        <w:r w:rsidRPr="0000487B">
          <w:rPr>
            <w:rStyle w:val="Hyperlink"/>
            <w:rFonts w:ascii="Garamond" w:hAnsi="Garamond"/>
            <w:color w:val="auto"/>
          </w:rPr>
          <w:t>https://unhabitat.org</w:t>
        </w:r>
      </w:hyperlink>
    </w:p>
    <w:p w14:paraId="1E5233F8" w14:textId="77777777" w:rsidR="007B3B4A" w:rsidRPr="0000487B" w:rsidRDefault="007B3B4A" w:rsidP="00A90152">
      <w:pPr>
        <w:spacing w:line="360" w:lineRule="auto"/>
        <w:ind w:hanging="720"/>
        <w:jc w:val="both"/>
        <w:rPr>
          <w:rFonts w:ascii="Garamond" w:hAnsi="Garamond"/>
        </w:rPr>
      </w:pPr>
      <w:r w:rsidRPr="0000487B">
        <w:rPr>
          <w:rFonts w:ascii="Garamond" w:hAnsi="Garamond"/>
        </w:rPr>
        <w:t xml:space="preserve">World Bank. (2020). </w:t>
      </w:r>
      <w:r w:rsidRPr="0000487B">
        <w:rPr>
          <w:rFonts w:ascii="Garamond" w:hAnsi="Garamond"/>
          <w:i/>
          <w:iCs/>
        </w:rPr>
        <w:t>Enhancing urban resilience: Addressing climate risks in informal settlements of Sub-Saharan Africa</w:t>
      </w:r>
      <w:r w:rsidRPr="0000487B">
        <w:rPr>
          <w:rFonts w:ascii="Garamond" w:hAnsi="Garamond"/>
        </w:rPr>
        <w:t>. World Bank Group.</w:t>
      </w:r>
    </w:p>
    <w:p w14:paraId="52A06F95" w14:textId="77777777" w:rsidR="007B3B4A" w:rsidRPr="0000487B" w:rsidRDefault="007B3B4A" w:rsidP="00A90152">
      <w:pPr>
        <w:pStyle w:val="Caption"/>
        <w:spacing w:line="360" w:lineRule="auto"/>
        <w:ind w:hanging="720"/>
        <w:jc w:val="both"/>
        <w:rPr>
          <w:rFonts w:ascii="Garamond" w:hAnsi="Garamond"/>
          <w:color w:val="auto"/>
          <w:sz w:val="24"/>
          <w:szCs w:val="24"/>
        </w:rPr>
      </w:pPr>
    </w:p>
    <w:p w14:paraId="40B72E62" w14:textId="77777777" w:rsidR="007B3B4A" w:rsidRPr="0000487B" w:rsidRDefault="007B3B4A" w:rsidP="00A90152">
      <w:pPr>
        <w:ind w:hanging="720"/>
        <w:jc w:val="both"/>
        <w:rPr>
          <w:rFonts w:ascii="Garamond" w:hAnsi="Garamond"/>
        </w:rPr>
      </w:pPr>
    </w:p>
    <w:p w14:paraId="32C458C4" w14:textId="2E34F567" w:rsidR="00485C9B" w:rsidRPr="0000487B" w:rsidRDefault="00485C9B" w:rsidP="00A90152">
      <w:pPr>
        <w:ind w:hanging="720"/>
        <w:jc w:val="both"/>
        <w:rPr>
          <w:rFonts w:ascii="Garamond" w:hAnsi="Garamond"/>
        </w:rPr>
      </w:pPr>
      <w:r w:rsidRPr="0000487B">
        <w:rPr>
          <w:rFonts w:ascii="Garamond" w:hAnsi="Garamond"/>
        </w:rPr>
        <w:lastRenderedPageBreak/>
        <w:t xml:space="preserve">Intergovernmental Panel on Climate Change. (2022). </w:t>
      </w:r>
      <w:r w:rsidRPr="0000487B">
        <w:rPr>
          <w:rFonts w:ascii="Garamond" w:hAnsi="Garamond"/>
          <w:i/>
          <w:iCs/>
        </w:rPr>
        <w:t>Climate change 2022: Impacts, adaptation, and vulnerability</w:t>
      </w:r>
      <w:r w:rsidRPr="0000487B">
        <w:rPr>
          <w:rFonts w:ascii="Garamond" w:hAnsi="Garamond"/>
        </w:rPr>
        <w:t xml:space="preserve">. Cambridge University Press. </w:t>
      </w:r>
      <w:hyperlink r:id="rId44" w:tgtFrame="_new" w:history="1">
        <w:r w:rsidRPr="0000487B">
          <w:rPr>
            <w:rStyle w:val="Hyperlink"/>
            <w:rFonts w:ascii="Garamond" w:hAnsi="Garamond"/>
            <w:color w:val="auto"/>
          </w:rPr>
          <w:t>https://www.ipcc.ch/report/ar6/wg2/</w:t>
        </w:r>
      </w:hyperlink>
    </w:p>
    <w:p w14:paraId="318E2F18" w14:textId="77777777" w:rsidR="00485C9B" w:rsidRPr="0000487B" w:rsidRDefault="00485C9B" w:rsidP="00A90152">
      <w:pPr>
        <w:ind w:hanging="720"/>
        <w:jc w:val="both"/>
        <w:rPr>
          <w:rFonts w:ascii="Garamond" w:hAnsi="Garamond"/>
        </w:rPr>
      </w:pPr>
      <w:r w:rsidRPr="0000487B">
        <w:rPr>
          <w:rFonts w:ascii="Garamond" w:hAnsi="Garamond"/>
        </w:rPr>
        <w:t xml:space="preserve">Moser, C. O. N. (2010). </w:t>
      </w:r>
      <w:r w:rsidRPr="0000487B">
        <w:rPr>
          <w:rFonts w:ascii="Garamond" w:hAnsi="Garamond"/>
          <w:i/>
          <w:iCs/>
        </w:rPr>
        <w:t>Ordinary families, extraordinary lives: Assets and poverty reduction in Guayaquil, 1978–2004</w:t>
      </w:r>
      <w:r w:rsidRPr="0000487B">
        <w:rPr>
          <w:rFonts w:ascii="Garamond" w:hAnsi="Garamond"/>
        </w:rPr>
        <w:t>. Brookings Institution Press.</w:t>
      </w:r>
    </w:p>
    <w:p w14:paraId="36B18808" w14:textId="77777777" w:rsidR="00485C9B" w:rsidRPr="0000487B" w:rsidRDefault="00485C9B" w:rsidP="00A90152">
      <w:pPr>
        <w:ind w:hanging="720"/>
        <w:jc w:val="both"/>
        <w:rPr>
          <w:rFonts w:ascii="Garamond" w:hAnsi="Garamond"/>
        </w:rPr>
      </w:pPr>
      <w:r w:rsidRPr="0000487B">
        <w:rPr>
          <w:rFonts w:ascii="Garamond" w:hAnsi="Garamond"/>
        </w:rPr>
        <w:t xml:space="preserve">UN-Habitat. (2020). </w:t>
      </w:r>
      <w:r w:rsidRPr="0000487B">
        <w:rPr>
          <w:rFonts w:ascii="Garamond" w:hAnsi="Garamond"/>
          <w:i/>
          <w:iCs/>
        </w:rPr>
        <w:t>World cities report 2020: The value of sustainable urbanization</w:t>
      </w:r>
      <w:r w:rsidRPr="0000487B">
        <w:rPr>
          <w:rFonts w:ascii="Garamond" w:hAnsi="Garamond"/>
        </w:rPr>
        <w:t xml:space="preserve">. United Nations Human Settlements Programme. </w:t>
      </w:r>
      <w:hyperlink r:id="rId45" w:tgtFrame="_new" w:history="1">
        <w:r w:rsidRPr="0000487B">
          <w:rPr>
            <w:rStyle w:val="Hyperlink"/>
            <w:rFonts w:ascii="Garamond" w:hAnsi="Garamond"/>
            <w:color w:val="auto"/>
          </w:rPr>
          <w:t>https://unhabitat.org/</w:t>
        </w:r>
      </w:hyperlink>
    </w:p>
    <w:p w14:paraId="7123DC14" w14:textId="77777777" w:rsidR="00485C9B" w:rsidRPr="0000487B" w:rsidRDefault="00485C9B" w:rsidP="00A90152">
      <w:pPr>
        <w:ind w:hanging="720"/>
        <w:jc w:val="both"/>
        <w:rPr>
          <w:rFonts w:ascii="Garamond" w:hAnsi="Garamond"/>
        </w:rPr>
      </w:pPr>
    </w:p>
    <w:sectPr w:rsidR="00485C9B" w:rsidRPr="0000487B">
      <w:headerReference w:type="even" r:id="rId46"/>
      <w:headerReference w:type="default" r:id="rId47"/>
      <w:footerReference w:type="even" r:id="rId48"/>
      <w:footerReference w:type="default" r:id="rId49"/>
      <w:headerReference w:type="first" r:id="rId50"/>
      <w:footerReference w:type="first" r:id="rId5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8A4C7DA" w14:textId="77777777" w:rsidR="00160E0E" w:rsidRDefault="00160E0E" w:rsidP="00A13EB9">
      <w:pPr>
        <w:spacing w:after="0" w:line="240" w:lineRule="auto"/>
      </w:pPr>
      <w:r>
        <w:separator/>
      </w:r>
    </w:p>
  </w:endnote>
  <w:endnote w:type="continuationSeparator" w:id="0">
    <w:p w14:paraId="22AF9CD4" w14:textId="77777777" w:rsidR="00160E0E" w:rsidRDefault="00160E0E" w:rsidP="00A13E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7D6B39" w14:textId="77777777" w:rsidR="00A13EB9" w:rsidRDefault="00A13EB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9746D6" w14:textId="77777777" w:rsidR="00A13EB9" w:rsidRDefault="00A13EB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8C6118" w14:textId="77777777" w:rsidR="00A13EB9" w:rsidRDefault="00A13EB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D8A87C1" w14:textId="77777777" w:rsidR="00160E0E" w:rsidRDefault="00160E0E" w:rsidP="00A13EB9">
      <w:pPr>
        <w:spacing w:after="0" w:line="240" w:lineRule="auto"/>
      </w:pPr>
      <w:r>
        <w:separator/>
      </w:r>
    </w:p>
  </w:footnote>
  <w:footnote w:type="continuationSeparator" w:id="0">
    <w:p w14:paraId="1C9237BF" w14:textId="77777777" w:rsidR="00160E0E" w:rsidRDefault="00160E0E" w:rsidP="00A13EB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29BBEC" w14:textId="0BD6EDED" w:rsidR="00A13EB9" w:rsidRDefault="00A13EB9">
    <w:pPr>
      <w:pStyle w:val="Header"/>
    </w:pPr>
    <w:r>
      <w:rPr>
        <w:noProof/>
      </w:rPr>
      <w:pict w14:anchorId="32AF583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8198313" o:spid="_x0000_s2050"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ABC428" w14:textId="6EEBBF10" w:rsidR="00A13EB9" w:rsidRDefault="00A13EB9">
    <w:pPr>
      <w:pStyle w:val="Header"/>
    </w:pPr>
    <w:r>
      <w:rPr>
        <w:noProof/>
      </w:rPr>
      <w:pict w14:anchorId="21EF285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8198314" o:spid="_x0000_s2051"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8B1223" w14:textId="16E7D3EF" w:rsidR="00A13EB9" w:rsidRDefault="00A13EB9">
    <w:pPr>
      <w:pStyle w:val="Header"/>
    </w:pPr>
    <w:r>
      <w:rPr>
        <w:noProof/>
      </w:rPr>
      <w:pict w14:anchorId="69344FD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8198312" o:spid="_x0000_s2049"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D650A1"/>
    <w:multiLevelType w:val="multilevel"/>
    <w:tmpl w:val="EC0645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E66087"/>
    <w:multiLevelType w:val="multilevel"/>
    <w:tmpl w:val="AEC8D13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3003C50"/>
    <w:multiLevelType w:val="multilevel"/>
    <w:tmpl w:val="14B85F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358764C"/>
    <w:multiLevelType w:val="multilevel"/>
    <w:tmpl w:val="37EE31B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6D8463F"/>
    <w:multiLevelType w:val="multilevel"/>
    <w:tmpl w:val="5568EF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32E1258"/>
    <w:multiLevelType w:val="multilevel"/>
    <w:tmpl w:val="CCE60E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57C5A93"/>
    <w:multiLevelType w:val="multilevel"/>
    <w:tmpl w:val="0DA6FC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BDC0BBF"/>
    <w:multiLevelType w:val="hybridMultilevel"/>
    <w:tmpl w:val="85EC3C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08D75D7"/>
    <w:multiLevelType w:val="multilevel"/>
    <w:tmpl w:val="37B463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0D96AB3"/>
    <w:multiLevelType w:val="multilevel"/>
    <w:tmpl w:val="5A6ECB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2DF00E1"/>
    <w:multiLevelType w:val="multilevel"/>
    <w:tmpl w:val="B64E49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5F55AC3"/>
    <w:multiLevelType w:val="multilevel"/>
    <w:tmpl w:val="65EC76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5FD23C6"/>
    <w:multiLevelType w:val="multilevel"/>
    <w:tmpl w:val="247C20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A967422"/>
    <w:multiLevelType w:val="hybridMultilevel"/>
    <w:tmpl w:val="FE3265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04912BA"/>
    <w:multiLevelType w:val="multilevel"/>
    <w:tmpl w:val="2E8E72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1B95173"/>
    <w:multiLevelType w:val="multilevel"/>
    <w:tmpl w:val="BB8C90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3D2365A"/>
    <w:multiLevelType w:val="multilevel"/>
    <w:tmpl w:val="B1F8E9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4F561F0"/>
    <w:multiLevelType w:val="hybridMultilevel"/>
    <w:tmpl w:val="A3768A7A"/>
    <w:lvl w:ilvl="0" w:tplc="B9684C12">
      <w:start w:val="3"/>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9786D73"/>
    <w:multiLevelType w:val="multilevel"/>
    <w:tmpl w:val="66C28B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B9C067B"/>
    <w:multiLevelType w:val="multilevel"/>
    <w:tmpl w:val="94A4D8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C070F50"/>
    <w:multiLevelType w:val="multilevel"/>
    <w:tmpl w:val="3F7829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C356B62"/>
    <w:multiLevelType w:val="multilevel"/>
    <w:tmpl w:val="DCF8AC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C425FCB"/>
    <w:multiLevelType w:val="multilevel"/>
    <w:tmpl w:val="7376EA7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3CF53997"/>
    <w:multiLevelType w:val="multilevel"/>
    <w:tmpl w:val="0FE8A9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E591899"/>
    <w:multiLevelType w:val="multilevel"/>
    <w:tmpl w:val="958EFF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1326130"/>
    <w:multiLevelType w:val="multilevel"/>
    <w:tmpl w:val="6F1E40D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416E4FE3"/>
    <w:multiLevelType w:val="hybridMultilevel"/>
    <w:tmpl w:val="1EF033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3EA3256"/>
    <w:multiLevelType w:val="multilevel"/>
    <w:tmpl w:val="9A0680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8442CBF"/>
    <w:multiLevelType w:val="multilevel"/>
    <w:tmpl w:val="C3D4220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4A316F6A"/>
    <w:multiLevelType w:val="multilevel"/>
    <w:tmpl w:val="08C83E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4A991ADF"/>
    <w:multiLevelType w:val="hybridMultilevel"/>
    <w:tmpl w:val="3BF489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AC665A7"/>
    <w:multiLevelType w:val="multilevel"/>
    <w:tmpl w:val="274854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4B885BED"/>
    <w:multiLevelType w:val="hybridMultilevel"/>
    <w:tmpl w:val="0FA23A0E"/>
    <w:lvl w:ilvl="0" w:tplc="68C4C3E8">
      <w:start w:val="3"/>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C077653"/>
    <w:multiLevelType w:val="multilevel"/>
    <w:tmpl w:val="3FDA1C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4C367585"/>
    <w:multiLevelType w:val="multilevel"/>
    <w:tmpl w:val="6ECCE1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4F6935CD"/>
    <w:multiLevelType w:val="multilevel"/>
    <w:tmpl w:val="911A30F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508A7AEB"/>
    <w:multiLevelType w:val="multilevel"/>
    <w:tmpl w:val="A7EC7A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565D6C8B"/>
    <w:multiLevelType w:val="multilevel"/>
    <w:tmpl w:val="D00E57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5BAD536E"/>
    <w:multiLevelType w:val="hybridMultilevel"/>
    <w:tmpl w:val="AE6624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5BC8457A"/>
    <w:multiLevelType w:val="multilevel"/>
    <w:tmpl w:val="33B2B3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5EB34AB1"/>
    <w:multiLevelType w:val="hybridMultilevel"/>
    <w:tmpl w:val="3CCA66D4"/>
    <w:lvl w:ilvl="0" w:tplc="574C5A5E">
      <w:start w:val="3"/>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79D41E1"/>
    <w:multiLevelType w:val="multilevel"/>
    <w:tmpl w:val="50D8E6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69011E52"/>
    <w:multiLevelType w:val="multilevel"/>
    <w:tmpl w:val="C71C0DD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69313A60"/>
    <w:multiLevelType w:val="multilevel"/>
    <w:tmpl w:val="4D96E2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6A272ED6"/>
    <w:multiLevelType w:val="multilevel"/>
    <w:tmpl w:val="291A22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6B945060"/>
    <w:multiLevelType w:val="multilevel"/>
    <w:tmpl w:val="5B96E9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6DDC5825"/>
    <w:multiLevelType w:val="multilevel"/>
    <w:tmpl w:val="92B226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75B33838"/>
    <w:multiLevelType w:val="hybridMultilevel"/>
    <w:tmpl w:val="FA624D2E"/>
    <w:lvl w:ilvl="0" w:tplc="BDFAD334">
      <w:start w:val="3"/>
      <w:numFmt w:val="bullet"/>
      <w:lvlText w:val="-"/>
      <w:lvlJc w:val="left"/>
      <w:pPr>
        <w:ind w:left="720" w:hanging="360"/>
      </w:pPr>
      <w:rPr>
        <w:rFonts w:ascii="Garamond" w:eastAsiaTheme="minorHAnsi" w:hAnsi="Garamond"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7C34809"/>
    <w:multiLevelType w:val="multilevel"/>
    <w:tmpl w:val="674E89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7E7A5A96"/>
    <w:multiLevelType w:val="multilevel"/>
    <w:tmpl w:val="0E02B1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4"/>
  </w:num>
  <w:num w:numId="2">
    <w:abstractNumId w:val="19"/>
  </w:num>
  <w:num w:numId="3">
    <w:abstractNumId w:val="24"/>
  </w:num>
  <w:num w:numId="4">
    <w:abstractNumId w:val="27"/>
  </w:num>
  <w:num w:numId="5">
    <w:abstractNumId w:val="18"/>
  </w:num>
  <w:num w:numId="6">
    <w:abstractNumId w:val="8"/>
  </w:num>
  <w:num w:numId="7">
    <w:abstractNumId w:val="31"/>
  </w:num>
  <w:num w:numId="8">
    <w:abstractNumId w:val="9"/>
  </w:num>
  <w:num w:numId="9">
    <w:abstractNumId w:val="45"/>
  </w:num>
  <w:num w:numId="10">
    <w:abstractNumId w:val="20"/>
  </w:num>
  <w:num w:numId="11">
    <w:abstractNumId w:val="43"/>
  </w:num>
  <w:num w:numId="12">
    <w:abstractNumId w:val="33"/>
  </w:num>
  <w:num w:numId="13">
    <w:abstractNumId w:val="6"/>
  </w:num>
  <w:num w:numId="14">
    <w:abstractNumId w:val="46"/>
  </w:num>
  <w:num w:numId="15">
    <w:abstractNumId w:val="15"/>
  </w:num>
  <w:num w:numId="16">
    <w:abstractNumId w:val="34"/>
  </w:num>
  <w:num w:numId="17">
    <w:abstractNumId w:val="14"/>
  </w:num>
  <w:num w:numId="18">
    <w:abstractNumId w:val="21"/>
  </w:num>
  <w:num w:numId="19">
    <w:abstractNumId w:val="1"/>
  </w:num>
  <w:num w:numId="20">
    <w:abstractNumId w:val="22"/>
  </w:num>
  <w:num w:numId="21">
    <w:abstractNumId w:val="23"/>
  </w:num>
  <w:num w:numId="22">
    <w:abstractNumId w:val="16"/>
  </w:num>
  <w:num w:numId="23">
    <w:abstractNumId w:val="3"/>
  </w:num>
  <w:num w:numId="24">
    <w:abstractNumId w:val="0"/>
  </w:num>
  <w:num w:numId="25">
    <w:abstractNumId w:val="25"/>
  </w:num>
  <w:num w:numId="26">
    <w:abstractNumId w:val="39"/>
  </w:num>
  <w:num w:numId="27">
    <w:abstractNumId w:val="28"/>
  </w:num>
  <w:num w:numId="28">
    <w:abstractNumId w:val="37"/>
  </w:num>
  <w:num w:numId="29">
    <w:abstractNumId w:val="35"/>
  </w:num>
  <w:num w:numId="30">
    <w:abstractNumId w:val="5"/>
  </w:num>
  <w:num w:numId="31">
    <w:abstractNumId w:val="32"/>
  </w:num>
  <w:num w:numId="32">
    <w:abstractNumId w:val="47"/>
  </w:num>
  <w:num w:numId="33">
    <w:abstractNumId w:val="40"/>
  </w:num>
  <w:num w:numId="34">
    <w:abstractNumId w:val="17"/>
  </w:num>
  <w:num w:numId="35">
    <w:abstractNumId w:val="26"/>
  </w:num>
  <w:num w:numId="36">
    <w:abstractNumId w:val="12"/>
  </w:num>
  <w:num w:numId="37">
    <w:abstractNumId w:val="41"/>
  </w:num>
  <w:num w:numId="38">
    <w:abstractNumId w:val="10"/>
  </w:num>
  <w:num w:numId="39">
    <w:abstractNumId w:val="2"/>
  </w:num>
  <w:num w:numId="40">
    <w:abstractNumId w:val="48"/>
  </w:num>
  <w:num w:numId="41">
    <w:abstractNumId w:val="4"/>
  </w:num>
  <w:num w:numId="42">
    <w:abstractNumId w:val="36"/>
  </w:num>
  <w:num w:numId="43">
    <w:abstractNumId w:val="49"/>
  </w:num>
  <w:num w:numId="44">
    <w:abstractNumId w:val="42"/>
  </w:num>
  <w:num w:numId="45">
    <w:abstractNumId w:val="11"/>
  </w:num>
  <w:num w:numId="46">
    <w:abstractNumId w:val="38"/>
  </w:num>
  <w:num w:numId="47">
    <w:abstractNumId w:val="30"/>
  </w:num>
  <w:num w:numId="48">
    <w:abstractNumId w:val="7"/>
  </w:num>
  <w:num w:numId="49">
    <w:abstractNumId w:val="13"/>
  </w:num>
  <w:num w:numId="50">
    <w:abstractNumId w:val="29"/>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F5695"/>
    <w:rsid w:val="0000487B"/>
    <w:rsid w:val="0000543F"/>
    <w:rsid w:val="00015591"/>
    <w:rsid w:val="00042A29"/>
    <w:rsid w:val="0009687A"/>
    <w:rsid w:val="000B4F46"/>
    <w:rsid w:val="001514E3"/>
    <w:rsid w:val="00160E0E"/>
    <w:rsid w:val="001D3F26"/>
    <w:rsid w:val="001D4239"/>
    <w:rsid w:val="001E54A5"/>
    <w:rsid w:val="001F5695"/>
    <w:rsid w:val="0020798C"/>
    <w:rsid w:val="00210E6B"/>
    <w:rsid w:val="00226FA9"/>
    <w:rsid w:val="00262A89"/>
    <w:rsid w:val="002C4203"/>
    <w:rsid w:val="00335E3E"/>
    <w:rsid w:val="00341FE9"/>
    <w:rsid w:val="0034267B"/>
    <w:rsid w:val="00355805"/>
    <w:rsid w:val="003B09A3"/>
    <w:rsid w:val="003B1758"/>
    <w:rsid w:val="00466DBA"/>
    <w:rsid w:val="004837C5"/>
    <w:rsid w:val="00485C9B"/>
    <w:rsid w:val="004A7280"/>
    <w:rsid w:val="004D0C31"/>
    <w:rsid w:val="004D6935"/>
    <w:rsid w:val="004D78C8"/>
    <w:rsid w:val="005A1ED8"/>
    <w:rsid w:val="005C76EC"/>
    <w:rsid w:val="005F3F2F"/>
    <w:rsid w:val="00602E1B"/>
    <w:rsid w:val="00606C2C"/>
    <w:rsid w:val="00607927"/>
    <w:rsid w:val="006D4D23"/>
    <w:rsid w:val="0077523A"/>
    <w:rsid w:val="00781E57"/>
    <w:rsid w:val="00793636"/>
    <w:rsid w:val="007B3B4A"/>
    <w:rsid w:val="007B6B03"/>
    <w:rsid w:val="007D3449"/>
    <w:rsid w:val="007E65E6"/>
    <w:rsid w:val="00826FE8"/>
    <w:rsid w:val="00847676"/>
    <w:rsid w:val="008774C6"/>
    <w:rsid w:val="00896D47"/>
    <w:rsid w:val="008E4450"/>
    <w:rsid w:val="0090655B"/>
    <w:rsid w:val="00930E9F"/>
    <w:rsid w:val="00991618"/>
    <w:rsid w:val="009B3D3B"/>
    <w:rsid w:val="00A13EB9"/>
    <w:rsid w:val="00A22285"/>
    <w:rsid w:val="00A266A3"/>
    <w:rsid w:val="00A32D67"/>
    <w:rsid w:val="00A73B9B"/>
    <w:rsid w:val="00A90152"/>
    <w:rsid w:val="00AA5229"/>
    <w:rsid w:val="00AA59C1"/>
    <w:rsid w:val="00AB50D8"/>
    <w:rsid w:val="00B4577D"/>
    <w:rsid w:val="00B62637"/>
    <w:rsid w:val="00B8623F"/>
    <w:rsid w:val="00B96EC3"/>
    <w:rsid w:val="00BB6C37"/>
    <w:rsid w:val="00C26FC6"/>
    <w:rsid w:val="00C417C0"/>
    <w:rsid w:val="00C60F6E"/>
    <w:rsid w:val="00C871D2"/>
    <w:rsid w:val="00C92C37"/>
    <w:rsid w:val="00CB574C"/>
    <w:rsid w:val="00CD3D04"/>
    <w:rsid w:val="00CD6C00"/>
    <w:rsid w:val="00CF39EA"/>
    <w:rsid w:val="00D5719F"/>
    <w:rsid w:val="00D83D27"/>
    <w:rsid w:val="00DA4D0F"/>
    <w:rsid w:val="00DC4484"/>
    <w:rsid w:val="00DC7CBA"/>
    <w:rsid w:val="00DE3942"/>
    <w:rsid w:val="00DF0D7F"/>
    <w:rsid w:val="00E231E2"/>
    <w:rsid w:val="00E25F10"/>
    <w:rsid w:val="00E47AD8"/>
    <w:rsid w:val="00E71642"/>
    <w:rsid w:val="00E91958"/>
    <w:rsid w:val="00E97B20"/>
    <w:rsid w:val="00EE7853"/>
    <w:rsid w:val="00EF3A20"/>
    <w:rsid w:val="00F30E17"/>
    <w:rsid w:val="00F31D87"/>
    <w:rsid w:val="00F55CE0"/>
    <w:rsid w:val="00F653EF"/>
    <w:rsid w:val="00F82796"/>
    <w:rsid w:val="00F84E99"/>
    <w:rsid w:val="00F90F97"/>
    <w:rsid w:val="00F97491"/>
    <w:rsid w:val="00FB456E"/>
    <w:rsid w:val="00FE5A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D8BFFF3"/>
  <w15:chartTrackingRefBased/>
  <w15:docId w15:val="{022E1A39-AC9A-414E-839C-C0734A929F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F5695"/>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rsid w:val="001F5695"/>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1F5695"/>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1F5695"/>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1F5695"/>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1F569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F569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F569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F569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F5695"/>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1F5695"/>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1F5695"/>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1F5695"/>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1F5695"/>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1F569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F569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F569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F5695"/>
    <w:rPr>
      <w:rFonts w:eastAsiaTheme="majorEastAsia" w:cstheme="majorBidi"/>
      <w:color w:val="272727" w:themeColor="text1" w:themeTint="D8"/>
    </w:rPr>
  </w:style>
  <w:style w:type="paragraph" w:styleId="Title">
    <w:name w:val="Title"/>
    <w:basedOn w:val="Normal"/>
    <w:next w:val="Normal"/>
    <w:link w:val="TitleChar"/>
    <w:uiPriority w:val="10"/>
    <w:qFormat/>
    <w:rsid w:val="001F569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F569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F569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F569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F5695"/>
    <w:pPr>
      <w:spacing w:before="160"/>
      <w:jc w:val="center"/>
    </w:pPr>
    <w:rPr>
      <w:i/>
      <w:iCs/>
      <w:color w:val="404040" w:themeColor="text1" w:themeTint="BF"/>
    </w:rPr>
  </w:style>
  <w:style w:type="character" w:customStyle="1" w:styleId="QuoteChar">
    <w:name w:val="Quote Char"/>
    <w:basedOn w:val="DefaultParagraphFont"/>
    <w:link w:val="Quote"/>
    <w:uiPriority w:val="29"/>
    <w:rsid w:val="001F5695"/>
    <w:rPr>
      <w:i/>
      <w:iCs/>
      <w:color w:val="404040" w:themeColor="text1" w:themeTint="BF"/>
    </w:rPr>
  </w:style>
  <w:style w:type="paragraph" w:styleId="ListParagraph">
    <w:name w:val="List Paragraph"/>
    <w:basedOn w:val="Normal"/>
    <w:uiPriority w:val="34"/>
    <w:qFormat/>
    <w:rsid w:val="001F5695"/>
    <w:pPr>
      <w:ind w:left="720"/>
      <w:contextualSpacing/>
    </w:pPr>
  </w:style>
  <w:style w:type="character" w:styleId="IntenseEmphasis">
    <w:name w:val="Intense Emphasis"/>
    <w:basedOn w:val="DefaultParagraphFont"/>
    <w:uiPriority w:val="21"/>
    <w:qFormat/>
    <w:rsid w:val="001F5695"/>
    <w:rPr>
      <w:i/>
      <w:iCs/>
      <w:color w:val="2F5496" w:themeColor="accent1" w:themeShade="BF"/>
    </w:rPr>
  </w:style>
  <w:style w:type="paragraph" w:styleId="IntenseQuote">
    <w:name w:val="Intense Quote"/>
    <w:basedOn w:val="Normal"/>
    <w:next w:val="Normal"/>
    <w:link w:val="IntenseQuoteChar"/>
    <w:uiPriority w:val="30"/>
    <w:qFormat/>
    <w:rsid w:val="001F5695"/>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1F5695"/>
    <w:rPr>
      <w:i/>
      <w:iCs/>
      <w:color w:val="2F5496" w:themeColor="accent1" w:themeShade="BF"/>
    </w:rPr>
  </w:style>
  <w:style w:type="character" w:styleId="IntenseReference">
    <w:name w:val="Intense Reference"/>
    <w:basedOn w:val="DefaultParagraphFont"/>
    <w:uiPriority w:val="32"/>
    <w:qFormat/>
    <w:rsid w:val="001F5695"/>
    <w:rPr>
      <w:b/>
      <w:bCs/>
      <w:smallCaps/>
      <w:color w:val="2F5496" w:themeColor="accent1" w:themeShade="BF"/>
      <w:spacing w:val="5"/>
    </w:rPr>
  </w:style>
  <w:style w:type="character" w:styleId="Hyperlink">
    <w:name w:val="Hyperlink"/>
    <w:basedOn w:val="DefaultParagraphFont"/>
    <w:uiPriority w:val="99"/>
    <w:unhideWhenUsed/>
    <w:rsid w:val="00485C9B"/>
    <w:rPr>
      <w:color w:val="0563C1" w:themeColor="hyperlink"/>
      <w:u w:val="single"/>
    </w:rPr>
  </w:style>
  <w:style w:type="character" w:customStyle="1" w:styleId="UnresolvedMention1">
    <w:name w:val="Unresolved Mention1"/>
    <w:basedOn w:val="DefaultParagraphFont"/>
    <w:uiPriority w:val="99"/>
    <w:semiHidden/>
    <w:unhideWhenUsed/>
    <w:rsid w:val="00485C9B"/>
    <w:rPr>
      <w:color w:val="605E5C"/>
      <w:shd w:val="clear" w:color="auto" w:fill="E1DFDD"/>
    </w:rPr>
  </w:style>
  <w:style w:type="paragraph" w:styleId="NormalWeb">
    <w:name w:val="Normal (Web)"/>
    <w:basedOn w:val="Normal"/>
    <w:uiPriority w:val="99"/>
    <w:unhideWhenUsed/>
    <w:rsid w:val="00793636"/>
    <w:rPr>
      <w:rFonts w:ascii="Times New Roman" w:hAnsi="Times New Roman" w:cs="Times New Roman"/>
    </w:rPr>
  </w:style>
  <w:style w:type="paragraph" w:styleId="Caption">
    <w:name w:val="caption"/>
    <w:basedOn w:val="Normal"/>
    <w:next w:val="Normal"/>
    <w:link w:val="CaptionChar"/>
    <w:uiPriority w:val="35"/>
    <w:unhideWhenUsed/>
    <w:qFormat/>
    <w:rsid w:val="007B3B4A"/>
    <w:pPr>
      <w:spacing w:after="200" w:line="240" w:lineRule="auto"/>
    </w:pPr>
    <w:rPr>
      <w:i/>
      <w:iCs/>
      <w:color w:val="44546A" w:themeColor="text2"/>
      <w:sz w:val="18"/>
      <w:szCs w:val="18"/>
    </w:rPr>
  </w:style>
  <w:style w:type="character" w:customStyle="1" w:styleId="CaptionChar">
    <w:name w:val="Caption Char"/>
    <w:basedOn w:val="DefaultParagraphFont"/>
    <w:link w:val="Caption"/>
    <w:uiPriority w:val="35"/>
    <w:rsid w:val="007B3B4A"/>
    <w:rPr>
      <w:i/>
      <w:iCs/>
      <w:color w:val="44546A" w:themeColor="text2"/>
      <w:sz w:val="18"/>
      <w:szCs w:val="18"/>
    </w:rPr>
  </w:style>
  <w:style w:type="paragraph" w:customStyle="1" w:styleId="MyFigure">
    <w:name w:val="My Figure"/>
    <w:basedOn w:val="Caption"/>
    <w:next w:val="Caption"/>
    <w:link w:val="MyFigureChar"/>
    <w:autoRedefine/>
    <w:qFormat/>
    <w:rsid w:val="00CF39EA"/>
    <w:pPr>
      <w:spacing w:line="360" w:lineRule="auto"/>
      <w:jc w:val="both"/>
    </w:pPr>
    <w:rPr>
      <w:rFonts w:ascii="Garamond" w:hAnsi="Garamond" w:cs="Times New Roman"/>
      <w:b/>
      <w:bCs/>
      <w:i w:val="0"/>
    </w:rPr>
  </w:style>
  <w:style w:type="character" w:customStyle="1" w:styleId="MyFigureChar">
    <w:name w:val="My Figure Char"/>
    <w:basedOn w:val="CaptionChar"/>
    <w:link w:val="MyFigure"/>
    <w:rsid w:val="00CF39EA"/>
    <w:rPr>
      <w:rFonts w:ascii="Garamond" w:hAnsi="Garamond" w:cs="Times New Roman"/>
      <w:b/>
      <w:bCs/>
      <w:i w:val="0"/>
      <w:iCs/>
      <w:color w:val="44546A" w:themeColor="text2"/>
      <w:sz w:val="18"/>
      <w:szCs w:val="18"/>
    </w:rPr>
  </w:style>
  <w:style w:type="paragraph" w:styleId="Header">
    <w:name w:val="header"/>
    <w:basedOn w:val="Normal"/>
    <w:link w:val="HeaderChar"/>
    <w:uiPriority w:val="99"/>
    <w:unhideWhenUsed/>
    <w:rsid w:val="00A13EB9"/>
    <w:pPr>
      <w:tabs>
        <w:tab w:val="center" w:pos="4680"/>
        <w:tab w:val="right" w:pos="9360"/>
      </w:tabs>
      <w:spacing w:after="0" w:line="240" w:lineRule="auto"/>
    </w:pPr>
  </w:style>
  <w:style w:type="character" w:customStyle="1" w:styleId="HeaderChar">
    <w:name w:val="Header Char"/>
    <w:basedOn w:val="DefaultParagraphFont"/>
    <w:link w:val="Header"/>
    <w:uiPriority w:val="99"/>
    <w:rsid w:val="00A13EB9"/>
  </w:style>
  <w:style w:type="paragraph" w:styleId="Footer">
    <w:name w:val="footer"/>
    <w:basedOn w:val="Normal"/>
    <w:link w:val="FooterChar"/>
    <w:uiPriority w:val="99"/>
    <w:unhideWhenUsed/>
    <w:rsid w:val="00A13EB9"/>
    <w:pPr>
      <w:tabs>
        <w:tab w:val="center" w:pos="4680"/>
        <w:tab w:val="right" w:pos="9360"/>
      </w:tabs>
      <w:spacing w:after="0" w:line="240" w:lineRule="auto"/>
    </w:pPr>
  </w:style>
  <w:style w:type="character" w:customStyle="1" w:styleId="FooterChar">
    <w:name w:val="Footer Char"/>
    <w:basedOn w:val="DefaultParagraphFont"/>
    <w:link w:val="Footer"/>
    <w:uiPriority w:val="99"/>
    <w:rsid w:val="00A13EB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704044">
      <w:bodyDiv w:val="1"/>
      <w:marLeft w:val="0"/>
      <w:marRight w:val="0"/>
      <w:marTop w:val="0"/>
      <w:marBottom w:val="0"/>
      <w:divBdr>
        <w:top w:val="none" w:sz="0" w:space="0" w:color="auto"/>
        <w:left w:val="none" w:sz="0" w:space="0" w:color="auto"/>
        <w:bottom w:val="none" w:sz="0" w:space="0" w:color="auto"/>
        <w:right w:val="none" w:sz="0" w:space="0" w:color="auto"/>
      </w:divBdr>
    </w:div>
    <w:div w:id="98574558">
      <w:bodyDiv w:val="1"/>
      <w:marLeft w:val="0"/>
      <w:marRight w:val="0"/>
      <w:marTop w:val="0"/>
      <w:marBottom w:val="0"/>
      <w:divBdr>
        <w:top w:val="none" w:sz="0" w:space="0" w:color="auto"/>
        <w:left w:val="none" w:sz="0" w:space="0" w:color="auto"/>
        <w:bottom w:val="none" w:sz="0" w:space="0" w:color="auto"/>
        <w:right w:val="none" w:sz="0" w:space="0" w:color="auto"/>
      </w:divBdr>
    </w:div>
    <w:div w:id="101732254">
      <w:bodyDiv w:val="1"/>
      <w:marLeft w:val="0"/>
      <w:marRight w:val="0"/>
      <w:marTop w:val="0"/>
      <w:marBottom w:val="0"/>
      <w:divBdr>
        <w:top w:val="none" w:sz="0" w:space="0" w:color="auto"/>
        <w:left w:val="none" w:sz="0" w:space="0" w:color="auto"/>
        <w:bottom w:val="none" w:sz="0" w:space="0" w:color="auto"/>
        <w:right w:val="none" w:sz="0" w:space="0" w:color="auto"/>
      </w:divBdr>
    </w:div>
    <w:div w:id="123891375">
      <w:bodyDiv w:val="1"/>
      <w:marLeft w:val="0"/>
      <w:marRight w:val="0"/>
      <w:marTop w:val="0"/>
      <w:marBottom w:val="0"/>
      <w:divBdr>
        <w:top w:val="none" w:sz="0" w:space="0" w:color="auto"/>
        <w:left w:val="none" w:sz="0" w:space="0" w:color="auto"/>
        <w:bottom w:val="none" w:sz="0" w:space="0" w:color="auto"/>
        <w:right w:val="none" w:sz="0" w:space="0" w:color="auto"/>
      </w:divBdr>
    </w:div>
    <w:div w:id="170798357">
      <w:bodyDiv w:val="1"/>
      <w:marLeft w:val="0"/>
      <w:marRight w:val="0"/>
      <w:marTop w:val="0"/>
      <w:marBottom w:val="0"/>
      <w:divBdr>
        <w:top w:val="none" w:sz="0" w:space="0" w:color="auto"/>
        <w:left w:val="none" w:sz="0" w:space="0" w:color="auto"/>
        <w:bottom w:val="none" w:sz="0" w:space="0" w:color="auto"/>
        <w:right w:val="none" w:sz="0" w:space="0" w:color="auto"/>
      </w:divBdr>
      <w:divsChild>
        <w:div w:id="1422724149">
          <w:marLeft w:val="0"/>
          <w:marRight w:val="0"/>
          <w:marTop w:val="0"/>
          <w:marBottom w:val="0"/>
          <w:divBdr>
            <w:top w:val="none" w:sz="0" w:space="0" w:color="auto"/>
            <w:left w:val="none" w:sz="0" w:space="0" w:color="auto"/>
            <w:bottom w:val="none" w:sz="0" w:space="0" w:color="auto"/>
            <w:right w:val="none" w:sz="0" w:space="0" w:color="auto"/>
          </w:divBdr>
        </w:div>
      </w:divsChild>
    </w:div>
    <w:div w:id="182132448">
      <w:bodyDiv w:val="1"/>
      <w:marLeft w:val="0"/>
      <w:marRight w:val="0"/>
      <w:marTop w:val="0"/>
      <w:marBottom w:val="0"/>
      <w:divBdr>
        <w:top w:val="none" w:sz="0" w:space="0" w:color="auto"/>
        <w:left w:val="none" w:sz="0" w:space="0" w:color="auto"/>
        <w:bottom w:val="none" w:sz="0" w:space="0" w:color="auto"/>
        <w:right w:val="none" w:sz="0" w:space="0" w:color="auto"/>
      </w:divBdr>
    </w:div>
    <w:div w:id="185412225">
      <w:bodyDiv w:val="1"/>
      <w:marLeft w:val="0"/>
      <w:marRight w:val="0"/>
      <w:marTop w:val="0"/>
      <w:marBottom w:val="0"/>
      <w:divBdr>
        <w:top w:val="none" w:sz="0" w:space="0" w:color="auto"/>
        <w:left w:val="none" w:sz="0" w:space="0" w:color="auto"/>
        <w:bottom w:val="none" w:sz="0" w:space="0" w:color="auto"/>
        <w:right w:val="none" w:sz="0" w:space="0" w:color="auto"/>
      </w:divBdr>
    </w:div>
    <w:div w:id="218252333">
      <w:bodyDiv w:val="1"/>
      <w:marLeft w:val="0"/>
      <w:marRight w:val="0"/>
      <w:marTop w:val="0"/>
      <w:marBottom w:val="0"/>
      <w:divBdr>
        <w:top w:val="none" w:sz="0" w:space="0" w:color="auto"/>
        <w:left w:val="none" w:sz="0" w:space="0" w:color="auto"/>
        <w:bottom w:val="none" w:sz="0" w:space="0" w:color="auto"/>
        <w:right w:val="none" w:sz="0" w:space="0" w:color="auto"/>
      </w:divBdr>
      <w:divsChild>
        <w:div w:id="116910214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35013232">
      <w:bodyDiv w:val="1"/>
      <w:marLeft w:val="0"/>
      <w:marRight w:val="0"/>
      <w:marTop w:val="0"/>
      <w:marBottom w:val="0"/>
      <w:divBdr>
        <w:top w:val="none" w:sz="0" w:space="0" w:color="auto"/>
        <w:left w:val="none" w:sz="0" w:space="0" w:color="auto"/>
        <w:bottom w:val="none" w:sz="0" w:space="0" w:color="auto"/>
        <w:right w:val="none" w:sz="0" w:space="0" w:color="auto"/>
      </w:divBdr>
    </w:div>
    <w:div w:id="243269708">
      <w:bodyDiv w:val="1"/>
      <w:marLeft w:val="0"/>
      <w:marRight w:val="0"/>
      <w:marTop w:val="0"/>
      <w:marBottom w:val="0"/>
      <w:divBdr>
        <w:top w:val="none" w:sz="0" w:space="0" w:color="auto"/>
        <w:left w:val="none" w:sz="0" w:space="0" w:color="auto"/>
        <w:bottom w:val="none" w:sz="0" w:space="0" w:color="auto"/>
        <w:right w:val="none" w:sz="0" w:space="0" w:color="auto"/>
      </w:divBdr>
    </w:div>
    <w:div w:id="243953043">
      <w:bodyDiv w:val="1"/>
      <w:marLeft w:val="0"/>
      <w:marRight w:val="0"/>
      <w:marTop w:val="0"/>
      <w:marBottom w:val="0"/>
      <w:divBdr>
        <w:top w:val="none" w:sz="0" w:space="0" w:color="auto"/>
        <w:left w:val="none" w:sz="0" w:space="0" w:color="auto"/>
        <w:bottom w:val="none" w:sz="0" w:space="0" w:color="auto"/>
        <w:right w:val="none" w:sz="0" w:space="0" w:color="auto"/>
      </w:divBdr>
    </w:div>
    <w:div w:id="289898182">
      <w:bodyDiv w:val="1"/>
      <w:marLeft w:val="0"/>
      <w:marRight w:val="0"/>
      <w:marTop w:val="0"/>
      <w:marBottom w:val="0"/>
      <w:divBdr>
        <w:top w:val="none" w:sz="0" w:space="0" w:color="auto"/>
        <w:left w:val="none" w:sz="0" w:space="0" w:color="auto"/>
        <w:bottom w:val="none" w:sz="0" w:space="0" w:color="auto"/>
        <w:right w:val="none" w:sz="0" w:space="0" w:color="auto"/>
      </w:divBdr>
    </w:div>
    <w:div w:id="291904929">
      <w:bodyDiv w:val="1"/>
      <w:marLeft w:val="0"/>
      <w:marRight w:val="0"/>
      <w:marTop w:val="0"/>
      <w:marBottom w:val="0"/>
      <w:divBdr>
        <w:top w:val="none" w:sz="0" w:space="0" w:color="auto"/>
        <w:left w:val="none" w:sz="0" w:space="0" w:color="auto"/>
        <w:bottom w:val="none" w:sz="0" w:space="0" w:color="auto"/>
        <w:right w:val="none" w:sz="0" w:space="0" w:color="auto"/>
      </w:divBdr>
    </w:div>
    <w:div w:id="311107752">
      <w:bodyDiv w:val="1"/>
      <w:marLeft w:val="0"/>
      <w:marRight w:val="0"/>
      <w:marTop w:val="0"/>
      <w:marBottom w:val="0"/>
      <w:divBdr>
        <w:top w:val="none" w:sz="0" w:space="0" w:color="auto"/>
        <w:left w:val="none" w:sz="0" w:space="0" w:color="auto"/>
        <w:bottom w:val="none" w:sz="0" w:space="0" w:color="auto"/>
        <w:right w:val="none" w:sz="0" w:space="0" w:color="auto"/>
      </w:divBdr>
    </w:div>
    <w:div w:id="353192418">
      <w:bodyDiv w:val="1"/>
      <w:marLeft w:val="0"/>
      <w:marRight w:val="0"/>
      <w:marTop w:val="0"/>
      <w:marBottom w:val="0"/>
      <w:divBdr>
        <w:top w:val="none" w:sz="0" w:space="0" w:color="auto"/>
        <w:left w:val="none" w:sz="0" w:space="0" w:color="auto"/>
        <w:bottom w:val="none" w:sz="0" w:space="0" w:color="auto"/>
        <w:right w:val="none" w:sz="0" w:space="0" w:color="auto"/>
      </w:divBdr>
      <w:divsChild>
        <w:div w:id="25646475">
          <w:marLeft w:val="0"/>
          <w:marRight w:val="0"/>
          <w:marTop w:val="0"/>
          <w:marBottom w:val="0"/>
          <w:divBdr>
            <w:top w:val="none" w:sz="0" w:space="0" w:color="auto"/>
            <w:left w:val="none" w:sz="0" w:space="0" w:color="auto"/>
            <w:bottom w:val="none" w:sz="0" w:space="0" w:color="auto"/>
            <w:right w:val="none" w:sz="0" w:space="0" w:color="auto"/>
          </w:divBdr>
        </w:div>
      </w:divsChild>
    </w:div>
    <w:div w:id="432480311">
      <w:bodyDiv w:val="1"/>
      <w:marLeft w:val="0"/>
      <w:marRight w:val="0"/>
      <w:marTop w:val="0"/>
      <w:marBottom w:val="0"/>
      <w:divBdr>
        <w:top w:val="none" w:sz="0" w:space="0" w:color="auto"/>
        <w:left w:val="none" w:sz="0" w:space="0" w:color="auto"/>
        <w:bottom w:val="none" w:sz="0" w:space="0" w:color="auto"/>
        <w:right w:val="none" w:sz="0" w:space="0" w:color="auto"/>
      </w:divBdr>
    </w:div>
    <w:div w:id="494805290">
      <w:bodyDiv w:val="1"/>
      <w:marLeft w:val="0"/>
      <w:marRight w:val="0"/>
      <w:marTop w:val="0"/>
      <w:marBottom w:val="0"/>
      <w:divBdr>
        <w:top w:val="none" w:sz="0" w:space="0" w:color="auto"/>
        <w:left w:val="none" w:sz="0" w:space="0" w:color="auto"/>
        <w:bottom w:val="none" w:sz="0" w:space="0" w:color="auto"/>
        <w:right w:val="none" w:sz="0" w:space="0" w:color="auto"/>
      </w:divBdr>
    </w:div>
    <w:div w:id="513496318">
      <w:bodyDiv w:val="1"/>
      <w:marLeft w:val="0"/>
      <w:marRight w:val="0"/>
      <w:marTop w:val="0"/>
      <w:marBottom w:val="0"/>
      <w:divBdr>
        <w:top w:val="none" w:sz="0" w:space="0" w:color="auto"/>
        <w:left w:val="none" w:sz="0" w:space="0" w:color="auto"/>
        <w:bottom w:val="none" w:sz="0" w:space="0" w:color="auto"/>
        <w:right w:val="none" w:sz="0" w:space="0" w:color="auto"/>
      </w:divBdr>
    </w:div>
    <w:div w:id="553852973">
      <w:bodyDiv w:val="1"/>
      <w:marLeft w:val="0"/>
      <w:marRight w:val="0"/>
      <w:marTop w:val="0"/>
      <w:marBottom w:val="0"/>
      <w:divBdr>
        <w:top w:val="none" w:sz="0" w:space="0" w:color="auto"/>
        <w:left w:val="none" w:sz="0" w:space="0" w:color="auto"/>
        <w:bottom w:val="none" w:sz="0" w:space="0" w:color="auto"/>
        <w:right w:val="none" w:sz="0" w:space="0" w:color="auto"/>
      </w:divBdr>
    </w:div>
    <w:div w:id="589123704">
      <w:bodyDiv w:val="1"/>
      <w:marLeft w:val="0"/>
      <w:marRight w:val="0"/>
      <w:marTop w:val="0"/>
      <w:marBottom w:val="0"/>
      <w:divBdr>
        <w:top w:val="none" w:sz="0" w:space="0" w:color="auto"/>
        <w:left w:val="none" w:sz="0" w:space="0" w:color="auto"/>
        <w:bottom w:val="none" w:sz="0" w:space="0" w:color="auto"/>
        <w:right w:val="none" w:sz="0" w:space="0" w:color="auto"/>
      </w:divBdr>
    </w:div>
    <w:div w:id="613295179">
      <w:bodyDiv w:val="1"/>
      <w:marLeft w:val="0"/>
      <w:marRight w:val="0"/>
      <w:marTop w:val="0"/>
      <w:marBottom w:val="0"/>
      <w:divBdr>
        <w:top w:val="none" w:sz="0" w:space="0" w:color="auto"/>
        <w:left w:val="none" w:sz="0" w:space="0" w:color="auto"/>
        <w:bottom w:val="none" w:sz="0" w:space="0" w:color="auto"/>
        <w:right w:val="none" w:sz="0" w:space="0" w:color="auto"/>
      </w:divBdr>
    </w:div>
    <w:div w:id="674576265">
      <w:bodyDiv w:val="1"/>
      <w:marLeft w:val="0"/>
      <w:marRight w:val="0"/>
      <w:marTop w:val="0"/>
      <w:marBottom w:val="0"/>
      <w:divBdr>
        <w:top w:val="none" w:sz="0" w:space="0" w:color="auto"/>
        <w:left w:val="none" w:sz="0" w:space="0" w:color="auto"/>
        <w:bottom w:val="none" w:sz="0" w:space="0" w:color="auto"/>
        <w:right w:val="none" w:sz="0" w:space="0" w:color="auto"/>
      </w:divBdr>
      <w:divsChild>
        <w:div w:id="2009091859">
          <w:marLeft w:val="0"/>
          <w:marRight w:val="0"/>
          <w:marTop w:val="0"/>
          <w:marBottom w:val="0"/>
          <w:divBdr>
            <w:top w:val="none" w:sz="0" w:space="0" w:color="auto"/>
            <w:left w:val="none" w:sz="0" w:space="0" w:color="auto"/>
            <w:bottom w:val="none" w:sz="0" w:space="0" w:color="auto"/>
            <w:right w:val="none" w:sz="0" w:space="0" w:color="auto"/>
          </w:divBdr>
        </w:div>
      </w:divsChild>
    </w:div>
    <w:div w:id="915821392">
      <w:bodyDiv w:val="1"/>
      <w:marLeft w:val="0"/>
      <w:marRight w:val="0"/>
      <w:marTop w:val="0"/>
      <w:marBottom w:val="0"/>
      <w:divBdr>
        <w:top w:val="none" w:sz="0" w:space="0" w:color="auto"/>
        <w:left w:val="none" w:sz="0" w:space="0" w:color="auto"/>
        <w:bottom w:val="none" w:sz="0" w:space="0" w:color="auto"/>
        <w:right w:val="none" w:sz="0" w:space="0" w:color="auto"/>
      </w:divBdr>
    </w:div>
    <w:div w:id="976684989">
      <w:bodyDiv w:val="1"/>
      <w:marLeft w:val="0"/>
      <w:marRight w:val="0"/>
      <w:marTop w:val="0"/>
      <w:marBottom w:val="0"/>
      <w:divBdr>
        <w:top w:val="none" w:sz="0" w:space="0" w:color="auto"/>
        <w:left w:val="none" w:sz="0" w:space="0" w:color="auto"/>
        <w:bottom w:val="none" w:sz="0" w:space="0" w:color="auto"/>
        <w:right w:val="none" w:sz="0" w:space="0" w:color="auto"/>
      </w:divBdr>
    </w:div>
    <w:div w:id="989140930">
      <w:bodyDiv w:val="1"/>
      <w:marLeft w:val="0"/>
      <w:marRight w:val="0"/>
      <w:marTop w:val="0"/>
      <w:marBottom w:val="0"/>
      <w:divBdr>
        <w:top w:val="none" w:sz="0" w:space="0" w:color="auto"/>
        <w:left w:val="none" w:sz="0" w:space="0" w:color="auto"/>
        <w:bottom w:val="none" w:sz="0" w:space="0" w:color="auto"/>
        <w:right w:val="none" w:sz="0" w:space="0" w:color="auto"/>
      </w:divBdr>
    </w:div>
    <w:div w:id="1030882241">
      <w:bodyDiv w:val="1"/>
      <w:marLeft w:val="0"/>
      <w:marRight w:val="0"/>
      <w:marTop w:val="0"/>
      <w:marBottom w:val="0"/>
      <w:divBdr>
        <w:top w:val="none" w:sz="0" w:space="0" w:color="auto"/>
        <w:left w:val="none" w:sz="0" w:space="0" w:color="auto"/>
        <w:bottom w:val="none" w:sz="0" w:space="0" w:color="auto"/>
        <w:right w:val="none" w:sz="0" w:space="0" w:color="auto"/>
      </w:divBdr>
    </w:div>
    <w:div w:id="1045255317">
      <w:bodyDiv w:val="1"/>
      <w:marLeft w:val="0"/>
      <w:marRight w:val="0"/>
      <w:marTop w:val="0"/>
      <w:marBottom w:val="0"/>
      <w:divBdr>
        <w:top w:val="none" w:sz="0" w:space="0" w:color="auto"/>
        <w:left w:val="none" w:sz="0" w:space="0" w:color="auto"/>
        <w:bottom w:val="none" w:sz="0" w:space="0" w:color="auto"/>
        <w:right w:val="none" w:sz="0" w:space="0" w:color="auto"/>
      </w:divBdr>
    </w:div>
    <w:div w:id="1080061456">
      <w:bodyDiv w:val="1"/>
      <w:marLeft w:val="0"/>
      <w:marRight w:val="0"/>
      <w:marTop w:val="0"/>
      <w:marBottom w:val="0"/>
      <w:divBdr>
        <w:top w:val="none" w:sz="0" w:space="0" w:color="auto"/>
        <w:left w:val="none" w:sz="0" w:space="0" w:color="auto"/>
        <w:bottom w:val="none" w:sz="0" w:space="0" w:color="auto"/>
        <w:right w:val="none" w:sz="0" w:space="0" w:color="auto"/>
      </w:divBdr>
      <w:divsChild>
        <w:div w:id="1487823936">
          <w:marLeft w:val="0"/>
          <w:marRight w:val="0"/>
          <w:marTop w:val="0"/>
          <w:marBottom w:val="0"/>
          <w:divBdr>
            <w:top w:val="none" w:sz="0" w:space="0" w:color="auto"/>
            <w:left w:val="none" w:sz="0" w:space="0" w:color="auto"/>
            <w:bottom w:val="none" w:sz="0" w:space="0" w:color="auto"/>
            <w:right w:val="none" w:sz="0" w:space="0" w:color="auto"/>
          </w:divBdr>
          <w:divsChild>
            <w:div w:id="1606234418">
              <w:marLeft w:val="0"/>
              <w:marRight w:val="0"/>
              <w:marTop w:val="0"/>
              <w:marBottom w:val="0"/>
              <w:divBdr>
                <w:top w:val="none" w:sz="0" w:space="0" w:color="auto"/>
                <w:left w:val="none" w:sz="0" w:space="0" w:color="auto"/>
                <w:bottom w:val="none" w:sz="0" w:space="0" w:color="auto"/>
                <w:right w:val="none" w:sz="0" w:space="0" w:color="auto"/>
              </w:divBdr>
            </w:div>
          </w:divsChild>
        </w:div>
        <w:div w:id="904560216">
          <w:marLeft w:val="0"/>
          <w:marRight w:val="0"/>
          <w:marTop w:val="0"/>
          <w:marBottom w:val="0"/>
          <w:divBdr>
            <w:top w:val="none" w:sz="0" w:space="0" w:color="auto"/>
            <w:left w:val="none" w:sz="0" w:space="0" w:color="auto"/>
            <w:bottom w:val="none" w:sz="0" w:space="0" w:color="auto"/>
            <w:right w:val="none" w:sz="0" w:space="0" w:color="auto"/>
          </w:divBdr>
          <w:divsChild>
            <w:div w:id="1600016768">
              <w:marLeft w:val="0"/>
              <w:marRight w:val="0"/>
              <w:marTop w:val="0"/>
              <w:marBottom w:val="0"/>
              <w:divBdr>
                <w:top w:val="none" w:sz="0" w:space="0" w:color="auto"/>
                <w:left w:val="none" w:sz="0" w:space="0" w:color="auto"/>
                <w:bottom w:val="none" w:sz="0" w:space="0" w:color="auto"/>
                <w:right w:val="none" w:sz="0" w:space="0" w:color="auto"/>
              </w:divBdr>
            </w:div>
          </w:divsChild>
        </w:div>
        <w:div w:id="1694183816">
          <w:marLeft w:val="0"/>
          <w:marRight w:val="0"/>
          <w:marTop w:val="0"/>
          <w:marBottom w:val="0"/>
          <w:divBdr>
            <w:top w:val="none" w:sz="0" w:space="0" w:color="auto"/>
            <w:left w:val="none" w:sz="0" w:space="0" w:color="auto"/>
            <w:bottom w:val="none" w:sz="0" w:space="0" w:color="auto"/>
            <w:right w:val="none" w:sz="0" w:space="0" w:color="auto"/>
          </w:divBdr>
          <w:divsChild>
            <w:div w:id="1381393354">
              <w:marLeft w:val="0"/>
              <w:marRight w:val="0"/>
              <w:marTop w:val="0"/>
              <w:marBottom w:val="0"/>
              <w:divBdr>
                <w:top w:val="none" w:sz="0" w:space="0" w:color="auto"/>
                <w:left w:val="none" w:sz="0" w:space="0" w:color="auto"/>
                <w:bottom w:val="none" w:sz="0" w:space="0" w:color="auto"/>
                <w:right w:val="none" w:sz="0" w:space="0" w:color="auto"/>
              </w:divBdr>
            </w:div>
          </w:divsChild>
        </w:div>
        <w:div w:id="2023891497">
          <w:marLeft w:val="0"/>
          <w:marRight w:val="0"/>
          <w:marTop w:val="0"/>
          <w:marBottom w:val="0"/>
          <w:divBdr>
            <w:top w:val="none" w:sz="0" w:space="0" w:color="auto"/>
            <w:left w:val="none" w:sz="0" w:space="0" w:color="auto"/>
            <w:bottom w:val="none" w:sz="0" w:space="0" w:color="auto"/>
            <w:right w:val="none" w:sz="0" w:space="0" w:color="auto"/>
          </w:divBdr>
          <w:divsChild>
            <w:div w:id="365567862">
              <w:marLeft w:val="0"/>
              <w:marRight w:val="0"/>
              <w:marTop w:val="0"/>
              <w:marBottom w:val="0"/>
              <w:divBdr>
                <w:top w:val="none" w:sz="0" w:space="0" w:color="auto"/>
                <w:left w:val="none" w:sz="0" w:space="0" w:color="auto"/>
                <w:bottom w:val="none" w:sz="0" w:space="0" w:color="auto"/>
                <w:right w:val="none" w:sz="0" w:space="0" w:color="auto"/>
              </w:divBdr>
            </w:div>
          </w:divsChild>
        </w:div>
        <w:div w:id="1865167031">
          <w:marLeft w:val="0"/>
          <w:marRight w:val="0"/>
          <w:marTop w:val="0"/>
          <w:marBottom w:val="0"/>
          <w:divBdr>
            <w:top w:val="none" w:sz="0" w:space="0" w:color="auto"/>
            <w:left w:val="none" w:sz="0" w:space="0" w:color="auto"/>
            <w:bottom w:val="none" w:sz="0" w:space="0" w:color="auto"/>
            <w:right w:val="none" w:sz="0" w:space="0" w:color="auto"/>
          </w:divBdr>
          <w:divsChild>
            <w:div w:id="1720393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9560569">
      <w:bodyDiv w:val="1"/>
      <w:marLeft w:val="0"/>
      <w:marRight w:val="0"/>
      <w:marTop w:val="0"/>
      <w:marBottom w:val="0"/>
      <w:divBdr>
        <w:top w:val="none" w:sz="0" w:space="0" w:color="auto"/>
        <w:left w:val="none" w:sz="0" w:space="0" w:color="auto"/>
        <w:bottom w:val="none" w:sz="0" w:space="0" w:color="auto"/>
        <w:right w:val="none" w:sz="0" w:space="0" w:color="auto"/>
      </w:divBdr>
      <w:divsChild>
        <w:div w:id="1919709920">
          <w:marLeft w:val="0"/>
          <w:marRight w:val="0"/>
          <w:marTop w:val="0"/>
          <w:marBottom w:val="0"/>
          <w:divBdr>
            <w:top w:val="none" w:sz="0" w:space="0" w:color="auto"/>
            <w:left w:val="none" w:sz="0" w:space="0" w:color="auto"/>
            <w:bottom w:val="none" w:sz="0" w:space="0" w:color="auto"/>
            <w:right w:val="none" w:sz="0" w:space="0" w:color="auto"/>
          </w:divBdr>
          <w:divsChild>
            <w:div w:id="1343581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4837089">
      <w:bodyDiv w:val="1"/>
      <w:marLeft w:val="0"/>
      <w:marRight w:val="0"/>
      <w:marTop w:val="0"/>
      <w:marBottom w:val="0"/>
      <w:divBdr>
        <w:top w:val="none" w:sz="0" w:space="0" w:color="auto"/>
        <w:left w:val="none" w:sz="0" w:space="0" w:color="auto"/>
        <w:bottom w:val="none" w:sz="0" w:space="0" w:color="auto"/>
        <w:right w:val="none" w:sz="0" w:space="0" w:color="auto"/>
      </w:divBdr>
    </w:div>
    <w:div w:id="1425497358">
      <w:bodyDiv w:val="1"/>
      <w:marLeft w:val="0"/>
      <w:marRight w:val="0"/>
      <w:marTop w:val="0"/>
      <w:marBottom w:val="0"/>
      <w:divBdr>
        <w:top w:val="none" w:sz="0" w:space="0" w:color="auto"/>
        <w:left w:val="none" w:sz="0" w:space="0" w:color="auto"/>
        <w:bottom w:val="none" w:sz="0" w:space="0" w:color="auto"/>
        <w:right w:val="none" w:sz="0" w:space="0" w:color="auto"/>
      </w:divBdr>
      <w:divsChild>
        <w:div w:id="55635530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40755884">
      <w:bodyDiv w:val="1"/>
      <w:marLeft w:val="0"/>
      <w:marRight w:val="0"/>
      <w:marTop w:val="0"/>
      <w:marBottom w:val="0"/>
      <w:divBdr>
        <w:top w:val="none" w:sz="0" w:space="0" w:color="auto"/>
        <w:left w:val="none" w:sz="0" w:space="0" w:color="auto"/>
        <w:bottom w:val="none" w:sz="0" w:space="0" w:color="auto"/>
        <w:right w:val="none" w:sz="0" w:space="0" w:color="auto"/>
      </w:divBdr>
    </w:div>
    <w:div w:id="1485856304">
      <w:bodyDiv w:val="1"/>
      <w:marLeft w:val="0"/>
      <w:marRight w:val="0"/>
      <w:marTop w:val="0"/>
      <w:marBottom w:val="0"/>
      <w:divBdr>
        <w:top w:val="none" w:sz="0" w:space="0" w:color="auto"/>
        <w:left w:val="none" w:sz="0" w:space="0" w:color="auto"/>
        <w:bottom w:val="none" w:sz="0" w:space="0" w:color="auto"/>
        <w:right w:val="none" w:sz="0" w:space="0" w:color="auto"/>
      </w:divBdr>
      <w:divsChild>
        <w:div w:id="1320883454">
          <w:marLeft w:val="0"/>
          <w:marRight w:val="0"/>
          <w:marTop w:val="0"/>
          <w:marBottom w:val="0"/>
          <w:divBdr>
            <w:top w:val="none" w:sz="0" w:space="0" w:color="auto"/>
            <w:left w:val="none" w:sz="0" w:space="0" w:color="auto"/>
            <w:bottom w:val="none" w:sz="0" w:space="0" w:color="auto"/>
            <w:right w:val="none" w:sz="0" w:space="0" w:color="auto"/>
          </w:divBdr>
          <w:divsChild>
            <w:div w:id="1227454304">
              <w:marLeft w:val="0"/>
              <w:marRight w:val="0"/>
              <w:marTop w:val="0"/>
              <w:marBottom w:val="0"/>
              <w:divBdr>
                <w:top w:val="none" w:sz="0" w:space="0" w:color="auto"/>
                <w:left w:val="none" w:sz="0" w:space="0" w:color="auto"/>
                <w:bottom w:val="none" w:sz="0" w:space="0" w:color="auto"/>
                <w:right w:val="none" w:sz="0" w:space="0" w:color="auto"/>
              </w:divBdr>
            </w:div>
          </w:divsChild>
        </w:div>
        <w:div w:id="487483657">
          <w:marLeft w:val="0"/>
          <w:marRight w:val="0"/>
          <w:marTop w:val="0"/>
          <w:marBottom w:val="0"/>
          <w:divBdr>
            <w:top w:val="none" w:sz="0" w:space="0" w:color="auto"/>
            <w:left w:val="none" w:sz="0" w:space="0" w:color="auto"/>
            <w:bottom w:val="none" w:sz="0" w:space="0" w:color="auto"/>
            <w:right w:val="none" w:sz="0" w:space="0" w:color="auto"/>
          </w:divBdr>
          <w:divsChild>
            <w:div w:id="42606051">
              <w:marLeft w:val="0"/>
              <w:marRight w:val="0"/>
              <w:marTop w:val="0"/>
              <w:marBottom w:val="0"/>
              <w:divBdr>
                <w:top w:val="none" w:sz="0" w:space="0" w:color="auto"/>
                <w:left w:val="none" w:sz="0" w:space="0" w:color="auto"/>
                <w:bottom w:val="none" w:sz="0" w:space="0" w:color="auto"/>
                <w:right w:val="none" w:sz="0" w:space="0" w:color="auto"/>
              </w:divBdr>
            </w:div>
          </w:divsChild>
        </w:div>
        <w:div w:id="2116362349">
          <w:marLeft w:val="0"/>
          <w:marRight w:val="0"/>
          <w:marTop w:val="0"/>
          <w:marBottom w:val="0"/>
          <w:divBdr>
            <w:top w:val="none" w:sz="0" w:space="0" w:color="auto"/>
            <w:left w:val="none" w:sz="0" w:space="0" w:color="auto"/>
            <w:bottom w:val="none" w:sz="0" w:space="0" w:color="auto"/>
            <w:right w:val="none" w:sz="0" w:space="0" w:color="auto"/>
          </w:divBdr>
          <w:divsChild>
            <w:div w:id="1022168138">
              <w:marLeft w:val="0"/>
              <w:marRight w:val="0"/>
              <w:marTop w:val="0"/>
              <w:marBottom w:val="0"/>
              <w:divBdr>
                <w:top w:val="none" w:sz="0" w:space="0" w:color="auto"/>
                <w:left w:val="none" w:sz="0" w:space="0" w:color="auto"/>
                <w:bottom w:val="none" w:sz="0" w:space="0" w:color="auto"/>
                <w:right w:val="none" w:sz="0" w:space="0" w:color="auto"/>
              </w:divBdr>
            </w:div>
          </w:divsChild>
        </w:div>
        <w:div w:id="1095633583">
          <w:marLeft w:val="0"/>
          <w:marRight w:val="0"/>
          <w:marTop w:val="0"/>
          <w:marBottom w:val="0"/>
          <w:divBdr>
            <w:top w:val="none" w:sz="0" w:space="0" w:color="auto"/>
            <w:left w:val="none" w:sz="0" w:space="0" w:color="auto"/>
            <w:bottom w:val="none" w:sz="0" w:space="0" w:color="auto"/>
            <w:right w:val="none" w:sz="0" w:space="0" w:color="auto"/>
          </w:divBdr>
          <w:divsChild>
            <w:div w:id="1994409817">
              <w:marLeft w:val="0"/>
              <w:marRight w:val="0"/>
              <w:marTop w:val="0"/>
              <w:marBottom w:val="0"/>
              <w:divBdr>
                <w:top w:val="none" w:sz="0" w:space="0" w:color="auto"/>
                <w:left w:val="none" w:sz="0" w:space="0" w:color="auto"/>
                <w:bottom w:val="none" w:sz="0" w:space="0" w:color="auto"/>
                <w:right w:val="none" w:sz="0" w:space="0" w:color="auto"/>
              </w:divBdr>
            </w:div>
          </w:divsChild>
        </w:div>
        <w:div w:id="2098744804">
          <w:marLeft w:val="0"/>
          <w:marRight w:val="0"/>
          <w:marTop w:val="0"/>
          <w:marBottom w:val="0"/>
          <w:divBdr>
            <w:top w:val="none" w:sz="0" w:space="0" w:color="auto"/>
            <w:left w:val="none" w:sz="0" w:space="0" w:color="auto"/>
            <w:bottom w:val="none" w:sz="0" w:space="0" w:color="auto"/>
            <w:right w:val="none" w:sz="0" w:space="0" w:color="auto"/>
          </w:divBdr>
          <w:divsChild>
            <w:div w:id="1820028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371279">
      <w:bodyDiv w:val="1"/>
      <w:marLeft w:val="0"/>
      <w:marRight w:val="0"/>
      <w:marTop w:val="0"/>
      <w:marBottom w:val="0"/>
      <w:divBdr>
        <w:top w:val="none" w:sz="0" w:space="0" w:color="auto"/>
        <w:left w:val="none" w:sz="0" w:space="0" w:color="auto"/>
        <w:bottom w:val="none" w:sz="0" w:space="0" w:color="auto"/>
        <w:right w:val="none" w:sz="0" w:space="0" w:color="auto"/>
      </w:divBdr>
    </w:div>
    <w:div w:id="1515416333">
      <w:bodyDiv w:val="1"/>
      <w:marLeft w:val="0"/>
      <w:marRight w:val="0"/>
      <w:marTop w:val="0"/>
      <w:marBottom w:val="0"/>
      <w:divBdr>
        <w:top w:val="none" w:sz="0" w:space="0" w:color="auto"/>
        <w:left w:val="none" w:sz="0" w:space="0" w:color="auto"/>
        <w:bottom w:val="none" w:sz="0" w:space="0" w:color="auto"/>
        <w:right w:val="none" w:sz="0" w:space="0" w:color="auto"/>
      </w:divBdr>
    </w:div>
    <w:div w:id="1601989600">
      <w:bodyDiv w:val="1"/>
      <w:marLeft w:val="0"/>
      <w:marRight w:val="0"/>
      <w:marTop w:val="0"/>
      <w:marBottom w:val="0"/>
      <w:divBdr>
        <w:top w:val="none" w:sz="0" w:space="0" w:color="auto"/>
        <w:left w:val="none" w:sz="0" w:space="0" w:color="auto"/>
        <w:bottom w:val="none" w:sz="0" w:space="0" w:color="auto"/>
        <w:right w:val="none" w:sz="0" w:space="0" w:color="auto"/>
      </w:divBdr>
    </w:div>
    <w:div w:id="1622496816">
      <w:bodyDiv w:val="1"/>
      <w:marLeft w:val="0"/>
      <w:marRight w:val="0"/>
      <w:marTop w:val="0"/>
      <w:marBottom w:val="0"/>
      <w:divBdr>
        <w:top w:val="none" w:sz="0" w:space="0" w:color="auto"/>
        <w:left w:val="none" w:sz="0" w:space="0" w:color="auto"/>
        <w:bottom w:val="none" w:sz="0" w:space="0" w:color="auto"/>
        <w:right w:val="none" w:sz="0" w:space="0" w:color="auto"/>
      </w:divBdr>
    </w:div>
    <w:div w:id="1643150104">
      <w:bodyDiv w:val="1"/>
      <w:marLeft w:val="0"/>
      <w:marRight w:val="0"/>
      <w:marTop w:val="0"/>
      <w:marBottom w:val="0"/>
      <w:divBdr>
        <w:top w:val="none" w:sz="0" w:space="0" w:color="auto"/>
        <w:left w:val="none" w:sz="0" w:space="0" w:color="auto"/>
        <w:bottom w:val="none" w:sz="0" w:space="0" w:color="auto"/>
        <w:right w:val="none" w:sz="0" w:space="0" w:color="auto"/>
      </w:divBdr>
    </w:div>
    <w:div w:id="1667442242">
      <w:bodyDiv w:val="1"/>
      <w:marLeft w:val="0"/>
      <w:marRight w:val="0"/>
      <w:marTop w:val="0"/>
      <w:marBottom w:val="0"/>
      <w:divBdr>
        <w:top w:val="none" w:sz="0" w:space="0" w:color="auto"/>
        <w:left w:val="none" w:sz="0" w:space="0" w:color="auto"/>
        <w:bottom w:val="none" w:sz="0" w:space="0" w:color="auto"/>
        <w:right w:val="none" w:sz="0" w:space="0" w:color="auto"/>
      </w:divBdr>
      <w:divsChild>
        <w:div w:id="1551381845">
          <w:marLeft w:val="0"/>
          <w:marRight w:val="0"/>
          <w:marTop w:val="0"/>
          <w:marBottom w:val="0"/>
          <w:divBdr>
            <w:top w:val="none" w:sz="0" w:space="0" w:color="auto"/>
            <w:left w:val="none" w:sz="0" w:space="0" w:color="auto"/>
            <w:bottom w:val="none" w:sz="0" w:space="0" w:color="auto"/>
            <w:right w:val="none" w:sz="0" w:space="0" w:color="auto"/>
          </w:divBdr>
          <w:divsChild>
            <w:div w:id="294990413">
              <w:marLeft w:val="0"/>
              <w:marRight w:val="0"/>
              <w:marTop w:val="0"/>
              <w:marBottom w:val="0"/>
              <w:divBdr>
                <w:top w:val="none" w:sz="0" w:space="0" w:color="auto"/>
                <w:left w:val="none" w:sz="0" w:space="0" w:color="auto"/>
                <w:bottom w:val="none" w:sz="0" w:space="0" w:color="auto"/>
                <w:right w:val="none" w:sz="0" w:space="0" w:color="auto"/>
              </w:divBdr>
            </w:div>
          </w:divsChild>
        </w:div>
        <w:div w:id="922177623">
          <w:marLeft w:val="0"/>
          <w:marRight w:val="0"/>
          <w:marTop w:val="0"/>
          <w:marBottom w:val="0"/>
          <w:divBdr>
            <w:top w:val="none" w:sz="0" w:space="0" w:color="auto"/>
            <w:left w:val="none" w:sz="0" w:space="0" w:color="auto"/>
            <w:bottom w:val="none" w:sz="0" w:space="0" w:color="auto"/>
            <w:right w:val="none" w:sz="0" w:space="0" w:color="auto"/>
          </w:divBdr>
          <w:divsChild>
            <w:div w:id="371616650">
              <w:marLeft w:val="0"/>
              <w:marRight w:val="0"/>
              <w:marTop w:val="0"/>
              <w:marBottom w:val="0"/>
              <w:divBdr>
                <w:top w:val="none" w:sz="0" w:space="0" w:color="auto"/>
                <w:left w:val="none" w:sz="0" w:space="0" w:color="auto"/>
                <w:bottom w:val="none" w:sz="0" w:space="0" w:color="auto"/>
                <w:right w:val="none" w:sz="0" w:space="0" w:color="auto"/>
              </w:divBdr>
            </w:div>
          </w:divsChild>
        </w:div>
        <w:div w:id="875578965">
          <w:marLeft w:val="0"/>
          <w:marRight w:val="0"/>
          <w:marTop w:val="0"/>
          <w:marBottom w:val="0"/>
          <w:divBdr>
            <w:top w:val="none" w:sz="0" w:space="0" w:color="auto"/>
            <w:left w:val="none" w:sz="0" w:space="0" w:color="auto"/>
            <w:bottom w:val="none" w:sz="0" w:space="0" w:color="auto"/>
            <w:right w:val="none" w:sz="0" w:space="0" w:color="auto"/>
          </w:divBdr>
          <w:divsChild>
            <w:div w:id="522549444">
              <w:marLeft w:val="0"/>
              <w:marRight w:val="0"/>
              <w:marTop w:val="0"/>
              <w:marBottom w:val="0"/>
              <w:divBdr>
                <w:top w:val="none" w:sz="0" w:space="0" w:color="auto"/>
                <w:left w:val="none" w:sz="0" w:space="0" w:color="auto"/>
                <w:bottom w:val="none" w:sz="0" w:space="0" w:color="auto"/>
                <w:right w:val="none" w:sz="0" w:space="0" w:color="auto"/>
              </w:divBdr>
            </w:div>
          </w:divsChild>
        </w:div>
        <w:div w:id="1029599141">
          <w:marLeft w:val="0"/>
          <w:marRight w:val="0"/>
          <w:marTop w:val="0"/>
          <w:marBottom w:val="0"/>
          <w:divBdr>
            <w:top w:val="none" w:sz="0" w:space="0" w:color="auto"/>
            <w:left w:val="none" w:sz="0" w:space="0" w:color="auto"/>
            <w:bottom w:val="none" w:sz="0" w:space="0" w:color="auto"/>
            <w:right w:val="none" w:sz="0" w:space="0" w:color="auto"/>
          </w:divBdr>
          <w:divsChild>
            <w:div w:id="1780687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2318700">
      <w:bodyDiv w:val="1"/>
      <w:marLeft w:val="0"/>
      <w:marRight w:val="0"/>
      <w:marTop w:val="0"/>
      <w:marBottom w:val="0"/>
      <w:divBdr>
        <w:top w:val="none" w:sz="0" w:space="0" w:color="auto"/>
        <w:left w:val="none" w:sz="0" w:space="0" w:color="auto"/>
        <w:bottom w:val="none" w:sz="0" w:space="0" w:color="auto"/>
        <w:right w:val="none" w:sz="0" w:space="0" w:color="auto"/>
      </w:divBdr>
    </w:div>
    <w:div w:id="1752312647">
      <w:bodyDiv w:val="1"/>
      <w:marLeft w:val="0"/>
      <w:marRight w:val="0"/>
      <w:marTop w:val="0"/>
      <w:marBottom w:val="0"/>
      <w:divBdr>
        <w:top w:val="none" w:sz="0" w:space="0" w:color="auto"/>
        <w:left w:val="none" w:sz="0" w:space="0" w:color="auto"/>
        <w:bottom w:val="none" w:sz="0" w:space="0" w:color="auto"/>
        <w:right w:val="none" w:sz="0" w:space="0" w:color="auto"/>
      </w:divBdr>
    </w:div>
    <w:div w:id="1792438974">
      <w:bodyDiv w:val="1"/>
      <w:marLeft w:val="0"/>
      <w:marRight w:val="0"/>
      <w:marTop w:val="0"/>
      <w:marBottom w:val="0"/>
      <w:divBdr>
        <w:top w:val="none" w:sz="0" w:space="0" w:color="auto"/>
        <w:left w:val="none" w:sz="0" w:space="0" w:color="auto"/>
        <w:bottom w:val="none" w:sz="0" w:space="0" w:color="auto"/>
        <w:right w:val="none" w:sz="0" w:space="0" w:color="auto"/>
      </w:divBdr>
    </w:div>
    <w:div w:id="1857191456">
      <w:bodyDiv w:val="1"/>
      <w:marLeft w:val="0"/>
      <w:marRight w:val="0"/>
      <w:marTop w:val="0"/>
      <w:marBottom w:val="0"/>
      <w:divBdr>
        <w:top w:val="none" w:sz="0" w:space="0" w:color="auto"/>
        <w:left w:val="none" w:sz="0" w:space="0" w:color="auto"/>
        <w:bottom w:val="none" w:sz="0" w:space="0" w:color="auto"/>
        <w:right w:val="none" w:sz="0" w:space="0" w:color="auto"/>
      </w:divBdr>
      <w:divsChild>
        <w:div w:id="1615673351">
          <w:marLeft w:val="0"/>
          <w:marRight w:val="0"/>
          <w:marTop w:val="0"/>
          <w:marBottom w:val="0"/>
          <w:divBdr>
            <w:top w:val="none" w:sz="0" w:space="0" w:color="auto"/>
            <w:left w:val="none" w:sz="0" w:space="0" w:color="auto"/>
            <w:bottom w:val="none" w:sz="0" w:space="0" w:color="auto"/>
            <w:right w:val="none" w:sz="0" w:space="0" w:color="auto"/>
          </w:divBdr>
          <w:divsChild>
            <w:div w:id="1964075171">
              <w:marLeft w:val="0"/>
              <w:marRight w:val="0"/>
              <w:marTop w:val="0"/>
              <w:marBottom w:val="0"/>
              <w:divBdr>
                <w:top w:val="none" w:sz="0" w:space="0" w:color="auto"/>
                <w:left w:val="none" w:sz="0" w:space="0" w:color="auto"/>
                <w:bottom w:val="none" w:sz="0" w:space="0" w:color="auto"/>
                <w:right w:val="none" w:sz="0" w:space="0" w:color="auto"/>
              </w:divBdr>
            </w:div>
          </w:divsChild>
        </w:div>
        <w:div w:id="146015977">
          <w:marLeft w:val="0"/>
          <w:marRight w:val="0"/>
          <w:marTop w:val="0"/>
          <w:marBottom w:val="0"/>
          <w:divBdr>
            <w:top w:val="none" w:sz="0" w:space="0" w:color="auto"/>
            <w:left w:val="none" w:sz="0" w:space="0" w:color="auto"/>
            <w:bottom w:val="none" w:sz="0" w:space="0" w:color="auto"/>
            <w:right w:val="none" w:sz="0" w:space="0" w:color="auto"/>
          </w:divBdr>
          <w:divsChild>
            <w:div w:id="1025790048">
              <w:marLeft w:val="0"/>
              <w:marRight w:val="0"/>
              <w:marTop w:val="0"/>
              <w:marBottom w:val="0"/>
              <w:divBdr>
                <w:top w:val="none" w:sz="0" w:space="0" w:color="auto"/>
                <w:left w:val="none" w:sz="0" w:space="0" w:color="auto"/>
                <w:bottom w:val="none" w:sz="0" w:space="0" w:color="auto"/>
                <w:right w:val="none" w:sz="0" w:space="0" w:color="auto"/>
              </w:divBdr>
            </w:div>
          </w:divsChild>
        </w:div>
        <w:div w:id="313922749">
          <w:marLeft w:val="0"/>
          <w:marRight w:val="0"/>
          <w:marTop w:val="0"/>
          <w:marBottom w:val="0"/>
          <w:divBdr>
            <w:top w:val="none" w:sz="0" w:space="0" w:color="auto"/>
            <w:left w:val="none" w:sz="0" w:space="0" w:color="auto"/>
            <w:bottom w:val="none" w:sz="0" w:space="0" w:color="auto"/>
            <w:right w:val="none" w:sz="0" w:space="0" w:color="auto"/>
          </w:divBdr>
          <w:divsChild>
            <w:div w:id="1164977572">
              <w:marLeft w:val="0"/>
              <w:marRight w:val="0"/>
              <w:marTop w:val="0"/>
              <w:marBottom w:val="0"/>
              <w:divBdr>
                <w:top w:val="none" w:sz="0" w:space="0" w:color="auto"/>
                <w:left w:val="none" w:sz="0" w:space="0" w:color="auto"/>
                <w:bottom w:val="none" w:sz="0" w:space="0" w:color="auto"/>
                <w:right w:val="none" w:sz="0" w:space="0" w:color="auto"/>
              </w:divBdr>
            </w:div>
          </w:divsChild>
        </w:div>
        <w:div w:id="250627799">
          <w:marLeft w:val="0"/>
          <w:marRight w:val="0"/>
          <w:marTop w:val="0"/>
          <w:marBottom w:val="0"/>
          <w:divBdr>
            <w:top w:val="none" w:sz="0" w:space="0" w:color="auto"/>
            <w:left w:val="none" w:sz="0" w:space="0" w:color="auto"/>
            <w:bottom w:val="none" w:sz="0" w:space="0" w:color="auto"/>
            <w:right w:val="none" w:sz="0" w:space="0" w:color="auto"/>
          </w:divBdr>
          <w:divsChild>
            <w:div w:id="1600068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491439">
      <w:bodyDiv w:val="1"/>
      <w:marLeft w:val="0"/>
      <w:marRight w:val="0"/>
      <w:marTop w:val="0"/>
      <w:marBottom w:val="0"/>
      <w:divBdr>
        <w:top w:val="none" w:sz="0" w:space="0" w:color="auto"/>
        <w:left w:val="none" w:sz="0" w:space="0" w:color="auto"/>
        <w:bottom w:val="none" w:sz="0" w:space="0" w:color="auto"/>
        <w:right w:val="none" w:sz="0" w:space="0" w:color="auto"/>
      </w:divBdr>
      <w:divsChild>
        <w:div w:id="164251306">
          <w:marLeft w:val="0"/>
          <w:marRight w:val="0"/>
          <w:marTop w:val="0"/>
          <w:marBottom w:val="0"/>
          <w:divBdr>
            <w:top w:val="none" w:sz="0" w:space="0" w:color="auto"/>
            <w:left w:val="none" w:sz="0" w:space="0" w:color="auto"/>
            <w:bottom w:val="none" w:sz="0" w:space="0" w:color="auto"/>
            <w:right w:val="none" w:sz="0" w:space="0" w:color="auto"/>
          </w:divBdr>
        </w:div>
      </w:divsChild>
    </w:div>
    <w:div w:id="1902713903">
      <w:bodyDiv w:val="1"/>
      <w:marLeft w:val="0"/>
      <w:marRight w:val="0"/>
      <w:marTop w:val="0"/>
      <w:marBottom w:val="0"/>
      <w:divBdr>
        <w:top w:val="none" w:sz="0" w:space="0" w:color="auto"/>
        <w:left w:val="none" w:sz="0" w:space="0" w:color="auto"/>
        <w:bottom w:val="none" w:sz="0" w:space="0" w:color="auto"/>
        <w:right w:val="none" w:sz="0" w:space="0" w:color="auto"/>
      </w:divBdr>
    </w:div>
    <w:div w:id="1905556328">
      <w:bodyDiv w:val="1"/>
      <w:marLeft w:val="0"/>
      <w:marRight w:val="0"/>
      <w:marTop w:val="0"/>
      <w:marBottom w:val="0"/>
      <w:divBdr>
        <w:top w:val="none" w:sz="0" w:space="0" w:color="auto"/>
        <w:left w:val="none" w:sz="0" w:space="0" w:color="auto"/>
        <w:bottom w:val="none" w:sz="0" w:space="0" w:color="auto"/>
        <w:right w:val="none" w:sz="0" w:space="0" w:color="auto"/>
      </w:divBdr>
      <w:divsChild>
        <w:div w:id="353919800">
          <w:marLeft w:val="0"/>
          <w:marRight w:val="0"/>
          <w:marTop w:val="0"/>
          <w:marBottom w:val="0"/>
          <w:divBdr>
            <w:top w:val="none" w:sz="0" w:space="0" w:color="auto"/>
            <w:left w:val="none" w:sz="0" w:space="0" w:color="auto"/>
            <w:bottom w:val="none" w:sz="0" w:space="0" w:color="auto"/>
            <w:right w:val="none" w:sz="0" w:space="0" w:color="auto"/>
          </w:divBdr>
          <w:divsChild>
            <w:div w:id="1464351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06684">
      <w:bodyDiv w:val="1"/>
      <w:marLeft w:val="0"/>
      <w:marRight w:val="0"/>
      <w:marTop w:val="0"/>
      <w:marBottom w:val="0"/>
      <w:divBdr>
        <w:top w:val="none" w:sz="0" w:space="0" w:color="auto"/>
        <w:left w:val="none" w:sz="0" w:space="0" w:color="auto"/>
        <w:bottom w:val="none" w:sz="0" w:space="0" w:color="auto"/>
        <w:right w:val="none" w:sz="0" w:space="0" w:color="auto"/>
      </w:divBdr>
    </w:div>
    <w:div w:id="2030569826">
      <w:bodyDiv w:val="1"/>
      <w:marLeft w:val="0"/>
      <w:marRight w:val="0"/>
      <w:marTop w:val="0"/>
      <w:marBottom w:val="0"/>
      <w:divBdr>
        <w:top w:val="none" w:sz="0" w:space="0" w:color="auto"/>
        <w:left w:val="none" w:sz="0" w:space="0" w:color="auto"/>
        <w:bottom w:val="none" w:sz="0" w:space="0" w:color="auto"/>
        <w:right w:val="none" w:sz="0" w:space="0" w:color="auto"/>
      </w:divBdr>
    </w:div>
    <w:div w:id="2031685294">
      <w:bodyDiv w:val="1"/>
      <w:marLeft w:val="0"/>
      <w:marRight w:val="0"/>
      <w:marTop w:val="0"/>
      <w:marBottom w:val="0"/>
      <w:divBdr>
        <w:top w:val="none" w:sz="0" w:space="0" w:color="auto"/>
        <w:left w:val="none" w:sz="0" w:space="0" w:color="auto"/>
        <w:bottom w:val="none" w:sz="0" w:space="0" w:color="auto"/>
        <w:right w:val="none" w:sz="0" w:space="0" w:color="auto"/>
      </w:divBdr>
    </w:div>
    <w:div w:id="21379836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hyperlink" Target="https://doi.org/10.3390/ijerph15061202" TargetMode="External"/><Relationship Id="rId21" Type="http://schemas.openxmlformats.org/officeDocument/2006/relationships/image" Target="media/image11.png"/><Relationship Id="rId34" Type="http://schemas.openxmlformats.org/officeDocument/2006/relationships/hyperlink" Target="https://doi.org/10.2307/1907187" TargetMode="External"/><Relationship Id="rId42" Type="http://schemas.openxmlformats.org/officeDocument/2006/relationships/hyperlink" Target="https://doi.org/10.1080/01621459.1968.10480934" TargetMode="External"/><Relationship Id="rId47" Type="http://schemas.openxmlformats.org/officeDocument/2006/relationships/header" Target="header2.xml"/><Relationship Id="rId50" Type="http://schemas.openxmlformats.org/officeDocument/2006/relationships/header" Target="head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hyperlink" Target="https://doi.org/10.1016/j.gloenvcha.2008.07.013" TargetMode="External"/><Relationship Id="rId11" Type="http://schemas.openxmlformats.org/officeDocument/2006/relationships/hyperlink" Target="https://en.tutiempo.net/climate/ws-637410.html?utm_source=chatgpt.com" TargetMode="External"/><Relationship Id="rId24" Type="http://schemas.openxmlformats.org/officeDocument/2006/relationships/image" Target="media/image14.png"/><Relationship Id="rId32" Type="http://schemas.openxmlformats.org/officeDocument/2006/relationships/hyperlink" Target="https://doi.org/10.1017/9781009325844" TargetMode="External"/><Relationship Id="rId37" Type="http://schemas.openxmlformats.org/officeDocument/2006/relationships/hyperlink" Target="https://doi.org/10.1016/j.uclim.2019.100566" TargetMode="External"/><Relationship Id="rId40" Type="http://schemas.openxmlformats.org/officeDocument/2006/relationships/hyperlink" Target="https://doi.org/10.1126/science.1172133" TargetMode="External"/><Relationship Id="rId45" Type="http://schemas.openxmlformats.org/officeDocument/2006/relationships/hyperlink" Target="https://unhabitat.org/" TargetMode="External"/><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hyperlink" Target="https://en.tutiempo.net/climate/ws-637400.html?utm_source=chatgpt.com" TargetMode="External"/><Relationship Id="rId19" Type="http://schemas.openxmlformats.org/officeDocument/2006/relationships/image" Target="media/image9.png"/><Relationship Id="rId31" Type="http://schemas.openxmlformats.org/officeDocument/2006/relationships/hyperlink" Target="https://doi.org/10.1016/j.gloenvcha.2006.04.002" TargetMode="External"/><Relationship Id="rId44" Type="http://schemas.openxmlformats.org/officeDocument/2006/relationships/hyperlink" Target="https://www.ipcc.ch/report/ar6/wg2/"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hyperlink" Target="https://doi.org/10.1016/j.gloenvcha.2006.02.006" TargetMode="External"/><Relationship Id="rId30" Type="http://schemas.openxmlformats.org/officeDocument/2006/relationships/hyperlink" Target="https://doi.org/10.1177/0956247808089156" TargetMode="External"/><Relationship Id="rId35" Type="http://schemas.openxmlformats.org/officeDocument/2006/relationships/hyperlink" Target="https://doi.org/10.1080/17565529.2015.1010249" TargetMode="External"/><Relationship Id="rId43" Type="http://schemas.openxmlformats.org/officeDocument/2006/relationships/hyperlink" Target="https://unhabitat.org/" TargetMode="External"/><Relationship Id="rId48"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footer" Target="footer3.xml"/><Relationship Id="rId3" Type="http://schemas.openxmlformats.org/officeDocument/2006/relationships/styles" Target="styles.xml"/><Relationship Id="rId12" Type="http://schemas.openxmlformats.org/officeDocument/2006/relationships/hyperlink" Target="https://tahmo.org/climate-data/?utm_source=chatgpt.com" TargetMode="External"/><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hyperlink" Target="https://doi.org/10.1007/s11069-016-2415-4" TargetMode="External"/><Relationship Id="rId38" Type="http://schemas.openxmlformats.org/officeDocument/2006/relationships/hyperlink" Target="https://doi.org/10.1088/1748-9326/abfddf" TargetMode="External"/><Relationship Id="rId46" Type="http://schemas.openxmlformats.org/officeDocument/2006/relationships/header" Target="header1.xml"/><Relationship Id="rId20" Type="http://schemas.openxmlformats.org/officeDocument/2006/relationships/image" Target="media/image10.png"/><Relationship Id="rId41" Type="http://schemas.openxmlformats.org/officeDocument/2006/relationships/hyperlink" Target="https://doi.org/10.1007/s10661-020-8070-2"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hyperlink" Target="https://doi.org/10.1371/journal.pntd.0002845" TargetMode="External"/><Relationship Id="rId36" Type="http://schemas.openxmlformats.org/officeDocument/2006/relationships/hyperlink" Target="https://doi.org/10.1111/j.1467-8306.2007.00563.x" TargetMode="External"/><Relationship Id="rId49"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FA2C72-AD19-4EFD-8831-FCE013AB34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38</Pages>
  <Words>9402</Words>
  <Characters>53596</Characters>
  <Application>Microsoft Office Word</Application>
  <DocSecurity>0</DocSecurity>
  <Lines>446</Lines>
  <Paragraphs>125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62873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SDI 1084</cp:lastModifiedBy>
  <cp:revision>10</cp:revision>
  <dcterms:created xsi:type="dcterms:W3CDTF">2026-03-17T13:14:00Z</dcterms:created>
  <dcterms:modified xsi:type="dcterms:W3CDTF">2026-03-18T13:40:00Z</dcterms:modified>
</cp:coreProperties>
</file>